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24CD3" w14:textId="77777777" w:rsidR="00D7303D" w:rsidRPr="00342F7C" w:rsidRDefault="00D7303D">
      <w:pPr>
        <w:pStyle w:val="EMEANormal"/>
        <w:rPr>
          <w:lang w:val="en-GB"/>
        </w:rPr>
      </w:pPr>
      <w:bookmarkStart w:id="0" w:name="_GoBack"/>
      <w:bookmarkEnd w:id="0"/>
    </w:p>
    <w:p w14:paraId="23EA0FC6" w14:textId="77777777" w:rsidR="00D7303D" w:rsidRPr="00342F7C" w:rsidRDefault="00D7303D">
      <w:pPr>
        <w:pStyle w:val="EMEANormal"/>
        <w:rPr>
          <w:lang w:val="en-GB"/>
        </w:rPr>
      </w:pPr>
    </w:p>
    <w:p w14:paraId="656BDF97" w14:textId="77777777" w:rsidR="00D7303D" w:rsidRPr="00342F7C" w:rsidRDefault="00D7303D">
      <w:pPr>
        <w:pStyle w:val="EMEANormal"/>
        <w:rPr>
          <w:lang w:val="en-GB"/>
        </w:rPr>
      </w:pPr>
    </w:p>
    <w:p w14:paraId="766D9AB0" w14:textId="77777777" w:rsidR="00D7303D" w:rsidRPr="00342F7C" w:rsidRDefault="00D7303D">
      <w:pPr>
        <w:pStyle w:val="EMEANormal"/>
        <w:rPr>
          <w:lang w:val="en-GB"/>
        </w:rPr>
      </w:pPr>
    </w:p>
    <w:p w14:paraId="65D45549" w14:textId="77777777" w:rsidR="00D7303D" w:rsidRPr="00342F7C" w:rsidRDefault="00D7303D">
      <w:pPr>
        <w:pStyle w:val="EMEANormal"/>
        <w:rPr>
          <w:lang w:val="en-GB"/>
        </w:rPr>
      </w:pPr>
    </w:p>
    <w:p w14:paraId="1DD8BB65" w14:textId="77777777" w:rsidR="00D7303D" w:rsidRPr="00342F7C" w:rsidRDefault="00D7303D">
      <w:pPr>
        <w:pStyle w:val="EMEANormal"/>
        <w:rPr>
          <w:lang w:val="en-GB"/>
        </w:rPr>
      </w:pPr>
    </w:p>
    <w:p w14:paraId="1E99DE6C" w14:textId="77777777" w:rsidR="00D7303D" w:rsidRPr="00342F7C" w:rsidRDefault="00D7303D">
      <w:pPr>
        <w:pStyle w:val="EMEANormal"/>
        <w:rPr>
          <w:lang w:val="en-GB"/>
        </w:rPr>
      </w:pPr>
    </w:p>
    <w:p w14:paraId="0FF688B7" w14:textId="77777777" w:rsidR="00D7303D" w:rsidRPr="00342F7C" w:rsidRDefault="00D7303D">
      <w:pPr>
        <w:pStyle w:val="EMEANormal"/>
        <w:rPr>
          <w:lang w:val="en-GB"/>
        </w:rPr>
      </w:pPr>
    </w:p>
    <w:p w14:paraId="7FE77FC9" w14:textId="77777777" w:rsidR="00D7303D" w:rsidRPr="00342F7C" w:rsidRDefault="00D7303D">
      <w:pPr>
        <w:pStyle w:val="EMEANormal"/>
        <w:rPr>
          <w:lang w:val="en-GB"/>
        </w:rPr>
      </w:pPr>
    </w:p>
    <w:p w14:paraId="6F1E41C5" w14:textId="77777777" w:rsidR="00D7303D" w:rsidRPr="00342F7C" w:rsidRDefault="00D7303D">
      <w:pPr>
        <w:pStyle w:val="EMEANormal"/>
        <w:rPr>
          <w:lang w:val="en-GB"/>
        </w:rPr>
      </w:pPr>
    </w:p>
    <w:p w14:paraId="76CE173A" w14:textId="77777777" w:rsidR="00D7303D" w:rsidRPr="00342F7C" w:rsidRDefault="00D7303D">
      <w:pPr>
        <w:pStyle w:val="EMEANormal"/>
        <w:rPr>
          <w:lang w:val="en-GB"/>
        </w:rPr>
      </w:pPr>
    </w:p>
    <w:p w14:paraId="5B5E053A" w14:textId="77777777" w:rsidR="00D7303D" w:rsidRPr="00342F7C" w:rsidRDefault="00D7303D">
      <w:pPr>
        <w:pStyle w:val="EMEANormal"/>
        <w:rPr>
          <w:lang w:val="en-GB"/>
        </w:rPr>
      </w:pPr>
    </w:p>
    <w:p w14:paraId="40FB7755" w14:textId="77777777" w:rsidR="00D7303D" w:rsidRPr="00342F7C" w:rsidRDefault="00D7303D">
      <w:pPr>
        <w:pStyle w:val="EMEANormal"/>
        <w:rPr>
          <w:lang w:val="en-GB"/>
        </w:rPr>
      </w:pPr>
    </w:p>
    <w:p w14:paraId="0A1DDBFD" w14:textId="77777777" w:rsidR="00D7303D" w:rsidRPr="00342F7C" w:rsidRDefault="00D7303D">
      <w:pPr>
        <w:pStyle w:val="EMEANormal"/>
        <w:rPr>
          <w:lang w:val="en-GB"/>
        </w:rPr>
      </w:pPr>
    </w:p>
    <w:p w14:paraId="368D1FCD" w14:textId="77777777" w:rsidR="00D7303D" w:rsidRPr="00342F7C" w:rsidRDefault="00D7303D">
      <w:pPr>
        <w:pStyle w:val="EMEANormal"/>
        <w:rPr>
          <w:lang w:val="en-GB"/>
        </w:rPr>
      </w:pPr>
    </w:p>
    <w:p w14:paraId="5F09B95D" w14:textId="77777777" w:rsidR="00D7303D" w:rsidRPr="00342F7C" w:rsidRDefault="00D7303D">
      <w:pPr>
        <w:pStyle w:val="EMEANormal"/>
        <w:rPr>
          <w:lang w:val="en-GB"/>
        </w:rPr>
      </w:pPr>
    </w:p>
    <w:p w14:paraId="1318FFFA" w14:textId="77777777" w:rsidR="00D7303D" w:rsidRPr="00342F7C" w:rsidRDefault="00D7303D">
      <w:pPr>
        <w:pStyle w:val="EMEANormal"/>
        <w:rPr>
          <w:lang w:val="en-GB"/>
        </w:rPr>
      </w:pPr>
    </w:p>
    <w:p w14:paraId="4120CF78" w14:textId="77777777" w:rsidR="00D7303D" w:rsidRPr="00342F7C" w:rsidRDefault="00D7303D">
      <w:pPr>
        <w:pStyle w:val="EMEANormal"/>
        <w:rPr>
          <w:lang w:val="en-GB"/>
        </w:rPr>
      </w:pPr>
    </w:p>
    <w:p w14:paraId="22C40A88" w14:textId="77777777" w:rsidR="00D7303D" w:rsidRPr="00342F7C" w:rsidRDefault="00D7303D">
      <w:pPr>
        <w:pStyle w:val="EMEANormal"/>
        <w:rPr>
          <w:lang w:val="en-GB"/>
        </w:rPr>
      </w:pPr>
    </w:p>
    <w:p w14:paraId="55D4D860" w14:textId="77777777" w:rsidR="00D7303D" w:rsidRPr="00342F7C" w:rsidRDefault="00D7303D">
      <w:pPr>
        <w:pStyle w:val="EMEANormal"/>
        <w:rPr>
          <w:lang w:val="en-GB"/>
        </w:rPr>
      </w:pPr>
    </w:p>
    <w:p w14:paraId="617DB3F7" w14:textId="77777777" w:rsidR="00761866" w:rsidRDefault="00761866">
      <w:pPr>
        <w:pStyle w:val="EMEATitle"/>
        <w:rPr>
          <w:rFonts w:ascii="Times New Roman" w:hAnsi="Times New Roman"/>
          <w:lang w:val="en-GB"/>
        </w:rPr>
      </w:pPr>
    </w:p>
    <w:p w14:paraId="2E6DE372" w14:textId="77777777" w:rsidR="00A85C68" w:rsidRDefault="00A85C68">
      <w:pPr>
        <w:pStyle w:val="EMEATitle"/>
        <w:rPr>
          <w:rFonts w:ascii="Times New Roman" w:hAnsi="Times New Roman"/>
          <w:lang w:val="en-GB"/>
        </w:rPr>
      </w:pPr>
    </w:p>
    <w:p w14:paraId="48BB68A7" w14:textId="77777777" w:rsidR="00761866" w:rsidRDefault="00761866">
      <w:pPr>
        <w:pStyle w:val="EMEATitle"/>
        <w:rPr>
          <w:rFonts w:ascii="Times New Roman" w:hAnsi="Times New Roman"/>
          <w:lang w:val="en-GB"/>
        </w:rPr>
      </w:pPr>
    </w:p>
    <w:p w14:paraId="58AA9925" w14:textId="77777777" w:rsidR="00D7303D" w:rsidRPr="00342F7C" w:rsidRDefault="00D7303D">
      <w:pPr>
        <w:pStyle w:val="EMEATitle"/>
        <w:rPr>
          <w:rFonts w:ascii="Times New Roman" w:hAnsi="Times New Roman"/>
          <w:lang w:val="en-GB"/>
        </w:rPr>
      </w:pPr>
      <w:r w:rsidRPr="00342F7C">
        <w:rPr>
          <w:rFonts w:ascii="Times New Roman" w:hAnsi="Times New Roman"/>
          <w:lang w:val="en-GB"/>
        </w:rPr>
        <w:t>ANNEX I</w:t>
      </w:r>
    </w:p>
    <w:p w14:paraId="23C20F6A" w14:textId="77777777" w:rsidR="00D7303D" w:rsidRPr="00342F7C" w:rsidRDefault="00D7303D">
      <w:pPr>
        <w:pStyle w:val="EMEANormal"/>
        <w:rPr>
          <w:lang w:val="en-GB"/>
        </w:rPr>
      </w:pPr>
    </w:p>
    <w:p w14:paraId="66D6095B" w14:textId="77777777" w:rsidR="00D7303D" w:rsidRPr="00342F7C" w:rsidRDefault="00D7303D" w:rsidP="00820C17">
      <w:pPr>
        <w:pStyle w:val="BMCENTRED"/>
      </w:pPr>
      <w:r w:rsidRPr="00342F7C">
        <w:t>SUMMARY OF PRODUCT CHARACTERISTICS</w:t>
      </w:r>
    </w:p>
    <w:p w14:paraId="3C31DC93" w14:textId="77777777" w:rsidR="00D7303D" w:rsidRPr="00342F7C" w:rsidRDefault="00D7303D">
      <w:pPr>
        <w:pStyle w:val="EMEANormal"/>
        <w:rPr>
          <w:lang w:val="en-GB"/>
        </w:rPr>
      </w:pPr>
    </w:p>
    <w:p w14:paraId="5FE7B82F" w14:textId="77777777" w:rsidR="00D7303D" w:rsidRPr="00342F7C" w:rsidRDefault="00D7303D">
      <w:pPr>
        <w:pStyle w:val="EMEANormal"/>
        <w:rPr>
          <w:lang w:val="en-GB"/>
        </w:rPr>
      </w:pPr>
    </w:p>
    <w:p w14:paraId="5791D989" w14:textId="77777777" w:rsidR="00D7303D" w:rsidRDefault="00D7303D" w:rsidP="00CD4188">
      <w:pPr>
        <w:pStyle w:val="EMEAHeading1Para1"/>
        <w:spacing w:afterLines="0" w:after="0"/>
        <w:rPr>
          <w:rFonts w:ascii="Times New Roman" w:hAnsi="Times New Roman"/>
          <w:lang w:val="en-GB"/>
        </w:rPr>
      </w:pPr>
      <w:r w:rsidRPr="00342F7C">
        <w:rPr>
          <w:rFonts w:ascii="Times New Roman" w:hAnsi="Times New Roman"/>
          <w:b w:val="0"/>
          <w:lang w:val="en-GB"/>
        </w:rPr>
        <w:br w:type="page"/>
      </w:r>
      <w:r w:rsidRPr="00342F7C">
        <w:rPr>
          <w:rFonts w:ascii="Times New Roman" w:hAnsi="Times New Roman"/>
          <w:lang w:val="en-GB"/>
        </w:rPr>
        <w:lastRenderedPageBreak/>
        <w:t>1.</w:t>
      </w:r>
      <w:r w:rsidRPr="00342F7C">
        <w:rPr>
          <w:rFonts w:ascii="Times New Roman" w:hAnsi="Times New Roman"/>
          <w:lang w:val="en-GB"/>
        </w:rPr>
        <w:tab/>
        <w:t xml:space="preserve">Name of the medicinal product </w:t>
      </w:r>
    </w:p>
    <w:p w14:paraId="11533D48" w14:textId="77777777" w:rsidR="00CD4188" w:rsidRPr="00CD4188" w:rsidRDefault="00CD4188" w:rsidP="00CD4188">
      <w:pPr>
        <w:pStyle w:val="EMEANormal"/>
        <w:rPr>
          <w:lang w:val="en-GB"/>
        </w:rPr>
      </w:pPr>
    </w:p>
    <w:p w14:paraId="4162A4D5" w14:textId="77777777" w:rsidR="00D7303D" w:rsidRDefault="00D7303D">
      <w:pPr>
        <w:pStyle w:val="EMEANormal"/>
        <w:rPr>
          <w:lang w:val="en-GB"/>
        </w:rPr>
      </w:pPr>
      <w:r w:rsidRPr="00342F7C">
        <w:rPr>
          <w:lang w:val="en-GB"/>
        </w:rPr>
        <w:t>Kaletra (80 mg + 20 mg) / ml oral solution</w:t>
      </w:r>
    </w:p>
    <w:p w14:paraId="005A69A2" w14:textId="77777777" w:rsidR="00CD4188" w:rsidRDefault="00CD4188">
      <w:pPr>
        <w:pStyle w:val="EMEANormal"/>
        <w:rPr>
          <w:lang w:val="en-GB"/>
        </w:rPr>
      </w:pPr>
    </w:p>
    <w:p w14:paraId="27930EB2" w14:textId="77777777" w:rsidR="00CD4188" w:rsidRPr="00342F7C" w:rsidRDefault="00CD4188">
      <w:pPr>
        <w:pStyle w:val="EMEANormal"/>
        <w:rPr>
          <w:lang w:val="en-GB"/>
        </w:rPr>
      </w:pPr>
    </w:p>
    <w:p w14:paraId="4FA787E6" w14:textId="77777777" w:rsidR="00D7303D" w:rsidRPr="00342F7C" w:rsidRDefault="00D7303D" w:rsidP="00CD4188">
      <w:pPr>
        <w:pStyle w:val="EMEAHeading1"/>
        <w:spacing w:beforeLines="0" w:before="0" w:afterLines="0" w:after="0"/>
        <w:rPr>
          <w:rFonts w:ascii="Times New Roman" w:hAnsi="Times New Roman"/>
          <w:lang w:val="en-GB"/>
        </w:rPr>
      </w:pPr>
      <w:r w:rsidRPr="00342F7C">
        <w:rPr>
          <w:rFonts w:ascii="Times New Roman" w:hAnsi="Times New Roman"/>
          <w:lang w:val="en-GB"/>
        </w:rPr>
        <w:t>2.</w:t>
      </w:r>
      <w:r w:rsidRPr="00342F7C">
        <w:rPr>
          <w:rFonts w:ascii="Times New Roman" w:hAnsi="Times New Roman"/>
          <w:lang w:val="en-GB"/>
        </w:rPr>
        <w:tab/>
        <w:t xml:space="preserve">Qualitative and quantitative composition </w:t>
      </w:r>
    </w:p>
    <w:p w14:paraId="6915647C" w14:textId="77777777" w:rsidR="00602905" w:rsidRDefault="00602905">
      <w:pPr>
        <w:pStyle w:val="EMEANormal"/>
        <w:rPr>
          <w:lang w:val="en-GB"/>
        </w:rPr>
      </w:pPr>
    </w:p>
    <w:p w14:paraId="74BCD265" w14:textId="77777777" w:rsidR="00D7303D" w:rsidRPr="00342F7C" w:rsidRDefault="00D7303D">
      <w:pPr>
        <w:pStyle w:val="EMEANormal"/>
        <w:rPr>
          <w:lang w:val="en-GB"/>
        </w:rPr>
      </w:pPr>
      <w:r w:rsidRPr="00342F7C">
        <w:rPr>
          <w:lang w:val="en-GB"/>
        </w:rPr>
        <w:t xml:space="preserve">Each </w:t>
      </w:r>
      <w:r>
        <w:rPr>
          <w:lang w:val="en-GB"/>
        </w:rPr>
        <w:t>1</w:t>
      </w:r>
      <w:r w:rsidRPr="00342F7C">
        <w:rPr>
          <w:lang w:val="en-GB"/>
        </w:rPr>
        <w:t xml:space="preserve"> ml of Kaletra oral solution contains </w:t>
      </w:r>
      <w:r>
        <w:rPr>
          <w:lang w:val="en-GB"/>
        </w:rPr>
        <w:t>80</w:t>
      </w:r>
      <w:r w:rsidRPr="00342F7C">
        <w:rPr>
          <w:lang w:val="en-GB"/>
        </w:rPr>
        <w:t xml:space="preserve"> mg of lopinavir co-formulated with </w:t>
      </w:r>
      <w:r>
        <w:rPr>
          <w:lang w:val="en-GB"/>
        </w:rPr>
        <w:t>20</w:t>
      </w:r>
      <w:r w:rsidRPr="00342F7C">
        <w:rPr>
          <w:lang w:val="en-GB"/>
        </w:rPr>
        <w:t> mg of ritonavir as a pharmacokinetic enhancer.</w:t>
      </w:r>
    </w:p>
    <w:p w14:paraId="0AE0555F" w14:textId="77777777" w:rsidR="00D7303D" w:rsidRPr="00342F7C" w:rsidRDefault="00D7303D">
      <w:pPr>
        <w:pStyle w:val="EMEANormal"/>
        <w:rPr>
          <w:strike/>
          <w:lang w:val="en-GB"/>
        </w:rPr>
      </w:pPr>
    </w:p>
    <w:p w14:paraId="5B37C78C" w14:textId="77777777" w:rsidR="00D7303D" w:rsidRPr="00D10B37" w:rsidRDefault="00D7303D" w:rsidP="00A52FD6">
      <w:pPr>
        <w:pStyle w:val="EMEANormal"/>
        <w:rPr>
          <w:szCs w:val="22"/>
          <w:u w:val="single"/>
          <w:lang w:val="en-GB"/>
        </w:rPr>
      </w:pPr>
      <w:r w:rsidRPr="00D10B37">
        <w:rPr>
          <w:szCs w:val="22"/>
          <w:u w:val="single"/>
          <w:lang w:val="en-GB"/>
        </w:rPr>
        <w:t>Excipients</w:t>
      </w:r>
      <w:r w:rsidR="00034F0D" w:rsidRPr="00D10B37">
        <w:rPr>
          <w:szCs w:val="22"/>
          <w:u w:val="single"/>
          <w:lang w:val="en-GB"/>
        </w:rPr>
        <w:t xml:space="preserve"> with known effect</w:t>
      </w:r>
      <w:r w:rsidRPr="00D10B37">
        <w:rPr>
          <w:szCs w:val="22"/>
          <w:u w:val="single"/>
          <w:lang w:val="en-GB"/>
        </w:rPr>
        <w:t>:</w:t>
      </w:r>
    </w:p>
    <w:p w14:paraId="05EF1BE2" w14:textId="77777777" w:rsidR="00D7303D" w:rsidRPr="00342F7C" w:rsidRDefault="00D7303D" w:rsidP="00A52FD6">
      <w:pPr>
        <w:pStyle w:val="EMEANormal"/>
        <w:rPr>
          <w:szCs w:val="22"/>
          <w:lang w:val="en-GB"/>
        </w:rPr>
      </w:pPr>
    </w:p>
    <w:p w14:paraId="410D4E4C" w14:textId="77777777" w:rsidR="00D7303D" w:rsidRPr="00342F7C" w:rsidRDefault="00D7303D" w:rsidP="008015AE">
      <w:pPr>
        <w:pStyle w:val="EMEANormal"/>
        <w:rPr>
          <w:szCs w:val="22"/>
          <w:lang w:val="en-GB"/>
        </w:rPr>
      </w:pPr>
      <w:r w:rsidRPr="00342F7C">
        <w:rPr>
          <w:szCs w:val="22"/>
          <w:lang w:val="en-GB"/>
        </w:rPr>
        <w:t xml:space="preserve">Each </w:t>
      </w:r>
      <w:r>
        <w:rPr>
          <w:szCs w:val="22"/>
          <w:lang w:val="en-GB"/>
        </w:rPr>
        <w:t>1</w:t>
      </w:r>
      <w:r w:rsidRPr="00342F7C">
        <w:rPr>
          <w:szCs w:val="22"/>
          <w:lang w:val="en-GB"/>
        </w:rPr>
        <w:t> ml contains 356.3 mg of alcohol (42</w:t>
      </w:r>
      <w:r>
        <w:rPr>
          <w:szCs w:val="22"/>
          <w:lang w:val="en-GB"/>
        </w:rPr>
        <w:t>.4</w:t>
      </w:r>
      <w:r w:rsidRPr="00342F7C">
        <w:rPr>
          <w:szCs w:val="22"/>
          <w:lang w:val="en-GB"/>
        </w:rPr>
        <w:t xml:space="preserve">% v/v), 168.6 mg of high fructose corn syrup, 152.7 mg of propylene glycol </w:t>
      </w:r>
      <w:r>
        <w:rPr>
          <w:szCs w:val="22"/>
          <w:lang w:val="en-GB"/>
        </w:rPr>
        <w:t xml:space="preserve">(15.3% w/v) </w:t>
      </w:r>
      <w:r w:rsidRPr="00342F7C">
        <w:rPr>
          <w:szCs w:val="22"/>
          <w:lang w:val="en-GB"/>
        </w:rPr>
        <w:t>(see section 4.3), 10.2 mg of polyoxyl 40 hydrogenated castor oil and 4.1 mg of acesulfame potassium (see section 4.4).</w:t>
      </w:r>
    </w:p>
    <w:p w14:paraId="36817EFE" w14:textId="77777777" w:rsidR="00D7303D" w:rsidRPr="00342F7C" w:rsidRDefault="00D7303D">
      <w:pPr>
        <w:pStyle w:val="EMEANormal"/>
        <w:tabs>
          <w:tab w:val="clear" w:pos="562"/>
          <w:tab w:val="left" w:pos="3060"/>
        </w:tabs>
        <w:suppressAutoHyphens w:val="0"/>
        <w:rPr>
          <w:szCs w:val="24"/>
          <w:lang w:val="en-GB"/>
        </w:rPr>
      </w:pPr>
    </w:p>
    <w:p w14:paraId="20F1B7C2" w14:textId="77777777" w:rsidR="00D7303D" w:rsidRDefault="00D7303D">
      <w:pPr>
        <w:pStyle w:val="EMEANormal"/>
        <w:rPr>
          <w:lang w:val="en-GB"/>
        </w:rPr>
      </w:pPr>
      <w:r w:rsidRPr="00342F7C">
        <w:rPr>
          <w:lang w:val="en-GB"/>
        </w:rPr>
        <w:t xml:space="preserve">For </w:t>
      </w:r>
      <w:r w:rsidR="004A7869">
        <w:rPr>
          <w:lang w:val="en-GB"/>
        </w:rPr>
        <w:t>the</w:t>
      </w:r>
      <w:r w:rsidR="004A7869" w:rsidRPr="00342F7C">
        <w:rPr>
          <w:lang w:val="en-GB"/>
        </w:rPr>
        <w:t xml:space="preserve"> </w:t>
      </w:r>
      <w:r w:rsidRPr="00342F7C">
        <w:rPr>
          <w:lang w:val="en-GB"/>
        </w:rPr>
        <w:t xml:space="preserve">full list of excipients, see section 6.1. </w:t>
      </w:r>
    </w:p>
    <w:p w14:paraId="74234D03" w14:textId="77777777" w:rsidR="00CD4188" w:rsidRDefault="00CD4188">
      <w:pPr>
        <w:pStyle w:val="EMEANormal"/>
        <w:rPr>
          <w:lang w:val="en-GB"/>
        </w:rPr>
      </w:pPr>
    </w:p>
    <w:p w14:paraId="094E6D7F" w14:textId="77777777" w:rsidR="00CD4188" w:rsidRPr="00342F7C" w:rsidRDefault="00CD4188">
      <w:pPr>
        <w:pStyle w:val="EMEANormal"/>
        <w:rPr>
          <w:lang w:val="en-GB"/>
        </w:rPr>
      </w:pPr>
    </w:p>
    <w:p w14:paraId="20CB48ED" w14:textId="77777777" w:rsidR="00D7303D" w:rsidRDefault="00D7303D" w:rsidP="00CD4188">
      <w:pPr>
        <w:pStyle w:val="EMEAHeading1"/>
        <w:spacing w:beforeLines="0" w:before="0" w:afterLines="0" w:after="0"/>
        <w:rPr>
          <w:rFonts w:ascii="Times New Roman" w:hAnsi="Times New Roman"/>
          <w:i/>
          <w:lang w:val="en-GB"/>
        </w:rPr>
      </w:pPr>
      <w:r w:rsidRPr="00342F7C">
        <w:rPr>
          <w:rFonts w:ascii="Times New Roman" w:hAnsi="Times New Roman"/>
          <w:lang w:val="en-GB"/>
        </w:rPr>
        <w:t>3.</w:t>
      </w:r>
      <w:r w:rsidRPr="00342F7C">
        <w:rPr>
          <w:rFonts w:ascii="Times New Roman" w:hAnsi="Times New Roman"/>
          <w:lang w:val="en-GB"/>
        </w:rPr>
        <w:tab/>
        <w:t>Pharmaceutical Form</w:t>
      </w:r>
      <w:r w:rsidRPr="00342F7C">
        <w:rPr>
          <w:rFonts w:ascii="Times New Roman" w:hAnsi="Times New Roman"/>
          <w:i/>
          <w:lang w:val="en-GB"/>
        </w:rPr>
        <w:t xml:space="preserve"> </w:t>
      </w:r>
    </w:p>
    <w:p w14:paraId="31B970E2" w14:textId="77777777" w:rsidR="00CD4188" w:rsidRPr="00CD4188" w:rsidRDefault="00CD4188" w:rsidP="00CD4188">
      <w:pPr>
        <w:pStyle w:val="EMEANormal"/>
        <w:rPr>
          <w:lang w:val="en-GB"/>
        </w:rPr>
      </w:pPr>
    </w:p>
    <w:p w14:paraId="322C5E33" w14:textId="77777777" w:rsidR="00D7303D" w:rsidRPr="00342F7C" w:rsidRDefault="00D7303D">
      <w:pPr>
        <w:pStyle w:val="EMEANormal"/>
        <w:rPr>
          <w:lang w:val="en-GB"/>
        </w:rPr>
      </w:pPr>
      <w:r w:rsidRPr="00342F7C">
        <w:rPr>
          <w:lang w:val="en-GB"/>
        </w:rPr>
        <w:t>Oral solution</w:t>
      </w:r>
    </w:p>
    <w:p w14:paraId="6B26AB08" w14:textId="77777777" w:rsidR="00D7303D" w:rsidRPr="00342F7C" w:rsidRDefault="00D7303D">
      <w:pPr>
        <w:pStyle w:val="EMEANormal"/>
        <w:rPr>
          <w:lang w:val="en-GB"/>
        </w:rPr>
      </w:pPr>
    </w:p>
    <w:p w14:paraId="457C504F" w14:textId="77777777" w:rsidR="00D7303D" w:rsidRDefault="00D7303D">
      <w:pPr>
        <w:pStyle w:val="EMEANormal"/>
        <w:rPr>
          <w:lang w:val="en-GB"/>
        </w:rPr>
      </w:pPr>
      <w:r w:rsidRPr="00342F7C">
        <w:rPr>
          <w:lang w:val="en-GB"/>
        </w:rPr>
        <w:t xml:space="preserve">The solution is light yellow to </w:t>
      </w:r>
      <w:r w:rsidR="002F4C48">
        <w:rPr>
          <w:lang w:val="en-GB"/>
        </w:rPr>
        <w:t>orange</w:t>
      </w:r>
      <w:r w:rsidRPr="00342F7C">
        <w:rPr>
          <w:lang w:val="en-GB"/>
        </w:rPr>
        <w:t>.</w:t>
      </w:r>
    </w:p>
    <w:p w14:paraId="4D21D106" w14:textId="77777777" w:rsidR="00CD4188" w:rsidRDefault="00CD4188">
      <w:pPr>
        <w:pStyle w:val="EMEANormal"/>
        <w:rPr>
          <w:lang w:val="en-GB"/>
        </w:rPr>
      </w:pPr>
    </w:p>
    <w:p w14:paraId="255CA35B" w14:textId="77777777" w:rsidR="00CD4188" w:rsidRPr="00342F7C" w:rsidRDefault="00CD4188">
      <w:pPr>
        <w:pStyle w:val="EMEANormal"/>
        <w:rPr>
          <w:lang w:val="en-GB"/>
        </w:rPr>
      </w:pPr>
    </w:p>
    <w:p w14:paraId="6DF39B2B" w14:textId="77777777" w:rsidR="00D7303D" w:rsidRDefault="00D7303D" w:rsidP="00CD4188">
      <w:pPr>
        <w:pStyle w:val="EMEAHeading1"/>
        <w:spacing w:beforeLines="0" w:before="0" w:afterLines="0" w:after="0"/>
        <w:rPr>
          <w:rFonts w:ascii="Times New Roman" w:hAnsi="Times New Roman"/>
          <w:lang w:val="en-GB"/>
        </w:rPr>
      </w:pPr>
      <w:r w:rsidRPr="00342F7C">
        <w:rPr>
          <w:rFonts w:ascii="Times New Roman" w:hAnsi="Times New Roman"/>
          <w:lang w:val="en-GB"/>
        </w:rPr>
        <w:t>4.</w:t>
      </w:r>
      <w:r w:rsidRPr="00342F7C">
        <w:rPr>
          <w:rFonts w:ascii="Times New Roman" w:hAnsi="Times New Roman"/>
          <w:lang w:val="en-GB"/>
        </w:rPr>
        <w:tab/>
        <w:t>Clinical Particulars</w:t>
      </w:r>
    </w:p>
    <w:p w14:paraId="3594BAE8" w14:textId="77777777" w:rsidR="00CD4188" w:rsidRPr="00CD4188" w:rsidRDefault="00CD4188" w:rsidP="00CD4188">
      <w:pPr>
        <w:pStyle w:val="EMEANormal"/>
        <w:rPr>
          <w:lang w:val="en-GB"/>
        </w:rPr>
      </w:pPr>
    </w:p>
    <w:p w14:paraId="25D31A8B" w14:textId="77777777" w:rsidR="00D7303D" w:rsidRDefault="00D7303D" w:rsidP="00CD4188">
      <w:pPr>
        <w:pStyle w:val="EMEAHeading2SPC"/>
        <w:spacing w:beforeLines="0" w:before="0" w:afterLines="0" w:after="0"/>
        <w:rPr>
          <w:rFonts w:ascii="Times New Roman" w:hAnsi="Times New Roman"/>
          <w:lang w:val="en-GB"/>
        </w:rPr>
      </w:pPr>
      <w:r w:rsidRPr="00342F7C">
        <w:rPr>
          <w:rFonts w:ascii="Times New Roman" w:hAnsi="Times New Roman"/>
          <w:lang w:val="en-GB"/>
        </w:rPr>
        <w:t>4.1</w:t>
      </w:r>
      <w:r w:rsidRPr="00342F7C">
        <w:rPr>
          <w:rFonts w:ascii="Times New Roman" w:hAnsi="Times New Roman"/>
          <w:lang w:val="en-GB"/>
        </w:rPr>
        <w:tab/>
        <w:t>Therapeutic indications</w:t>
      </w:r>
    </w:p>
    <w:p w14:paraId="2EAE0C2E" w14:textId="77777777" w:rsidR="00CD4188" w:rsidRPr="00CD4188" w:rsidRDefault="00CD4188" w:rsidP="00CD4188">
      <w:pPr>
        <w:pStyle w:val="EMEANormal"/>
        <w:rPr>
          <w:lang w:val="en-GB"/>
        </w:rPr>
      </w:pPr>
    </w:p>
    <w:p w14:paraId="661617B3" w14:textId="77777777" w:rsidR="00D7303D" w:rsidRPr="00342F7C" w:rsidRDefault="00D7303D">
      <w:pPr>
        <w:pStyle w:val="EMEANormal"/>
        <w:rPr>
          <w:lang w:val="en-GB"/>
        </w:rPr>
      </w:pPr>
      <w:r w:rsidRPr="00342F7C">
        <w:rPr>
          <w:lang w:val="en-GB"/>
        </w:rPr>
        <w:t>Kaletra is indicated in combination with other antiretroviral medicinal products for the treatment of human immunodeficiency virus (HIV-1) infected adults, adolescents and children</w:t>
      </w:r>
      <w:r w:rsidR="002F4C48">
        <w:rPr>
          <w:lang w:val="en-GB"/>
        </w:rPr>
        <w:t xml:space="preserve"> aged from 14 days and older</w:t>
      </w:r>
      <w:r w:rsidRPr="00342F7C">
        <w:rPr>
          <w:lang w:val="en-GB"/>
        </w:rPr>
        <w:t>.</w:t>
      </w:r>
    </w:p>
    <w:p w14:paraId="789829CE" w14:textId="77777777" w:rsidR="00D7303D" w:rsidRPr="00342F7C" w:rsidRDefault="00D7303D">
      <w:pPr>
        <w:pStyle w:val="EMEANormal"/>
        <w:rPr>
          <w:lang w:val="en-GB"/>
        </w:rPr>
      </w:pPr>
    </w:p>
    <w:p w14:paraId="0088C6BD" w14:textId="77777777" w:rsidR="00D7303D" w:rsidRPr="00342F7C" w:rsidRDefault="00D7303D">
      <w:pPr>
        <w:pStyle w:val="EMEANormal"/>
        <w:rPr>
          <w:lang w:val="en-GB"/>
        </w:rPr>
      </w:pPr>
      <w:r w:rsidRPr="00342F7C">
        <w:rPr>
          <w:lang w:val="en-GB"/>
        </w:rPr>
        <w:t>The choice of Kaletra to treat protease inhibitor experienced HIV-1 infected patients should be based on individual viral resistance testing and treatment history of patients (see sections 4.4 and 5.1).</w:t>
      </w:r>
    </w:p>
    <w:p w14:paraId="1A3D00BA" w14:textId="77777777" w:rsidR="00CD4188" w:rsidRDefault="00CD4188" w:rsidP="00CD4188">
      <w:pPr>
        <w:pStyle w:val="EMEAHeading2SPC"/>
        <w:spacing w:beforeLines="0" w:before="0" w:afterLines="0" w:after="0"/>
        <w:rPr>
          <w:rFonts w:ascii="Times New Roman" w:hAnsi="Times New Roman"/>
          <w:lang w:val="en-GB"/>
        </w:rPr>
      </w:pPr>
    </w:p>
    <w:p w14:paraId="31519EAA" w14:textId="77777777" w:rsidR="00D7303D" w:rsidRDefault="00D7303D" w:rsidP="00CD4188">
      <w:pPr>
        <w:pStyle w:val="EMEAHeading2SPC"/>
        <w:spacing w:beforeLines="0" w:before="0" w:afterLines="0" w:after="0"/>
        <w:rPr>
          <w:rFonts w:ascii="Times New Roman" w:hAnsi="Times New Roman"/>
          <w:lang w:val="en-GB"/>
        </w:rPr>
      </w:pPr>
      <w:r w:rsidRPr="00342F7C">
        <w:rPr>
          <w:rFonts w:ascii="Times New Roman" w:hAnsi="Times New Roman"/>
          <w:lang w:val="en-GB"/>
        </w:rPr>
        <w:t>4.2</w:t>
      </w:r>
      <w:r w:rsidRPr="00342F7C">
        <w:rPr>
          <w:rFonts w:ascii="Times New Roman" w:hAnsi="Times New Roman"/>
          <w:lang w:val="en-GB"/>
        </w:rPr>
        <w:tab/>
        <w:t>Posology and method of administration</w:t>
      </w:r>
    </w:p>
    <w:p w14:paraId="23409C7D" w14:textId="77777777" w:rsidR="00CD4188" w:rsidRPr="00CD4188" w:rsidRDefault="00CD4188" w:rsidP="00CD4188">
      <w:pPr>
        <w:pStyle w:val="EMEANormal"/>
        <w:rPr>
          <w:lang w:val="en-GB"/>
        </w:rPr>
      </w:pPr>
    </w:p>
    <w:p w14:paraId="00C03680" w14:textId="77777777" w:rsidR="00D7303D" w:rsidRPr="00342F7C" w:rsidRDefault="00D7303D">
      <w:pPr>
        <w:pStyle w:val="EMEANormal"/>
        <w:rPr>
          <w:lang w:val="en-GB"/>
        </w:rPr>
      </w:pPr>
      <w:r w:rsidRPr="00342F7C">
        <w:rPr>
          <w:lang w:val="en-GB"/>
        </w:rPr>
        <w:t>Kaletra should be prescribed by physicians who are experienced in the treatment of HIV infection.</w:t>
      </w:r>
    </w:p>
    <w:p w14:paraId="68F7887A" w14:textId="77777777" w:rsidR="00D7303D" w:rsidRPr="00342F7C" w:rsidRDefault="00D7303D">
      <w:pPr>
        <w:pStyle w:val="EMEANormal"/>
        <w:rPr>
          <w:lang w:val="en-GB"/>
        </w:rPr>
      </w:pPr>
    </w:p>
    <w:p w14:paraId="7B3BACD0" w14:textId="77777777" w:rsidR="00D7303D" w:rsidRPr="00342F7C" w:rsidRDefault="00D7303D">
      <w:pPr>
        <w:pStyle w:val="EMEANormal"/>
        <w:rPr>
          <w:u w:val="single"/>
          <w:lang w:val="en-GB"/>
        </w:rPr>
      </w:pPr>
      <w:r w:rsidRPr="00342F7C">
        <w:rPr>
          <w:u w:val="single"/>
          <w:lang w:val="en-GB"/>
        </w:rPr>
        <w:t>Posology</w:t>
      </w:r>
    </w:p>
    <w:p w14:paraId="3B619841" w14:textId="77777777" w:rsidR="004A7869" w:rsidRDefault="00D7303D">
      <w:pPr>
        <w:pStyle w:val="EMEANormal"/>
        <w:rPr>
          <w:lang w:val="en-GB"/>
        </w:rPr>
      </w:pPr>
      <w:r w:rsidRPr="00342F7C">
        <w:rPr>
          <w:i/>
          <w:lang w:val="en-GB"/>
        </w:rPr>
        <w:br/>
        <w:t>Adult</w:t>
      </w:r>
      <w:r w:rsidR="004A7869">
        <w:rPr>
          <w:i/>
          <w:lang w:val="en-GB"/>
        </w:rPr>
        <w:t>s</w:t>
      </w:r>
      <w:r w:rsidRPr="00342F7C">
        <w:rPr>
          <w:i/>
          <w:lang w:val="en-GB"/>
        </w:rPr>
        <w:t xml:space="preserve"> and adolescent</w:t>
      </w:r>
      <w:r w:rsidR="004A7869">
        <w:rPr>
          <w:i/>
          <w:lang w:val="en-GB"/>
        </w:rPr>
        <w:t>s</w:t>
      </w:r>
      <w:r w:rsidRPr="00342F7C">
        <w:rPr>
          <w:lang w:val="en-GB"/>
        </w:rPr>
        <w:t xml:space="preserve"> </w:t>
      </w:r>
    </w:p>
    <w:p w14:paraId="2A1AD6A6" w14:textId="77777777" w:rsidR="00D7303D" w:rsidRPr="00342F7C" w:rsidRDefault="004A7869">
      <w:pPr>
        <w:pStyle w:val="EMEANormal"/>
        <w:rPr>
          <w:lang w:val="en-GB"/>
        </w:rPr>
      </w:pPr>
      <w:r>
        <w:rPr>
          <w:lang w:val="en-GB"/>
        </w:rPr>
        <w:t>T</w:t>
      </w:r>
      <w:r w:rsidR="00D7303D" w:rsidRPr="00342F7C">
        <w:rPr>
          <w:lang w:val="en-GB"/>
        </w:rPr>
        <w:t>he recommended dosage of Kaletra is 5 ml of oral solution (400/100 mg) twice daily taken with food.</w:t>
      </w:r>
    </w:p>
    <w:p w14:paraId="62A95A65" w14:textId="77777777" w:rsidR="00D7303D" w:rsidRPr="00342F7C" w:rsidRDefault="00D7303D">
      <w:pPr>
        <w:pStyle w:val="EMEANormal"/>
        <w:rPr>
          <w:lang w:val="en-GB"/>
        </w:rPr>
      </w:pPr>
    </w:p>
    <w:p w14:paraId="15FDC875" w14:textId="77777777" w:rsidR="004A7869" w:rsidRDefault="00D7303D">
      <w:pPr>
        <w:pStyle w:val="EMEANormal"/>
        <w:rPr>
          <w:lang w:val="en-GB"/>
        </w:rPr>
      </w:pPr>
      <w:r w:rsidRPr="00342F7C">
        <w:rPr>
          <w:i/>
          <w:lang w:val="en-GB"/>
        </w:rPr>
        <w:t xml:space="preserve">Paediatric </w:t>
      </w:r>
      <w:r w:rsidR="004A7869">
        <w:rPr>
          <w:i/>
          <w:lang w:val="en-GB"/>
        </w:rPr>
        <w:t>population</w:t>
      </w:r>
      <w:r w:rsidR="004A7869" w:rsidRPr="00342F7C">
        <w:rPr>
          <w:i/>
          <w:lang w:val="en-GB"/>
        </w:rPr>
        <w:t xml:space="preserve"> </w:t>
      </w:r>
      <w:r w:rsidR="002F4C48">
        <w:rPr>
          <w:i/>
          <w:lang w:val="en-GB"/>
        </w:rPr>
        <w:t>aged from 14 days and older</w:t>
      </w:r>
      <w:r w:rsidRPr="00342F7C">
        <w:rPr>
          <w:lang w:val="en-GB"/>
        </w:rPr>
        <w:t xml:space="preserve"> </w:t>
      </w:r>
    </w:p>
    <w:p w14:paraId="43FFFC55" w14:textId="77777777" w:rsidR="0015672B" w:rsidRDefault="00D7303D">
      <w:pPr>
        <w:pStyle w:val="EMEANormal"/>
      </w:pPr>
      <w:r w:rsidRPr="00342F7C">
        <w:rPr>
          <w:lang w:val="en-GB"/>
        </w:rPr>
        <w:t xml:space="preserve">The oral solution </w:t>
      </w:r>
      <w:r w:rsidR="002F4C48">
        <w:rPr>
          <w:lang w:val="en-GB"/>
        </w:rPr>
        <w:t xml:space="preserve">formulation </w:t>
      </w:r>
      <w:r w:rsidRPr="00342F7C">
        <w:rPr>
          <w:lang w:val="en-GB"/>
        </w:rPr>
        <w:t>is the recommended option for the most accurate dosing in children based on body surface area</w:t>
      </w:r>
      <w:r w:rsidR="000B040A">
        <w:rPr>
          <w:lang w:val="en-GB"/>
        </w:rPr>
        <w:t xml:space="preserve"> </w:t>
      </w:r>
      <w:r w:rsidR="000B040A" w:rsidRPr="00326048">
        <w:rPr>
          <w:lang w:val="en-GB"/>
        </w:rPr>
        <w:t>or body weight</w:t>
      </w:r>
      <w:r w:rsidRPr="00342F7C">
        <w:rPr>
          <w:lang w:val="en-GB"/>
        </w:rPr>
        <w:t xml:space="preserve">.  </w:t>
      </w:r>
      <w:r w:rsidRPr="00270185">
        <w:t xml:space="preserve">However, if it </w:t>
      </w:r>
      <w:r w:rsidR="002F4C48">
        <w:t xml:space="preserve">is </w:t>
      </w:r>
      <w:r w:rsidRPr="00270185">
        <w:t>judged necessary to resort to solid oral dosage form for children weighing less than 40 kg or with a BSA between 0.5 and 1.4 m</w:t>
      </w:r>
      <w:r w:rsidRPr="00270185">
        <w:rPr>
          <w:vertAlign w:val="superscript"/>
        </w:rPr>
        <w:t xml:space="preserve">2 </w:t>
      </w:r>
      <w:r w:rsidRPr="00270185">
        <w:t>and able to swallow tablets, Kaletra 100</w:t>
      </w:r>
      <w:r>
        <w:t> </w:t>
      </w:r>
      <w:r w:rsidRPr="00270185">
        <w:t>mg/25</w:t>
      </w:r>
      <w:r>
        <w:t> </w:t>
      </w:r>
      <w:r w:rsidRPr="00270185">
        <w:t>mg tablets may be used.  The adult dose of Kaletra tablets (400/100 mg twice daily) may be used in children 40</w:t>
      </w:r>
      <w:r>
        <w:t> </w:t>
      </w:r>
      <w:r w:rsidRPr="00270185">
        <w:t>kg or greater or with a Body Surface Area (BSA)* greater than 1.4 m</w:t>
      </w:r>
      <w:r w:rsidRPr="00270185">
        <w:rPr>
          <w:vertAlign w:val="superscript"/>
        </w:rPr>
        <w:t>2</w:t>
      </w:r>
      <w:r w:rsidRPr="00270185">
        <w:t xml:space="preserve">.  </w:t>
      </w:r>
      <w:r>
        <w:t>Kaletra tablets are administered orally and must be swallowed whole and not chewed, broken or crushed.  Please refer to the Kaletra 100 mg/25 </w:t>
      </w:r>
      <w:r w:rsidRPr="00270185">
        <w:t>mg film-coated tablets Summary of Product Characteristics.</w:t>
      </w:r>
    </w:p>
    <w:p w14:paraId="4E801BD3" w14:textId="77777777" w:rsidR="00423AA5" w:rsidRDefault="00423AA5">
      <w:pPr>
        <w:pStyle w:val="EMEANormal"/>
      </w:pPr>
    </w:p>
    <w:p w14:paraId="23B84A6A" w14:textId="77777777" w:rsidR="002F4C48" w:rsidRDefault="002F4C48" w:rsidP="002F4C48">
      <w:pPr>
        <w:pStyle w:val="EMEANormal"/>
        <w:rPr>
          <w:iCs/>
          <w:szCs w:val="22"/>
        </w:rPr>
      </w:pPr>
      <w:r w:rsidRPr="00283575">
        <w:rPr>
          <w:iCs/>
          <w:szCs w:val="22"/>
        </w:rPr>
        <w:lastRenderedPageBreak/>
        <w:t xml:space="preserve">Total amounts of alcohol and propylene glycol from all medicines, including </w:t>
      </w:r>
      <w:r w:rsidRPr="00572D28">
        <w:rPr>
          <w:iCs/>
          <w:szCs w:val="22"/>
        </w:rPr>
        <w:t>Kaletra</w:t>
      </w:r>
      <w:r>
        <w:rPr>
          <w:iCs/>
          <w:szCs w:val="22"/>
        </w:rPr>
        <w:t xml:space="preserve"> </w:t>
      </w:r>
      <w:r w:rsidRPr="00283575">
        <w:rPr>
          <w:iCs/>
          <w:szCs w:val="22"/>
        </w:rPr>
        <w:t xml:space="preserve">oral solution, that are to be given to infants should be </w:t>
      </w:r>
      <w:proofErr w:type="gramStart"/>
      <w:r w:rsidRPr="00283575">
        <w:rPr>
          <w:iCs/>
          <w:szCs w:val="22"/>
        </w:rPr>
        <w:t>taken into account</w:t>
      </w:r>
      <w:proofErr w:type="gramEnd"/>
      <w:r w:rsidRPr="00283575">
        <w:rPr>
          <w:iCs/>
          <w:szCs w:val="22"/>
        </w:rPr>
        <w:t xml:space="preserve"> in order to avoid toxicity from these excipients (see section 4.4).</w:t>
      </w:r>
    </w:p>
    <w:p w14:paraId="700B9966" w14:textId="77777777" w:rsidR="002F4C48" w:rsidRDefault="002F4C48" w:rsidP="002F4C48">
      <w:pPr>
        <w:pStyle w:val="EMEANormal"/>
        <w:rPr>
          <w:iCs/>
          <w:szCs w:val="22"/>
        </w:rPr>
      </w:pPr>
    </w:p>
    <w:p w14:paraId="0808D68B" w14:textId="77777777" w:rsidR="002F4C48" w:rsidRPr="002F4C48" w:rsidRDefault="002F4C48" w:rsidP="002F4C48">
      <w:pPr>
        <w:pStyle w:val="EMEANormal"/>
        <w:rPr>
          <w:i/>
          <w:iCs/>
          <w:szCs w:val="22"/>
        </w:rPr>
      </w:pPr>
      <w:r w:rsidRPr="0022175F">
        <w:rPr>
          <w:i/>
          <w:iCs/>
          <w:szCs w:val="22"/>
        </w:rPr>
        <w:t xml:space="preserve">Dosage recommendation for paediatric </w:t>
      </w:r>
      <w:r w:rsidRPr="002F4C48">
        <w:rPr>
          <w:i/>
          <w:iCs/>
          <w:szCs w:val="22"/>
        </w:rPr>
        <w:t>patients aged from 14 days to 6 months</w:t>
      </w:r>
    </w:p>
    <w:p w14:paraId="561B48F8" w14:textId="77777777" w:rsidR="002F4C48" w:rsidRPr="00EE4CD1" w:rsidRDefault="002F4C48" w:rsidP="002F4C48">
      <w:pPr>
        <w:pStyle w:val="EMEANormal"/>
        <w:rPr>
          <w:iCs/>
          <w:szCs w:val="2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2976"/>
        <w:gridCol w:w="1843"/>
      </w:tblGrid>
      <w:tr w:rsidR="002F4C48" w:rsidRPr="002F4C48" w14:paraId="2F87A9A6" w14:textId="77777777" w:rsidTr="00301484">
        <w:tc>
          <w:tcPr>
            <w:tcW w:w="7621" w:type="dxa"/>
            <w:gridSpan w:val="3"/>
            <w:shd w:val="clear" w:color="auto" w:fill="auto"/>
          </w:tcPr>
          <w:p w14:paraId="6FCB2DF4" w14:textId="77777777" w:rsidR="002F4C48" w:rsidRPr="002F4C48" w:rsidRDefault="002F4C48" w:rsidP="003967C0">
            <w:pPr>
              <w:pStyle w:val="EMEANormal"/>
              <w:jc w:val="center"/>
              <w:rPr>
                <w:b/>
                <w:iCs/>
                <w:szCs w:val="22"/>
              </w:rPr>
            </w:pPr>
            <w:r w:rsidRPr="002F4C48">
              <w:rPr>
                <w:b/>
                <w:iCs/>
                <w:szCs w:val="22"/>
              </w:rPr>
              <w:t>Paediatric dosing guidelines</w:t>
            </w:r>
          </w:p>
          <w:p w14:paraId="60AEDE01" w14:textId="77777777" w:rsidR="002F4C48" w:rsidRPr="002F4C48" w:rsidRDefault="002F4C48" w:rsidP="003967C0">
            <w:pPr>
              <w:pStyle w:val="EMEANormal"/>
              <w:jc w:val="center"/>
              <w:rPr>
                <w:iCs/>
                <w:szCs w:val="22"/>
              </w:rPr>
            </w:pPr>
            <w:r w:rsidRPr="002F4C48">
              <w:rPr>
                <w:b/>
                <w:iCs/>
                <w:szCs w:val="22"/>
              </w:rPr>
              <w:t>2 weeks to 6 months</w:t>
            </w:r>
          </w:p>
        </w:tc>
      </w:tr>
      <w:tr w:rsidR="002F4C48" w:rsidRPr="002F4C48" w14:paraId="2D298124" w14:textId="77777777" w:rsidTr="00301484">
        <w:tc>
          <w:tcPr>
            <w:tcW w:w="2802" w:type="dxa"/>
            <w:shd w:val="clear" w:color="auto" w:fill="auto"/>
          </w:tcPr>
          <w:p w14:paraId="0284249E" w14:textId="77777777" w:rsidR="002F4C48" w:rsidRPr="002F4C48" w:rsidRDefault="002F4C48" w:rsidP="003967C0">
            <w:pPr>
              <w:pStyle w:val="EMEANormal"/>
              <w:jc w:val="center"/>
              <w:rPr>
                <w:b/>
                <w:iCs/>
                <w:szCs w:val="22"/>
              </w:rPr>
            </w:pPr>
            <w:r w:rsidRPr="002F4C48">
              <w:rPr>
                <w:b/>
                <w:iCs/>
                <w:szCs w:val="22"/>
              </w:rPr>
              <w:t>Based on weight</w:t>
            </w:r>
          </w:p>
          <w:p w14:paraId="227D76AD" w14:textId="77777777" w:rsidR="002F4C48" w:rsidRPr="002F4C48" w:rsidRDefault="002F4C48" w:rsidP="003967C0">
            <w:pPr>
              <w:pStyle w:val="EMEANormal"/>
              <w:jc w:val="center"/>
              <w:rPr>
                <w:b/>
                <w:iCs/>
                <w:szCs w:val="22"/>
              </w:rPr>
            </w:pPr>
            <w:r w:rsidRPr="002F4C48">
              <w:rPr>
                <w:b/>
                <w:iCs/>
                <w:szCs w:val="22"/>
              </w:rPr>
              <w:t>(mg/kg)</w:t>
            </w:r>
          </w:p>
        </w:tc>
        <w:tc>
          <w:tcPr>
            <w:tcW w:w="2976" w:type="dxa"/>
            <w:shd w:val="clear" w:color="auto" w:fill="auto"/>
          </w:tcPr>
          <w:p w14:paraId="423E83F2" w14:textId="77777777" w:rsidR="002F4C48" w:rsidRPr="002F4C48" w:rsidRDefault="002F4C48" w:rsidP="003967C0">
            <w:pPr>
              <w:pStyle w:val="EMEANormal"/>
              <w:jc w:val="center"/>
              <w:rPr>
                <w:b/>
                <w:iCs/>
                <w:szCs w:val="22"/>
              </w:rPr>
            </w:pPr>
            <w:r w:rsidRPr="002F4C48">
              <w:rPr>
                <w:b/>
                <w:iCs/>
                <w:szCs w:val="22"/>
              </w:rPr>
              <w:t>Based on BSA (mg/m</w:t>
            </w:r>
            <w:proofErr w:type="gramStart"/>
            <w:r w:rsidRPr="002F4C48">
              <w:rPr>
                <w:b/>
                <w:iCs/>
                <w:szCs w:val="22"/>
                <w:vertAlign w:val="superscript"/>
              </w:rPr>
              <w:t>2</w:t>
            </w:r>
            <w:r w:rsidRPr="002F4C48">
              <w:rPr>
                <w:b/>
                <w:iCs/>
                <w:szCs w:val="22"/>
              </w:rPr>
              <w:t>)*</w:t>
            </w:r>
            <w:proofErr w:type="gramEnd"/>
          </w:p>
        </w:tc>
        <w:tc>
          <w:tcPr>
            <w:tcW w:w="1843" w:type="dxa"/>
            <w:shd w:val="clear" w:color="auto" w:fill="auto"/>
          </w:tcPr>
          <w:p w14:paraId="7358B520" w14:textId="77777777" w:rsidR="002F4C48" w:rsidRPr="002F4C48" w:rsidRDefault="002F4C48" w:rsidP="003967C0">
            <w:pPr>
              <w:pStyle w:val="EMEANormal"/>
              <w:jc w:val="center"/>
              <w:rPr>
                <w:b/>
                <w:iCs/>
                <w:szCs w:val="22"/>
              </w:rPr>
            </w:pPr>
            <w:r w:rsidRPr="002F4C48">
              <w:rPr>
                <w:b/>
                <w:iCs/>
                <w:szCs w:val="22"/>
              </w:rPr>
              <w:t>Frequency</w:t>
            </w:r>
          </w:p>
        </w:tc>
      </w:tr>
      <w:tr w:rsidR="002F4C48" w:rsidRPr="002F4C48" w14:paraId="27799DA7" w14:textId="77777777" w:rsidTr="00301484">
        <w:trPr>
          <w:trHeight w:val="516"/>
        </w:trPr>
        <w:tc>
          <w:tcPr>
            <w:tcW w:w="2802" w:type="dxa"/>
            <w:shd w:val="clear" w:color="auto" w:fill="auto"/>
          </w:tcPr>
          <w:p w14:paraId="2C4C06F0" w14:textId="77777777" w:rsidR="002F4C48" w:rsidRDefault="002F4C48" w:rsidP="003967C0">
            <w:pPr>
              <w:pStyle w:val="EMEANormal"/>
              <w:jc w:val="center"/>
              <w:rPr>
                <w:iCs/>
                <w:szCs w:val="22"/>
              </w:rPr>
            </w:pPr>
            <w:r w:rsidRPr="002F4C48">
              <w:rPr>
                <w:iCs/>
                <w:szCs w:val="22"/>
              </w:rPr>
              <w:t>16/4 mg/kg</w:t>
            </w:r>
          </w:p>
          <w:p w14:paraId="7BB2FC40" w14:textId="77777777" w:rsidR="00F21513" w:rsidRPr="002F4C48" w:rsidRDefault="00301484" w:rsidP="003967C0">
            <w:pPr>
              <w:pStyle w:val="EMEANormal"/>
              <w:jc w:val="center"/>
              <w:rPr>
                <w:iCs/>
                <w:szCs w:val="22"/>
              </w:rPr>
            </w:pPr>
            <w:r w:rsidRPr="009E1C61">
              <w:rPr>
                <w:iCs/>
                <w:szCs w:val="22"/>
              </w:rPr>
              <w:t>(corresponding to 0.2 ml/kg)</w:t>
            </w:r>
          </w:p>
        </w:tc>
        <w:tc>
          <w:tcPr>
            <w:tcW w:w="2976" w:type="dxa"/>
            <w:shd w:val="clear" w:color="auto" w:fill="auto"/>
          </w:tcPr>
          <w:p w14:paraId="1C842601" w14:textId="77777777" w:rsidR="002F4C48" w:rsidRDefault="002F4C48" w:rsidP="003967C0">
            <w:pPr>
              <w:pStyle w:val="EMEANormal"/>
              <w:jc w:val="center"/>
              <w:rPr>
                <w:iCs/>
                <w:szCs w:val="22"/>
              </w:rPr>
            </w:pPr>
            <w:r w:rsidRPr="002F4C48">
              <w:rPr>
                <w:iCs/>
                <w:szCs w:val="22"/>
              </w:rPr>
              <w:t>300/75 mg/m</w:t>
            </w:r>
            <w:r w:rsidRPr="002F4C48">
              <w:rPr>
                <w:iCs/>
                <w:szCs w:val="22"/>
                <w:vertAlign w:val="superscript"/>
              </w:rPr>
              <w:t>2</w:t>
            </w:r>
          </w:p>
          <w:p w14:paraId="14B2A67E" w14:textId="77777777" w:rsidR="00F21513" w:rsidRPr="00301484" w:rsidRDefault="00301484" w:rsidP="00301484">
            <w:pPr>
              <w:pStyle w:val="EMEANormal"/>
              <w:jc w:val="center"/>
              <w:rPr>
                <w:iCs/>
                <w:szCs w:val="22"/>
              </w:rPr>
            </w:pPr>
            <w:r w:rsidRPr="009E1C61">
              <w:rPr>
                <w:iCs/>
                <w:szCs w:val="22"/>
              </w:rPr>
              <w:t>(corresponding to 3.75 ml/m</w:t>
            </w:r>
            <w:r w:rsidRPr="009E1C61">
              <w:rPr>
                <w:iCs/>
                <w:szCs w:val="22"/>
                <w:vertAlign w:val="superscript"/>
              </w:rPr>
              <w:t>2</w:t>
            </w:r>
            <w:r w:rsidRPr="009E1C61">
              <w:rPr>
                <w:iCs/>
                <w:szCs w:val="22"/>
              </w:rPr>
              <w:t>)</w:t>
            </w:r>
          </w:p>
        </w:tc>
        <w:tc>
          <w:tcPr>
            <w:tcW w:w="1843" w:type="dxa"/>
            <w:shd w:val="clear" w:color="auto" w:fill="auto"/>
          </w:tcPr>
          <w:p w14:paraId="24A9F71B" w14:textId="77777777" w:rsidR="002F4C48" w:rsidRPr="002F4C48" w:rsidRDefault="002F4C48" w:rsidP="003967C0">
            <w:pPr>
              <w:pStyle w:val="EMEANormal"/>
              <w:rPr>
                <w:iCs/>
                <w:szCs w:val="22"/>
              </w:rPr>
            </w:pPr>
            <w:r w:rsidRPr="002F4C48">
              <w:rPr>
                <w:iCs/>
                <w:szCs w:val="22"/>
              </w:rPr>
              <w:t>Given twice daily with food</w:t>
            </w:r>
          </w:p>
        </w:tc>
      </w:tr>
    </w:tbl>
    <w:p w14:paraId="7FA1D725" w14:textId="77777777" w:rsidR="002F4C48" w:rsidRPr="002F4C48" w:rsidRDefault="002F4C48" w:rsidP="00301484">
      <w:pPr>
        <w:pStyle w:val="EMEANormal"/>
        <w:ind w:left="142"/>
        <w:rPr>
          <w:lang w:val="en-GB"/>
        </w:rPr>
      </w:pPr>
      <w:r w:rsidRPr="002F4C48">
        <w:rPr>
          <w:lang w:val="en-GB"/>
        </w:rPr>
        <w:t>*Body surface area can be calculated with the following equation</w:t>
      </w:r>
    </w:p>
    <w:p w14:paraId="7EC7B194" w14:textId="77777777" w:rsidR="002F4C48" w:rsidRDefault="002F4C48" w:rsidP="00301484">
      <w:pPr>
        <w:pStyle w:val="EMEANormal"/>
        <w:ind w:left="142"/>
        <w:rPr>
          <w:lang w:val="en-GB"/>
        </w:rPr>
      </w:pPr>
      <w:r w:rsidRPr="002F4C48">
        <w:rPr>
          <w:lang w:val="en-GB"/>
        </w:rPr>
        <w:t>BSA (m</w:t>
      </w:r>
      <w:r w:rsidRPr="002F4C48">
        <w:rPr>
          <w:vertAlign w:val="superscript"/>
          <w:lang w:val="en-GB"/>
        </w:rPr>
        <w:t>2</w:t>
      </w:r>
      <w:r w:rsidRPr="002F4C48">
        <w:rPr>
          <w:lang w:val="en-GB"/>
        </w:rPr>
        <w:t xml:space="preserve">) = </w:t>
      </w:r>
      <w:r w:rsidRPr="002F4C48">
        <w:rPr>
          <w:lang w:val="en-GB"/>
        </w:rPr>
        <w:sym w:font="Symbol" w:char="F0D6"/>
      </w:r>
      <w:r w:rsidRPr="002F4C48">
        <w:rPr>
          <w:lang w:val="en-GB"/>
        </w:rPr>
        <w:t xml:space="preserve"> (Height (cm) X Weight (kg) / 3600)</w:t>
      </w:r>
    </w:p>
    <w:p w14:paraId="4DF486CE" w14:textId="77777777" w:rsidR="002F4C48" w:rsidRDefault="002F4C48" w:rsidP="002F4C48">
      <w:pPr>
        <w:pStyle w:val="EMEANormal"/>
        <w:rPr>
          <w:lang w:val="en-GB"/>
        </w:rPr>
      </w:pPr>
    </w:p>
    <w:p w14:paraId="38E47968" w14:textId="77777777" w:rsidR="002F4C48" w:rsidRDefault="002F4C48" w:rsidP="002F4C48">
      <w:pPr>
        <w:pStyle w:val="EMEANormal"/>
        <w:rPr>
          <w:iCs/>
          <w:szCs w:val="22"/>
        </w:rPr>
      </w:pPr>
      <w:r>
        <w:rPr>
          <w:iCs/>
          <w:szCs w:val="22"/>
        </w:rPr>
        <w:t>It is recommended that Kaletra not be administered in combination with efavirenz or nevirapine in patients less than 6 months of age.</w:t>
      </w:r>
    </w:p>
    <w:p w14:paraId="30126C30" w14:textId="77777777" w:rsidR="002F4C48" w:rsidRDefault="002F4C48" w:rsidP="002F4C48">
      <w:pPr>
        <w:pStyle w:val="EMEANormal"/>
        <w:rPr>
          <w:iCs/>
          <w:szCs w:val="22"/>
        </w:rPr>
      </w:pPr>
    </w:p>
    <w:p w14:paraId="4DCD4C5F" w14:textId="77777777" w:rsidR="002F4C48" w:rsidRPr="0022175F" w:rsidRDefault="002F4C48" w:rsidP="002F4C48">
      <w:pPr>
        <w:pStyle w:val="EMEANormal"/>
        <w:rPr>
          <w:i/>
          <w:iCs/>
          <w:szCs w:val="22"/>
        </w:rPr>
      </w:pPr>
      <w:r w:rsidRPr="0022175F">
        <w:rPr>
          <w:i/>
          <w:iCs/>
          <w:szCs w:val="22"/>
        </w:rPr>
        <w:t>Dosage recommendation for paediatric patients older than 6 months to less than 18 years</w:t>
      </w:r>
    </w:p>
    <w:p w14:paraId="57F7B7AB" w14:textId="77777777" w:rsidR="002F4C48" w:rsidRDefault="002F4C48" w:rsidP="002F4C48">
      <w:pPr>
        <w:pStyle w:val="EMEANormal"/>
        <w:rPr>
          <w:i/>
          <w:szCs w:val="22"/>
        </w:rPr>
      </w:pPr>
    </w:p>
    <w:p w14:paraId="554E0F2F" w14:textId="77777777" w:rsidR="002F4C48" w:rsidRDefault="002F4C48" w:rsidP="002F4C48">
      <w:pPr>
        <w:pStyle w:val="EMEANormal"/>
        <w:rPr>
          <w:szCs w:val="22"/>
          <w:u w:val="single"/>
        </w:rPr>
      </w:pPr>
      <w:r w:rsidRPr="0022175F">
        <w:rPr>
          <w:szCs w:val="22"/>
          <w:u w:val="single"/>
        </w:rPr>
        <w:t>Without Concomitant Efavirenz or Nevirapine</w:t>
      </w:r>
    </w:p>
    <w:p w14:paraId="2EA965C7" w14:textId="77777777" w:rsidR="002F4C48" w:rsidRPr="0022175F" w:rsidRDefault="002F4C48" w:rsidP="002F4C48">
      <w:pPr>
        <w:pStyle w:val="EMEANormal"/>
        <w:rPr>
          <w:szCs w:val="22"/>
          <w:u w:val="single"/>
          <w:lang w:val="en-GB"/>
        </w:rPr>
      </w:pPr>
    </w:p>
    <w:p w14:paraId="33B245C1" w14:textId="77777777" w:rsidR="001D0169" w:rsidRDefault="001D0169" w:rsidP="002F4C48">
      <w:pPr>
        <w:pStyle w:val="EMEANormal"/>
      </w:pPr>
      <w:r>
        <w:t>The following tables contain dosing guidelines for Kaletra oral solution based on body weight and BSA.</w:t>
      </w:r>
    </w:p>
    <w:p w14:paraId="592ADB5F" w14:textId="77777777" w:rsidR="001D0169" w:rsidRDefault="001D0169">
      <w:pPr>
        <w:pStyle w:val="EMEANormal"/>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2"/>
        <w:gridCol w:w="3260"/>
        <w:gridCol w:w="2835"/>
      </w:tblGrid>
      <w:tr w:rsidR="002F4C48" w:rsidRPr="00342F7C" w14:paraId="076FDE01" w14:textId="77777777" w:rsidTr="002F4C48">
        <w:tc>
          <w:tcPr>
            <w:tcW w:w="8047" w:type="dxa"/>
            <w:gridSpan w:val="3"/>
          </w:tcPr>
          <w:p w14:paraId="5C2EB8AE" w14:textId="77777777" w:rsidR="002F4C48" w:rsidRPr="00342F7C" w:rsidRDefault="002F4C48" w:rsidP="00B65B04">
            <w:pPr>
              <w:pStyle w:val="EMEANormal"/>
              <w:tabs>
                <w:tab w:val="clear" w:pos="562"/>
                <w:tab w:val="left" w:pos="3060"/>
              </w:tabs>
              <w:suppressAutoHyphens w:val="0"/>
              <w:spacing w:before="120" w:after="120"/>
              <w:jc w:val="center"/>
              <w:rPr>
                <w:b/>
                <w:bCs/>
                <w:szCs w:val="24"/>
                <w:lang w:val="en-GB"/>
              </w:rPr>
            </w:pPr>
            <w:r w:rsidRPr="00342F7C">
              <w:rPr>
                <w:b/>
                <w:bCs/>
                <w:szCs w:val="24"/>
                <w:lang w:val="en-GB"/>
              </w:rPr>
              <w:t xml:space="preserve">Paediatric dosing guidelines </w:t>
            </w:r>
            <w:r>
              <w:rPr>
                <w:b/>
                <w:bCs/>
                <w:szCs w:val="24"/>
                <w:lang w:val="en-GB"/>
              </w:rPr>
              <w:t>based on body weight</w:t>
            </w:r>
            <w:r w:rsidRPr="001D0169">
              <w:rPr>
                <w:b/>
                <w:bCs/>
                <w:szCs w:val="24"/>
                <w:lang w:val="en-GB"/>
              </w:rPr>
              <w:t>*</w:t>
            </w:r>
            <w:r>
              <w:rPr>
                <w:b/>
                <w:bCs/>
                <w:szCs w:val="24"/>
                <w:lang w:val="en-GB"/>
              </w:rPr>
              <w:br/>
              <w:t>&gt; 6 months to 18 years</w:t>
            </w:r>
          </w:p>
        </w:tc>
      </w:tr>
      <w:tr w:rsidR="002F4C48" w:rsidRPr="00342F7C" w14:paraId="3D65F5E3" w14:textId="77777777" w:rsidTr="002F4C48">
        <w:tc>
          <w:tcPr>
            <w:tcW w:w="1952" w:type="dxa"/>
          </w:tcPr>
          <w:p w14:paraId="69A48A54" w14:textId="77777777" w:rsidR="002F4C48" w:rsidRPr="00342F7C" w:rsidRDefault="002F4C48" w:rsidP="00B65B04">
            <w:pPr>
              <w:pStyle w:val="EMEANormal"/>
              <w:tabs>
                <w:tab w:val="clear" w:pos="562"/>
                <w:tab w:val="left" w:pos="3060"/>
              </w:tabs>
              <w:suppressAutoHyphens w:val="0"/>
              <w:spacing w:before="120" w:after="120"/>
              <w:jc w:val="center"/>
              <w:rPr>
                <w:b/>
                <w:bCs/>
                <w:szCs w:val="24"/>
                <w:lang w:val="en-GB"/>
              </w:rPr>
            </w:pPr>
            <w:r w:rsidRPr="00342F7C">
              <w:rPr>
                <w:b/>
                <w:bCs/>
                <w:szCs w:val="24"/>
                <w:lang w:val="en-GB"/>
              </w:rPr>
              <w:t xml:space="preserve">Body </w:t>
            </w:r>
            <w:r>
              <w:rPr>
                <w:b/>
                <w:bCs/>
                <w:szCs w:val="24"/>
                <w:lang w:val="en-GB"/>
              </w:rPr>
              <w:t>weight (kg)</w:t>
            </w:r>
          </w:p>
        </w:tc>
        <w:tc>
          <w:tcPr>
            <w:tcW w:w="3260" w:type="dxa"/>
          </w:tcPr>
          <w:p w14:paraId="685B9AAB" w14:textId="77777777" w:rsidR="002F4C48" w:rsidRPr="00342F7C" w:rsidRDefault="002F4C48" w:rsidP="00B65B04">
            <w:pPr>
              <w:pStyle w:val="EMEANormal"/>
              <w:tabs>
                <w:tab w:val="clear" w:pos="562"/>
                <w:tab w:val="left" w:pos="3060"/>
              </w:tabs>
              <w:suppressAutoHyphens w:val="0"/>
              <w:spacing w:before="120" w:after="120"/>
              <w:jc w:val="center"/>
              <w:rPr>
                <w:b/>
                <w:bCs/>
                <w:szCs w:val="24"/>
                <w:lang w:val="en-GB"/>
              </w:rPr>
            </w:pPr>
            <w:r w:rsidRPr="00342F7C">
              <w:rPr>
                <w:b/>
                <w:bCs/>
                <w:szCs w:val="24"/>
                <w:lang w:val="en-GB"/>
              </w:rPr>
              <w:t xml:space="preserve">Twice daily oral solution dose </w:t>
            </w:r>
            <w:r>
              <w:rPr>
                <w:b/>
                <w:bCs/>
                <w:szCs w:val="24"/>
                <w:lang w:val="en-GB"/>
              </w:rPr>
              <w:br/>
            </w:r>
            <w:r w:rsidRPr="00342F7C">
              <w:rPr>
                <w:b/>
                <w:bCs/>
                <w:szCs w:val="24"/>
                <w:lang w:val="en-GB"/>
              </w:rPr>
              <w:t>(dose in mg</w:t>
            </w:r>
            <w:r>
              <w:rPr>
                <w:b/>
                <w:bCs/>
                <w:szCs w:val="24"/>
                <w:lang w:val="en-GB"/>
              </w:rPr>
              <w:t>/kg</w:t>
            </w:r>
            <w:r w:rsidRPr="00342F7C">
              <w:rPr>
                <w:b/>
                <w:bCs/>
                <w:szCs w:val="24"/>
                <w:lang w:val="en-GB"/>
              </w:rPr>
              <w:t>)</w:t>
            </w:r>
          </w:p>
        </w:tc>
        <w:tc>
          <w:tcPr>
            <w:tcW w:w="2835" w:type="dxa"/>
          </w:tcPr>
          <w:p w14:paraId="1D499061" w14:textId="77777777" w:rsidR="002F4C48" w:rsidRPr="002F4C48" w:rsidRDefault="002F4C48" w:rsidP="002F4C48">
            <w:pPr>
              <w:pStyle w:val="EMEANormal"/>
              <w:tabs>
                <w:tab w:val="clear" w:pos="562"/>
                <w:tab w:val="left" w:pos="3060"/>
              </w:tabs>
              <w:suppressAutoHyphens w:val="0"/>
              <w:spacing w:before="120"/>
              <w:jc w:val="center"/>
              <w:rPr>
                <w:b/>
                <w:bCs/>
                <w:szCs w:val="24"/>
                <w:lang w:val="en-GB"/>
              </w:rPr>
            </w:pPr>
            <w:r w:rsidRPr="002F4C48">
              <w:rPr>
                <w:b/>
                <w:bCs/>
                <w:szCs w:val="24"/>
                <w:lang w:val="en-GB"/>
              </w:rPr>
              <w:t>Volume of oral solution twice daily taken with food</w:t>
            </w:r>
          </w:p>
          <w:p w14:paraId="2A348F30" w14:textId="77777777" w:rsidR="002F4C48" w:rsidRPr="00342F7C" w:rsidRDefault="002F4C48" w:rsidP="002F4C48">
            <w:pPr>
              <w:pStyle w:val="EMEANormal"/>
              <w:tabs>
                <w:tab w:val="clear" w:pos="562"/>
                <w:tab w:val="left" w:pos="3060"/>
              </w:tabs>
              <w:suppressAutoHyphens w:val="0"/>
              <w:spacing w:before="120" w:after="120"/>
              <w:jc w:val="center"/>
              <w:rPr>
                <w:b/>
                <w:bCs/>
                <w:szCs w:val="24"/>
                <w:lang w:val="en-GB"/>
              </w:rPr>
            </w:pPr>
            <w:r w:rsidRPr="002F4C48">
              <w:rPr>
                <w:b/>
                <w:bCs/>
                <w:szCs w:val="24"/>
                <w:lang w:val="en-GB"/>
              </w:rPr>
              <w:t xml:space="preserve">(80 mg lopinavir/20 mg ritonavir per </w:t>
            </w:r>
            <w:proofErr w:type="gramStart"/>
            <w:r w:rsidRPr="002F4C48">
              <w:rPr>
                <w:b/>
                <w:bCs/>
                <w:szCs w:val="24"/>
                <w:lang w:val="en-GB"/>
              </w:rPr>
              <w:t>ml)*</w:t>
            </w:r>
            <w:proofErr w:type="gramEnd"/>
            <w:r w:rsidRPr="002F4C48">
              <w:rPr>
                <w:b/>
                <w:bCs/>
                <w:szCs w:val="24"/>
                <w:lang w:val="en-GB"/>
              </w:rPr>
              <w:t>*</w:t>
            </w:r>
          </w:p>
        </w:tc>
      </w:tr>
      <w:tr w:rsidR="002F4C48" w:rsidRPr="00342F7C" w14:paraId="4D52E180" w14:textId="77777777" w:rsidTr="002F4C48">
        <w:tc>
          <w:tcPr>
            <w:tcW w:w="1952" w:type="dxa"/>
          </w:tcPr>
          <w:p w14:paraId="0B96C9F4" w14:textId="77777777" w:rsidR="002F4C48" w:rsidRPr="00EE4CD1" w:rsidRDefault="002F4C48" w:rsidP="002F4C48">
            <w:pPr>
              <w:pStyle w:val="EMEANormal"/>
              <w:tabs>
                <w:tab w:val="clear" w:pos="562"/>
                <w:tab w:val="left" w:pos="3060"/>
              </w:tabs>
              <w:suppressAutoHyphens w:val="0"/>
              <w:rPr>
                <w:b/>
                <w:szCs w:val="24"/>
                <w:lang w:val="en-GB"/>
              </w:rPr>
            </w:pPr>
            <w:r w:rsidRPr="00EE4CD1">
              <w:rPr>
                <w:b/>
                <w:szCs w:val="24"/>
                <w:lang w:val="en-GB"/>
              </w:rPr>
              <w:t>7 to &lt; 15 kg</w:t>
            </w:r>
          </w:p>
          <w:p w14:paraId="32CE49DE" w14:textId="77777777" w:rsidR="002F4C48" w:rsidRPr="00EE4CD1" w:rsidRDefault="002F4C48" w:rsidP="002F4C48">
            <w:pPr>
              <w:pStyle w:val="EMEANormal"/>
              <w:tabs>
                <w:tab w:val="clear" w:pos="562"/>
                <w:tab w:val="left" w:pos="3060"/>
              </w:tabs>
              <w:suppressAutoHyphens w:val="0"/>
              <w:jc w:val="center"/>
              <w:rPr>
                <w:szCs w:val="24"/>
                <w:lang w:val="en-GB"/>
              </w:rPr>
            </w:pPr>
            <w:r w:rsidRPr="00EE4CD1">
              <w:rPr>
                <w:szCs w:val="24"/>
                <w:lang w:val="en-GB"/>
              </w:rPr>
              <w:t>7 to 10 kg</w:t>
            </w:r>
          </w:p>
          <w:p w14:paraId="2EF49447" w14:textId="77777777" w:rsidR="002F4C48" w:rsidRPr="00EE4CD1" w:rsidRDefault="002F4C48" w:rsidP="002F4C48">
            <w:pPr>
              <w:pStyle w:val="EMEANormal"/>
              <w:tabs>
                <w:tab w:val="clear" w:pos="562"/>
                <w:tab w:val="left" w:pos="3060"/>
              </w:tabs>
              <w:suppressAutoHyphens w:val="0"/>
              <w:jc w:val="center"/>
              <w:rPr>
                <w:szCs w:val="24"/>
                <w:lang w:val="en-GB"/>
              </w:rPr>
            </w:pPr>
            <w:r w:rsidRPr="00EE4CD1">
              <w:rPr>
                <w:szCs w:val="24"/>
                <w:lang w:val="en-GB"/>
              </w:rPr>
              <w:t>&gt; 10 to &lt; 15 kg</w:t>
            </w:r>
          </w:p>
        </w:tc>
        <w:tc>
          <w:tcPr>
            <w:tcW w:w="3260" w:type="dxa"/>
          </w:tcPr>
          <w:p w14:paraId="77E93E55" w14:textId="77777777" w:rsidR="002F4C48" w:rsidRPr="00EE4CD1" w:rsidRDefault="002F4C48" w:rsidP="00B65B04">
            <w:pPr>
              <w:pStyle w:val="EMEANormal"/>
              <w:tabs>
                <w:tab w:val="clear" w:pos="562"/>
                <w:tab w:val="left" w:pos="3060"/>
              </w:tabs>
              <w:suppressAutoHyphens w:val="0"/>
              <w:jc w:val="center"/>
              <w:rPr>
                <w:szCs w:val="24"/>
                <w:lang w:val="en-GB"/>
              </w:rPr>
            </w:pPr>
            <w:r w:rsidRPr="00EE4CD1">
              <w:rPr>
                <w:szCs w:val="24"/>
                <w:lang w:val="en-GB"/>
              </w:rPr>
              <w:t>12/3 mg/kg</w:t>
            </w:r>
          </w:p>
        </w:tc>
        <w:tc>
          <w:tcPr>
            <w:tcW w:w="2835" w:type="dxa"/>
          </w:tcPr>
          <w:p w14:paraId="4A093B37" w14:textId="77777777" w:rsidR="002F4C48" w:rsidRPr="00EE4CD1" w:rsidRDefault="002F4C48" w:rsidP="003967C0">
            <w:pPr>
              <w:pStyle w:val="EMEANormal"/>
              <w:tabs>
                <w:tab w:val="clear" w:pos="562"/>
                <w:tab w:val="left" w:pos="3060"/>
              </w:tabs>
              <w:suppressAutoHyphens w:val="0"/>
              <w:jc w:val="center"/>
              <w:rPr>
                <w:szCs w:val="24"/>
                <w:lang w:val="en-GB"/>
              </w:rPr>
            </w:pPr>
          </w:p>
          <w:p w14:paraId="5F317C07" w14:textId="77777777" w:rsidR="002F4C48" w:rsidRPr="00EE4CD1" w:rsidRDefault="002F4C48" w:rsidP="003967C0">
            <w:pPr>
              <w:pStyle w:val="EMEANormal"/>
              <w:tabs>
                <w:tab w:val="clear" w:pos="562"/>
                <w:tab w:val="left" w:pos="3060"/>
              </w:tabs>
              <w:suppressAutoHyphens w:val="0"/>
              <w:jc w:val="center"/>
              <w:rPr>
                <w:szCs w:val="24"/>
                <w:lang w:val="en-GB"/>
              </w:rPr>
            </w:pPr>
            <w:r w:rsidRPr="00EE4CD1">
              <w:rPr>
                <w:szCs w:val="24"/>
                <w:lang w:val="en-GB"/>
              </w:rPr>
              <w:t>1.25 ml</w:t>
            </w:r>
          </w:p>
          <w:p w14:paraId="08700A96" w14:textId="77777777" w:rsidR="002F4C48" w:rsidRPr="00EE4CD1" w:rsidRDefault="002F4C48" w:rsidP="00B65B04">
            <w:pPr>
              <w:pStyle w:val="EMEANormal"/>
              <w:tabs>
                <w:tab w:val="clear" w:pos="562"/>
                <w:tab w:val="left" w:pos="3060"/>
              </w:tabs>
              <w:suppressAutoHyphens w:val="0"/>
              <w:jc w:val="center"/>
              <w:rPr>
                <w:szCs w:val="24"/>
                <w:lang w:val="en-GB"/>
              </w:rPr>
            </w:pPr>
            <w:r w:rsidRPr="00EE4CD1">
              <w:rPr>
                <w:szCs w:val="24"/>
                <w:lang w:val="en-GB"/>
              </w:rPr>
              <w:t>1.75 ml</w:t>
            </w:r>
          </w:p>
        </w:tc>
      </w:tr>
      <w:tr w:rsidR="002F4C48" w:rsidRPr="00342F7C" w14:paraId="039990C8" w14:textId="77777777" w:rsidTr="002F4C48">
        <w:tc>
          <w:tcPr>
            <w:tcW w:w="1952" w:type="dxa"/>
          </w:tcPr>
          <w:p w14:paraId="7FA1D080" w14:textId="77777777" w:rsidR="002F4C48" w:rsidRPr="00AE2531" w:rsidRDefault="002F4C48" w:rsidP="00EE4CD1">
            <w:pPr>
              <w:pStyle w:val="EMEANormal"/>
              <w:tabs>
                <w:tab w:val="clear" w:pos="562"/>
                <w:tab w:val="left" w:pos="3060"/>
              </w:tabs>
              <w:suppressAutoHyphens w:val="0"/>
              <w:rPr>
                <w:b/>
                <w:szCs w:val="24"/>
                <w:lang w:val="en-GB"/>
              </w:rPr>
            </w:pPr>
            <w:r w:rsidRPr="00AE2531">
              <w:rPr>
                <w:b/>
                <w:szCs w:val="24"/>
                <w:lang w:val="en-GB"/>
              </w:rPr>
              <w:t>≥ 15 to 40 kg</w:t>
            </w:r>
          </w:p>
          <w:p w14:paraId="7DC8B901" w14:textId="77777777" w:rsidR="00EE4CD1" w:rsidRPr="00EE4CD1" w:rsidRDefault="00EE4CD1" w:rsidP="00EE4CD1">
            <w:pPr>
              <w:pStyle w:val="EMEANormal"/>
              <w:tabs>
                <w:tab w:val="clear" w:pos="562"/>
                <w:tab w:val="left" w:pos="3060"/>
              </w:tabs>
              <w:suppressAutoHyphens w:val="0"/>
              <w:jc w:val="center"/>
              <w:rPr>
                <w:szCs w:val="24"/>
                <w:lang w:val="en-GB"/>
              </w:rPr>
            </w:pPr>
            <w:r w:rsidRPr="00EE4CD1">
              <w:rPr>
                <w:szCs w:val="24"/>
                <w:lang w:val="en-GB"/>
              </w:rPr>
              <w:t>15 to 20 kg</w:t>
            </w:r>
          </w:p>
          <w:p w14:paraId="186E5AF8" w14:textId="77777777" w:rsidR="00EE4CD1" w:rsidRPr="00EE4CD1" w:rsidRDefault="00EE4CD1" w:rsidP="00EE4CD1">
            <w:pPr>
              <w:pStyle w:val="EMEANormal"/>
              <w:tabs>
                <w:tab w:val="clear" w:pos="562"/>
                <w:tab w:val="left" w:pos="3060"/>
              </w:tabs>
              <w:suppressAutoHyphens w:val="0"/>
              <w:jc w:val="center"/>
              <w:rPr>
                <w:szCs w:val="24"/>
                <w:lang w:val="en-GB"/>
              </w:rPr>
            </w:pPr>
            <w:r w:rsidRPr="00EE4CD1">
              <w:rPr>
                <w:szCs w:val="24"/>
                <w:lang w:val="en-GB"/>
              </w:rPr>
              <w:t>&gt; 20 to 25 kg</w:t>
            </w:r>
          </w:p>
          <w:p w14:paraId="5CA49C75" w14:textId="77777777" w:rsidR="00EE4CD1" w:rsidRPr="00EE4CD1" w:rsidRDefault="00EE4CD1" w:rsidP="00EE4CD1">
            <w:pPr>
              <w:pStyle w:val="EMEANormal"/>
              <w:tabs>
                <w:tab w:val="clear" w:pos="562"/>
                <w:tab w:val="left" w:pos="3060"/>
              </w:tabs>
              <w:suppressAutoHyphens w:val="0"/>
              <w:jc w:val="center"/>
              <w:rPr>
                <w:szCs w:val="24"/>
                <w:lang w:val="en-GB"/>
              </w:rPr>
            </w:pPr>
            <w:r w:rsidRPr="00EE4CD1">
              <w:rPr>
                <w:szCs w:val="24"/>
                <w:lang w:val="en-GB"/>
              </w:rPr>
              <w:t>&gt; 25 to 30 kg</w:t>
            </w:r>
          </w:p>
          <w:p w14:paraId="32130F78" w14:textId="77777777" w:rsidR="00EE4CD1" w:rsidRPr="00EE4CD1" w:rsidRDefault="00EE4CD1" w:rsidP="00EE4CD1">
            <w:pPr>
              <w:pStyle w:val="EMEANormal"/>
              <w:tabs>
                <w:tab w:val="clear" w:pos="562"/>
                <w:tab w:val="left" w:pos="3060"/>
              </w:tabs>
              <w:suppressAutoHyphens w:val="0"/>
              <w:jc w:val="center"/>
              <w:rPr>
                <w:szCs w:val="24"/>
                <w:lang w:val="en-GB"/>
              </w:rPr>
            </w:pPr>
            <w:r w:rsidRPr="00EE4CD1">
              <w:rPr>
                <w:szCs w:val="24"/>
                <w:lang w:val="en-GB"/>
              </w:rPr>
              <w:t>&gt; 30 to 35 kg</w:t>
            </w:r>
          </w:p>
          <w:p w14:paraId="204535B4" w14:textId="77777777" w:rsidR="00EE4CD1" w:rsidRPr="00EE4CD1" w:rsidRDefault="00EE4CD1" w:rsidP="00EE4CD1">
            <w:pPr>
              <w:pStyle w:val="EMEANormal"/>
              <w:tabs>
                <w:tab w:val="clear" w:pos="562"/>
                <w:tab w:val="left" w:pos="3060"/>
              </w:tabs>
              <w:suppressAutoHyphens w:val="0"/>
              <w:jc w:val="center"/>
              <w:rPr>
                <w:szCs w:val="24"/>
                <w:lang w:val="en-GB"/>
              </w:rPr>
            </w:pPr>
            <w:r w:rsidRPr="00EE4CD1">
              <w:rPr>
                <w:szCs w:val="24"/>
                <w:lang w:val="en-GB"/>
              </w:rPr>
              <w:t>&gt; 35 to 40 kg</w:t>
            </w:r>
          </w:p>
        </w:tc>
        <w:tc>
          <w:tcPr>
            <w:tcW w:w="3260" w:type="dxa"/>
          </w:tcPr>
          <w:p w14:paraId="1A29FC55" w14:textId="77777777" w:rsidR="002F4C48" w:rsidRPr="00EE4CD1" w:rsidRDefault="002F4C48" w:rsidP="00B65B04">
            <w:pPr>
              <w:pStyle w:val="EMEANormal"/>
              <w:tabs>
                <w:tab w:val="clear" w:pos="562"/>
                <w:tab w:val="left" w:pos="3060"/>
              </w:tabs>
              <w:suppressAutoHyphens w:val="0"/>
              <w:jc w:val="center"/>
              <w:rPr>
                <w:szCs w:val="24"/>
                <w:lang w:val="en-GB"/>
              </w:rPr>
            </w:pPr>
            <w:r w:rsidRPr="00EE4CD1">
              <w:rPr>
                <w:szCs w:val="24"/>
                <w:lang w:val="en-GB"/>
              </w:rPr>
              <w:t>10/2.5 mg/kg</w:t>
            </w:r>
          </w:p>
        </w:tc>
        <w:tc>
          <w:tcPr>
            <w:tcW w:w="2835" w:type="dxa"/>
          </w:tcPr>
          <w:p w14:paraId="57C1F65C" w14:textId="77777777" w:rsidR="00EE4CD1" w:rsidRPr="00EE4CD1" w:rsidRDefault="00EE4CD1" w:rsidP="00EE4CD1">
            <w:pPr>
              <w:pStyle w:val="EMEANormal"/>
              <w:tabs>
                <w:tab w:val="clear" w:pos="562"/>
                <w:tab w:val="left" w:pos="3060"/>
              </w:tabs>
              <w:suppressAutoHyphens w:val="0"/>
              <w:jc w:val="center"/>
              <w:rPr>
                <w:szCs w:val="24"/>
                <w:lang w:val="en-GB"/>
              </w:rPr>
            </w:pPr>
          </w:p>
          <w:p w14:paraId="47150B14" w14:textId="77777777" w:rsidR="00EE4CD1" w:rsidRPr="00EE4CD1" w:rsidRDefault="00EE4CD1" w:rsidP="00EE4CD1">
            <w:pPr>
              <w:pStyle w:val="EMEANormal"/>
              <w:tabs>
                <w:tab w:val="clear" w:pos="562"/>
                <w:tab w:val="left" w:pos="3060"/>
              </w:tabs>
              <w:suppressAutoHyphens w:val="0"/>
              <w:jc w:val="center"/>
              <w:rPr>
                <w:szCs w:val="24"/>
                <w:lang w:val="en-GB"/>
              </w:rPr>
            </w:pPr>
            <w:r w:rsidRPr="00EE4CD1">
              <w:rPr>
                <w:szCs w:val="24"/>
                <w:lang w:val="en-GB"/>
              </w:rPr>
              <w:t>2.25 ml</w:t>
            </w:r>
          </w:p>
          <w:p w14:paraId="0D56C813" w14:textId="77777777" w:rsidR="00EE4CD1" w:rsidRPr="00EE4CD1" w:rsidRDefault="00EE4CD1" w:rsidP="00EE4CD1">
            <w:pPr>
              <w:pStyle w:val="EMEANormal"/>
              <w:tabs>
                <w:tab w:val="clear" w:pos="562"/>
                <w:tab w:val="left" w:pos="3060"/>
              </w:tabs>
              <w:suppressAutoHyphens w:val="0"/>
              <w:jc w:val="center"/>
              <w:rPr>
                <w:szCs w:val="24"/>
                <w:lang w:val="en-GB"/>
              </w:rPr>
            </w:pPr>
            <w:r w:rsidRPr="00EE4CD1">
              <w:rPr>
                <w:szCs w:val="24"/>
                <w:lang w:val="en-GB"/>
              </w:rPr>
              <w:t>2.75 ml</w:t>
            </w:r>
          </w:p>
          <w:p w14:paraId="55463128" w14:textId="77777777" w:rsidR="00EE4CD1" w:rsidRPr="00EE4CD1" w:rsidRDefault="00EE4CD1" w:rsidP="00EE4CD1">
            <w:pPr>
              <w:pStyle w:val="EMEANormal"/>
              <w:tabs>
                <w:tab w:val="clear" w:pos="562"/>
                <w:tab w:val="left" w:pos="3060"/>
              </w:tabs>
              <w:suppressAutoHyphens w:val="0"/>
              <w:jc w:val="center"/>
              <w:rPr>
                <w:szCs w:val="24"/>
                <w:lang w:val="en-GB"/>
              </w:rPr>
            </w:pPr>
            <w:r w:rsidRPr="00EE4CD1">
              <w:rPr>
                <w:szCs w:val="24"/>
                <w:lang w:val="en-GB"/>
              </w:rPr>
              <w:t>3.50 ml</w:t>
            </w:r>
          </w:p>
          <w:p w14:paraId="00D8A47A" w14:textId="77777777" w:rsidR="00EE4CD1" w:rsidRPr="00EE4CD1" w:rsidRDefault="00EE4CD1" w:rsidP="00EE4CD1">
            <w:pPr>
              <w:pStyle w:val="EMEANormal"/>
              <w:tabs>
                <w:tab w:val="clear" w:pos="562"/>
                <w:tab w:val="left" w:pos="3060"/>
              </w:tabs>
              <w:suppressAutoHyphens w:val="0"/>
              <w:jc w:val="center"/>
              <w:rPr>
                <w:szCs w:val="24"/>
                <w:lang w:val="en-GB"/>
              </w:rPr>
            </w:pPr>
            <w:r w:rsidRPr="00EE4CD1">
              <w:rPr>
                <w:szCs w:val="24"/>
                <w:lang w:val="en-GB"/>
              </w:rPr>
              <w:t>4.00 ml</w:t>
            </w:r>
          </w:p>
          <w:p w14:paraId="122A80BD" w14:textId="77777777" w:rsidR="002F4C48" w:rsidRPr="00EE4CD1" w:rsidRDefault="00EE4CD1" w:rsidP="00EE4CD1">
            <w:pPr>
              <w:pStyle w:val="EMEANormal"/>
              <w:tabs>
                <w:tab w:val="clear" w:pos="562"/>
                <w:tab w:val="left" w:pos="3060"/>
              </w:tabs>
              <w:suppressAutoHyphens w:val="0"/>
              <w:jc w:val="center"/>
              <w:rPr>
                <w:szCs w:val="24"/>
                <w:lang w:val="en-GB"/>
              </w:rPr>
            </w:pPr>
            <w:r w:rsidRPr="00EE4CD1">
              <w:rPr>
                <w:szCs w:val="24"/>
                <w:lang w:val="en-GB"/>
              </w:rPr>
              <w:t>4.75 ml</w:t>
            </w:r>
          </w:p>
        </w:tc>
      </w:tr>
      <w:tr w:rsidR="00EE4CD1" w:rsidRPr="00342F7C" w14:paraId="7F5E2D4A" w14:textId="77777777" w:rsidTr="003967C0">
        <w:tc>
          <w:tcPr>
            <w:tcW w:w="1952" w:type="dxa"/>
          </w:tcPr>
          <w:p w14:paraId="3553F786" w14:textId="77777777" w:rsidR="00EE4CD1" w:rsidRPr="00AF494C" w:rsidRDefault="00EE4CD1" w:rsidP="00AE2531">
            <w:pPr>
              <w:pStyle w:val="EMEANormal"/>
              <w:tabs>
                <w:tab w:val="clear" w:pos="562"/>
                <w:tab w:val="left" w:pos="3060"/>
              </w:tabs>
              <w:suppressAutoHyphens w:val="0"/>
              <w:rPr>
                <w:b/>
                <w:szCs w:val="24"/>
                <w:u w:val="single"/>
                <w:lang w:val="en-GB"/>
              </w:rPr>
            </w:pPr>
            <w:r w:rsidRPr="00AE2531">
              <w:rPr>
                <w:b/>
                <w:szCs w:val="24"/>
                <w:lang w:val="en-GB"/>
              </w:rPr>
              <w:t>≥ 40 kg</w:t>
            </w:r>
          </w:p>
        </w:tc>
        <w:tc>
          <w:tcPr>
            <w:tcW w:w="6095" w:type="dxa"/>
            <w:gridSpan w:val="2"/>
          </w:tcPr>
          <w:p w14:paraId="714BADF9" w14:textId="77777777" w:rsidR="00EE4CD1" w:rsidRPr="000611F5" w:rsidRDefault="00EE4CD1" w:rsidP="00EE4CD1">
            <w:pPr>
              <w:pStyle w:val="EMEANormal"/>
              <w:tabs>
                <w:tab w:val="clear" w:pos="562"/>
                <w:tab w:val="left" w:pos="3060"/>
              </w:tabs>
              <w:suppressAutoHyphens w:val="0"/>
              <w:jc w:val="center"/>
              <w:rPr>
                <w:szCs w:val="24"/>
                <w:lang w:val="en-GB"/>
              </w:rPr>
            </w:pPr>
            <w:r w:rsidRPr="000611F5">
              <w:rPr>
                <w:szCs w:val="24"/>
                <w:lang w:val="en-GB"/>
              </w:rPr>
              <w:t>See adult dosage recommendation</w:t>
            </w:r>
          </w:p>
        </w:tc>
      </w:tr>
    </w:tbl>
    <w:p w14:paraId="5AFC73D5" w14:textId="77777777" w:rsidR="001D0169" w:rsidRDefault="001D0169">
      <w:pPr>
        <w:pStyle w:val="EMEANormal"/>
        <w:rPr>
          <w:lang w:val="en-GB"/>
        </w:rPr>
      </w:pPr>
      <w:r>
        <w:tab/>
      </w:r>
      <w:r w:rsidRPr="001D0169">
        <w:rPr>
          <w:lang w:val="en-GB"/>
        </w:rPr>
        <w:t>*</w:t>
      </w:r>
      <w:proofErr w:type="gramStart"/>
      <w:r w:rsidRPr="001D0169">
        <w:rPr>
          <w:lang w:val="en-GB"/>
        </w:rPr>
        <w:t>weight based</w:t>
      </w:r>
      <w:proofErr w:type="gramEnd"/>
      <w:r w:rsidRPr="001D0169">
        <w:rPr>
          <w:lang w:val="en-GB"/>
        </w:rPr>
        <w:t xml:space="preserve"> dosing recommendations are based on limited data </w:t>
      </w:r>
    </w:p>
    <w:p w14:paraId="21F48746" w14:textId="77777777" w:rsidR="00EE4CD1" w:rsidRDefault="00EE4CD1" w:rsidP="00EE4CD1">
      <w:pPr>
        <w:pStyle w:val="EMEANormal"/>
        <w:rPr>
          <w:lang w:val="en-GB"/>
        </w:rPr>
      </w:pPr>
      <w:r w:rsidRPr="005368ED">
        <w:rPr>
          <w:lang w:val="en-GB"/>
        </w:rPr>
        <w:tab/>
        <w:t>** the volume (ml) of oral solution represents the average dose for the weight range</w:t>
      </w:r>
    </w:p>
    <w:p w14:paraId="3CF65A8D" w14:textId="77777777" w:rsidR="00EE4CD1" w:rsidRDefault="00EE4CD1">
      <w:pPr>
        <w:pStyle w:val="EMEANormal"/>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68"/>
        <w:gridCol w:w="4440"/>
      </w:tblGrid>
      <w:tr w:rsidR="00D7303D" w:rsidRPr="00342F7C" w14:paraId="65FB0B4F" w14:textId="77777777" w:rsidTr="00285200">
        <w:tc>
          <w:tcPr>
            <w:tcW w:w="7308" w:type="dxa"/>
            <w:gridSpan w:val="2"/>
          </w:tcPr>
          <w:p w14:paraId="51FCB00F" w14:textId="77777777" w:rsidR="00D7303D" w:rsidRPr="00EE4CD1" w:rsidRDefault="00D7303D" w:rsidP="00306419">
            <w:pPr>
              <w:pStyle w:val="EMEANormal"/>
              <w:keepNext/>
              <w:tabs>
                <w:tab w:val="clear" w:pos="562"/>
                <w:tab w:val="left" w:pos="3060"/>
              </w:tabs>
              <w:suppressAutoHyphens w:val="0"/>
              <w:spacing w:before="120" w:after="120"/>
              <w:jc w:val="center"/>
              <w:rPr>
                <w:b/>
                <w:bCs/>
                <w:szCs w:val="24"/>
                <w:lang w:val="en-GB"/>
              </w:rPr>
            </w:pPr>
            <w:r w:rsidRPr="00342F7C">
              <w:rPr>
                <w:b/>
                <w:bCs/>
                <w:szCs w:val="24"/>
                <w:lang w:val="en-GB"/>
              </w:rPr>
              <w:t>Paediatric dosing guidelines for the dose 230/57.5 mg/m</w:t>
            </w:r>
            <w:r w:rsidRPr="00342F7C">
              <w:rPr>
                <w:b/>
                <w:bCs/>
                <w:szCs w:val="24"/>
                <w:vertAlign w:val="superscript"/>
                <w:lang w:val="en-GB"/>
              </w:rPr>
              <w:t>2</w:t>
            </w:r>
            <w:r w:rsidR="00EE4CD1">
              <w:rPr>
                <w:b/>
                <w:bCs/>
                <w:szCs w:val="24"/>
                <w:vertAlign w:val="superscript"/>
                <w:lang w:val="en-GB"/>
              </w:rPr>
              <w:br/>
            </w:r>
            <w:r w:rsidR="00EE4CD1">
              <w:rPr>
                <w:b/>
                <w:bCs/>
                <w:szCs w:val="24"/>
                <w:lang w:val="en-GB"/>
              </w:rPr>
              <w:t>&gt; 6 months to &lt; 18 years</w:t>
            </w:r>
          </w:p>
        </w:tc>
      </w:tr>
      <w:tr w:rsidR="00D7303D" w:rsidRPr="00342F7C" w14:paraId="6C60AF85" w14:textId="77777777" w:rsidTr="00285200">
        <w:tc>
          <w:tcPr>
            <w:tcW w:w="2868" w:type="dxa"/>
          </w:tcPr>
          <w:p w14:paraId="6AEDCA10" w14:textId="77777777" w:rsidR="00D7303D" w:rsidRPr="00342F7C" w:rsidRDefault="00D7303D" w:rsidP="00306419">
            <w:pPr>
              <w:pStyle w:val="EMEANormal"/>
              <w:keepNext/>
              <w:tabs>
                <w:tab w:val="clear" w:pos="562"/>
                <w:tab w:val="left" w:pos="3060"/>
              </w:tabs>
              <w:suppressAutoHyphens w:val="0"/>
              <w:spacing w:before="120" w:after="120"/>
              <w:jc w:val="center"/>
              <w:rPr>
                <w:b/>
                <w:bCs/>
                <w:szCs w:val="24"/>
                <w:lang w:val="en-GB"/>
              </w:rPr>
            </w:pPr>
            <w:r w:rsidRPr="00342F7C">
              <w:rPr>
                <w:b/>
                <w:bCs/>
                <w:szCs w:val="24"/>
                <w:lang w:val="en-GB"/>
              </w:rPr>
              <w:t>Body Surface Area* (m</w:t>
            </w:r>
            <w:r w:rsidRPr="00342F7C">
              <w:rPr>
                <w:b/>
                <w:bCs/>
                <w:szCs w:val="24"/>
                <w:vertAlign w:val="superscript"/>
                <w:lang w:val="en-GB"/>
              </w:rPr>
              <w:t>2</w:t>
            </w:r>
            <w:r w:rsidRPr="00342F7C">
              <w:rPr>
                <w:b/>
                <w:bCs/>
                <w:szCs w:val="24"/>
                <w:lang w:val="en-GB"/>
              </w:rPr>
              <w:t>)</w:t>
            </w:r>
          </w:p>
        </w:tc>
        <w:tc>
          <w:tcPr>
            <w:tcW w:w="4440" w:type="dxa"/>
          </w:tcPr>
          <w:p w14:paraId="3F6DA506" w14:textId="77777777" w:rsidR="00D7303D" w:rsidRPr="00342F7C" w:rsidRDefault="00D7303D" w:rsidP="00306419">
            <w:pPr>
              <w:pStyle w:val="EMEANormal"/>
              <w:keepNext/>
              <w:tabs>
                <w:tab w:val="clear" w:pos="562"/>
                <w:tab w:val="left" w:pos="3060"/>
              </w:tabs>
              <w:suppressAutoHyphens w:val="0"/>
              <w:spacing w:before="120" w:after="120"/>
              <w:jc w:val="center"/>
              <w:rPr>
                <w:b/>
                <w:bCs/>
                <w:szCs w:val="24"/>
                <w:lang w:val="en-GB"/>
              </w:rPr>
            </w:pPr>
            <w:r w:rsidRPr="00342F7C">
              <w:rPr>
                <w:b/>
                <w:bCs/>
                <w:szCs w:val="24"/>
                <w:lang w:val="en-GB"/>
              </w:rPr>
              <w:t>Twice daily oral solution dose (dose in mg)</w:t>
            </w:r>
          </w:p>
        </w:tc>
      </w:tr>
      <w:tr w:rsidR="00D7303D" w:rsidRPr="00342F7C" w14:paraId="5F8B1462" w14:textId="77777777" w:rsidTr="00285200">
        <w:tc>
          <w:tcPr>
            <w:tcW w:w="2868" w:type="dxa"/>
          </w:tcPr>
          <w:p w14:paraId="543A6113" w14:textId="77777777" w:rsidR="00D7303D" w:rsidRPr="00342F7C" w:rsidRDefault="00D7303D" w:rsidP="00306419">
            <w:pPr>
              <w:pStyle w:val="EMEANormal"/>
              <w:keepNext/>
              <w:tabs>
                <w:tab w:val="clear" w:pos="562"/>
                <w:tab w:val="left" w:pos="3060"/>
              </w:tabs>
              <w:suppressAutoHyphens w:val="0"/>
              <w:jc w:val="center"/>
              <w:rPr>
                <w:szCs w:val="24"/>
                <w:lang w:val="en-GB"/>
              </w:rPr>
            </w:pPr>
            <w:r w:rsidRPr="00342F7C">
              <w:rPr>
                <w:szCs w:val="24"/>
                <w:lang w:val="en-GB"/>
              </w:rPr>
              <w:t>0.25</w:t>
            </w:r>
          </w:p>
        </w:tc>
        <w:tc>
          <w:tcPr>
            <w:tcW w:w="4440" w:type="dxa"/>
          </w:tcPr>
          <w:p w14:paraId="5EAAF522" w14:textId="77777777" w:rsidR="00D7303D" w:rsidRPr="00342F7C" w:rsidRDefault="00D7303D" w:rsidP="00306419">
            <w:pPr>
              <w:pStyle w:val="EMEANormal"/>
              <w:keepNext/>
              <w:tabs>
                <w:tab w:val="clear" w:pos="562"/>
                <w:tab w:val="left" w:pos="3060"/>
              </w:tabs>
              <w:suppressAutoHyphens w:val="0"/>
              <w:jc w:val="center"/>
              <w:rPr>
                <w:szCs w:val="24"/>
                <w:lang w:val="en-GB"/>
              </w:rPr>
            </w:pPr>
            <w:r w:rsidRPr="00342F7C">
              <w:rPr>
                <w:szCs w:val="24"/>
                <w:lang w:val="en-GB"/>
              </w:rPr>
              <w:t>0.7 ml (57.5/14.4 mg)</w:t>
            </w:r>
          </w:p>
        </w:tc>
      </w:tr>
      <w:tr w:rsidR="00D7303D" w:rsidRPr="00342F7C" w14:paraId="34540D62" w14:textId="77777777" w:rsidTr="00285200">
        <w:tc>
          <w:tcPr>
            <w:tcW w:w="2868" w:type="dxa"/>
          </w:tcPr>
          <w:p w14:paraId="7599D72E" w14:textId="77777777" w:rsidR="00D7303D" w:rsidRPr="00342F7C" w:rsidRDefault="00D7303D" w:rsidP="00306419">
            <w:pPr>
              <w:pStyle w:val="EMEANormal"/>
              <w:keepNext/>
              <w:tabs>
                <w:tab w:val="clear" w:pos="562"/>
                <w:tab w:val="left" w:pos="3060"/>
              </w:tabs>
              <w:suppressAutoHyphens w:val="0"/>
              <w:jc w:val="center"/>
              <w:rPr>
                <w:szCs w:val="24"/>
                <w:lang w:val="en-GB"/>
              </w:rPr>
            </w:pPr>
            <w:r w:rsidRPr="00342F7C">
              <w:rPr>
                <w:szCs w:val="24"/>
                <w:lang w:val="en-GB"/>
              </w:rPr>
              <w:t>0.40</w:t>
            </w:r>
          </w:p>
        </w:tc>
        <w:tc>
          <w:tcPr>
            <w:tcW w:w="4440" w:type="dxa"/>
          </w:tcPr>
          <w:p w14:paraId="29E0E8E9" w14:textId="77777777" w:rsidR="00D7303D" w:rsidRPr="00342F7C" w:rsidRDefault="00D7303D" w:rsidP="00306419">
            <w:pPr>
              <w:keepNext/>
              <w:jc w:val="center"/>
              <w:rPr>
                <w:sz w:val="22"/>
              </w:rPr>
            </w:pPr>
            <w:r w:rsidRPr="00342F7C">
              <w:rPr>
                <w:sz w:val="22"/>
              </w:rPr>
              <w:t>1.2 ml (96/24 mg)</w:t>
            </w:r>
          </w:p>
        </w:tc>
      </w:tr>
      <w:tr w:rsidR="00D7303D" w:rsidRPr="00342F7C" w14:paraId="475A1C75" w14:textId="77777777" w:rsidTr="00285200">
        <w:tc>
          <w:tcPr>
            <w:tcW w:w="2868" w:type="dxa"/>
          </w:tcPr>
          <w:p w14:paraId="1792412B" w14:textId="77777777" w:rsidR="00D7303D" w:rsidRPr="00342F7C" w:rsidRDefault="00D7303D" w:rsidP="00306419">
            <w:pPr>
              <w:pStyle w:val="EMEANormal"/>
              <w:keepNext/>
              <w:tabs>
                <w:tab w:val="clear" w:pos="562"/>
                <w:tab w:val="left" w:pos="3060"/>
              </w:tabs>
              <w:suppressAutoHyphens w:val="0"/>
              <w:jc w:val="center"/>
              <w:rPr>
                <w:szCs w:val="24"/>
                <w:lang w:val="en-GB"/>
              </w:rPr>
            </w:pPr>
            <w:r w:rsidRPr="00342F7C">
              <w:rPr>
                <w:szCs w:val="24"/>
                <w:lang w:val="en-GB"/>
              </w:rPr>
              <w:t>0.50</w:t>
            </w:r>
          </w:p>
        </w:tc>
        <w:tc>
          <w:tcPr>
            <w:tcW w:w="4440" w:type="dxa"/>
          </w:tcPr>
          <w:p w14:paraId="60DADCEB" w14:textId="77777777" w:rsidR="00D7303D" w:rsidRPr="00342F7C" w:rsidRDefault="00D7303D" w:rsidP="00306419">
            <w:pPr>
              <w:keepNext/>
              <w:jc w:val="center"/>
              <w:rPr>
                <w:sz w:val="22"/>
              </w:rPr>
            </w:pPr>
            <w:r w:rsidRPr="00342F7C">
              <w:rPr>
                <w:sz w:val="22"/>
              </w:rPr>
              <w:t>1.4 ml (115/28.8 mg)</w:t>
            </w:r>
          </w:p>
        </w:tc>
      </w:tr>
      <w:tr w:rsidR="00D7303D" w:rsidRPr="00342F7C" w14:paraId="23920236" w14:textId="77777777" w:rsidTr="00285200">
        <w:tc>
          <w:tcPr>
            <w:tcW w:w="2868" w:type="dxa"/>
          </w:tcPr>
          <w:p w14:paraId="67027C5C" w14:textId="77777777" w:rsidR="00D7303D" w:rsidRPr="00342F7C" w:rsidRDefault="00D7303D" w:rsidP="00306419">
            <w:pPr>
              <w:pStyle w:val="EMEANormal"/>
              <w:keepNext/>
              <w:tabs>
                <w:tab w:val="clear" w:pos="562"/>
                <w:tab w:val="left" w:pos="3060"/>
              </w:tabs>
              <w:suppressAutoHyphens w:val="0"/>
              <w:jc w:val="center"/>
              <w:rPr>
                <w:szCs w:val="24"/>
                <w:lang w:val="en-GB"/>
              </w:rPr>
            </w:pPr>
            <w:r w:rsidRPr="00342F7C">
              <w:rPr>
                <w:szCs w:val="24"/>
                <w:lang w:val="en-GB"/>
              </w:rPr>
              <w:t>0.75</w:t>
            </w:r>
          </w:p>
        </w:tc>
        <w:tc>
          <w:tcPr>
            <w:tcW w:w="4440" w:type="dxa"/>
          </w:tcPr>
          <w:p w14:paraId="6569B6AD" w14:textId="77777777" w:rsidR="00D7303D" w:rsidRPr="00342F7C" w:rsidRDefault="00D7303D" w:rsidP="00306419">
            <w:pPr>
              <w:keepNext/>
              <w:jc w:val="center"/>
              <w:rPr>
                <w:sz w:val="22"/>
              </w:rPr>
            </w:pPr>
            <w:r w:rsidRPr="00342F7C">
              <w:rPr>
                <w:sz w:val="22"/>
              </w:rPr>
              <w:t>2.2 ml (172.5/43.1 mg)</w:t>
            </w:r>
          </w:p>
        </w:tc>
      </w:tr>
      <w:tr w:rsidR="00D7303D" w:rsidRPr="00342F7C" w14:paraId="5333A2ED" w14:textId="77777777" w:rsidTr="00285200">
        <w:tc>
          <w:tcPr>
            <w:tcW w:w="2868" w:type="dxa"/>
          </w:tcPr>
          <w:p w14:paraId="336B92A8" w14:textId="77777777" w:rsidR="00D7303D" w:rsidRPr="00342F7C" w:rsidRDefault="00D7303D" w:rsidP="00306419">
            <w:pPr>
              <w:pStyle w:val="EMEANormal"/>
              <w:keepNext/>
              <w:tabs>
                <w:tab w:val="clear" w:pos="562"/>
                <w:tab w:val="left" w:pos="3060"/>
              </w:tabs>
              <w:suppressAutoHyphens w:val="0"/>
              <w:jc w:val="center"/>
              <w:rPr>
                <w:szCs w:val="24"/>
                <w:lang w:val="en-GB"/>
              </w:rPr>
            </w:pPr>
            <w:r w:rsidRPr="00342F7C">
              <w:rPr>
                <w:szCs w:val="24"/>
                <w:lang w:val="en-GB"/>
              </w:rPr>
              <w:t>0.80</w:t>
            </w:r>
          </w:p>
        </w:tc>
        <w:tc>
          <w:tcPr>
            <w:tcW w:w="4440" w:type="dxa"/>
          </w:tcPr>
          <w:p w14:paraId="40E603FC" w14:textId="77777777" w:rsidR="00D7303D" w:rsidRPr="00342F7C" w:rsidRDefault="00D7303D" w:rsidP="00306419">
            <w:pPr>
              <w:keepNext/>
              <w:jc w:val="center"/>
              <w:rPr>
                <w:sz w:val="22"/>
              </w:rPr>
            </w:pPr>
            <w:r w:rsidRPr="00342F7C">
              <w:rPr>
                <w:sz w:val="22"/>
              </w:rPr>
              <w:t>2.3 ml (184/46 mg)</w:t>
            </w:r>
          </w:p>
        </w:tc>
      </w:tr>
      <w:tr w:rsidR="00D7303D" w:rsidRPr="00342F7C" w14:paraId="2C411A4A" w14:textId="77777777" w:rsidTr="00285200">
        <w:tc>
          <w:tcPr>
            <w:tcW w:w="2868" w:type="dxa"/>
          </w:tcPr>
          <w:p w14:paraId="7EFE49C4" w14:textId="77777777" w:rsidR="00D7303D" w:rsidRPr="00342F7C" w:rsidRDefault="00D7303D" w:rsidP="00306419">
            <w:pPr>
              <w:pStyle w:val="EMEANormal"/>
              <w:keepNext/>
              <w:tabs>
                <w:tab w:val="clear" w:pos="562"/>
                <w:tab w:val="left" w:pos="3060"/>
              </w:tabs>
              <w:suppressAutoHyphens w:val="0"/>
              <w:jc w:val="center"/>
              <w:rPr>
                <w:szCs w:val="24"/>
                <w:lang w:val="en-GB"/>
              </w:rPr>
            </w:pPr>
            <w:r w:rsidRPr="00342F7C">
              <w:rPr>
                <w:szCs w:val="24"/>
                <w:lang w:val="en-GB"/>
              </w:rPr>
              <w:t>1.00</w:t>
            </w:r>
          </w:p>
        </w:tc>
        <w:tc>
          <w:tcPr>
            <w:tcW w:w="4440" w:type="dxa"/>
          </w:tcPr>
          <w:p w14:paraId="7C60E514" w14:textId="77777777" w:rsidR="00D7303D" w:rsidRPr="00342F7C" w:rsidRDefault="00D7303D" w:rsidP="00306419">
            <w:pPr>
              <w:keepNext/>
              <w:jc w:val="center"/>
              <w:rPr>
                <w:sz w:val="22"/>
              </w:rPr>
            </w:pPr>
            <w:r w:rsidRPr="00342F7C">
              <w:rPr>
                <w:sz w:val="22"/>
              </w:rPr>
              <w:t>2.9 ml (230/57.5 mg)</w:t>
            </w:r>
          </w:p>
        </w:tc>
      </w:tr>
      <w:tr w:rsidR="00D7303D" w:rsidRPr="00342F7C" w14:paraId="52429BD1" w14:textId="77777777" w:rsidTr="00285200">
        <w:tc>
          <w:tcPr>
            <w:tcW w:w="2868" w:type="dxa"/>
          </w:tcPr>
          <w:p w14:paraId="589A639F" w14:textId="77777777" w:rsidR="00D7303D" w:rsidRPr="00342F7C" w:rsidRDefault="00D7303D" w:rsidP="00306419">
            <w:pPr>
              <w:pStyle w:val="EMEANormal"/>
              <w:keepNext/>
              <w:tabs>
                <w:tab w:val="clear" w:pos="562"/>
                <w:tab w:val="left" w:pos="3060"/>
              </w:tabs>
              <w:suppressAutoHyphens w:val="0"/>
              <w:jc w:val="center"/>
              <w:rPr>
                <w:szCs w:val="24"/>
                <w:lang w:val="en-GB"/>
              </w:rPr>
            </w:pPr>
            <w:r w:rsidRPr="00342F7C">
              <w:rPr>
                <w:szCs w:val="24"/>
                <w:lang w:val="en-GB"/>
              </w:rPr>
              <w:t>1.25</w:t>
            </w:r>
          </w:p>
        </w:tc>
        <w:tc>
          <w:tcPr>
            <w:tcW w:w="4440" w:type="dxa"/>
          </w:tcPr>
          <w:p w14:paraId="35ECA354" w14:textId="77777777" w:rsidR="00D7303D" w:rsidRPr="00342F7C" w:rsidRDefault="00D7303D" w:rsidP="00306419">
            <w:pPr>
              <w:keepNext/>
              <w:jc w:val="center"/>
              <w:rPr>
                <w:sz w:val="22"/>
              </w:rPr>
            </w:pPr>
            <w:r w:rsidRPr="00342F7C">
              <w:rPr>
                <w:sz w:val="22"/>
              </w:rPr>
              <w:t>3.6 ml (287.5/71.9 mg)</w:t>
            </w:r>
          </w:p>
        </w:tc>
      </w:tr>
      <w:tr w:rsidR="00D7303D" w:rsidRPr="00342F7C" w14:paraId="3C525927" w14:textId="77777777" w:rsidTr="00285200">
        <w:tc>
          <w:tcPr>
            <w:tcW w:w="2868" w:type="dxa"/>
          </w:tcPr>
          <w:p w14:paraId="606073A5" w14:textId="77777777" w:rsidR="00D7303D" w:rsidRPr="00342F7C" w:rsidRDefault="00D7303D" w:rsidP="00306419">
            <w:pPr>
              <w:pStyle w:val="EMEANormal"/>
              <w:keepNext/>
              <w:tabs>
                <w:tab w:val="clear" w:pos="562"/>
                <w:tab w:val="left" w:pos="3060"/>
              </w:tabs>
              <w:suppressAutoHyphens w:val="0"/>
              <w:jc w:val="center"/>
              <w:rPr>
                <w:szCs w:val="24"/>
                <w:lang w:val="en-GB"/>
              </w:rPr>
            </w:pPr>
            <w:r w:rsidRPr="00342F7C">
              <w:rPr>
                <w:szCs w:val="24"/>
                <w:lang w:val="en-GB"/>
              </w:rPr>
              <w:t>1.3</w:t>
            </w:r>
          </w:p>
        </w:tc>
        <w:tc>
          <w:tcPr>
            <w:tcW w:w="4440" w:type="dxa"/>
          </w:tcPr>
          <w:p w14:paraId="6F416F29" w14:textId="77777777" w:rsidR="00D7303D" w:rsidRPr="00342F7C" w:rsidRDefault="00D7303D" w:rsidP="00306419">
            <w:pPr>
              <w:keepNext/>
              <w:jc w:val="center"/>
              <w:rPr>
                <w:sz w:val="22"/>
              </w:rPr>
            </w:pPr>
            <w:r w:rsidRPr="00342F7C">
              <w:rPr>
                <w:sz w:val="22"/>
              </w:rPr>
              <w:t>3.7 ml (299/74.8 mg)</w:t>
            </w:r>
          </w:p>
        </w:tc>
      </w:tr>
      <w:tr w:rsidR="00D7303D" w:rsidRPr="00342F7C" w14:paraId="24A78C21" w14:textId="77777777" w:rsidTr="00285200">
        <w:tc>
          <w:tcPr>
            <w:tcW w:w="2868" w:type="dxa"/>
          </w:tcPr>
          <w:p w14:paraId="3E32FE51" w14:textId="77777777" w:rsidR="00D7303D" w:rsidRPr="00342F7C" w:rsidRDefault="00D7303D" w:rsidP="00306419">
            <w:pPr>
              <w:pStyle w:val="EMEANormal"/>
              <w:keepNext/>
              <w:tabs>
                <w:tab w:val="clear" w:pos="562"/>
                <w:tab w:val="left" w:pos="3060"/>
              </w:tabs>
              <w:suppressAutoHyphens w:val="0"/>
              <w:jc w:val="center"/>
              <w:rPr>
                <w:szCs w:val="24"/>
                <w:lang w:val="en-GB"/>
              </w:rPr>
            </w:pPr>
            <w:r w:rsidRPr="00342F7C">
              <w:rPr>
                <w:szCs w:val="24"/>
                <w:lang w:val="en-GB"/>
              </w:rPr>
              <w:t>1.4</w:t>
            </w:r>
          </w:p>
        </w:tc>
        <w:tc>
          <w:tcPr>
            <w:tcW w:w="4440" w:type="dxa"/>
          </w:tcPr>
          <w:p w14:paraId="45533866" w14:textId="77777777" w:rsidR="00D7303D" w:rsidRPr="00342F7C" w:rsidRDefault="00D7303D" w:rsidP="00306419">
            <w:pPr>
              <w:keepNext/>
              <w:jc w:val="center"/>
              <w:rPr>
                <w:sz w:val="22"/>
              </w:rPr>
            </w:pPr>
            <w:r w:rsidRPr="00342F7C">
              <w:rPr>
                <w:sz w:val="22"/>
              </w:rPr>
              <w:t>4.0 ml (322/80.5 mg)</w:t>
            </w:r>
          </w:p>
        </w:tc>
      </w:tr>
      <w:tr w:rsidR="00D7303D" w:rsidRPr="00342F7C" w14:paraId="62C498B5" w14:textId="77777777" w:rsidTr="00285200">
        <w:tc>
          <w:tcPr>
            <w:tcW w:w="2868" w:type="dxa"/>
          </w:tcPr>
          <w:p w14:paraId="4AB7971E" w14:textId="77777777" w:rsidR="00D7303D" w:rsidRPr="00342F7C" w:rsidRDefault="00D7303D" w:rsidP="00306419">
            <w:pPr>
              <w:pStyle w:val="EMEANormal"/>
              <w:keepNext/>
              <w:tabs>
                <w:tab w:val="clear" w:pos="562"/>
                <w:tab w:val="left" w:pos="3060"/>
              </w:tabs>
              <w:suppressAutoHyphens w:val="0"/>
              <w:jc w:val="center"/>
              <w:rPr>
                <w:szCs w:val="24"/>
                <w:lang w:val="en-GB"/>
              </w:rPr>
            </w:pPr>
            <w:r w:rsidRPr="00342F7C">
              <w:rPr>
                <w:szCs w:val="24"/>
                <w:lang w:val="en-GB"/>
              </w:rPr>
              <w:t>1.5</w:t>
            </w:r>
          </w:p>
        </w:tc>
        <w:tc>
          <w:tcPr>
            <w:tcW w:w="4440" w:type="dxa"/>
          </w:tcPr>
          <w:p w14:paraId="002D3E88" w14:textId="77777777" w:rsidR="00D7303D" w:rsidRPr="00342F7C" w:rsidRDefault="00D7303D" w:rsidP="00306419">
            <w:pPr>
              <w:keepNext/>
              <w:jc w:val="center"/>
              <w:rPr>
                <w:sz w:val="22"/>
              </w:rPr>
            </w:pPr>
            <w:r w:rsidRPr="00342F7C">
              <w:rPr>
                <w:sz w:val="22"/>
              </w:rPr>
              <w:t>4.3 ml (345/86.3 mg)</w:t>
            </w:r>
          </w:p>
        </w:tc>
      </w:tr>
      <w:tr w:rsidR="00D7303D" w:rsidRPr="00342F7C" w14:paraId="3FCDA34E" w14:textId="77777777" w:rsidTr="00285200">
        <w:tc>
          <w:tcPr>
            <w:tcW w:w="2868" w:type="dxa"/>
          </w:tcPr>
          <w:p w14:paraId="2B234587" w14:textId="77777777" w:rsidR="00D7303D" w:rsidRPr="00342F7C" w:rsidRDefault="00D7303D" w:rsidP="00306419">
            <w:pPr>
              <w:pStyle w:val="EMEANormal"/>
              <w:keepNext/>
              <w:tabs>
                <w:tab w:val="clear" w:pos="562"/>
                <w:tab w:val="left" w:pos="3060"/>
              </w:tabs>
              <w:suppressAutoHyphens w:val="0"/>
              <w:jc w:val="center"/>
              <w:rPr>
                <w:szCs w:val="24"/>
                <w:lang w:val="en-GB"/>
              </w:rPr>
            </w:pPr>
            <w:r w:rsidRPr="00342F7C">
              <w:rPr>
                <w:szCs w:val="24"/>
                <w:lang w:val="en-GB"/>
              </w:rPr>
              <w:t>1.7</w:t>
            </w:r>
          </w:p>
        </w:tc>
        <w:tc>
          <w:tcPr>
            <w:tcW w:w="4440" w:type="dxa"/>
          </w:tcPr>
          <w:p w14:paraId="032F11E1" w14:textId="77777777" w:rsidR="00D7303D" w:rsidRPr="00342F7C" w:rsidRDefault="00D7303D" w:rsidP="00306419">
            <w:pPr>
              <w:keepNext/>
              <w:jc w:val="center"/>
              <w:rPr>
                <w:sz w:val="22"/>
              </w:rPr>
            </w:pPr>
            <w:r w:rsidRPr="00342F7C">
              <w:rPr>
                <w:sz w:val="22"/>
              </w:rPr>
              <w:t>5 ml (402.5/100.6 mg)</w:t>
            </w:r>
          </w:p>
        </w:tc>
      </w:tr>
    </w:tbl>
    <w:p w14:paraId="4EFEB484" w14:textId="77777777" w:rsidR="00D7303D" w:rsidRPr="00342F7C" w:rsidRDefault="00023AFB">
      <w:pPr>
        <w:pStyle w:val="EMEANormal"/>
        <w:rPr>
          <w:lang w:val="en-GB"/>
        </w:rPr>
      </w:pPr>
      <w:r>
        <w:rPr>
          <w:lang w:val="en-GB"/>
        </w:rPr>
        <w:tab/>
      </w:r>
      <w:r w:rsidR="00D7303D" w:rsidRPr="00342F7C">
        <w:rPr>
          <w:lang w:val="en-GB"/>
        </w:rPr>
        <w:t>*Body surface area can be calculated with the following equation</w:t>
      </w:r>
    </w:p>
    <w:p w14:paraId="1C5FF9E2" w14:textId="77777777" w:rsidR="00D7303D" w:rsidRPr="00342F7C" w:rsidRDefault="00D7303D">
      <w:pPr>
        <w:pStyle w:val="EMEANormal"/>
        <w:rPr>
          <w:lang w:val="en-GB"/>
        </w:rPr>
      </w:pPr>
      <w:r w:rsidRPr="00342F7C">
        <w:rPr>
          <w:lang w:val="en-GB"/>
        </w:rPr>
        <w:tab/>
        <w:t>BSA (m</w:t>
      </w:r>
      <w:r w:rsidRPr="00342F7C">
        <w:rPr>
          <w:vertAlign w:val="superscript"/>
          <w:lang w:val="en-GB"/>
        </w:rPr>
        <w:t>2</w:t>
      </w:r>
      <w:r w:rsidRPr="00342F7C">
        <w:rPr>
          <w:lang w:val="en-GB"/>
        </w:rPr>
        <w:t xml:space="preserve">) = </w:t>
      </w:r>
      <w:r w:rsidRPr="00342F7C">
        <w:rPr>
          <w:lang w:val="en-GB"/>
        </w:rPr>
        <w:sym w:font="Symbol" w:char="F0D6"/>
      </w:r>
      <w:r w:rsidRPr="00342F7C">
        <w:rPr>
          <w:lang w:val="en-GB"/>
        </w:rPr>
        <w:t xml:space="preserve"> (Height (cm) X Weight (kg) / 3600)</w:t>
      </w:r>
    </w:p>
    <w:p w14:paraId="290202FC" w14:textId="77777777" w:rsidR="00D7303D" w:rsidRPr="00342F7C" w:rsidRDefault="00D7303D">
      <w:pPr>
        <w:pStyle w:val="EMEANormal"/>
        <w:rPr>
          <w:lang w:val="en-GB"/>
        </w:rPr>
      </w:pPr>
    </w:p>
    <w:p w14:paraId="4D3933A5" w14:textId="77777777" w:rsidR="00EE4CD1" w:rsidRDefault="00EE4CD1" w:rsidP="00EE4CD1">
      <w:pPr>
        <w:pStyle w:val="EMEANormal"/>
        <w:rPr>
          <w:u w:val="single"/>
          <w:lang w:val="en-GB"/>
        </w:rPr>
      </w:pPr>
      <w:r w:rsidRPr="00EE4CD1">
        <w:rPr>
          <w:u w:val="single"/>
          <w:lang w:val="en-GB"/>
        </w:rPr>
        <w:t>Concomitant Therapy: Efavirenz or Nevirapine</w:t>
      </w:r>
    </w:p>
    <w:p w14:paraId="267F2054" w14:textId="77777777" w:rsidR="00EE4CD1" w:rsidRPr="00EE4CD1" w:rsidRDefault="00EE4CD1" w:rsidP="00EE4CD1">
      <w:pPr>
        <w:pStyle w:val="EMEANormal"/>
        <w:rPr>
          <w:u w:val="single"/>
          <w:lang w:val="en-GB"/>
        </w:rPr>
      </w:pPr>
    </w:p>
    <w:p w14:paraId="7607F2C1" w14:textId="77777777" w:rsidR="00EE4CD1" w:rsidRPr="002B4581" w:rsidRDefault="00EE4CD1" w:rsidP="00EE4CD1">
      <w:pPr>
        <w:pStyle w:val="EMEANormal"/>
        <w:rPr>
          <w:lang w:val="en-GB"/>
        </w:rPr>
      </w:pPr>
      <w:r>
        <w:rPr>
          <w:lang w:val="en-GB"/>
        </w:rPr>
        <w:t>The 230/57.5 mg/m</w:t>
      </w:r>
      <w:r w:rsidRPr="00AC4667">
        <w:rPr>
          <w:vertAlign w:val="superscript"/>
          <w:lang w:val="en-GB"/>
        </w:rPr>
        <w:t>2</w:t>
      </w:r>
      <w:r>
        <w:rPr>
          <w:lang w:val="en-GB"/>
        </w:rPr>
        <w:t xml:space="preserve"> dosage might be insufficient in some children when co</w:t>
      </w:r>
      <w:r>
        <w:rPr>
          <w:lang w:val="en-GB"/>
        </w:rPr>
        <w:noBreakHyphen/>
        <w:t>administered with nevirapine or efavirenz.  An increase of the dose of Kaletra to 300/75 mg/m</w:t>
      </w:r>
      <w:r w:rsidRPr="00AC4667">
        <w:rPr>
          <w:vertAlign w:val="superscript"/>
          <w:lang w:val="en-GB"/>
        </w:rPr>
        <w:t>2</w:t>
      </w:r>
      <w:r>
        <w:rPr>
          <w:lang w:val="en-GB"/>
        </w:rPr>
        <w:t xml:space="preserve"> is needed in these patients.  The recommended dose of 533/133 mg or 6.5 ml twice daily should not be exceeded.</w:t>
      </w:r>
    </w:p>
    <w:p w14:paraId="29F8D7D1" w14:textId="77777777" w:rsidR="00EE4CD1" w:rsidRDefault="00EE4CD1">
      <w:pPr>
        <w:pStyle w:val="EMEANormal"/>
        <w:rPr>
          <w:i/>
          <w:lang w:val="en-GB"/>
        </w:rPr>
      </w:pPr>
    </w:p>
    <w:p w14:paraId="4A7C3096" w14:textId="77777777" w:rsidR="004A7869" w:rsidRDefault="00D7303D">
      <w:pPr>
        <w:pStyle w:val="EMEANormal"/>
        <w:rPr>
          <w:lang w:val="en-GB"/>
        </w:rPr>
      </w:pPr>
      <w:r w:rsidRPr="00342F7C">
        <w:rPr>
          <w:i/>
          <w:lang w:val="en-GB"/>
        </w:rPr>
        <w:t xml:space="preserve">Children less than </w:t>
      </w:r>
      <w:r w:rsidR="00EE4CD1">
        <w:rPr>
          <w:i/>
          <w:lang w:val="en-GB"/>
        </w:rPr>
        <w:t>14 days</w:t>
      </w:r>
      <w:r w:rsidRPr="00342F7C">
        <w:rPr>
          <w:i/>
          <w:lang w:val="en-GB"/>
        </w:rPr>
        <w:t xml:space="preserve"> of age</w:t>
      </w:r>
      <w:r w:rsidR="00EE4CD1">
        <w:rPr>
          <w:i/>
          <w:lang w:val="en-GB"/>
        </w:rPr>
        <w:t xml:space="preserve"> and premature neonates</w:t>
      </w:r>
      <w:r w:rsidRPr="00342F7C">
        <w:rPr>
          <w:lang w:val="en-GB"/>
        </w:rPr>
        <w:t xml:space="preserve"> </w:t>
      </w:r>
    </w:p>
    <w:p w14:paraId="1960C528" w14:textId="77777777" w:rsidR="00D7303D" w:rsidRPr="00342F7C" w:rsidRDefault="00EE4CD1">
      <w:pPr>
        <w:pStyle w:val="EMEANormal"/>
        <w:rPr>
          <w:lang w:val="en-GB"/>
        </w:rPr>
      </w:pPr>
      <w:r>
        <w:rPr>
          <w:lang w:val="en-GB"/>
        </w:rPr>
        <w:t>Kaletra oral solution should not be administered to neonates before a postmenstrual age (first day of the mother’s last menstrual period to birth plus the time elapsed after birth) of 42 weeks and a postnatal age of at least 14 days has been reached (see section 4.4).</w:t>
      </w:r>
    </w:p>
    <w:p w14:paraId="30786121" w14:textId="77777777" w:rsidR="00D7303D" w:rsidRPr="00342F7C" w:rsidRDefault="00D7303D">
      <w:pPr>
        <w:pStyle w:val="EMEANormal"/>
        <w:rPr>
          <w:lang w:val="en-GB"/>
        </w:rPr>
      </w:pPr>
    </w:p>
    <w:p w14:paraId="1533016A" w14:textId="77777777" w:rsidR="004A7869" w:rsidRDefault="00D7303D">
      <w:pPr>
        <w:pStyle w:val="EMEANormal"/>
        <w:rPr>
          <w:lang w:val="en-GB"/>
        </w:rPr>
      </w:pPr>
      <w:r w:rsidRPr="00342F7C">
        <w:rPr>
          <w:i/>
          <w:lang w:val="en-GB"/>
        </w:rPr>
        <w:t>Hepatic impairment</w:t>
      </w:r>
      <w:r w:rsidRPr="00342F7C">
        <w:rPr>
          <w:lang w:val="en-GB"/>
        </w:rPr>
        <w:t xml:space="preserve"> </w:t>
      </w:r>
    </w:p>
    <w:p w14:paraId="60C9EB7D" w14:textId="77777777" w:rsidR="00D7303D" w:rsidRPr="00342F7C" w:rsidRDefault="00D7303D">
      <w:pPr>
        <w:pStyle w:val="EMEANormal"/>
        <w:rPr>
          <w:lang w:val="en-GB"/>
        </w:rPr>
      </w:pPr>
      <w:r w:rsidRPr="00342F7C">
        <w:rPr>
          <w:lang w:val="en-GB"/>
        </w:rPr>
        <w:t>In HIV-infected patients with mild to moderate hepatic impairment, an increase of approximately 30% in lopinavir exposure has been observed but is not expected to be of clinical relevance (see section 5.2).  No data are available in patients with severe hepatic impairment.  Kaletra must not be given to these patients (see section 4.3).</w:t>
      </w:r>
    </w:p>
    <w:p w14:paraId="3D5C0C27" w14:textId="77777777" w:rsidR="00D7303D" w:rsidRPr="00342F7C" w:rsidRDefault="00D7303D">
      <w:pPr>
        <w:pStyle w:val="EMEANormal"/>
        <w:rPr>
          <w:lang w:val="en-GB"/>
        </w:rPr>
      </w:pPr>
    </w:p>
    <w:p w14:paraId="0F4B03AC" w14:textId="77777777" w:rsidR="004A7869" w:rsidRDefault="00D7303D">
      <w:pPr>
        <w:pStyle w:val="EMEANormal"/>
        <w:rPr>
          <w:lang w:val="en-GB"/>
        </w:rPr>
      </w:pPr>
      <w:r w:rsidRPr="00342F7C">
        <w:rPr>
          <w:i/>
          <w:lang w:val="en-GB"/>
        </w:rPr>
        <w:t>Renal impairment</w:t>
      </w:r>
      <w:r w:rsidRPr="00342F7C">
        <w:rPr>
          <w:lang w:val="en-GB"/>
        </w:rPr>
        <w:t xml:space="preserve"> </w:t>
      </w:r>
    </w:p>
    <w:p w14:paraId="4BD8863F" w14:textId="77777777" w:rsidR="00D7303D" w:rsidRPr="00342F7C" w:rsidRDefault="004A7869">
      <w:pPr>
        <w:pStyle w:val="EMEANormal"/>
        <w:rPr>
          <w:lang w:val="en-GB"/>
        </w:rPr>
      </w:pPr>
      <w:r>
        <w:rPr>
          <w:lang w:val="en-GB"/>
        </w:rPr>
        <w:t>S</w:t>
      </w:r>
      <w:r w:rsidR="00D7303D" w:rsidRPr="00342F7C">
        <w:rPr>
          <w:lang w:val="en-GB"/>
        </w:rPr>
        <w:t>ince the renal clearance of lopinavir and ritonavir is negligible, increased plasma concentrations are not expected in patients with renal impairment.  Because lopinavir and ritonavir are highly protein bound, it is unlikely that they will be significantly removed by haemodialysis or peritoneal dialysis.</w:t>
      </w:r>
    </w:p>
    <w:p w14:paraId="4CA2F188" w14:textId="77777777" w:rsidR="00D7303D" w:rsidRPr="00342F7C" w:rsidRDefault="00D7303D">
      <w:pPr>
        <w:pStyle w:val="EMEANormal"/>
        <w:rPr>
          <w:lang w:val="en-GB"/>
        </w:rPr>
      </w:pPr>
    </w:p>
    <w:p w14:paraId="2218D5A9" w14:textId="77777777" w:rsidR="00D7303D" w:rsidRPr="00342F7C" w:rsidRDefault="00D7303D">
      <w:pPr>
        <w:pStyle w:val="EMEANormal"/>
        <w:rPr>
          <w:u w:val="single"/>
          <w:lang w:val="en-GB"/>
        </w:rPr>
      </w:pPr>
      <w:r w:rsidRPr="00342F7C">
        <w:rPr>
          <w:u w:val="single"/>
          <w:lang w:val="en-GB"/>
        </w:rPr>
        <w:t>Method of administration</w:t>
      </w:r>
    </w:p>
    <w:p w14:paraId="2DC97369" w14:textId="77777777" w:rsidR="00D7303D" w:rsidRPr="00342F7C" w:rsidRDefault="00D7303D">
      <w:pPr>
        <w:pStyle w:val="EMEANormal"/>
        <w:rPr>
          <w:u w:val="single"/>
          <w:lang w:val="en-GB"/>
        </w:rPr>
      </w:pPr>
    </w:p>
    <w:p w14:paraId="245D53C5" w14:textId="77777777" w:rsidR="00D7303D" w:rsidRPr="00342F7C" w:rsidRDefault="00D7303D">
      <w:pPr>
        <w:pStyle w:val="EMEANormal"/>
        <w:rPr>
          <w:lang w:val="en-GB"/>
        </w:rPr>
      </w:pPr>
      <w:r w:rsidRPr="00342F7C">
        <w:rPr>
          <w:lang w:val="en-GB"/>
        </w:rPr>
        <w:t>Kaletra is administered orally and should always be taken with food (see section 5.2)</w:t>
      </w:r>
      <w:r w:rsidR="00EE4CD1">
        <w:rPr>
          <w:lang w:val="en-GB"/>
        </w:rPr>
        <w:t xml:space="preserve">.  The dose should be administered using a </w:t>
      </w:r>
      <w:r w:rsidR="00EE4CD1" w:rsidRPr="00EE4CD1">
        <w:rPr>
          <w:lang w:val="en-GB"/>
        </w:rPr>
        <w:t>calibrated 2 ml or 5 ml oral dosing syringe best corresponding to the volume prescribed</w:t>
      </w:r>
      <w:r w:rsidR="00EE4CD1">
        <w:rPr>
          <w:lang w:val="en-GB"/>
        </w:rPr>
        <w:t>.</w:t>
      </w:r>
    </w:p>
    <w:p w14:paraId="2B637121" w14:textId="77777777" w:rsidR="00C81811" w:rsidRDefault="00C81811" w:rsidP="00C81811">
      <w:pPr>
        <w:pStyle w:val="EMEAHeading2SPC"/>
        <w:spacing w:beforeLines="0" w:before="0" w:afterLines="0" w:after="0"/>
        <w:rPr>
          <w:rFonts w:ascii="Times New Roman" w:hAnsi="Times New Roman"/>
          <w:lang w:val="en-GB"/>
        </w:rPr>
      </w:pPr>
    </w:p>
    <w:p w14:paraId="20F7BA2F" w14:textId="77777777" w:rsidR="00D7303D" w:rsidRDefault="00D7303D" w:rsidP="00C81811">
      <w:pPr>
        <w:pStyle w:val="EMEAHeading2SPC"/>
        <w:keepNext/>
        <w:spacing w:beforeLines="0" w:before="0" w:afterLines="0" w:after="0"/>
        <w:rPr>
          <w:rFonts w:ascii="Times New Roman" w:hAnsi="Times New Roman"/>
          <w:lang w:val="en-GB"/>
        </w:rPr>
      </w:pPr>
      <w:r w:rsidRPr="00342F7C">
        <w:rPr>
          <w:rFonts w:ascii="Times New Roman" w:hAnsi="Times New Roman"/>
          <w:lang w:val="en-GB"/>
        </w:rPr>
        <w:t>4.3</w:t>
      </w:r>
      <w:r w:rsidRPr="00342F7C">
        <w:rPr>
          <w:rFonts w:ascii="Times New Roman" w:hAnsi="Times New Roman"/>
          <w:lang w:val="en-GB"/>
        </w:rPr>
        <w:tab/>
        <w:t>Contraindications</w:t>
      </w:r>
    </w:p>
    <w:p w14:paraId="5AAE6395" w14:textId="77777777" w:rsidR="00C81811" w:rsidRPr="00C81811" w:rsidRDefault="00C81811" w:rsidP="00C81811">
      <w:pPr>
        <w:pStyle w:val="EMEANormal"/>
        <w:keepNext/>
        <w:rPr>
          <w:lang w:val="en-GB"/>
        </w:rPr>
      </w:pPr>
    </w:p>
    <w:p w14:paraId="6F2F220B" w14:textId="77777777" w:rsidR="00D7303D" w:rsidRPr="00342F7C" w:rsidRDefault="00D7303D" w:rsidP="00C81811">
      <w:pPr>
        <w:pStyle w:val="EMEANormal"/>
        <w:keepNext/>
        <w:rPr>
          <w:lang w:val="en-GB"/>
        </w:rPr>
      </w:pPr>
      <w:r w:rsidRPr="00342F7C">
        <w:rPr>
          <w:lang w:val="en-GB"/>
        </w:rPr>
        <w:t>Hypersensitivity to the active substances or to any of the excipients</w:t>
      </w:r>
      <w:r w:rsidR="00D80FE9">
        <w:rPr>
          <w:lang w:val="en-GB"/>
        </w:rPr>
        <w:t xml:space="preserve"> listed in section 6.1</w:t>
      </w:r>
      <w:r w:rsidRPr="00342F7C">
        <w:rPr>
          <w:lang w:val="en-GB"/>
        </w:rPr>
        <w:t xml:space="preserve">. </w:t>
      </w:r>
    </w:p>
    <w:p w14:paraId="7E39F4CE" w14:textId="77777777" w:rsidR="00D7303D" w:rsidRPr="00342F7C" w:rsidRDefault="00D7303D">
      <w:pPr>
        <w:pStyle w:val="EMEANormal"/>
        <w:rPr>
          <w:lang w:val="en-GB"/>
        </w:rPr>
      </w:pPr>
    </w:p>
    <w:p w14:paraId="107189EF" w14:textId="77777777" w:rsidR="00D7303D" w:rsidRPr="00342F7C" w:rsidRDefault="00D7303D">
      <w:pPr>
        <w:pStyle w:val="EMEANormal"/>
        <w:rPr>
          <w:lang w:val="en-GB"/>
        </w:rPr>
      </w:pPr>
      <w:r w:rsidRPr="00342F7C">
        <w:rPr>
          <w:lang w:val="en-GB"/>
        </w:rPr>
        <w:t>Severe hepatic insufficiency.</w:t>
      </w:r>
    </w:p>
    <w:p w14:paraId="6EC55C7B" w14:textId="77777777" w:rsidR="00D7303D" w:rsidRPr="00342F7C" w:rsidRDefault="00D7303D">
      <w:pPr>
        <w:pStyle w:val="EMEANormal"/>
        <w:rPr>
          <w:lang w:val="en-GB"/>
        </w:rPr>
      </w:pPr>
    </w:p>
    <w:p w14:paraId="2479BF8A" w14:textId="77777777" w:rsidR="00D7303D" w:rsidRDefault="00D7303D">
      <w:pPr>
        <w:pStyle w:val="EMEANormal"/>
        <w:rPr>
          <w:lang w:val="en-GB"/>
        </w:rPr>
      </w:pPr>
      <w:r w:rsidRPr="00342F7C">
        <w:rPr>
          <w:lang w:val="en-GB"/>
        </w:rPr>
        <w:t xml:space="preserve">Kaletra contains lopinavir and ritonavir, both of which are inhibitors of the P450 isoform CYP3A.  Kaletra should not be co-administered with medicinal products that are highly dependent on CYP3A for clearance and for which elevated plasma concentrations are associated with serious and/or </w:t>
      </w:r>
      <w:proofErr w:type="gramStart"/>
      <w:r w:rsidRPr="00342F7C">
        <w:rPr>
          <w:lang w:val="en-GB"/>
        </w:rPr>
        <w:t>life threatening</w:t>
      </w:r>
      <w:proofErr w:type="gramEnd"/>
      <w:r w:rsidRPr="00342F7C">
        <w:rPr>
          <w:lang w:val="en-GB"/>
        </w:rPr>
        <w:t xml:space="preserve"> events.  These medicinal products include</w:t>
      </w:r>
      <w:r>
        <w:rPr>
          <w:lang w:val="en-GB"/>
        </w:rPr>
        <w:t>:</w:t>
      </w:r>
    </w:p>
    <w:p w14:paraId="6DB5D77D" w14:textId="77777777" w:rsidR="00D7303D" w:rsidRPr="00342F7C" w:rsidRDefault="00D7303D">
      <w:pPr>
        <w:pStyle w:val="EMEANormal"/>
        <w:rPr>
          <w:lang w:val="en-GB"/>
        </w:rPr>
      </w:pPr>
    </w:p>
    <w:tbl>
      <w:tblPr>
        <w:tblW w:w="9192" w:type="dxa"/>
        <w:tblLook w:val="0000" w:firstRow="0" w:lastRow="0" w:firstColumn="0" w:lastColumn="0" w:noHBand="0" w:noVBand="0"/>
      </w:tblPr>
      <w:tblGrid>
        <w:gridCol w:w="2235"/>
        <w:gridCol w:w="3112"/>
        <w:gridCol w:w="3845"/>
      </w:tblGrid>
      <w:tr w:rsidR="00D7303D" w:rsidRPr="007750BF" w14:paraId="38384AC6" w14:textId="77777777" w:rsidTr="006E1FDC">
        <w:trPr>
          <w:cantSplit/>
        </w:trPr>
        <w:tc>
          <w:tcPr>
            <w:tcW w:w="2235" w:type="dxa"/>
            <w:tcBorders>
              <w:top w:val="single" w:sz="4" w:space="0" w:color="auto"/>
              <w:bottom w:val="single" w:sz="4" w:space="0" w:color="auto"/>
            </w:tcBorders>
          </w:tcPr>
          <w:p w14:paraId="7418C5C0" w14:textId="77777777" w:rsidR="00D7303D" w:rsidRPr="00E25432" w:rsidRDefault="00D7303D" w:rsidP="00093AB5">
            <w:pPr>
              <w:tabs>
                <w:tab w:val="left" w:pos="567"/>
              </w:tabs>
              <w:spacing w:before="120" w:after="120"/>
              <w:rPr>
                <w:b/>
                <w:bCs/>
                <w:sz w:val="22"/>
                <w:szCs w:val="22"/>
              </w:rPr>
            </w:pPr>
            <w:r w:rsidRPr="00E25432">
              <w:rPr>
                <w:b/>
                <w:bCs/>
                <w:sz w:val="22"/>
                <w:szCs w:val="22"/>
              </w:rPr>
              <w:t>Medicinal product class</w:t>
            </w:r>
          </w:p>
        </w:tc>
        <w:tc>
          <w:tcPr>
            <w:tcW w:w="3112" w:type="dxa"/>
            <w:tcBorders>
              <w:top w:val="single" w:sz="4" w:space="0" w:color="auto"/>
              <w:bottom w:val="single" w:sz="4" w:space="0" w:color="auto"/>
            </w:tcBorders>
          </w:tcPr>
          <w:p w14:paraId="756753F4" w14:textId="77777777" w:rsidR="00D7303D" w:rsidRPr="00E25432" w:rsidRDefault="00D7303D" w:rsidP="00093AB5">
            <w:pPr>
              <w:tabs>
                <w:tab w:val="left" w:pos="567"/>
              </w:tabs>
              <w:spacing w:before="120" w:after="120"/>
              <w:rPr>
                <w:b/>
                <w:bCs/>
                <w:sz w:val="22"/>
                <w:szCs w:val="22"/>
              </w:rPr>
            </w:pPr>
            <w:r w:rsidRPr="00E25432">
              <w:rPr>
                <w:b/>
                <w:bCs/>
                <w:sz w:val="22"/>
                <w:szCs w:val="22"/>
              </w:rPr>
              <w:t>Medicinal products within class</w:t>
            </w:r>
          </w:p>
        </w:tc>
        <w:tc>
          <w:tcPr>
            <w:tcW w:w="3845" w:type="dxa"/>
            <w:tcBorders>
              <w:top w:val="single" w:sz="4" w:space="0" w:color="auto"/>
              <w:bottom w:val="single" w:sz="4" w:space="0" w:color="auto"/>
            </w:tcBorders>
          </w:tcPr>
          <w:p w14:paraId="180CA590" w14:textId="77777777" w:rsidR="00D7303D" w:rsidRPr="00E25432" w:rsidRDefault="00D7303D" w:rsidP="00093AB5">
            <w:pPr>
              <w:pStyle w:val="Heading7"/>
              <w:spacing w:before="120" w:after="120"/>
              <w:rPr>
                <w:b/>
                <w:bCs/>
                <w:sz w:val="22"/>
                <w:szCs w:val="22"/>
              </w:rPr>
            </w:pPr>
            <w:r w:rsidRPr="00E25432">
              <w:rPr>
                <w:b/>
                <w:bCs/>
                <w:sz w:val="22"/>
                <w:szCs w:val="22"/>
              </w:rPr>
              <w:t>Rationale</w:t>
            </w:r>
          </w:p>
        </w:tc>
      </w:tr>
      <w:tr w:rsidR="00D7303D" w:rsidRPr="007750BF" w14:paraId="2E9F8B3C" w14:textId="77777777" w:rsidTr="002C2083">
        <w:trPr>
          <w:cantSplit/>
        </w:trPr>
        <w:tc>
          <w:tcPr>
            <w:tcW w:w="9192" w:type="dxa"/>
            <w:gridSpan w:val="3"/>
            <w:tcBorders>
              <w:top w:val="single" w:sz="4" w:space="0" w:color="auto"/>
              <w:bottom w:val="single" w:sz="4" w:space="0" w:color="auto"/>
            </w:tcBorders>
          </w:tcPr>
          <w:p w14:paraId="62995004" w14:textId="77777777" w:rsidR="00D7303D" w:rsidRPr="00E25432" w:rsidRDefault="00D7303D" w:rsidP="00093AB5">
            <w:pPr>
              <w:pStyle w:val="Heading7"/>
              <w:spacing w:before="120" w:after="120"/>
              <w:rPr>
                <w:bCs/>
                <w:sz w:val="22"/>
                <w:szCs w:val="22"/>
              </w:rPr>
            </w:pPr>
            <w:r w:rsidRPr="00E25432">
              <w:rPr>
                <w:bCs/>
                <w:sz w:val="22"/>
                <w:szCs w:val="22"/>
              </w:rPr>
              <w:t>Concomitant medicinal product levels increased</w:t>
            </w:r>
          </w:p>
        </w:tc>
      </w:tr>
      <w:tr w:rsidR="00D7303D" w:rsidRPr="007750BF" w14:paraId="33DAD90B" w14:textId="77777777" w:rsidTr="006E1FDC">
        <w:trPr>
          <w:cantSplit/>
        </w:trPr>
        <w:tc>
          <w:tcPr>
            <w:tcW w:w="2235" w:type="dxa"/>
            <w:tcBorders>
              <w:top w:val="single" w:sz="4" w:space="0" w:color="auto"/>
              <w:bottom w:val="single" w:sz="4" w:space="0" w:color="auto"/>
            </w:tcBorders>
          </w:tcPr>
          <w:p w14:paraId="39AD5836" w14:textId="77777777" w:rsidR="00D7303D" w:rsidRPr="00E25432" w:rsidRDefault="00D7303D" w:rsidP="00093AB5">
            <w:pPr>
              <w:tabs>
                <w:tab w:val="left" w:pos="567"/>
              </w:tabs>
              <w:rPr>
                <w:sz w:val="22"/>
                <w:szCs w:val="22"/>
              </w:rPr>
            </w:pPr>
            <w:r w:rsidRPr="00E25432">
              <w:rPr>
                <w:sz w:val="22"/>
                <w:szCs w:val="22"/>
              </w:rPr>
              <w:t>Alpha</w:t>
            </w:r>
            <w:r w:rsidRPr="00E25432">
              <w:rPr>
                <w:sz w:val="22"/>
                <w:szCs w:val="22"/>
                <w:vertAlign w:val="subscript"/>
              </w:rPr>
              <w:t>1</w:t>
            </w:r>
            <w:r w:rsidRPr="00E25432">
              <w:rPr>
                <w:sz w:val="22"/>
                <w:szCs w:val="22"/>
              </w:rPr>
              <w:t>-adrenoreceptor antagonist</w:t>
            </w:r>
          </w:p>
        </w:tc>
        <w:tc>
          <w:tcPr>
            <w:tcW w:w="3112" w:type="dxa"/>
            <w:tcBorders>
              <w:top w:val="single" w:sz="4" w:space="0" w:color="auto"/>
              <w:bottom w:val="single" w:sz="4" w:space="0" w:color="auto"/>
            </w:tcBorders>
          </w:tcPr>
          <w:p w14:paraId="4A1DDA2C" w14:textId="77777777" w:rsidR="00D7303D" w:rsidRPr="00E25432" w:rsidRDefault="00D7303D" w:rsidP="00093AB5">
            <w:pPr>
              <w:tabs>
                <w:tab w:val="left" w:pos="567"/>
              </w:tabs>
              <w:rPr>
                <w:sz w:val="22"/>
                <w:szCs w:val="22"/>
              </w:rPr>
            </w:pPr>
            <w:r w:rsidRPr="00E25432">
              <w:rPr>
                <w:sz w:val="22"/>
                <w:szCs w:val="22"/>
              </w:rPr>
              <w:t>Alfuzosin</w:t>
            </w:r>
          </w:p>
        </w:tc>
        <w:tc>
          <w:tcPr>
            <w:tcW w:w="3845" w:type="dxa"/>
            <w:tcBorders>
              <w:top w:val="single" w:sz="4" w:space="0" w:color="auto"/>
              <w:bottom w:val="single" w:sz="4" w:space="0" w:color="auto"/>
            </w:tcBorders>
          </w:tcPr>
          <w:p w14:paraId="7647998E" w14:textId="77777777" w:rsidR="00D7303D" w:rsidRPr="00E25432" w:rsidRDefault="00D7303D" w:rsidP="00093AB5">
            <w:pPr>
              <w:tabs>
                <w:tab w:val="left" w:pos="567"/>
              </w:tabs>
              <w:rPr>
                <w:sz w:val="22"/>
                <w:szCs w:val="22"/>
              </w:rPr>
            </w:pPr>
            <w:r w:rsidRPr="00A95936">
              <w:rPr>
                <w:sz w:val="22"/>
                <w:szCs w:val="22"/>
              </w:rPr>
              <w:t>Increased plasma concentrations of alfuzosin which may lead to severe hypotension.  The concomitant administration with alfuzosin is contraindicated (see section 4.5).</w:t>
            </w:r>
          </w:p>
        </w:tc>
      </w:tr>
      <w:tr w:rsidR="00C05E7A" w:rsidRPr="007750BF" w14:paraId="2AFA155E" w14:textId="77777777" w:rsidTr="006E1FDC">
        <w:trPr>
          <w:cantSplit/>
        </w:trPr>
        <w:tc>
          <w:tcPr>
            <w:tcW w:w="2235" w:type="dxa"/>
            <w:tcBorders>
              <w:bottom w:val="single" w:sz="4" w:space="0" w:color="auto"/>
            </w:tcBorders>
          </w:tcPr>
          <w:p w14:paraId="6DC54998" w14:textId="77777777" w:rsidR="00C05E7A" w:rsidRPr="00E25432" w:rsidRDefault="00C05E7A" w:rsidP="00E271FB">
            <w:pPr>
              <w:tabs>
                <w:tab w:val="left" w:pos="567"/>
              </w:tabs>
              <w:rPr>
                <w:sz w:val="22"/>
                <w:szCs w:val="22"/>
              </w:rPr>
            </w:pPr>
            <w:r>
              <w:rPr>
                <w:sz w:val="22"/>
                <w:szCs w:val="22"/>
              </w:rPr>
              <w:t>Antianginal</w:t>
            </w:r>
          </w:p>
        </w:tc>
        <w:tc>
          <w:tcPr>
            <w:tcW w:w="3112" w:type="dxa"/>
            <w:tcBorders>
              <w:bottom w:val="single" w:sz="4" w:space="0" w:color="auto"/>
            </w:tcBorders>
          </w:tcPr>
          <w:p w14:paraId="44A53AD0" w14:textId="77777777" w:rsidR="00C05E7A" w:rsidRPr="00E25432" w:rsidRDefault="00C05E7A" w:rsidP="00E271FB">
            <w:pPr>
              <w:tabs>
                <w:tab w:val="left" w:pos="567"/>
              </w:tabs>
              <w:rPr>
                <w:sz w:val="22"/>
                <w:szCs w:val="22"/>
              </w:rPr>
            </w:pPr>
            <w:r>
              <w:rPr>
                <w:sz w:val="22"/>
                <w:szCs w:val="22"/>
                <w:lang w:val="es-MX"/>
              </w:rPr>
              <w:t>Ranolazine</w:t>
            </w:r>
          </w:p>
        </w:tc>
        <w:tc>
          <w:tcPr>
            <w:tcW w:w="3845" w:type="dxa"/>
            <w:tcBorders>
              <w:bottom w:val="single" w:sz="4" w:space="0" w:color="auto"/>
            </w:tcBorders>
          </w:tcPr>
          <w:p w14:paraId="11CE1B4D" w14:textId="77777777" w:rsidR="00C05E7A" w:rsidRPr="00E25432" w:rsidRDefault="00C05E7A" w:rsidP="00E271FB">
            <w:pPr>
              <w:tabs>
                <w:tab w:val="left" w:pos="567"/>
              </w:tabs>
              <w:rPr>
                <w:sz w:val="22"/>
                <w:szCs w:val="22"/>
              </w:rPr>
            </w:pPr>
            <w:r>
              <w:rPr>
                <w:sz w:val="22"/>
                <w:szCs w:val="22"/>
              </w:rPr>
              <w:t>Increased plasma concentrations of ranolazine which may increase the potential for serious and/or life-threatening reactions (see section 4.5).</w:t>
            </w:r>
          </w:p>
        </w:tc>
      </w:tr>
      <w:tr w:rsidR="00D7303D" w:rsidRPr="007750BF" w14:paraId="761EDA91" w14:textId="77777777" w:rsidTr="006E1FDC">
        <w:trPr>
          <w:cantSplit/>
        </w:trPr>
        <w:tc>
          <w:tcPr>
            <w:tcW w:w="2235" w:type="dxa"/>
            <w:tcBorders>
              <w:top w:val="single" w:sz="4" w:space="0" w:color="auto"/>
              <w:bottom w:val="single" w:sz="4" w:space="0" w:color="auto"/>
            </w:tcBorders>
          </w:tcPr>
          <w:p w14:paraId="57127A0F" w14:textId="77777777" w:rsidR="00D7303D" w:rsidRPr="00E25432" w:rsidRDefault="00D7303D" w:rsidP="00323BFD">
            <w:pPr>
              <w:tabs>
                <w:tab w:val="left" w:pos="567"/>
              </w:tabs>
              <w:rPr>
                <w:sz w:val="22"/>
                <w:szCs w:val="22"/>
              </w:rPr>
            </w:pPr>
            <w:r w:rsidRPr="00E25432">
              <w:rPr>
                <w:sz w:val="22"/>
                <w:szCs w:val="22"/>
              </w:rPr>
              <w:t>Antiarrhy</w:t>
            </w:r>
            <w:r w:rsidR="00323BFD">
              <w:rPr>
                <w:sz w:val="22"/>
                <w:szCs w:val="22"/>
              </w:rPr>
              <w:t>th</w:t>
            </w:r>
            <w:r w:rsidRPr="00E25432">
              <w:rPr>
                <w:sz w:val="22"/>
                <w:szCs w:val="22"/>
              </w:rPr>
              <w:t>mics</w:t>
            </w:r>
          </w:p>
        </w:tc>
        <w:tc>
          <w:tcPr>
            <w:tcW w:w="3112" w:type="dxa"/>
            <w:tcBorders>
              <w:top w:val="single" w:sz="4" w:space="0" w:color="auto"/>
              <w:bottom w:val="single" w:sz="4" w:space="0" w:color="auto"/>
            </w:tcBorders>
          </w:tcPr>
          <w:p w14:paraId="7AE17327" w14:textId="77777777" w:rsidR="00D7303D" w:rsidRPr="00E25432" w:rsidRDefault="00D7303D" w:rsidP="00093AB5">
            <w:pPr>
              <w:tabs>
                <w:tab w:val="left" w:pos="567"/>
              </w:tabs>
              <w:rPr>
                <w:sz w:val="22"/>
                <w:szCs w:val="22"/>
                <w:lang w:val="es-MX"/>
              </w:rPr>
            </w:pPr>
            <w:r w:rsidRPr="00E25432">
              <w:rPr>
                <w:sz w:val="22"/>
                <w:szCs w:val="22"/>
                <w:lang w:val="es-MX"/>
              </w:rPr>
              <w:t>Amiodarone</w:t>
            </w:r>
            <w:r w:rsidR="00FC25FF">
              <w:rPr>
                <w:sz w:val="22"/>
                <w:szCs w:val="22"/>
                <w:lang w:val="es-MX"/>
              </w:rPr>
              <w:t>, dronedarone</w:t>
            </w:r>
          </w:p>
        </w:tc>
        <w:tc>
          <w:tcPr>
            <w:tcW w:w="3845" w:type="dxa"/>
            <w:tcBorders>
              <w:top w:val="single" w:sz="4" w:space="0" w:color="auto"/>
              <w:bottom w:val="single" w:sz="4" w:space="0" w:color="auto"/>
            </w:tcBorders>
          </w:tcPr>
          <w:p w14:paraId="360B99FA" w14:textId="77777777" w:rsidR="00D7303D" w:rsidRPr="00E25432" w:rsidRDefault="00D7303D" w:rsidP="00093AB5">
            <w:pPr>
              <w:tabs>
                <w:tab w:val="left" w:pos="567"/>
              </w:tabs>
              <w:rPr>
                <w:sz w:val="22"/>
                <w:szCs w:val="22"/>
              </w:rPr>
            </w:pPr>
            <w:r w:rsidRPr="00E25432">
              <w:rPr>
                <w:sz w:val="22"/>
                <w:szCs w:val="22"/>
              </w:rPr>
              <w:t>Increased plasma concentrations of amiodarone</w:t>
            </w:r>
            <w:r w:rsidR="00FC25FF">
              <w:rPr>
                <w:sz w:val="22"/>
                <w:szCs w:val="22"/>
              </w:rPr>
              <w:t xml:space="preserve"> and dronedarone</w:t>
            </w:r>
            <w:r w:rsidRPr="00E25432">
              <w:rPr>
                <w:sz w:val="22"/>
                <w:szCs w:val="22"/>
              </w:rPr>
              <w:t>.  Thereby, increasing the risk of arrhythmias or other serious adverse reactions</w:t>
            </w:r>
            <w:r w:rsidR="0011253A">
              <w:rPr>
                <w:sz w:val="22"/>
                <w:szCs w:val="22"/>
              </w:rPr>
              <w:t xml:space="preserve"> (see section 4.5)</w:t>
            </w:r>
            <w:r w:rsidRPr="00E25432">
              <w:rPr>
                <w:sz w:val="22"/>
                <w:szCs w:val="22"/>
              </w:rPr>
              <w:t>.</w:t>
            </w:r>
          </w:p>
        </w:tc>
      </w:tr>
      <w:tr w:rsidR="00D7303D" w:rsidRPr="007750BF" w14:paraId="67251DD7" w14:textId="77777777" w:rsidTr="006E1FDC">
        <w:trPr>
          <w:cantSplit/>
        </w:trPr>
        <w:tc>
          <w:tcPr>
            <w:tcW w:w="2235" w:type="dxa"/>
            <w:tcBorders>
              <w:top w:val="single" w:sz="4" w:space="0" w:color="auto"/>
              <w:bottom w:val="single" w:sz="4" w:space="0" w:color="auto"/>
            </w:tcBorders>
          </w:tcPr>
          <w:p w14:paraId="18B3E936" w14:textId="77777777" w:rsidR="00D7303D" w:rsidRPr="00E25432" w:rsidRDefault="00D7303D" w:rsidP="00093AB5">
            <w:pPr>
              <w:tabs>
                <w:tab w:val="left" w:pos="567"/>
              </w:tabs>
              <w:rPr>
                <w:sz w:val="22"/>
                <w:szCs w:val="22"/>
              </w:rPr>
            </w:pPr>
            <w:r w:rsidRPr="00E25432">
              <w:rPr>
                <w:sz w:val="22"/>
                <w:szCs w:val="22"/>
              </w:rPr>
              <w:t>Antibiotic</w:t>
            </w:r>
          </w:p>
        </w:tc>
        <w:tc>
          <w:tcPr>
            <w:tcW w:w="3112" w:type="dxa"/>
            <w:tcBorders>
              <w:top w:val="single" w:sz="4" w:space="0" w:color="auto"/>
              <w:bottom w:val="single" w:sz="4" w:space="0" w:color="auto"/>
            </w:tcBorders>
          </w:tcPr>
          <w:p w14:paraId="49066BE6" w14:textId="77777777" w:rsidR="00D7303D" w:rsidRPr="00E25432" w:rsidRDefault="00D7303D" w:rsidP="00093AB5">
            <w:pPr>
              <w:tabs>
                <w:tab w:val="left" w:pos="567"/>
              </w:tabs>
              <w:rPr>
                <w:sz w:val="22"/>
                <w:szCs w:val="22"/>
              </w:rPr>
            </w:pPr>
            <w:r w:rsidRPr="00E25432">
              <w:rPr>
                <w:sz w:val="22"/>
                <w:szCs w:val="22"/>
              </w:rPr>
              <w:t>Fusidic Acid</w:t>
            </w:r>
          </w:p>
        </w:tc>
        <w:tc>
          <w:tcPr>
            <w:tcW w:w="3845" w:type="dxa"/>
            <w:tcBorders>
              <w:top w:val="single" w:sz="4" w:space="0" w:color="auto"/>
              <w:bottom w:val="single" w:sz="4" w:space="0" w:color="auto"/>
            </w:tcBorders>
          </w:tcPr>
          <w:p w14:paraId="166621A3" w14:textId="77777777" w:rsidR="00D7303D" w:rsidRPr="00E25432" w:rsidRDefault="00D7303D" w:rsidP="0013745A">
            <w:pPr>
              <w:tabs>
                <w:tab w:val="left" w:pos="567"/>
              </w:tabs>
              <w:rPr>
                <w:sz w:val="22"/>
                <w:szCs w:val="22"/>
              </w:rPr>
            </w:pPr>
            <w:r w:rsidRPr="00A95936">
              <w:rPr>
                <w:sz w:val="22"/>
                <w:szCs w:val="22"/>
              </w:rPr>
              <w:t>Increased plasma concentrations of fusidic acid. The concomitant administration with fusidic acid is contraindicated in dermatological infections (see section 4.5).</w:t>
            </w:r>
          </w:p>
        </w:tc>
      </w:tr>
      <w:tr w:rsidR="000818DA" w:rsidRPr="007750BF" w14:paraId="787571F0" w14:textId="77777777" w:rsidTr="00BE1421">
        <w:trPr>
          <w:cantSplit/>
        </w:trPr>
        <w:tc>
          <w:tcPr>
            <w:tcW w:w="2235" w:type="dxa"/>
            <w:vMerge w:val="restart"/>
          </w:tcPr>
          <w:p w14:paraId="15F6A0B8" w14:textId="77777777" w:rsidR="000818DA" w:rsidRPr="00610E32" w:rsidRDefault="000818DA" w:rsidP="005766B5">
            <w:pPr>
              <w:tabs>
                <w:tab w:val="left" w:pos="567"/>
              </w:tabs>
              <w:rPr>
                <w:sz w:val="22"/>
                <w:szCs w:val="22"/>
              </w:rPr>
            </w:pPr>
            <w:r>
              <w:rPr>
                <w:sz w:val="22"/>
                <w:szCs w:val="22"/>
              </w:rPr>
              <w:t>Anticancer</w:t>
            </w:r>
          </w:p>
        </w:tc>
        <w:tc>
          <w:tcPr>
            <w:tcW w:w="3112" w:type="dxa"/>
            <w:tcBorders>
              <w:top w:val="single" w:sz="4" w:space="0" w:color="auto"/>
              <w:bottom w:val="single" w:sz="4" w:space="0" w:color="auto"/>
            </w:tcBorders>
          </w:tcPr>
          <w:p w14:paraId="31805DA1" w14:textId="77777777" w:rsidR="000818DA" w:rsidRPr="00610E32" w:rsidRDefault="000818DA" w:rsidP="005766B5">
            <w:pPr>
              <w:tabs>
                <w:tab w:val="left" w:pos="567"/>
              </w:tabs>
              <w:rPr>
                <w:sz w:val="22"/>
                <w:szCs w:val="22"/>
              </w:rPr>
            </w:pPr>
            <w:r>
              <w:rPr>
                <w:sz w:val="22"/>
                <w:szCs w:val="22"/>
              </w:rPr>
              <w:t>Neratinib</w:t>
            </w:r>
          </w:p>
        </w:tc>
        <w:tc>
          <w:tcPr>
            <w:tcW w:w="3845" w:type="dxa"/>
            <w:tcBorders>
              <w:top w:val="single" w:sz="4" w:space="0" w:color="auto"/>
              <w:bottom w:val="single" w:sz="4" w:space="0" w:color="auto"/>
            </w:tcBorders>
          </w:tcPr>
          <w:p w14:paraId="2494B877" w14:textId="77777777" w:rsidR="000818DA" w:rsidRPr="00610E32" w:rsidRDefault="000818DA" w:rsidP="005766B5">
            <w:pPr>
              <w:tabs>
                <w:tab w:val="left" w:pos="567"/>
              </w:tabs>
              <w:rPr>
                <w:sz w:val="22"/>
                <w:szCs w:val="22"/>
              </w:rPr>
            </w:pPr>
            <w:r>
              <w:rPr>
                <w:sz w:val="22"/>
                <w:szCs w:val="22"/>
              </w:rPr>
              <w:t>Increased plasma concentrations of neratinib which may increase the potential for serious and/or life</w:t>
            </w:r>
            <w:r>
              <w:rPr>
                <w:sz w:val="22"/>
                <w:szCs w:val="22"/>
              </w:rPr>
              <w:noBreakHyphen/>
              <w:t>threatening reactions (see section 4.5).</w:t>
            </w:r>
          </w:p>
        </w:tc>
      </w:tr>
      <w:tr w:rsidR="000818DA" w:rsidRPr="007750BF" w14:paraId="0FB29457" w14:textId="77777777" w:rsidTr="000818DA">
        <w:trPr>
          <w:cantSplit/>
        </w:trPr>
        <w:tc>
          <w:tcPr>
            <w:tcW w:w="2235" w:type="dxa"/>
            <w:vMerge/>
            <w:tcBorders>
              <w:bottom w:val="single" w:sz="4" w:space="0" w:color="auto"/>
            </w:tcBorders>
          </w:tcPr>
          <w:p w14:paraId="4CA0F3AE" w14:textId="77777777" w:rsidR="000818DA" w:rsidRPr="00610E32" w:rsidRDefault="000818DA" w:rsidP="005766B5">
            <w:pPr>
              <w:tabs>
                <w:tab w:val="left" w:pos="567"/>
              </w:tabs>
              <w:rPr>
                <w:sz w:val="22"/>
                <w:szCs w:val="22"/>
              </w:rPr>
            </w:pPr>
          </w:p>
        </w:tc>
        <w:tc>
          <w:tcPr>
            <w:tcW w:w="3112" w:type="dxa"/>
            <w:tcBorders>
              <w:top w:val="single" w:sz="4" w:space="0" w:color="auto"/>
              <w:bottom w:val="single" w:sz="4" w:space="0" w:color="auto"/>
            </w:tcBorders>
          </w:tcPr>
          <w:p w14:paraId="55B13ED7" w14:textId="77777777" w:rsidR="000818DA" w:rsidRPr="00610E32" w:rsidRDefault="000818DA" w:rsidP="005766B5">
            <w:pPr>
              <w:tabs>
                <w:tab w:val="left" w:pos="567"/>
              </w:tabs>
              <w:rPr>
                <w:sz w:val="22"/>
                <w:szCs w:val="22"/>
              </w:rPr>
            </w:pPr>
            <w:r w:rsidRPr="00610E32">
              <w:rPr>
                <w:sz w:val="22"/>
                <w:szCs w:val="22"/>
              </w:rPr>
              <w:t>Venetoclax</w:t>
            </w:r>
          </w:p>
        </w:tc>
        <w:tc>
          <w:tcPr>
            <w:tcW w:w="3845" w:type="dxa"/>
            <w:tcBorders>
              <w:top w:val="single" w:sz="4" w:space="0" w:color="auto"/>
              <w:bottom w:val="single" w:sz="4" w:space="0" w:color="auto"/>
            </w:tcBorders>
          </w:tcPr>
          <w:p w14:paraId="0BC495C6" w14:textId="77777777" w:rsidR="000818DA" w:rsidRPr="00610E32" w:rsidRDefault="000818DA" w:rsidP="005766B5">
            <w:pPr>
              <w:tabs>
                <w:tab w:val="left" w:pos="567"/>
              </w:tabs>
              <w:rPr>
                <w:sz w:val="22"/>
                <w:szCs w:val="22"/>
              </w:rPr>
            </w:pPr>
            <w:r w:rsidRPr="00610E32">
              <w:rPr>
                <w:sz w:val="22"/>
                <w:szCs w:val="22"/>
              </w:rPr>
              <w:t>Increased plasma concentrations of venetoclax.  Increased risk of tumor lysis syndrome at the dose initiation and during the ramp-up phase (see section 4.5).</w:t>
            </w:r>
          </w:p>
        </w:tc>
      </w:tr>
      <w:tr w:rsidR="000818DA" w:rsidRPr="007750BF" w14:paraId="26D8C3C2" w14:textId="77777777" w:rsidTr="006E1FDC">
        <w:trPr>
          <w:cantSplit/>
        </w:trPr>
        <w:tc>
          <w:tcPr>
            <w:tcW w:w="2235" w:type="dxa"/>
            <w:tcBorders>
              <w:top w:val="single" w:sz="4" w:space="0" w:color="auto"/>
              <w:bottom w:val="single" w:sz="4" w:space="0" w:color="auto"/>
            </w:tcBorders>
          </w:tcPr>
          <w:p w14:paraId="50F1850D" w14:textId="77777777" w:rsidR="000818DA" w:rsidRPr="00E25432" w:rsidRDefault="000818DA" w:rsidP="00093AB5">
            <w:pPr>
              <w:tabs>
                <w:tab w:val="left" w:pos="567"/>
              </w:tabs>
              <w:rPr>
                <w:sz w:val="22"/>
                <w:szCs w:val="22"/>
              </w:rPr>
            </w:pPr>
            <w:r>
              <w:rPr>
                <w:sz w:val="22"/>
                <w:szCs w:val="22"/>
              </w:rPr>
              <w:t>Anti-gout</w:t>
            </w:r>
          </w:p>
        </w:tc>
        <w:tc>
          <w:tcPr>
            <w:tcW w:w="3112" w:type="dxa"/>
            <w:tcBorders>
              <w:top w:val="single" w:sz="4" w:space="0" w:color="auto"/>
              <w:bottom w:val="single" w:sz="4" w:space="0" w:color="auto"/>
            </w:tcBorders>
          </w:tcPr>
          <w:p w14:paraId="5C8A2D72" w14:textId="77777777" w:rsidR="000818DA" w:rsidRPr="00E25432" w:rsidRDefault="000818DA" w:rsidP="00093AB5">
            <w:pPr>
              <w:tabs>
                <w:tab w:val="left" w:pos="567"/>
              </w:tabs>
              <w:rPr>
                <w:sz w:val="22"/>
                <w:szCs w:val="22"/>
              </w:rPr>
            </w:pPr>
            <w:r>
              <w:rPr>
                <w:sz w:val="22"/>
                <w:szCs w:val="22"/>
              </w:rPr>
              <w:t>Colchicine</w:t>
            </w:r>
          </w:p>
        </w:tc>
        <w:tc>
          <w:tcPr>
            <w:tcW w:w="3845" w:type="dxa"/>
            <w:tcBorders>
              <w:top w:val="single" w:sz="4" w:space="0" w:color="auto"/>
              <w:bottom w:val="single" w:sz="4" w:space="0" w:color="auto"/>
            </w:tcBorders>
          </w:tcPr>
          <w:p w14:paraId="3BFE5391" w14:textId="77777777" w:rsidR="000818DA" w:rsidRPr="00E25432" w:rsidRDefault="000818DA" w:rsidP="00093AB5">
            <w:pPr>
              <w:tabs>
                <w:tab w:val="left" w:pos="567"/>
              </w:tabs>
              <w:rPr>
                <w:sz w:val="22"/>
                <w:szCs w:val="22"/>
              </w:rPr>
            </w:pPr>
            <w:r>
              <w:rPr>
                <w:sz w:val="22"/>
                <w:szCs w:val="22"/>
              </w:rPr>
              <w:t>Increased plasma concentrations of colchicine.  Potential for serious and/or life-threatening reactions in patients with renal and/or hepatic impairment (see sections 4.4 and 4.5).</w:t>
            </w:r>
          </w:p>
        </w:tc>
      </w:tr>
      <w:tr w:rsidR="000818DA" w:rsidRPr="007750BF" w14:paraId="76540C0D" w14:textId="77777777" w:rsidTr="006E1FDC">
        <w:trPr>
          <w:cantSplit/>
        </w:trPr>
        <w:tc>
          <w:tcPr>
            <w:tcW w:w="2235" w:type="dxa"/>
            <w:tcBorders>
              <w:top w:val="single" w:sz="4" w:space="0" w:color="auto"/>
              <w:bottom w:val="single" w:sz="4" w:space="0" w:color="auto"/>
            </w:tcBorders>
          </w:tcPr>
          <w:p w14:paraId="64DABA66" w14:textId="77777777" w:rsidR="000818DA" w:rsidRPr="00E25432" w:rsidRDefault="000818DA" w:rsidP="00093AB5">
            <w:pPr>
              <w:tabs>
                <w:tab w:val="left" w:pos="567"/>
              </w:tabs>
              <w:rPr>
                <w:sz w:val="22"/>
                <w:szCs w:val="22"/>
              </w:rPr>
            </w:pPr>
            <w:r w:rsidRPr="00E25432">
              <w:rPr>
                <w:sz w:val="22"/>
                <w:szCs w:val="22"/>
              </w:rPr>
              <w:t>Antihistamines</w:t>
            </w:r>
          </w:p>
        </w:tc>
        <w:tc>
          <w:tcPr>
            <w:tcW w:w="3112" w:type="dxa"/>
            <w:tcBorders>
              <w:top w:val="single" w:sz="4" w:space="0" w:color="auto"/>
              <w:bottom w:val="single" w:sz="4" w:space="0" w:color="auto"/>
            </w:tcBorders>
          </w:tcPr>
          <w:p w14:paraId="362DBB7D" w14:textId="77777777" w:rsidR="000818DA" w:rsidRPr="00E25432" w:rsidRDefault="000818DA" w:rsidP="00093AB5">
            <w:pPr>
              <w:tabs>
                <w:tab w:val="left" w:pos="567"/>
              </w:tabs>
              <w:rPr>
                <w:sz w:val="22"/>
                <w:szCs w:val="22"/>
              </w:rPr>
            </w:pPr>
            <w:r w:rsidRPr="00E25432">
              <w:rPr>
                <w:sz w:val="22"/>
                <w:szCs w:val="22"/>
              </w:rPr>
              <w:t>Astemizole, terfenadine</w:t>
            </w:r>
          </w:p>
        </w:tc>
        <w:tc>
          <w:tcPr>
            <w:tcW w:w="3845" w:type="dxa"/>
            <w:tcBorders>
              <w:top w:val="single" w:sz="4" w:space="0" w:color="auto"/>
              <w:bottom w:val="single" w:sz="4" w:space="0" w:color="auto"/>
            </w:tcBorders>
          </w:tcPr>
          <w:p w14:paraId="137E7B7C" w14:textId="77777777" w:rsidR="000818DA" w:rsidRPr="00E25432" w:rsidRDefault="000818DA" w:rsidP="00093AB5">
            <w:pPr>
              <w:tabs>
                <w:tab w:val="left" w:pos="567"/>
              </w:tabs>
              <w:rPr>
                <w:sz w:val="22"/>
                <w:szCs w:val="22"/>
              </w:rPr>
            </w:pPr>
            <w:r w:rsidRPr="00E25432">
              <w:rPr>
                <w:sz w:val="22"/>
                <w:szCs w:val="22"/>
              </w:rPr>
              <w:t>Increased plasma concentrations of astemizole and terfenadine.  Thereby, increasing the risk of serious arrhythmias from these agents</w:t>
            </w:r>
            <w:r>
              <w:rPr>
                <w:sz w:val="22"/>
                <w:szCs w:val="22"/>
              </w:rPr>
              <w:t xml:space="preserve"> (see section 4.5)</w:t>
            </w:r>
            <w:r w:rsidRPr="00E25432">
              <w:rPr>
                <w:sz w:val="22"/>
                <w:szCs w:val="22"/>
              </w:rPr>
              <w:t>.</w:t>
            </w:r>
          </w:p>
        </w:tc>
      </w:tr>
      <w:tr w:rsidR="000818DA" w:rsidRPr="007750BF" w14:paraId="5F5ED033" w14:textId="77777777" w:rsidTr="006E1FDC">
        <w:trPr>
          <w:cantSplit/>
        </w:trPr>
        <w:tc>
          <w:tcPr>
            <w:tcW w:w="2235" w:type="dxa"/>
            <w:vMerge w:val="restart"/>
            <w:tcBorders>
              <w:top w:val="single" w:sz="4" w:space="0" w:color="auto"/>
            </w:tcBorders>
          </w:tcPr>
          <w:p w14:paraId="115F3DEB" w14:textId="77777777" w:rsidR="000818DA" w:rsidRPr="00E25432" w:rsidRDefault="000818DA" w:rsidP="00093AB5">
            <w:pPr>
              <w:tabs>
                <w:tab w:val="left" w:pos="567"/>
              </w:tabs>
              <w:rPr>
                <w:sz w:val="22"/>
                <w:szCs w:val="22"/>
              </w:rPr>
            </w:pPr>
            <w:r w:rsidRPr="00E25432">
              <w:rPr>
                <w:sz w:val="22"/>
                <w:szCs w:val="22"/>
              </w:rPr>
              <w:t>Antipsychotics/ Neuroleptics</w:t>
            </w:r>
          </w:p>
        </w:tc>
        <w:tc>
          <w:tcPr>
            <w:tcW w:w="3112" w:type="dxa"/>
            <w:tcBorders>
              <w:top w:val="single" w:sz="4" w:space="0" w:color="auto"/>
              <w:bottom w:val="single" w:sz="4" w:space="0" w:color="auto"/>
            </w:tcBorders>
          </w:tcPr>
          <w:p w14:paraId="0DD72921" w14:textId="77777777" w:rsidR="000818DA" w:rsidRPr="00E25432" w:rsidRDefault="000818DA" w:rsidP="00093AB5">
            <w:pPr>
              <w:tabs>
                <w:tab w:val="left" w:pos="567"/>
              </w:tabs>
              <w:rPr>
                <w:sz w:val="22"/>
                <w:szCs w:val="22"/>
              </w:rPr>
            </w:pPr>
            <w:r>
              <w:rPr>
                <w:sz w:val="22"/>
                <w:szCs w:val="22"/>
              </w:rPr>
              <w:t>Lurasidone</w:t>
            </w:r>
          </w:p>
        </w:tc>
        <w:tc>
          <w:tcPr>
            <w:tcW w:w="3845" w:type="dxa"/>
            <w:tcBorders>
              <w:top w:val="single" w:sz="4" w:space="0" w:color="auto"/>
              <w:bottom w:val="single" w:sz="4" w:space="0" w:color="auto"/>
            </w:tcBorders>
          </w:tcPr>
          <w:p w14:paraId="125198C7" w14:textId="77777777" w:rsidR="000818DA" w:rsidRPr="00E25432" w:rsidRDefault="000818DA" w:rsidP="00093AB5">
            <w:pPr>
              <w:tabs>
                <w:tab w:val="left" w:pos="567"/>
              </w:tabs>
              <w:rPr>
                <w:sz w:val="22"/>
                <w:szCs w:val="22"/>
              </w:rPr>
            </w:pPr>
            <w:r>
              <w:rPr>
                <w:sz w:val="22"/>
                <w:szCs w:val="22"/>
              </w:rPr>
              <w:t>Increased plasma concentrations of lurasidone which may increase the potential for serious and/or life-threatening reactions (see section 4.5).</w:t>
            </w:r>
          </w:p>
        </w:tc>
      </w:tr>
      <w:tr w:rsidR="000818DA" w:rsidRPr="007750BF" w14:paraId="0CB6744E" w14:textId="77777777" w:rsidTr="006E1FDC">
        <w:trPr>
          <w:cantSplit/>
        </w:trPr>
        <w:tc>
          <w:tcPr>
            <w:tcW w:w="2235" w:type="dxa"/>
            <w:vMerge/>
          </w:tcPr>
          <w:p w14:paraId="5366206C" w14:textId="77777777" w:rsidR="000818DA" w:rsidRPr="00E25432" w:rsidRDefault="000818DA" w:rsidP="00093AB5">
            <w:pPr>
              <w:tabs>
                <w:tab w:val="left" w:pos="567"/>
              </w:tabs>
              <w:rPr>
                <w:sz w:val="22"/>
                <w:szCs w:val="22"/>
              </w:rPr>
            </w:pPr>
          </w:p>
        </w:tc>
        <w:tc>
          <w:tcPr>
            <w:tcW w:w="3112" w:type="dxa"/>
            <w:tcBorders>
              <w:top w:val="single" w:sz="4" w:space="0" w:color="auto"/>
              <w:bottom w:val="single" w:sz="4" w:space="0" w:color="auto"/>
            </w:tcBorders>
          </w:tcPr>
          <w:p w14:paraId="0FF6BEA8" w14:textId="77777777" w:rsidR="000818DA" w:rsidRPr="00E25432" w:rsidRDefault="000818DA" w:rsidP="00093AB5">
            <w:pPr>
              <w:tabs>
                <w:tab w:val="left" w:pos="567"/>
              </w:tabs>
              <w:rPr>
                <w:sz w:val="22"/>
                <w:szCs w:val="22"/>
              </w:rPr>
            </w:pPr>
            <w:r w:rsidRPr="00E25432">
              <w:rPr>
                <w:sz w:val="22"/>
                <w:szCs w:val="22"/>
              </w:rPr>
              <w:t>Pimozide</w:t>
            </w:r>
          </w:p>
        </w:tc>
        <w:tc>
          <w:tcPr>
            <w:tcW w:w="3845" w:type="dxa"/>
            <w:tcBorders>
              <w:top w:val="single" w:sz="4" w:space="0" w:color="auto"/>
              <w:bottom w:val="single" w:sz="4" w:space="0" w:color="auto"/>
            </w:tcBorders>
          </w:tcPr>
          <w:p w14:paraId="07FCEA55" w14:textId="77777777" w:rsidR="000818DA" w:rsidRPr="00E25432" w:rsidRDefault="000818DA" w:rsidP="00093AB5">
            <w:pPr>
              <w:tabs>
                <w:tab w:val="left" w:pos="567"/>
              </w:tabs>
              <w:rPr>
                <w:sz w:val="22"/>
                <w:szCs w:val="22"/>
              </w:rPr>
            </w:pPr>
            <w:r w:rsidRPr="00E25432">
              <w:rPr>
                <w:sz w:val="22"/>
                <w:szCs w:val="22"/>
              </w:rPr>
              <w:t>Increased plasma concentrations of pimozide.  Thereby, increasing the risk of serious haematologic abnormalities, or other serious adverse effects from this agent</w:t>
            </w:r>
            <w:r>
              <w:rPr>
                <w:sz w:val="22"/>
                <w:szCs w:val="22"/>
              </w:rPr>
              <w:t xml:space="preserve"> (see section 4.5)</w:t>
            </w:r>
            <w:r w:rsidRPr="00E25432">
              <w:rPr>
                <w:sz w:val="22"/>
                <w:szCs w:val="22"/>
              </w:rPr>
              <w:t>.</w:t>
            </w:r>
          </w:p>
        </w:tc>
      </w:tr>
      <w:tr w:rsidR="000818DA" w:rsidRPr="007750BF" w14:paraId="16802796" w14:textId="77777777" w:rsidTr="006E1FDC">
        <w:trPr>
          <w:cantSplit/>
        </w:trPr>
        <w:tc>
          <w:tcPr>
            <w:tcW w:w="2235" w:type="dxa"/>
            <w:vMerge/>
            <w:tcBorders>
              <w:bottom w:val="single" w:sz="4" w:space="0" w:color="auto"/>
            </w:tcBorders>
          </w:tcPr>
          <w:p w14:paraId="4E989B5E" w14:textId="77777777" w:rsidR="000818DA" w:rsidRPr="00E25432" w:rsidRDefault="000818DA" w:rsidP="00093AB5">
            <w:pPr>
              <w:tabs>
                <w:tab w:val="left" w:pos="567"/>
              </w:tabs>
              <w:rPr>
                <w:sz w:val="22"/>
                <w:szCs w:val="22"/>
              </w:rPr>
            </w:pPr>
          </w:p>
        </w:tc>
        <w:tc>
          <w:tcPr>
            <w:tcW w:w="3112" w:type="dxa"/>
            <w:tcBorders>
              <w:top w:val="single" w:sz="4" w:space="0" w:color="auto"/>
              <w:bottom w:val="single" w:sz="4" w:space="0" w:color="auto"/>
            </w:tcBorders>
          </w:tcPr>
          <w:p w14:paraId="4F8D467B" w14:textId="77777777" w:rsidR="000818DA" w:rsidRPr="00B8664C" w:rsidRDefault="000818DA" w:rsidP="00093AB5">
            <w:pPr>
              <w:tabs>
                <w:tab w:val="left" w:pos="567"/>
              </w:tabs>
              <w:rPr>
                <w:sz w:val="22"/>
                <w:szCs w:val="22"/>
              </w:rPr>
            </w:pPr>
            <w:r w:rsidRPr="00B8664C">
              <w:rPr>
                <w:sz w:val="22"/>
                <w:szCs w:val="22"/>
              </w:rPr>
              <w:t>Quetiapine</w:t>
            </w:r>
          </w:p>
        </w:tc>
        <w:tc>
          <w:tcPr>
            <w:tcW w:w="3845" w:type="dxa"/>
            <w:tcBorders>
              <w:top w:val="single" w:sz="4" w:space="0" w:color="auto"/>
              <w:bottom w:val="single" w:sz="4" w:space="0" w:color="auto"/>
            </w:tcBorders>
          </w:tcPr>
          <w:p w14:paraId="79D5B4A5" w14:textId="77777777" w:rsidR="000818DA" w:rsidRPr="00B8664C" w:rsidRDefault="000818DA" w:rsidP="00093AB5">
            <w:pPr>
              <w:tabs>
                <w:tab w:val="left" w:pos="567"/>
              </w:tabs>
              <w:rPr>
                <w:sz w:val="22"/>
                <w:szCs w:val="22"/>
              </w:rPr>
            </w:pPr>
            <w:r w:rsidRPr="00B8664C">
              <w:rPr>
                <w:sz w:val="22"/>
                <w:szCs w:val="22"/>
              </w:rPr>
              <w:t>Increased plasma concentrations of quetiapine which may lead to coma.  The concomitant administration with quetiapine is contraindicated (see section 4</w:t>
            </w:r>
            <w:r>
              <w:rPr>
                <w:sz w:val="22"/>
                <w:szCs w:val="22"/>
              </w:rPr>
              <w:t>.</w:t>
            </w:r>
            <w:r w:rsidRPr="00B8664C">
              <w:rPr>
                <w:sz w:val="22"/>
                <w:szCs w:val="22"/>
              </w:rPr>
              <w:t>5).</w:t>
            </w:r>
          </w:p>
        </w:tc>
      </w:tr>
      <w:tr w:rsidR="000818DA" w:rsidRPr="007750BF" w14:paraId="5336CED7" w14:textId="77777777" w:rsidTr="006E1FDC">
        <w:trPr>
          <w:cantSplit/>
        </w:trPr>
        <w:tc>
          <w:tcPr>
            <w:tcW w:w="2235" w:type="dxa"/>
            <w:tcBorders>
              <w:top w:val="single" w:sz="4" w:space="0" w:color="auto"/>
              <w:bottom w:val="single" w:sz="4" w:space="0" w:color="auto"/>
            </w:tcBorders>
          </w:tcPr>
          <w:p w14:paraId="4D7B72E5" w14:textId="77777777" w:rsidR="000818DA" w:rsidRDefault="000818DA" w:rsidP="00093AB5">
            <w:pPr>
              <w:tabs>
                <w:tab w:val="left" w:pos="567"/>
              </w:tabs>
              <w:rPr>
                <w:sz w:val="22"/>
                <w:szCs w:val="22"/>
              </w:rPr>
            </w:pPr>
            <w:r w:rsidRPr="00E25432">
              <w:rPr>
                <w:sz w:val="22"/>
                <w:szCs w:val="22"/>
              </w:rPr>
              <w:t>Ergot alkaloids</w:t>
            </w:r>
          </w:p>
          <w:p w14:paraId="13F38706" w14:textId="77777777" w:rsidR="000818DA" w:rsidRPr="00DC2361" w:rsidRDefault="000818DA" w:rsidP="00DC2361">
            <w:pPr>
              <w:jc w:val="right"/>
              <w:rPr>
                <w:sz w:val="22"/>
                <w:szCs w:val="22"/>
              </w:rPr>
            </w:pPr>
          </w:p>
        </w:tc>
        <w:tc>
          <w:tcPr>
            <w:tcW w:w="3112" w:type="dxa"/>
            <w:tcBorders>
              <w:top w:val="single" w:sz="4" w:space="0" w:color="auto"/>
              <w:bottom w:val="single" w:sz="4" w:space="0" w:color="auto"/>
            </w:tcBorders>
          </w:tcPr>
          <w:p w14:paraId="008F9DC4" w14:textId="77777777" w:rsidR="000818DA" w:rsidRPr="00E25432" w:rsidRDefault="000818DA" w:rsidP="00093AB5">
            <w:pPr>
              <w:tabs>
                <w:tab w:val="left" w:pos="567"/>
              </w:tabs>
              <w:rPr>
                <w:sz w:val="22"/>
                <w:szCs w:val="22"/>
              </w:rPr>
            </w:pPr>
            <w:r w:rsidRPr="00E25432">
              <w:rPr>
                <w:sz w:val="22"/>
                <w:szCs w:val="22"/>
              </w:rPr>
              <w:t>Dihydroergotamine, ergonovine, ergotamine, methylergonovine</w:t>
            </w:r>
          </w:p>
        </w:tc>
        <w:tc>
          <w:tcPr>
            <w:tcW w:w="3845" w:type="dxa"/>
            <w:tcBorders>
              <w:top w:val="single" w:sz="4" w:space="0" w:color="auto"/>
              <w:bottom w:val="single" w:sz="4" w:space="0" w:color="auto"/>
            </w:tcBorders>
          </w:tcPr>
          <w:p w14:paraId="20A41E9A" w14:textId="77777777" w:rsidR="000818DA" w:rsidRPr="00E25432" w:rsidRDefault="000818DA" w:rsidP="00093AB5">
            <w:pPr>
              <w:tabs>
                <w:tab w:val="left" w:pos="567"/>
              </w:tabs>
              <w:rPr>
                <w:sz w:val="22"/>
                <w:szCs w:val="22"/>
              </w:rPr>
            </w:pPr>
            <w:r w:rsidRPr="00E25432">
              <w:rPr>
                <w:sz w:val="22"/>
                <w:szCs w:val="22"/>
              </w:rPr>
              <w:t>Increased plasma concentrations of ergot derivatives leading to acute ergot toxicity, including vasospasm and ischaemia</w:t>
            </w:r>
            <w:r>
              <w:rPr>
                <w:sz w:val="22"/>
                <w:szCs w:val="22"/>
              </w:rPr>
              <w:t xml:space="preserve"> (see section 4.5)</w:t>
            </w:r>
            <w:r w:rsidRPr="00E25432">
              <w:rPr>
                <w:sz w:val="22"/>
                <w:szCs w:val="22"/>
              </w:rPr>
              <w:t>.</w:t>
            </w:r>
          </w:p>
        </w:tc>
      </w:tr>
      <w:tr w:rsidR="000818DA" w:rsidRPr="007750BF" w14:paraId="229A305D" w14:textId="77777777" w:rsidTr="006E1FDC">
        <w:trPr>
          <w:cantSplit/>
        </w:trPr>
        <w:tc>
          <w:tcPr>
            <w:tcW w:w="2235" w:type="dxa"/>
            <w:tcBorders>
              <w:top w:val="single" w:sz="4" w:space="0" w:color="auto"/>
              <w:bottom w:val="single" w:sz="4" w:space="0" w:color="auto"/>
            </w:tcBorders>
          </w:tcPr>
          <w:p w14:paraId="78A9EBBA" w14:textId="77777777" w:rsidR="000818DA" w:rsidRPr="00E25432" w:rsidRDefault="000818DA" w:rsidP="00093AB5">
            <w:pPr>
              <w:tabs>
                <w:tab w:val="left" w:pos="567"/>
              </w:tabs>
              <w:rPr>
                <w:sz w:val="22"/>
                <w:szCs w:val="22"/>
              </w:rPr>
            </w:pPr>
            <w:r w:rsidRPr="00E25432">
              <w:rPr>
                <w:sz w:val="22"/>
                <w:szCs w:val="22"/>
              </w:rPr>
              <w:t>GI motility agent</w:t>
            </w:r>
          </w:p>
        </w:tc>
        <w:tc>
          <w:tcPr>
            <w:tcW w:w="3112" w:type="dxa"/>
            <w:tcBorders>
              <w:top w:val="single" w:sz="4" w:space="0" w:color="auto"/>
              <w:bottom w:val="single" w:sz="4" w:space="0" w:color="auto"/>
            </w:tcBorders>
          </w:tcPr>
          <w:p w14:paraId="29C52A05" w14:textId="77777777" w:rsidR="000818DA" w:rsidRPr="00E25432" w:rsidRDefault="000818DA" w:rsidP="00093AB5">
            <w:pPr>
              <w:tabs>
                <w:tab w:val="left" w:pos="567"/>
              </w:tabs>
              <w:rPr>
                <w:sz w:val="22"/>
                <w:szCs w:val="22"/>
              </w:rPr>
            </w:pPr>
            <w:r w:rsidRPr="00E25432">
              <w:rPr>
                <w:sz w:val="22"/>
                <w:szCs w:val="22"/>
              </w:rPr>
              <w:t>Cisapride</w:t>
            </w:r>
          </w:p>
        </w:tc>
        <w:tc>
          <w:tcPr>
            <w:tcW w:w="3845" w:type="dxa"/>
            <w:tcBorders>
              <w:top w:val="single" w:sz="4" w:space="0" w:color="auto"/>
              <w:bottom w:val="single" w:sz="4" w:space="0" w:color="auto"/>
            </w:tcBorders>
          </w:tcPr>
          <w:p w14:paraId="0BE9C794" w14:textId="77777777" w:rsidR="000818DA" w:rsidRPr="00E25432" w:rsidRDefault="000818DA" w:rsidP="00093AB5">
            <w:pPr>
              <w:tabs>
                <w:tab w:val="left" w:pos="567"/>
              </w:tabs>
              <w:rPr>
                <w:sz w:val="22"/>
                <w:szCs w:val="22"/>
              </w:rPr>
            </w:pPr>
            <w:r w:rsidRPr="00E25432">
              <w:rPr>
                <w:sz w:val="22"/>
                <w:szCs w:val="22"/>
              </w:rPr>
              <w:t>Increased plasma concentrations of cisapride.  Thereby, increasing the risk of serious arrhythmias from this agent</w:t>
            </w:r>
            <w:r>
              <w:rPr>
                <w:sz w:val="22"/>
                <w:szCs w:val="22"/>
              </w:rPr>
              <w:t xml:space="preserve"> (see section 4.5)</w:t>
            </w:r>
            <w:r w:rsidRPr="00E25432">
              <w:rPr>
                <w:sz w:val="22"/>
                <w:szCs w:val="22"/>
              </w:rPr>
              <w:t>.</w:t>
            </w:r>
          </w:p>
        </w:tc>
      </w:tr>
      <w:tr w:rsidR="000818DA" w:rsidRPr="007750BF" w14:paraId="4B4DA49C" w14:textId="77777777" w:rsidTr="006E1FDC">
        <w:trPr>
          <w:cantSplit/>
        </w:trPr>
        <w:tc>
          <w:tcPr>
            <w:tcW w:w="2235" w:type="dxa"/>
            <w:vMerge w:val="restart"/>
            <w:tcBorders>
              <w:top w:val="single" w:sz="4" w:space="0" w:color="auto"/>
            </w:tcBorders>
          </w:tcPr>
          <w:p w14:paraId="103E3116" w14:textId="77777777" w:rsidR="000818DA" w:rsidRPr="008C6B79" w:rsidRDefault="000818DA" w:rsidP="005766B5">
            <w:pPr>
              <w:tabs>
                <w:tab w:val="left" w:pos="567"/>
              </w:tabs>
              <w:rPr>
                <w:sz w:val="22"/>
                <w:szCs w:val="22"/>
              </w:rPr>
            </w:pPr>
            <w:r>
              <w:rPr>
                <w:sz w:val="22"/>
                <w:szCs w:val="22"/>
              </w:rPr>
              <w:t>Hepatitis C virus direct acting</w:t>
            </w:r>
            <w:r w:rsidRPr="008C6B79">
              <w:rPr>
                <w:sz w:val="22"/>
                <w:szCs w:val="22"/>
              </w:rPr>
              <w:t xml:space="preserve"> antivirals</w:t>
            </w:r>
          </w:p>
        </w:tc>
        <w:tc>
          <w:tcPr>
            <w:tcW w:w="3112" w:type="dxa"/>
            <w:tcBorders>
              <w:top w:val="single" w:sz="4" w:space="0" w:color="auto"/>
              <w:bottom w:val="single" w:sz="4" w:space="0" w:color="auto"/>
            </w:tcBorders>
          </w:tcPr>
          <w:p w14:paraId="3CEDCF8A" w14:textId="77777777" w:rsidR="000818DA" w:rsidRPr="008C6B79" w:rsidRDefault="000818DA" w:rsidP="005766B5">
            <w:pPr>
              <w:tabs>
                <w:tab w:val="left" w:pos="567"/>
              </w:tabs>
              <w:rPr>
                <w:sz w:val="22"/>
                <w:szCs w:val="22"/>
              </w:rPr>
            </w:pPr>
            <w:r w:rsidRPr="008C6B79">
              <w:rPr>
                <w:sz w:val="22"/>
                <w:szCs w:val="22"/>
              </w:rPr>
              <w:t>Elbasvir/grazoprevir</w:t>
            </w:r>
          </w:p>
        </w:tc>
        <w:tc>
          <w:tcPr>
            <w:tcW w:w="3845" w:type="dxa"/>
            <w:tcBorders>
              <w:top w:val="single" w:sz="4" w:space="0" w:color="auto"/>
              <w:bottom w:val="single" w:sz="4" w:space="0" w:color="auto"/>
            </w:tcBorders>
          </w:tcPr>
          <w:p w14:paraId="0A3FC3F8" w14:textId="77777777" w:rsidR="000818DA" w:rsidRPr="00E25432" w:rsidRDefault="000818DA" w:rsidP="005766B5">
            <w:pPr>
              <w:tabs>
                <w:tab w:val="left" w:pos="567"/>
              </w:tabs>
              <w:rPr>
                <w:sz w:val="22"/>
                <w:szCs w:val="22"/>
              </w:rPr>
            </w:pPr>
            <w:r w:rsidRPr="008C6B79">
              <w:rPr>
                <w:sz w:val="22"/>
                <w:szCs w:val="22"/>
              </w:rPr>
              <w:t>Increased risk of al</w:t>
            </w:r>
            <w:r>
              <w:rPr>
                <w:sz w:val="22"/>
                <w:szCs w:val="22"/>
              </w:rPr>
              <w:t>a</w:t>
            </w:r>
            <w:r w:rsidRPr="008C6B79">
              <w:rPr>
                <w:sz w:val="22"/>
                <w:szCs w:val="22"/>
              </w:rPr>
              <w:t>nine transaminase (ALT) elevations (see section 4.5).</w:t>
            </w:r>
          </w:p>
        </w:tc>
      </w:tr>
      <w:tr w:rsidR="000818DA" w:rsidRPr="007750BF" w14:paraId="65D8464C" w14:textId="77777777" w:rsidTr="006E1FDC">
        <w:trPr>
          <w:cantSplit/>
        </w:trPr>
        <w:tc>
          <w:tcPr>
            <w:tcW w:w="2235" w:type="dxa"/>
            <w:vMerge/>
            <w:tcBorders>
              <w:bottom w:val="single" w:sz="4" w:space="0" w:color="auto"/>
            </w:tcBorders>
          </w:tcPr>
          <w:p w14:paraId="7CB0D241" w14:textId="77777777" w:rsidR="000818DA" w:rsidRDefault="000818DA" w:rsidP="005766B5">
            <w:pPr>
              <w:tabs>
                <w:tab w:val="left" w:pos="567"/>
              </w:tabs>
              <w:rPr>
                <w:sz w:val="22"/>
                <w:szCs w:val="22"/>
              </w:rPr>
            </w:pPr>
          </w:p>
        </w:tc>
        <w:tc>
          <w:tcPr>
            <w:tcW w:w="3112" w:type="dxa"/>
            <w:tcBorders>
              <w:top w:val="single" w:sz="4" w:space="0" w:color="auto"/>
              <w:bottom w:val="single" w:sz="4" w:space="0" w:color="auto"/>
            </w:tcBorders>
          </w:tcPr>
          <w:p w14:paraId="267F02CC" w14:textId="77777777" w:rsidR="000818DA" w:rsidRPr="0029146F" w:rsidRDefault="000818DA" w:rsidP="005766B5">
            <w:pPr>
              <w:tabs>
                <w:tab w:val="left" w:pos="567"/>
              </w:tabs>
              <w:rPr>
                <w:sz w:val="22"/>
                <w:szCs w:val="22"/>
              </w:rPr>
            </w:pPr>
            <w:r w:rsidRPr="0029146F">
              <w:rPr>
                <w:sz w:val="22"/>
                <w:szCs w:val="22"/>
              </w:rPr>
              <w:t>Ombitasvir/paritaprevir/ritonavir with or without dasabuvir</w:t>
            </w:r>
          </w:p>
        </w:tc>
        <w:tc>
          <w:tcPr>
            <w:tcW w:w="3845" w:type="dxa"/>
            <w:tcBorders>
              <w:top w:val="single" w:sz="4" w:space="0" w:color="auto"/>
              <w:bottom w:val="single" w:sz="4" w:space="0" w:color="auto"/>
            </w:tcBorders>
          </w:tcPr>
          <w:p w14:paraId="719B1742" w14:textId="77777777" w:rsidR="000818DA" w:rsidRPr="0029146F" w:rsidRDefault="000818DA" w:rsidP="005766B5">
            <w:pPr>
              <w:tabs>
                <w:tab w:val="left" w:pos="567"/>
              </w:tabs>
              <w:rPr>
                <w:sz w:val="22"/>
                <w:szCs w:val="22"/>
              </w:rPr>
            </w:pPr>
            <w:r w:rsidRPr="0029146F">
              <w:rPr>
                <w:sz w:val="22"/>
                <w:szCs w:val="22"/>
              </w:rPr>
              <w:t>Increased plasma concentrations of paritaprevir; thereby, increasing the risk of alanine transaminase (ALT) elevations (see section 4.5).</w:t>
            </w:r>
          </w:p>
        </w:tc>
      </w:tr>
      <w:tr w:rsidR="000818DA" w:rsidRPr="007750BF" w14:paraId="1053F1B7" w14:textId="77777777" w:rsidTr="002D6C2D">
        <w:trPr>
          <w:cantSplit/>
        </w:trPr>
        <w:tc>
          <w:tcPr>
            <w:tcW w:w="5347" w:type="dxa"/>
            <w:gridSpan w:val="2"/>
            <w:tcBorders>
              <w:top w:val="single" w:sz="4" w:space="0" w:color="auto"/>
            </w:tcBorders>
          </w:tcPr>
          <w:p w14:paraId="350DAD3F" w14:textId="77777777" w:rsidR="000818DA" w:rsidRPr="00B52503" w:rsidRDefault="000818DA" w:rsidP="00093AB5">
            <w:pPr>
              <w:tabs>
                <w:tab w:val="left" w:pos="567"/>
              </w:tabs>
              <w:rPr>
                <w:sz w:val="22"/>
                <w:szCs w:val="22"/>
              </w:rPr>
            </w:pPr>
            <w:r w:rsidRPr="00B52503">
              <w:rPr>
                <w:sz w:val="22"/>
                <w:szCs w:val="22"/>
              </w:rPr>
              <w:t>Lipid-modifying agents</w:t>
            </w:r>
          </w:p>
          <w:p w14:paraId="68BC2958" w14:textId="77777777" w:rsidR="000818DA" w:rsidRPr="00E25432" w:rsidRDefault="000818DA" w:rsidP="00093AB5">
            <w:pPr>
              <w:tabs>
                <w:tab w:val="left" w:pos="567"/>
              </w:tabs>
              <w:rPr>
                <w:sz w:val="22"/>
                <w:szCs w:val="22"/>
              </w:rPr>
            </w:pPr>
          </w:p>
        </w:tc>
        <w:tc>
          <w:tcPr>
            <w:tcW w:w="3845" w:type="dxa"/>
            <w:tcBorders>
              <w:top w:val="single" w:sz="4" w:space="0" w:color="auto"/>
            </w:tcBorders>
          </w:tcPr>
          <w:p w14:paraId="158AFE8C" w14:textId="77777777" w:rsidR="000818DA" w:rsidRPr="00E25432" w:rsidRDefault="000818DA" w:rsidP="00093AB5">
            <w:pPr>
              <w:tabs>
                <w:tab w:val="left" w:pos="567"/>
              </w:tabs>
              <w:rPr>
                <w:sz w:val="22"/>
                <w:szCs w:val="22"/>
              </w:rPr>
            </w:pPr>
          </w:p>
        </w:tc>
      </w:tr>
      <w:tr w:rsidR="000818DA" w:rsidRPr="007750BF" w14:paraId="19F5B0BD" w14:textId="77777777" w:rsidTr="005F7244">
        <w:trPr>
          <w:cantSplit/>
        </w:trPr>
        <w:tc>
          <w:tcPr>
            <w:tcW w:w="2235" w:type="dxa"/>
          </w:tcPr>
          <w:p w14:paraId="7F6CBD70" w14:textId="77777777" w:rsidR="000818DA" w:rsidRPr="00E25432" w:rsidRDefault="000818DA" w:rsidP="00093AB5">
            <w:pPr>
              <w:tabs>
                <w:tab w:val="left" w:pos="567"/>
              </w:tabs>
              <w:rPr>
                <w:sz w:val="22"/>
                <w:szCs w:val="22"/>
              </w:rPr>
            </w:pPr>
            <w:r w:rsidRPr="00E25432">
              <w:rPr>
                <w:sz w:val="22"/>
                <w:szCs w:val="22"/>
              </w:rPr>
              <w:t>HMG Co-A Reductase Inhibitors</w:t>
            </w:r>
          </w:p>
        </w:tc>
        <w:tc>
          <w:tcPr>
            <w:tcW w:w="3112" w:type="dxa"/>
          </w:tcPr>
          <w:p w14:paraId="09AC683A" w14:textId="77777777" w:rsidR="000818DA" w:rsidRPr="00E25432" w:rsidRDefault="000818DA" w:rsidP="00093AB5">
            <w:pPr>
              <w:tabs>
                <w:tab w:val="left" w:pos="567"/>
              </w:tabs>
              <w:rPr>
                <w:sz w:val="22"/>
                <w:szCs w:val="22"/>
              </w:rPr>
            </w:pPr>
            <w:r w:rsidRPr="00E25432">
              <w:rPr>
                <w:sz w:val="22"/>
                <w:szCs w:val="22"/>
              </w:rPr>
              <w:t>Lovastatin, simvastatin</w:t>
            </w:r>
          </w:p>
        </w:tc>
        <w:tc>
          <w:tcPr>
            <w:tcW w:w="3845" w:type="dxa"/>
          </w:tcPr>
          <w:p w14:paraId="36273A55" w14:textId="77777777" w:rsidR="000818DA" w:rsidRPr="00E25432" w:rsidRDefault="000818DA" w:rsidP="00093AB5">
            <w:pPr>
              <w:tabs>
                <w:tab w:val="left" w:pos="567"/>
              </w:tabs>
              <w:rPr>
                <w:sz w:val="22"/>
                <w:szCs w:val="22"/>
              </w:rPr>
            </w:pPr>
            <w:r w:rsidRPr="00E25432">
              <w:rPr>
                <w:sz w:val="22"/>
                <w:szCs w:val="22"/>
              </w:rPr>
              <w:t>Increased plasma concentrations of lovastatin and simvastatin; thereby, increasing the risk of myopathy including rhabdomyolysis (see section 4.5).</w:t>
            </w:r>
          </w:p>
        </w:tc>
      </w:tr>
      <w:tr w:rsidR="000818DA" w:rsidRPr="007750BF" w14:paraId="20FF24E7" w14:textId="77777777" w:rsidTr="002D6C2D">
        <w:trPr>
          <w:cantSplit/>
        </w:trPr>
        <w:tc>
          <w:tcPr>
            <w:tcW w:w="2235" w:type="dxa"/>
            <w:tcBorders>
              <w:bottom w:val="single" w:sz="4" w:space="0" w:color="auto"/>
            </w:tcBorders>
          </w:tcPr>
          <w:p w14:paraId="0189FEAF" w14:textId="77777777" w:rsidR="000818DA" w:rsidRPr="00214829" w:rsidRDefault="000818DA" w:rsidP="00093AB5">
            <w:pPr>
              <w:tabs>
                <w:tab w:val="left" w:pos="567"/>
              </w:tabs>
              <w:rPr>
                <w:sz w:val="22"/>
                <w:szCs w:val="22"/>
              </w:rPr>
            </w:pPr>
            <w:r w:rsidRPr="00214829">
              <w:rPr>
                <w:sz w:val="22"/>
                <w:szCs w:val="22"/>
              </w:rPr>
              <w:t>Microsomal triglyceride transfer protein (MTTP) inhibitor</w:t>
            </w:r>
          </w:p>
        </w:tc>
        <w:tc>
          <w:tcPr>
            <w:tcW w:w="3112" w:type="dxa"/>
            <w:tcBorders>
              <w:bottom w:val="single" w:sz="4" w:space="0" w:color="auto"/>
            </w:tcBorders>
          </w:tcPr>
          <w:p w14:paraId="25FC1FA5" w14:textId="77777777" w:rsidR="000818DA" w:rsidRPr="00214829" w:rsidRDefault="000818DA" w:rsidP="00093AB5">
            <w:pPr>
              <w:tabs>
                <w:tab w:val="left" w:pos="567"/>
              </w:tabs>
              <w:rPr>
                <w:sz w:val="22"/>
                <w:szCs w:val="22"/>
              </w:rPr>
            </w:pPr>
            <w:r w:rsidRPr="00214829">
              <w:rPr>
                <w:sz w:val="22"/>
                <w:szCs w:val="22"/>
              </w:rPr>
              <w:t>Lomitapide</w:t>
            </w:r>
          </w:p>
        </w:tc>
        <w:tc>
          <w:tcPr>
            <w:tcW w:w="3845" w:type="dxa"/>
            <w:tcBorders>
              <w:bottom w:val="single" w:sz="4" w:space="0" w:color="auto"/>
            </w:tcBorders>
          </w:tcPr>
          <w:p w14:paraId="5456CCE4" w14:textId="77777777" w:rsidR="000818DA" w:rsidRPr="00214829" w:rsidRDefault="000818DA" w:rsidP="00ED4FFA">
            <w:pPr>
              <w:tabs>
                <w:tab w:val="left" w:pos="567"/>
              </w:tabs>
              <w:rPr>
                <w:sz w:val="22"/>
                <w:szCs w:val="22"/>
              </w:rPr>
            </w:pPr>
            <w:r>
              <w:rPr>
                <w:sz w:val="22"/>
                <w:szCs w:val="22"/>
              </w:rPr>
              <w:t>Increased plasma concentrations of lomitapide</w:t>
            </w:r>
            <w:r w:rsidRPr="00214829">
              <w:rPr>
                <w:sz w:val="22"/>
                <w:szCs w:val="22"/>
              </w:rPr>
              <w:t xml:space="preserve"> (see section 4.5).</w:t>
            </w:r>
          </w:p>
        </w:tc>
      </w:tr>
      <w:tr w:rsidR="000818DA" w:rsidRPr="007750BF" w14:paraId="5E7F076B" w14:textId="77777777" w:rsidTr="006E1FDC">
        <w:trPr>
          <w:cantSplit/>
        </w:trPr>
        <w:tc>
          <w:tcPr>
            <w:tcW w:w="2235" w:type="dxa"/>
            <w:vMerge w:val="restart"/>
            <w:tcBorders>
              <w:top w:val="single" w:sz="4" w:space="0" w:color="auto"/>
            </w:tcBorders>
          </w:tcPr>
          <w:p w14:paraId="77377A72" w14:textId="77777777" w:rsidR="000818DA" w:rsidRDefault="000818DA" w:rsidP="00093AB5">
            <w:pPr>
              <w:tabs>
                <w:tab w:val="left" w:pos="567"/>
              </w:tabs>
              <w:rPr>
                <w:sz w:val="22"/>
                <w:szCs w:val="22"/>
              </w:rPr>
            </w:pPr>
            <w:r>
              <w:rPr>
                <w:sz w:val="22"/>
                <w:szCs w:val="22"/>
              </w:rPr>
              <w:t>Phosphodiesterase (</w:t>
            </w:r>
            <w:r w:rsidRPr="00E25432">
              <w:rPr>
                <w:sz w:val="22"/>
                <w:szCs w:val="22"/>
              </w:rPr>
              <w:t>PDE5</w:t>
            </w:r>
            <w:r>
              <w:rPr>
                <w:sz w:val="22"/>
                <w:szCs w:val="22"/>
              </w:rPr>
              <w:t>)</w:t>
            </w:r>
            <w:r w:rsidRPr="00E25432">
              <w:rPr>
                <w:sz w:val="22"/>
                <w:szCs w:val="22"/>
              </w:rPr>
              <w:t xml:space="preserve"> inhibitors</w:t>
            </w:r>
          </w:p>
        </w:tc>
        <w:tc>
          <w:tcPr>
            <w:tcW w:w="3112" w:type="dxa"/>
            <w:tcBorders>
              <w:top w:val="single" w:sz="4" w:space="0" w:color="auto"/>
              <w:bottom w:val="single" w:sz="4" w:space="0" w:color="auto"/>
            </w:tcBorders>
          </w:tcPr>
          <w:p w14:paraId="26616106" w14:textId="77777777" w:rsidR="000818DA" w:rsidRDefault="000818DA" w:rsidP="00093AB5">
            <w:pPr>
              <w:tabs>
                <w:tab w:val="left" w:pos="567"/>
              </w:tabs>
              <w:rPr>
                <w:sz w:val="22"/>
                <w:szCs w:val="22"/>
              </w:rPr>
            </w:pPr>
            <w:r>
              <w:rPr>
                <w:sz w:val="22"/>
                <w:szCs w:val="22"/>
              </w:rPr>
              <w:t>Avanafil</w:t>
            </w:r>
          </w:p>
        </w:tc>
        <w:tc>
          <w:tcPr>
            <w:tcW w:w="3845" w:type="dxa"/>
            <w:tcBorders>
              <w:top w:val="single" w:sz="4" w:space="0" w:color="auto"/>
              <w:bottom w:val="single" w:sz="4" w:space="0" w:color="auto"/>
            </w:tcBorders>
          </w:tcPr>
          <w:p w14:paraId="00D3F588" w14:textId="77777777" w:rsidR="000818DA" w:rsidRPr="00E25432" w:rsidRDefault="000818DA" w:rsidP="00093AB5">
            <w:pPr>
              <w:tabs>
                <w:tab w:val="left" w:pos="567"/>
              </w:tabs>
              <w:rPr>
                <w:sz w:val="22"/>
                <w:szCs w:val="22"/>
              </w:rPr>
            </w:pPr>
            <w:r>
              <w:rPr>
                <w:sz w:val="22"/>
                <w:szCs w:val="22"/>
              </w:rPr>
              <w:t>Increased plasma concentrations of avanafil (see sections 4.4 and 4.5).</w:t>
            </w:r>
          </w:p>
        </w:tc>
      </w:tr>
      <w:tr w:rsidR="000818DA" w:rsidRPr="007750BF" w14:paraId="5234AD50" w14:textId="77777777" w:rsidTr="006E1FDC">
        <w:trPr>
          <w:cantSplit/>
        </w:trPr>
        <w:tc>
          <w:tcPr>
            <w:tcW w:w="2235" w:type="dxa"/>
            <w:vMerge/>
          </w:tcPr>
          <w:p w14:paraId="4A4C89BC" w14:textId="77777777" w:rsidR="000818DA" w:rsidRPr="00E25432" w:rsidRDefault="000818DA" w:rsidP="00093AB5">
            <w:pPr>
              <w:tabs>
                <w:tab w:val="left" w:pos="567"/>
              </w:tabs>
              <w:rPr>
                <w:sz w:val="22"/>
                <w:szCs w:val="22"/>
              </w:rPr>
            </w:pPr>
          </w:p>
        </w:tc>
        <w:tc>
          <w:tcPr>
            <w:tcW w:w="3112" w:type="dxa"/>
            <w:tcBorders>
              <w:top w:val="single" w:sz="4" w:space="0" w:color="auto"/>
              <w:bottom w:val="single" w:sz="4" w:space="0" w:color="auto"/>
            </w:tcBorders>
          </w:tcPr>
          <w:p w14:paraId="754CCBE2" w14:textId="77777777" w:rsidR="000818DA" w:rsidRPr="00E25432" w:rsidRDefault="000818DA" w:rsidP="00093AB5">
            <w:pPr>
              <w:tabs>
                <w:tab w:val="left" w:pos="567"/>
              </w:tabs>
              <w:rPr>
                <w:sz w:val="22"/>
                <w:szCs w:val="22"/>
              </w:rPr>
            </w:pPr>
            <w:r>
              <w:rPr>
                <w:sz w:val="22"/>
                <w:szCs w:val="22"/>
              </w:rPr>
              <w:t>Sildenafil</w:t>
            </w:r>
          </w:p>
          <w:p w14:paraId="1E368E19" w14:textId="77777777" w:rsidR="000818DA" w:rsidRPr="00E25432" w:rsidRDefault="000818DA" w:rsidP="00093AB5">
            <w:pPr>
              <w:tabs>
                <w:tab w:val="left" w:pos="567"/>
              </w:tabs>
              <w:rPr>
                <w:sz w:val="22"/>
                <w:szCs w:val="22"/>
              </w:rPr>
            </w:pPr>
          </w:p>
        </w:tc>
        <w:tc>
          <w:tcPr>
            <w:tcW w:w="3845" w:type="dxa"/>
            <w:tcBorders>
              <w:top w:val="single" w:sz="4" w:space="0" w:color="auto"/>
              <w:bottom w:val="single" w:sz="4" w:space="0" w:color="auto"/>
            </w:tcBorders>
          </w:tcPr>
          <w:p w14:paraId="2DF60543" w14:textId="77777777" w:rsidR="000818DA" w:rsidRPr="00E25432" w:rsidRDefault="000818DA" w:rsidP="00093AB5">
            <w:pPr>
              <w:tabs>
                <w:tab w:val="left" w:pos="567"/>
              </w:tabs>
              <w:rPr>
                <w:sz w:val="22"/>
                <w:szCs w:val="22"/>
              </w:rPr>
            </w:pPr>
            <w:r w:rsidRPr="00E25432">
              <w:rPr>
                <w:sz w:val="22"/>
                <w:szCs w:val="22"/>
              </w:rPr>
              <w:t>Contraindicated when used for the treatment of pulmonary arterial hypertension (PAH) only.  Increased plasma concentrations of sildenafil.  Thereby, increasing the potential for sildenafil-associated adverse events (which include hypotension and syncope).  See section 4.4 and section 4.5 for co</w:t>
            </w:r>
            <w:r>
              <w:rPr>
                <w:sz w:val="22"/>
                <w:szCs w:val="22"/>
              </w:rPr>
              <w:noBreakHyphen/>
            </w:r>
            <w:r w:rsidRPr="00E25432">
              <w:rPr>
                <w:sz w:val="22"/>
                <w:szCs w:val="22"/>
              </w:rPr>
              <w:t>administration of sildenafil in patients with erectile dysfunction.</w:t>
            </w:r>
          </w:p>
        </w:tc>
      </w:tr>
      <w:tr w:rsidR="000818DA" w:rsidRPr="007750BF" w14:paraId="47096582" w14:textId="77777777" w:rsidTr="006E1FDC">
        <w:trPr>
          <w:cantSplit/>
        </w:trPr>
        <w:tc>
          <w:tcPr>
            <w:tcW w:w="2235" w:type="dxa"/>
            <w:vMerge/>
            <w:tcBorders>
              <w:bottom w:val="single" w:sz="4" w:space="0" w:color="auto"/>
            </w:tcBorders>
          </w:tcPr>
          <w:p w14:paraId="49E9A4F6" w14:textId="77777777" w:rsidR="000818DA" w:rsidRPr="00E25432" w:rsidRDefault="000818DA" w:rsidP="00093AB5">
            <w:pPr>
              <w:tabs>
                <w:tab w:val="left" w:pos="567"/>
              </w:tabs>
              <w:rPr>
                <w:sz w:val="22"/>
                <w:szCs w:val="22"/>
                <w:highlight w:val="yellow"/>
              </w:rPr>
            </w:pPr>
          </w:p>
        </w:tc>
        <w:tc>
          <w:tcPr>
            <w:tcW w:w="3112" w:type="dxa"/>
            <w:tcBorders>
              <w:top w:val="single" w:sz="4" w:space="0" w:color="auto"/>
              <w:bottom w:val="single" w:sz="4" w:space="0" w:color="auto"/>
            </w:tcBorders>
          </w:tcPr>
          <w:p w14:paraId="236A5579" w14:textId="77777777" w:rsidR="000818DA" w:rsidRPr="00E25432" w:rsidRDefault="000818DA" w:rsidP="00093AB5">
            <w:pPr>
              <w:tabs>
                <w:tab w:val="left" w:pos="567"/>
              </w:tabs>
              <w:rPr>
                <w:sz w:val="22"/>
                <w:szCs w:val="22"/>
              </w:rPr>
            </w:pPr>
            <w:r w:rsidRPr="00E25432">
              <w:rPr>
                <w:sz w:val="22"/>
                <w:szCs w:val="22"/>
              </w:rPr>
              <w:t>Vardenafil</w:t>
            </w:r>
          </w:p>
        </w:tc>
        <w:tc>
          <w:tcPr>
            <w:tcW w:w="3845" w:type="dxa"/>
            <w:tcBorders>
              <w:top w:val="single" w:sz="4" w:space="0" w:color="auto"/>
              <w:bottom w:val="single" w:sz="4" w:space="0" w:color="auto"/>
            </w:tcBorders>
          </w:tcPr>
          <w:p w14:paraId="415DD035" w14:textId="77777777" w:rsidR="000818DA" w:rsidRPr="00E25432" w:rsidRDefault="000818DA" w:rsidP="00093AB5">
            <w:pPr>
              <w:tabs>
                <w:tab w:val="left" w:pos="567"/>
              </w:tabs>
              <w:rPr>
                <w:sz w:val="22"/>
                <w:szCs w:val="22"/>
              </w:rPr>
            </w:pPr>
            <w:r w:rsidRPr="00E25432">
              <w:rPr>
                <w:sz w:val="22"/>
                <w:szCs w:val="22"/>
              </w:rPr>
              <w:t>Increased plasma concentrations of vardenafil (see section</w:t>
            </w:r>
            <w:r>
              <w:rPr>
                <w:sz w:val="22"/>
                <w:szCs w:val="22"/>
              </w:rPr>
              <w:t>s</w:t>
            </w:r>
            <w:r w:rsidRPr="00E25432">
              <w:rPr>
                <w:sz w:val="22"/>
                <w:szCs w:val="22"/>
              </w:rPr>
              <w:t xml:space="preserve"> 4.4 and 4.5)</w:t>
            </w:r>
          </w:p>
        </w:tc>
      </w:tr>
      <w:tr w:rsidR="000818DA" w:rsidRPr="007750BF" w14:paraId="51C13E38" w14:textId="77777777" w:rsidTr="006E1FDC">
        <w:trPr>
          <w:cantSplit/>
        </w:trPr>
        <w:tc>
          <w:tcPr>
            <w:tcW w:w="2235" w:type="dxa"/>
            <w:tcBorders>
              <w:top w:val="single" w:sz="4" w:space="0" w:color="auto"/>
              <w:bottom w:val="single" w:sz="4" w:space="0" w:color="auto"/>
            </w:tcBorders>
          </w:tcPr>
          <w:p w14:paraId="4E88076A" w14:textId="77777777" w:rsidR="000818DA" w:rsidRPr="00E25432" w:rsidRDefault="000818DA" w:rsidP="00093AB5">
            <w:pPr>
              <w:tabs>
                <w:tab w:val="left" w:pos="567"/>
              </w:tabs>
              <w:rPr>
                <w:sz w:val="22"/>
                <w:szCs w:val="22"/>
              </w:rPr>
            </w:pPr>
            <w:r w:rsidRPr="00E25432">
              <w:rPr>
                <w:sz w:val="22"/>
                <w:szCs w:val="22"/>
              </w:rPr>
              <w:t>Sedatives/hypnotics</w:t>
            </w:r>
          </w:p>
        </w:tc>
        <w:tc>
          <w:tcPr>
            <w:tcW w:w="3112" w:type="dxa"/>
            <w:tcBorders>
              <w:top w:val="single" w:sz="4" w:space="0" w:color="auto"/>
              <w:bottom w:val="single" w:sz="4" w:space="0" w:color="auto"/>
            </w:tcBorders>
          </w:tcPr>
          <w:p w14:paraId="53914985" w14:textId="77777777" w:rsidR="000818DA" w:rsidRPr="00E25432" w:rsidRDefault="000818DA" w:rsidP="00093AB5">
            <w:pPr>
              <w:tabs>
                <w:tab w:val="left" w:pos="567"/>
              </w:tabs>
              <w:rPr>
                <w:sz w:val="22"/>
                <w:szCs w:val="22"/>
              </w:rPr>
            </w:pPr>
            <w:r w:rsidRPr="00E25432">
              <w:rPr>
                <w:sz w:val="22"/>
                <w:szCs w:val="22"/>
              </w:rPr>
              <w:t>Oral midazolam, triazolam</w:t>
            </w:r>
          </w:p>
        </w:tc>
        <w:tc>
          <w:tcPr>
            <w:tcW w:w="3845" w:type="dxa"/>
            <w:tcBorders>
              <w:top w:val="single" w:sz="4" w:space="0" w:color="auto"/>
              <w:bottom w:val="single" w:sz="4" w:space="0" w:color="auto"/>
            </w:tcBorders>
          </w:tcPr>
          <w:p w14:paraId="07BE4F42" w14:textId="77777777" w:rsidR="000818DA" w:rsidRPr="00E25432" w:rsidRDefault="000818DA" w:rsidP="00093AB5">
            <w:pPr>
              <w:tabs>
                <w:tab w:val="left" w:pos="567"/>
              </w:tabs>
              <w:rPr>
                <w:sz w:val="22"/>
                <w:szCs w:val="22"/>
              </w:rPr>
            </w:pPr>
            <w:r w:rsidRPr="00E25432">
              <w:rPr>
                <w:sz w:val="22"/>
                <w:szCs w:val="22"/>
              </w:rPr>
              <w:t xml:space="preserve">Increased plasma concentrations of oral midazolam and triazolam.  Thereby, increasing the risk of extreme sedation and respiratory depression from these agents.  </w:t>
            </w:r>
          </w:p>
          <w:p w14:paraId="2AF34595" w14:textId="77777777" w:rsidR="000818DA" w:rsidRPr="00E25432" w:rsidRDefault="000818DA" w:rsidP="00093AB5">
            <w:pPr>
              <w:tabs>
                <w:tab w:val="left" w:pos="567"/>
              </w:tabs>
              <w:rPr>
                <w:sz w:val="22"/>
                <w:szCs w:val="22"/>
              </w:rPr>
            </w:pPr>
            <w:r w:rsidRPr="00E25432">
              <w:rPr>
                <w:sz w:val="22"/>
                <w:szCs w:val="22"/>
              </w:rPr>
              <w:t>For caution on parenterally administered midazolam, see section 4.5.</w:t>
            </w:r>
          </w:p>
        </w:tc>
      </w:tr>
      <w:tr w:rsidR="000818DA" w:rsidRPr="007750BF" w14:paraId="3653F2B0" w14:textId="77777777" w:rsidTr="002C2083">
        <w:trPr>
          <w:cantSplit/>
        </w:trPr>
        <w:tc>
          <w:tcPr>
            <w:tcW w:w="9192" w:type="dxa"/>
            <w:gridSpan w:val="3"/>
            <w:tcBorders>
              <w:top w:val="single" w:sz="4" w:space="0" w:color="auto"/>
              <w:bottom w:val="single" w:sz="4" w:space="0" w:color="auto"/>
            </w:tcBorders>
          </w:tcPr>
          <w:p w14:paraId="7D7CC30E" w14:textId="77777777" w:rsidR="000818DA" w:rsidRPr="00E25432" w:rsidRDefault="000818DA" w:rsidP="00573B91">
            <w:pPr>
              <w:keepNext/>
              <w:tabs>
                <w:tab w:val="left" w:pos="567"/>
              </w:tabs>
              <w:spacing w:before="120" w:after="120"/>
              <w:rPr>
                <w:b/>
                <w:bCs/>
                <w:sz w:val="22"/>
                <w:szCs w:val="22"/>
              </w:rPr>
            </w:pPr>
            <w:r>
              <w:rPr>
                <w:b/>
                <w:bCs/>
                <w:sz w:val="22"/>
                <w:szCs w:val="22"/>
              </w:rPr>
              <w:t>Lopinavir/r</w:t>
            </w:r>
            <w:r w:rsidRPr="00E25432">
              <w:rPr>
                <w:b/>
                <w:bCs/>
                <w:sz w:val="22"/>
                <w:szCs w:val="22"/>
              </w:rPr>
              <w:t>itonavir medicinal product level decreased</w:t>
            </w:r>
          </w:p>
        </w:tc>
      </w:tr>
      <w:tr w:rsidR="000818DA" w:rsidRPr="007750BF" w14:paraId="36307D33" w14:textId="77777777" w:rsidTr="006E1FDC">
        <w:trPr>
          <w:cantSplit/>
        </w:trPr>
        <w:tc>
          <w:tcPr>
            <w:tcW w:w="2235" w:type="dxa"/>
            <w:tcBorders>
              <w:top w:val="single" w:sz="4" w:space="0" w:color="auto"/>
              <w:bottom w:val="single" w:sz="4" w:space="0" w:color="auto"/>
            </w:tcBorders>
          </w:tcPr>
          <w:p w14:paraId="4D92147E" w14:textId="77777777" w:rsidR="000818DA" w:rsidRPr="00E25432" w:rsidRDefault="000818DA" w:rsidP="00573B91">
            <w:pPr>
              <w:keepNext/>
              <w:tabs>
                <w:tab w:val="left" w:pos="567"/>
              </w:tabs>
              <w:rPr>
                <w:sz w:val="22"/>
                <w:szCs w:val="22"/>
              </w:rPr>
            </w:pPr>
            <w:r w:rsidRPr="00E25432">
              <w:rPr>
                <w:sz w:val="22"/>
                <w:szCs w:val="22"/>
              </w:rPr>
              <w:t xml:space="preserve">Herbal </w:t>
            </w:r>
            <w:r>
              <w:rPr>
                <w:sz w:val="22"/>
                <w:szCs w:val="22"/>
              </w:rPr>
              <w:t>products</w:t>
            </w:r>
          </w:p>
        </w:tc>
        <w:tc>
          <w:tcPr>
            <w:tcW w:w="3112" w:type="dxa"/>
            <w:tcBorders>
              <w:top w:val="single" w:sz="4" w:space="0" w:color="auto"/>
              <w:bottom w:val="single" w:sz="4" w:space="0" w:color="auto"/>
            </w:tcBorders>
          </w:tcPr>
          <w:p w14:paraId="7828F558" w14:textId="77777777" w:rsidR="000818DA" w:rsidRPr="00E25432" w:rsidRDefault="000818DA" w:rsidP="00573B91">
            <w:pPr>
              <w:keepNext/>
              <w:tabs>
                <w:tab w:val="left" w:pos="567"/>
              </w:tabs>
              <w:rPr>
                <w:sz w:val="22"/>
                <w:szCs w:val="22"/>
              </w:rPr>
            </w:pPr>
            <w:smartTag w:uri="urn:schemas-microsoft-com:office:smarttags" w:element="City">
              <w:smartTag w:uri="urn:schemas-microsoft-com:office:smarttags" w:element="place">
                <w:r w:rsidRPr="00E25432">
                  <w:rPr>
                    <w:sz w:val="22"/>
                    <w:szCs w:val="22"/>
                  </w:rPr>
                  <w:t>St. John’s</w:t>
                </w:r>
              </w:smartTag>
            </w:smartTag>
            <w:r>
              <w:rPr>
                <w:sz w:val="22"/>
                <w:szCs w:val="22"/>
              </w:rPr>
              <w:t xml:space="preserve"> w</w:t>
            </w:r>
            <w:r w:rsidRPr="00E25432">
              <w:rPr>
                <w:sz w:val="22"/>
                <w:szCs w:val="22"/>
              </w:rPr>
              <w:t>ort</w:t>
            </w:r>
          </w:p>
        </w:tc>
        <w:tc>
          <w:tcPr>
            <w:tcW w:w="3845" w:type="dxa"/>
            <w:tcBorders>
              <w:top w:val="single" w:sz="4" w:space="0" w:color="auto"/>
              <w:bottom w:val="single" w:sz="4" w:space="0" w:color="auto"/>
            </w:tcBorders>
          </w:tcPr>
          <w:p w14:paraId="56592D6C" w14:textId="77777777" w:rsidR="000818DA" w:rsidRPr="00E25432" w:rsidRDefault="000818DA" w:rsidP="00573B91">
            <w:pPr>
              <w:keepNext/>
              <w:tabs>
                <w:tab w:val="left" w:pos="567"/>
              </w:tabs>
              <w:rPr>
                <w:sz w:val="22"/>
                <w:szCs w:val="22"/>
              </w:rPr>
            </w:pPr>
            <w:r w:rsidRPr="00E25432">
              <w:rPr>
                <w:sz w:val="22"/>
                <w:szCs w:val="22"/>
              </w:rPr>
              <w:t xml:space="preserve">Herbal preparations containing </w:t>
            </w:r>
            <w:smartTag w:uri="urn:schemas-microsoft-com:office:smarttags" w:element="City">
              <w:smartTag w:uri="urn:schemas-microsoft-com:office:smarttags" w:element="place">
                <w:r w:rsidRPr="00E25432">
                  <w:rPr>
                    <w:sz w:val="22"/>
                    <w:szCs w:val="22"/>
                  </w:rPr>
                  <w:t>St John’s</w:t>
                </w:r>
              </w:smartTag>
            </w:smartTag>
            <w:r w:rsidRPr="00E25432">
              <w:rPr>
                <w:sz w:val="22"/>
                <w:szCs w:val="22"/>
              </w:rPr>
              <w:t xml:space="preserve"> wort (</w:t>
            </w:r>
            <w:r w:rsidRPr="00E25432">
              <w:rPr>
                <w:i/>
                <w:sz w:val="22"/>
                <w:szCs w:val="22"/>
              </w:rPr>
              <w:t>Hypericum perforatum)</w:t>
            </w:r>
            <w:r w:rsidRPr="00E25432">
              <w:rPr>
                <w:sz w:val="22"/>
                <w:szCs w:val="22"/>
              </w:rPr>
              <w:t xml:space="preserve"> due to the risk of decreased plasma concentrations and reduced clinical effects of lopinavir and ritonavir (see section 4.5).</w:t>
            </w:r>
          </w:p>
        </w:tc>
      </w:tr>
    </w:tbl>
    <w:p w14:paraId="7D3FD5C1" w14:textId="77777777" w:rsidR="00D7303D" w:rsidRPr="00342F7C" w:rsidRDefault="00D7303D">
      <w:pPr>
        <w:pStyle w:val="EMEANormal"/>
        <w:rPr>
          <w:lang w:val="en-GB"/>
        </w:rPr>
      </w:pPr>
    </w:p>
    <w:p w14:paraId="14F85137" w14:textId="77777777" w:rsidR="00D7303D" w:rsidRPr="00342F7C" w:rsidRDefault="00D7303D">
      <w:pPr>
        <w:pStyle w:val="EMEANormal"/>
        <w:rPr>
          <w:lang w:val="en-GB"/>
        </w:rPr>
      </w:pPr>
      <w:r w:rsidRPr="00342F7C">
        <w:rPr>
          <w:lang w:val="en-GB"/>
        </w:rPr>
        <w:t xml:space="preserve">Kaletra oral solution is contraindicated in children below the age of </w:t>
      </w:r>
      <w:r w:rsidR="00EE4CD1">
        <w:rPr>
          <w:lang w:val="en-GB"/>
        </w:rPr>
        <w:t>14 days</w:t>
      </w:r>
      <w:r w:rsidRPr="00342F7C">
        <w:rPr>
          <w:lang w:val="en-GB"/>
        </w:rPr>
        <w:t>, pregnant women, patients with hepatic or renal failure and patients treated with disulfiram or metronidazole due to the potential risk of toxicity from the excipient propylene glycol (see section 4.4).</w:t>
      </w:r>
    </w:p>
    <w:p w14:paraId="15506773" w14:textId="77777777" w:rsidR="00C81811" w:rsidRDefault="00C81811" w:rsidP="00C81811">
      <w:pPr>
        <w:pStyle w:val="EMEAHeading2SPC"/>
        <w:spacing w:beforeLines="0" w:before="0" w:afterLines="0" w:after="0"/>
        <w:rPr>
          <w:rFonts w:ascii="Times New Roman" w:hAnsi="Times New Roman"/>
          <w:lang w:val="en-GB"/>
        </w:rPr>
      </w:pPr>
    </w:p>
    <w:p w14:paraId="489D70A8" w14:textId="77777777" w:rsidR="00D7303D" w:rsidRDefault="00D7303D" w:rsidP="00387CF0">
      <w:pPr>
        <w:pStyle w:val="EMEAHeading2SPC"/>
        <w:keepNext/>
        <w:spacing w:beforeLines="0" w:before="0" w:afterLines="0" w:after="0"/>
        <w:rPr>
          <w:rFonts w:ascii="Times New Roman" w:hAnsi="Times New Roman"/>
          <w:lang w:val="en-GB"/>
        </w:rPr>
      </w:pPr>
      <w:r w:rsidRPr="00342F7C">
        <w:rPr>
          <w:rFonts w:ascii="Times New Roman" w:hAnsi="Times New Roman"/>
          <w:lang w:val="en-GB"/>
        </w:rPr>
        <w:t>4.4</w:t>
      </w:r>
      <w:r w:rsidRPr="00342F7C">
        <w:rPr>
          <w:rFonts w:ascii="Times New Roman" w:hAnsi="Times New Roman"/>
          <w:lang w:val="en-GB"/>
        </w:rPr>
        <w:tab/>
        <w:t xml:space="preserve">Special warnings and precautions for use </w:t>
      </w:r>
    </w:p>
    <w:p w14:paraId="5AF7BA9E" w14:textId="77777777" w:rsidR="006D4377" w:rsidRPr="00C81811" w:rsidRDefault="006D4377" w:rsidP="00387CF0">
      <w:pPr>
        <w:pStyle w:val="EMEANormal"/>
        <w:keepNext/>
        <w:rPr>
          <w:lang w:val="en-GB"/>
        </w:rPr>
      </w:pPr>
    </w:p>
    <w:p w14:paraId="6CBF1437" w14:textId="77777777" w:rsidR="00D7303D" w:rsidRPr="0017061C" w:rsidRDefault="00D7303D" w:rsidP="00387CF0">
      <w:pPr>
        <w:pStyle w:val="EMEAHeadingUI"/>
        <w:keepNext/>
        <w:spacing w:beforeLines="0" w:before="0" w:afterLines="0" w:after="0"/>
        <w:rPr>
          <w:u w:val="none"/>
          <w:lang w:val="en-GB"/>
        </w:rPr>
      </w:pPr>
      <w:r w:rsidRPr="0017061C">
        <w:rPr>
          <w:u w:val="none"/>
          <w:lang w:val="en-GB"/>
        </w:rPr>
        <w:t>Patients with coexisting conditions</w:t>
      </w:r>
    </w:p>
    <w:p w14:paraId="7977737E" w14:textId="77777777" w:rsidR="00C81811" w:rsidRPr="00C81811" w:rsidRDefault="00C81811" w:rsidP="00387CF0">
      <w:pPr>
        <w:pStyle w:val="EMEANormal"/>
        <w:keepNext/>
        <w:rPr>
          <w:lang w:val="en-GB"/>
        </w:rPr>
      </w:pPr>
    </w:p>
    <w:p w14:paraId="7696B02A" w14:textId="77777777" w:rsidR="00EA4079" w:rsidRDefault="00D7303D" w:rsidP="00387CF0">
      <w:pPr>
        <w:pStyle w:val="EMEANormal"/>
        <w:keepNext/>
        <w:rPr>
          <w:lang w:val="en-GB"/>
        </w:rPr>
      </w:pPr>
      <w:r w:rsidRPr="0017061C">
        <w:rPr>
          <w:iCs/>
          <w:u w:val="single"/>
          <w:lang w:val="en-GB"/>
        </w:rPr>
        <w:t>Hepatic impairment</w:t>
      </w:r>
    </w:p>
    <w:p w14:paraId="0DF14428" w14:textId="77777777" w:rsidR="00D7303D" w:rsidRPr="00342F7C" w:rsidRDefault="00EA4079" w:rsidP="00387CF0">
      <w:pPr>
        <w:pStyle w:val="EMEANormal"/>
        <w:keepNext/>
        <w:rPr>
          <w:lang w:val="en-GB"/>
        </w:rPr>
      </w:pPr>
      <w:r>
        <w:rPr>
          <w:lang w:val="en-GB"/>
        </w:rPr>
        <w:t>T</w:t>
      </w:r>
      <w:r w:rsidR="00D7303D" w:rsidRPr="00342F7C">
        <w:rPr>
          <w:lang w:val="en-GB"/>
        </w:rPr>
        <w:t>he safety and efficacy of Kaletra has not been established in patients with significant underlying liver disorders.  Kaletra is contraindicated in patients with severe liver impairment (see section 4.3).  Patients with chronic hepatitis B or C and treated with combination antiretroviral therapy are at an increased risk for severe and potentially fatal hepatic adverse reactions.  In case of concomitant antiviral therapy for hepatitis B or C, please refer to the relevant product information for these medicinal products.</w:t>
      </w:r>
    </w:p>
    <w:p w14:paraId="7BD0609C" w14:textId="77777777" w:rsidR="00D7303D" w:rsidRPr="00342F7C" w:rsidRDefault="00D7303D">
      <w:pPr>
        <w:pStyle w:val="EMEANormal"/>
        <w:rPr>
          <w:lang w:val="en-GB"/>
        </w:rPr>
      </w:pPr>
    </w:p>
    <w:p w14:paraId="041735B7" w14:textId="77777777" w:rsidR="00D7303D" w:rsidRPr="00342F7C" w:rsidRDefault="00D7303D" w:rsidP="00BD7D49">
      <w:pPr>
        <w:pStyle w:val="EMEANormal"/>
        <w:rPr>
          <w:lang w:val="en-GB"/>
        </w:rPr>
      </w:pPr>
      <w:r w:rsidRPr="00342F7C">
        <w:rPr>
          <w:lang w:val="en-GB"/>
        </w:rPr>
        <w:t xml:space="preserve">Patients with pre-existing liver dysfunction including chronic hepatitis have an increased frequency of liver function abnormalities during combination antiretroviral therapy and should be monitored according to standard practice.  If there is evidence of worsening liver disease in such patients, interruption or discontinuation of treatment should be considered.  </w:t>
      </w:r>
    </w:p>
    <w:p w14:paraId="09745678" w14:textId="77777777" w:rsidR="00D7303D" w:rsidRPr="00342F7C" w:rsidRDefault="00D7303D" w:rsidP="00BD7D49">
      <w:pPr>
        <w:pStyle w:val="EMEANormal"/>
        <w:rPr>
          <w:lang w:val="en-GB"/>
        </w:rPr>
      </w:pPr>
    </w:p>
    <w:p w14:paraId="4F25FAC8" w14:textId="77777777" w:rsidR="00D7303D" w:rsidRPr="00342F7C" w:rsidRDefault="00D7303D" w:rsidP="002A75DB">
      <w:pPr>
        <w:pStyle w:val="EMEANormal"/>
        <w:keepNext/>
        <w:keepLines/>
        <w:rPr>
          <w:lang w:val="en-GB"/>
        </w:rPr>
      </w:pPr>
      <w:r w:rsidRPr="00342F7C">
        <w:rPr>
          <w:lang w:val="en-GB"/>
        </w:rPr>
        <w:t>Elevated transaminases with or without elevated bilirubin levels have been reported in HIV-1 mono</w:t>
      </w:r>
      <w:r w:rsidRPr="00342F7C">
        <w:rPr>
          <w:lang w:val="en-GB"/>
        </w:rPr>
        <w:noBreakHyphen/>
        <w:t>infected and in individuals treated for post-exposure prophylaxis as early as 7 days after the initiation of lopinavir/ritonavir in conjunction with other antiretroviral agents.  In some cases the hepatic dysfunction was serious.</w:t>
      </w:r>
    </w:p>
    <w:p w14:paraId="7F12A58A" w14:textId="77777777" w:rsidR="00D7303D" w:rsidRPr="00342F7C" w:rsidRDefault="00D7303D" w:rsidP="00BD7D49">
      <w:pPr>
        <w:pStyle w:val="EMEANormal"/>
        <w:rPr>
          <w:lang w:val="en-GB"/>
        </w:rPr>
      </w:pPr>
    </w:p>
    <w:p w14:paraId="0965AC00" w14:textId="77777777" w:rsidR="00D7303D" w:rsidRPr="00342F7C" w:rsidRDefault="00D7303D" w:rsidP="00BD7D49">
      <w:pPr>
        <w:pStyle w:val="EMEANormal"/>
        <w:rPr>
          <w:lang w:val="en-GB"/>
        </w:rPr>
      </w:pPr>
      <w:r w:rsidRPr="00342F7C">
        <w:rPr>
          <w:lang w:val="en-GB"/>
        </w:rPr>
        <w:t>Appropriate laboratory testing should be conducted prior to initiating therapy with lopinavir/ritonavir and close monitoring should be performed during treatment.</w:t>
      </w:r>
    </w:p>
    <w:p w14:paraId="1C84420F" w14:textId="77777777" w:rsidR="00D7303D" w:rsidRPr="00342F7C" w:rsidRDefault="00D7303D">
      <w:pPr>
        <w:pStyle w:val="EMEANormal"/>
        <w:rPr>
          <w:lang w:val="en-GB"/>
        </w:rPr>
      </w:pPr>
    </w:p>
    <w:p w14:paraId="18E70CEC" w14:textId="77777777" w:rsidR="00EA4079" w:rsidRDefault="00D7303D">
      <w:pPr>
        <w:pStyle w:val="EMEANormal"/>
        <w:rPr>
          <w:lang w:val="en-GB"/>
        </w:rPr>
      </w:pPr>
      <w:r w:rsidRPr="0017061C">
        <w:rPr>
          <w:iCs/>
          <w:u w:val="single"/>
          <w:lang w:val="en-GB"/>
        </w:rPr>
        <w:t>Renal impairment</w:t>
      </w:r>
    </w:p>
    <w:p w14:paraId="72E77A8B" w14:textId="77777777" w:rsidR="00D7303D" w:rsidRPr="00342F7C" w:rsidRDefault="00EA4079">
      <w:pPr>
        <w:pStyle w:val="EMEANormal"/>
        <w:rPr>
          <w:lang w:val="en-GB"/>
        </w:rPr>
      </w:pPr>
      <w:r>
        <w:rPr>
          <w:lang w:val="en-GB"/>
        </w:rPr>
        <w:t>S</w:t>
      </w:r>
      <w:r w:rsidR="00D7303D" w:rsidRPr="00342F7C">
        <w:rPr>
          <w:lang w:val="en-GB"/>
        </w:rPr>
        <w:t>ince the renal clearance of lopinavir and ritonavir is negligible, increased plasma concentrations are not expected in patients with renal impairment.  Because lopinavir and ritonavir are highly protein bound, it is unlikely that they will be significantly removed by haemodialysis or peritoneal dialysis.</w:t>
      </w:r>
    </w:p>
    <w:p w14:paraId="35552B45" w14:textId="77777777" w:rsidR="00D7303D" w:rsidRPr="00342F7C" w:rsidRDefault="00D7303D">
      <w:pPr>
        <w:pStyle w:val="EMEANormal"/>
        <w:rPr>
          <w:lang w:val="en-GB"/>
        </w:rPr>
      </w:pPr>
    </w:p>
    <w:p w14:paraId="1F69CAD0" w14:textId="77777777" w:rsidR="00EA4079" w:rsidRDefault="00D7303D">
      <w:pPr>
        <w:pStyle w:val="EMEANormal"/>
        <w:rPr>
          <w:lang w:val="en-GB"/>
        </w:rPr>
      </w:pPr>
      <w:r w:rsidRPr="0017061C">
        <w:rPr>
          <w:iCs/>
          <w:u w:val="single"/>
          <w:lang w:val="en-GB"/>
        </w:rPr>
        <w:t>Haemophilia</w:t>
      </w:r>
    </w:p>
    <w:p w14:paraId="389651BF" w14:textId="77777777" w:rsidR="00D7303D" w:rsidRPr="00342F7C" w:rsidRDefault="00EA4079">
      <w:pPr>
        <w:pStyle w:val="EMEANormal"/>
        <w:rPr>
          <w:lang w:val="en-GB"/>
        </w:rPr>
      </w:pPr>
      <w:r>
        <w:rPr>
          <w:lang w:val="en-GB"/>
        </w:rPr>
        <w:t>T</w:t>
      </w:r>
      <w:r w:rsidR="00D7303D" w:rsidRPr="00342F7C">
        <w:rPr>
          <w:lang w:val="en-GB"/>
        </w:rPr>
        <w:t>here have been reports of increased bleeding, including spontaneous skin haematomas and haemarthrosis in patients with haemophilia type A and B treated with protease inhibitors.  In some patients additional factor VIII was given.  In more than half of the reported cases, treatment with protease inhibitors was continued or reintroduced if treatment had been discontinued.  A causal relationship had been evoked, although the mechanism of action had not been elucidated.  Haemophiliac patients should therefore be made aware of the possibility of increased bleeding.</w:t>
      </w:r>
    </w:p>
    <w:p w14:paraId="79CAF176" w14:textId="77777777" w:rsidR="00D7303D" w:rsidRPr="00342F7C" w:rsidRDefault="00D7303D">
      <w:pPr>
        <w:pStyle w:val="EMEANormal"/>
        <w:rPr>
          <w:lang w:val="en-GB"/>
        </w:rPr>
      </w:pPr>
    </w:p>
    <w:p w14:paraId="799E3D57" w14:textId="77777777" w:rsidR="00C81811" w:rsidRPr="00EA4079" w:rsidRDefault="00D7303D" w:rsidP="00EA4079">
      <w:pPr>
        <w:pStyle w:val="EMEAHeadingUI"/>
        <w:spacing w:beforeLines="0" w:before="0" w:afterLines="0" w:after="0"/>
        <w:rPr>
          <w:i w:val="0"/>
          <w:lang w:val="en-GB"/>
        </w:rPr>
      </w:pPr>
      <w:r w:rsidRPr="0017061C">
        <w:rPr>
          <w:i w:val="0"/>
          <w:lang w:val="en-GB"/>
        </w:rPr>
        <w:t>Pancreatitis</w:t>
      </w:r>
    </w:p>
    <w:p w14:paraId="46A42E03" w14:textId="77777777" w:rsidR="00D7303D" w:rsidRPr="00342F7C" w:rsidRDefault="00D7303D">
      <w:pPr>
        <w:pStyle w:val="EMEANormal"/>
        <w:tabs>
          <w:tab w:val="clear" w:pos="562"/>
          <w:tab w:val="left" w:pos="3060"/>
        </w:tabs>
        <w:suppressAutoHyphens w:val="0"/>
        <w:rPr>
          <w:lang w:val="en-GB"/>
        </w:rPr>
      </w:pPr>
      <w:r w:rsidRPr="00342F7C">
        <w:rPr>
          <w:lang w:val="en-GB"/>
        </w:rPr>
        <w:t>Cases of pancreatitis have been reported in patients receiving Kaletra, including those who developed hypertriglyceridaemia.  In most of these cases patients have had a prior history of pancreatitis and/or</w:t>
      </w:r>
    </w:p>
    <w:p w14:paraId="2386093A" w14:textId="77777777" w:rsidR="00D7303D" w:rsidRPr="00342F7C" w:rsidRDefault="00D7303D">
      <w:pPr>
        <w:pStyle w:val="EMEANormal"/>
        <w:rPr>
          <w:lang w:val="en-GB"/>
        </w:rPr>
      </w:pPr>
      <w:r w:rsidRPr="00342F7C">
        <w:rPr>
          <w:lang w:val="en-GB"/>
        </w:rPr>
        <w:t>concurrent therapy with other medicinal products associated with pancreatitis.  Marked triglyceride elevation is a risk factor for development of pancreatitis.  Patients with advanced HIV disease may be at risk of elevated triglycerides and pancreatitis.</w:t>
      </w:r>
    </w:p>
    <w:p w14:paraId="681CAB44" w14:textId="77777777" w:rsidR="00D7303D" w:rsidRPr="00342F7C" w:rsidRDefault="00D7303D">
      <w:pPr>
        <w:pStyle w:val="EMEANormal"/>
        <w:rPr>
          <w:lang w:val="en-GB"/>
        </w:rPr>
      </w:pPr>
    </w:p>
    <w:p w14:paraId="2EE34E8F" w14:textId="77777777" w:rsidR="00D7303D" w:rsidRPr="00342F7C" w:rsidRDefault="00D7303D">
      <w:pPr>
        <w:pStyle w:val="EMEANormal"/>
        <w:rPr>
          <w:lang w:val="en-GB"/>
        </w:rPr>
      </w:pPr>
      <w:r w:rsidRPr="00342F7C">
        <w:rPr>
          <w:lang w:val="en-GB"/>
        </w:rPr>
        <w:t>Pancreatitis should be considered if clinical symptoms (nausea, vomiting, abdominal pain) or abnormalities in laboratory values (such as increased serum lipase or amylase values) suggestive of pancreatitis should occur.  Patients who exhibit these signs or symptoms should be evaluated and Kaletra therapy should be suspended if a diagnosis of pancreatitis is made (see section 4.8).</w:t>
      </w:r>
    </w:p>
    <w:p w14:paraId="61498B47" w14:textId="77777777" w:rsidR="00C81811" w:rsidRDefault="00C81811" w:rsidP="00C81811">
      <w:pPr>
        <w:pStyle w:val="EMEAHeadingUI"/>
        <w:spacing w:beforeLines="0" w:before="0" w:afterLines="0" w:after="0"/>
        <w:rPr>
          <w:lang w:val="en-GB"/>
        </w:rPr>
      </w:pPr>
    </w:p>
    <w:p w14:paraId="5D711FFF" w14:textId="77777777" w:rsidR="00C81811" w:rsidRPr="0017061C" w:rsidRDefault="00D7303D" w:rsidP="00EA4079">
      <w:pPr>
        <w:pStyle w:val="EMEAHeadingUI"/>
        <w:spacing w:beforeLines="0" w:before="0" w:afterLines="0" w:after="0"/>
        <w:rPr>
          <w:i w:val="0"/>
          <w:lang w:val="en-GB"/>
        </w:rPr>
      </w:pPr>
      <w:r w:rsidRPr="0017061C">
        <w:rPr>
          <w:i w:val="0"/>
          <w:lang w:val="en-GB"/>
        </w:rPr>
        <w:t xml:space="preserve">Immune </w:t>
      </w:r>
      <w:r w:rsidR="00FC25FF">
        <w:rPr>
          <w:i w:val="0"/>
          <w:lang w:val="en-GB"/>
        </w:rPr>
        <w:t>Reconstitution Inflammatory</w:t>
      </w:r>
      <w:r w:rsidR="00FC25FF" w:rsidRPr="0017061C">
        <w:rPr>
          <w:i w:val="0"/>
          <w:lang w:val="en-GB"/>
        </w:rPr>
        <w:t xml:space="preserve"> </w:t>
      </w:r>
      <w:r w:rsidRPr="0017061C">
        <w:rPr>
          <w:i w:val="0"/>
          <w:lang w:val="en-GB"/>
        </w:rPr>
        <w:t>Syndrome</w:t>
      </w:r>
    </w:p>
    <w:p w14:paraId="57E5677B" w14:textId="77777777" w:rsidR="00D7303D" w:rsidRDefault="00D7303D">
      <w:pPr>
        <w:pStyle w:val="EMEANormal"/>
        <w:rPr>
          <w:lang w:val="en-GB"/>
        </w:rPr>
      </w:pPr>
      <w:r w:rsidRPr="00342F7C">
        <w:rPr>
          <w:lang w:val="en-GB"/>
        </w:rPr>
        <w:t xml:space="preserve">In HIV-infected patients with severe immune deficiency at the time of institution of combination antiretroviral therapy (CART), an inflammatory reaction to asymtomatic or residual opportunistic pathogens may arise and cause serious clinical conditions, or aggravation of symptoms.  Typically, such reactions have been observed within the first few weeks or months of initiation of CART.  Relevant examples are cytomegalovirus retinitis, generalised and/or focal mycobacterial infections, and </w:t>
      </w:r>
      <w:r w:rsidRPr="00342F7C">
        <w:rPr>
          <w:i/>
          <w:lang w:val="en-GB"/>
        </w:rPr>
        <w:t>Pneumocystis jiroveci pneumonia</w:t>
      </w:r>
      <w:r w:rsidRPr="00342F7C">
        <w:rPr>
          <w:lang w:val="en-GB"/>
        </w:rPr>
        <w:t>.  Any inflammatory symptoms should be evaluated and treatment instituted when necessary.</w:t>
      </w:r>
    </w:p>
    <w:p w14:paraId="16BFBE77" w14:textId="77777777" w:rsidR="00D7303D" w:rsidRDefault="00D7303D">
      <w:pPr>
        <w:pStyle w:val="EMEANormal"/>
        <w:rPr>
          <w:lang w:val="en-GB"/>
        </w:rPr>
      </w:pPr>
    </w:p>
    <w:p w14:paraId="54FA9A78" w14:textId="77777777" w:rsidR="00D7303D" w:rsidRPr="00342F7C" w:rsidRDefault="00D7303D">
      <w:pPr>
        <w:pStyle w:val="EMEANormal"/>
        <w:rPr>
          <w:lang w:val="en-GB"/>
        </w:rPr>
      </w:pPr>
      <w:r w:rsidRPr="00575ABB">
        <w:t>Autoimmune disorders (such as Graves’ disease</w:t>
      </w:r>
      <w:r w:rsidR="008168DF">
        <w:t xml:space="preserve"> </w:t>
      </w:r>
      <w:r w:rsidR="008168DF">
        <w:rPr>
          <w:lang w:val="en-GB"/>
        </w:rPr>
        <w:t>and autoimmune hepatitis</w:t>
      </w:r>
      <w:r w:rsidRPr="00575ABB">
        <w:t xml:space="preserve">) have also been reported to occur in the setting of immune </w:t>
      </w:r>
      <w:r w:rsidR="00FC25FF">
        <w:t>reconstitution</w:t>
      </w:r>
      <w:r w:rsidRPr="00575ABB">
        <w:t>; however, the reported time to onset is more variable and can occur many months after initiation of treatment.</w:t>
      </w:r>
    </w:p>
    <w:p w14:paraId="2D04D320" w14:textId="77777777" w:rsidR="00D7303D" w:rsidRPr="00342F7C" w:rsidRDefault="00D7303D">
      <w:pPr>
        <w:pStyle w:val="EMEANormal"/>
        <w:rPr>
          <w:lang w:val="en-GB"/>
        </w:rPr>
      </w:pPr>
    </w:p>
    <w:p w14:paraId="2D242AD3" w14:textId="77777777" w:rsidR="00D7303D" w:rsidRPr="00EA4079" w:rsidRDefault="00D7303D">
      <w:pPr>
        <w:pStyle w:val="EMEANormal"/>
        <w:rPr>
          <w:lang w:val="en-GB"/>
        </w:rPr>
      </w:pPr>
      <w:r w:rsidRPr="0017061C">
        <w:rPr>
          <w:iCs/>
          <w:u w:val="single"/>
          <w:lang w:val="en-GB"/>
        </w:rPr>
        <w:t>Osteonecrosis</w:t>
      </w:r>
    </w:p>
    <w:p w14:paraId="5F8B9CF8" w14:textId="77777777" w:rsidR="00D7303D" w:rsidRDefault="00D7303D">
      <w:pPr>
        <w:pStyle w:val="EMEANormal"/>
        <w:rPr>
          <w:lang w:val="en-GB"/>
        </w:rPr>
      </w:pPr>
      <w:r w:rsidRPr="00342F7C">
        <w:rPr>
          <w:lang w:val="en-GB"/>
        </w:rPr>
        <w:t>Although the etiology is considered to be multifactorial (including corticosteroid use, alcohol consumption, severe immunosuppression, higher body mass index), cases of osteonecrosis have been reported particularly in patients with advanced HIV</w:t>
      </w:r>
      <w:r w:rsidRPr="00342F7C">
        <w:rPr>
          <w:lang w:val="en-GB"/>
        </w:rPr>
        <w:noBreakHyphen/>
        <w:t>disease and/or long</w:t>
      </w:r>
      <w:r w:rsidRPr="00342F7C">
        <w:rPr>
          <w:lang w:val="en-GB"/>
        </w:rPr>
        <w:noBreakHyphen/>
        <w:t>term exposure to combination antiretroviral therapy (CART).  Patients should be advised to seek medical advice if they experience joint aches and pain, joint stiffness or difficulty in movement.</w:t>
      </w:r>
    </w:p>
    <w:p w14:paraId="0A11B867" w14:textId="77777777" w:rsidR="00C81811" w:rsidRPr="00342F7C" w:rsidRDefault="00C81811">
      <w:pPr>
        <w:pStyle w:val="EMEANormal"/>
        <w:rPr>
          <w:lang w:val="en-GB"/>
        </w:rPr>
      </w:pPr>
    </w:p>
    <w:p w14:paraId="64DC06E1" w14:textId="77777777" w:rsidR="00C81811" w:rsidRPr="00EA4079" w:rsidRDefault="00D7303D" w:rsidP="002A75DB">
      <w:pPr>
        <w:pStyle w:val="EMEAHeadingUI"/>
        <w:keepNext/>
        <w:keepLines/>
        <w:spacing w:beforeLines="0" w:before="0" w:afterLines="0" w:after="0"/>
        <w:rPr>
          <w:i w:val="0"/>
          <w:lang w:val="en-GB"/>
        </w:rPr>
      </w:pPr>
      <w:r w:rsidRPr="00EA4079">
        <w:rPr>
          <w:i w:val="0"/>
          <w:lang w:val="en-GB"/>
        </w:rPr>
        <w:t xml:space="preserve">PR interval prolongation </w:t>
      </w:r>
    </w:p>
    <w:p w14:paraId="6800E02B" w14:textId="77777777" w:rsidR="00D7303D" w:rsidRDefault="00D7303D" w:rsidP="002A75DB">
      <w:pPr>
        <w:pStyle w:val="EMEANormal"/>
        <w:keepNext/>
        <w:keepLines/>
        <w:rPr>
          <w:lang w:val="en-GB"/>
        </w:rPr>
      </w:pPr>
      <w:r w:rsidRPr="00342F7C">
        <w:rPr>
          <w:lang w:val="en-GB"/>
        </w:rPr>
        <w:t>Lopinavir/ritonavir has been shown to cause modest asymptomatic prolongation of the PR interval in some healthy adult subjects.  Rare reports of 2</w:t>
      </w:r>
      <w:r w:rsidRPr="00342F7C">
        <w:rPr>
          <w:vertAlign w:val="superscript"/>
          <w:lang w:val="en-GB"/>
        </w:rPr>
        <w:t>nd</w:t>
      </w:r>
      <w:r w:rsidRPr="00342F7C">
        <w:rPr>
          <w:lang w:val="en-GB"/>
        </w:rPr>
        <w:t xml:space="preserve"> or 3</w:t>
      </w:r>
      <w:r w:rsidRPr="00342F7C">
        <w:rPr>
          <w:vertAlign w:val="superscript"/>
          <w:lang w:val="en-GB"/>
        </w:rPr>
        <w:t>rd</w:t>
      </w:r>
      <w:r w:rsidRPr="00342F7C">
        <w:rPr>
          <w:lang w:val="en-GB"/>
        </w:rPr>
        <w:t xml:space="preserve"> degree atroventricular block in patients with underlying structural heart disease and pre-existing conduction system abnormalities or in patients receiving drugs known to prolong the PR interval (such as verapamil or atazanavir) have been reported in patients receiving lopinavir/ritonavir.  Kaletra should be used with caution in such patients (see section 5.1).</w:t>
      </w:r>
    </w:p>
    <w:p w14:paraId="04A4CA2F" w14:textId="77777777" w:rsidR="00CA7C65" w:rsidRDefault="00CA7C65">
      <w:pPr>
        <w:pStyle w:val="EMEANormal"/>
        <w:rPr>
          <w:lang w:val="en-GB"/>
        </w:rPr>
      </w:pPr>
    </w:p>
    <w:p w14:paraId="40ED2A84" w14:textId="77777777" w:rsidR="00CA7C65" w:rsidRPr="00CA7C65" w:rsidRDefault="00CA7C65" w:rsidP="00CA7C65">
      <w:pPr>
        <w:pStyle w:val="EMEANormal"/>
        <w:rPr>
          <w:u w:val="single"/>
          <w:lang w:val="en-GB"/>
        </w:rPr>
      </w:pPr>
      <w:r w:rsidRPr="00CA7C65">
        <w:rPr>
          <w:u w:val="single"/>
          <w:lang w:val="en-GB"/>
        </w:rPr>
        <w:t>Weight and metabolic parameters</w:t>
      </w:r>
    </w:p>
    <w:p w14:paraId="6584E1B1" w14:textId="77777777" w:rsidR="00CA7C65" w:rsidRPr="00483C55" w:rsidRDefault="00CA7C65" w:rsidP="00CA7C65">
      <w:pPr>
        <w:pStyle w:val="EMEANormal"/>
        <w:rPr>
          <w:lang w:val="en-GB"/>
        </w:rPr>
      </w:pPr>
      <w:r>
        <w:rPr>
          <w:lang w:val="en-GB"/>
        </w:rPr>
        <w:t>An increase in weight and in levels of blood lipids and glucose may occur during antiretroviral therapy.  Such changes may in part be linked to disease control and life style.  For lipids, there is in some cases evidence for a treatment effect, while for weight gain there is no strong evidence relating this to any particular treatment.  For monitoring of blood lipids and glucose, reference is made to established HIV treatment guidelines.  Lipid disorders should be managed as clinically appropriate.</w:t>
      </w:r>
    </w:p>
    <w:p w14:paraId="35D3380A" w14:textId="77777777" w:rsidR="00C81811" w:rsidRPr="00342F7C" w:rsidRDefault="00C81811">
      <w:pPr>
        <w:pStyle w:val="EMEANormal"/>
        <w:rPr>
          <w:lang w:val="en-GB"/>
        </w:rPr>
      </w:pPr>
    </w:p>
    <w:p w14:paraId="0319B153" w14:textId="77777777" w:rsidR="00D7303D" w:rsidRDefault="00D7303D" w:rsidP="00306419">
      <w:pPr>
        <w:pStyle w:val="EMEAHeadingUI"/>
        <w:keepNext/>
        <w:spacing w:beforeLines="0" w:before="0" w:afterLines="0" w:after="0"/>
        <w:rPr>
          <w:i w:val="0"/>
          <w:lang w:val="en-GB"/>
        </w:rPr>
      </w:pPr>
      <w:r w:rsidRPr="0017061C">
        <w:rPr>
          <w:i w:val="0"/>
          <w:lang w:val="en-GB"/>
        </w:rPr>
        <w:t>Interactions with medicinal products</w:t>
      </w:r>
    </w:p>
    <w:p w14:paraId="0BB480E4" w14:textId="77777777" w:rsidR="007615CD" w:rsidRPr="007615CD" w:rsidRDefault="007615CD" w:rsidP="00306419">
      <w:pPr>
        <w:pStyle w:val="EMEANormal"/>
        <w:keepNext/>
        <w:rPr>
          <w:lang w:val="en-GB"/>
        </w:rPr>
      </w:pPr>
    </w:p>
    <w:p w14:paraId="26C1661A" w14:textId="77777777" w:rsidR="00D7303D" w:rsidRDefault="00D7303D" w:rsidP="00306419">
      <w:pPr>
        <w:pStyle w:val="EMEANormal"/>
        <w:keepNext/>
        <w:rPr>
          <w:lang w:val="en-GB"/>
        </w:rPr>
      </w:pPr>
      <w:r w:rsidRPr="00342F7C">
        <w:rPr>
          <w:lang w:val="en-GB"/>
        </w:rPr>
        <w:t>Kaletra contains lopinavir and ritonavir, both of which are inhibitors of the P450 isoform CYP3A.  Kaletra is likely to increase plasma concentrations of medicinal products that are primarily metabolised by CYP3A.  These increases of plasma concentrations of co-administered medicinal products could increase or prolong their therapeutic effect and adverse events (see sections 4.3 and 4.5).</w:t>
      </w:r>
      <w:r w:rsidRPr="0071232B">
        <w:rPr>
          <w:lang w:val="en-GB"/>
        </w:rPr>
        <w:t xml:space="preserve"> </w:t>
      </w:r>
    </w:p>
    <w:p w14:paraId="6476B18D" w14:textId="77777777" w:rsidR="001D629D" w:rsidRDefault="001D629D" w:rsidP="0071232B">
      <w:pPr>
        <w:pStyle w:val="EMEANormal"/>
        <w:rPr>
          <w:lang w:val="en-GB"/>
        </w:rPr>
      </w:pPr>
    </w:p>
    <w:p w14:paraId="38864F11" w14:textId="77777777" w:rsidR="00617545" w:rsidRDefault="00C965C5" w:rsidP="002A75DB">
      <w:pPr>
        <w:pStyle w:val="EMEANormal"/>
        <w:rPr>
          <w:lang w:val="en-GB"/>
        </w:rPr>
      </w:pPr>
      <w:r>
        <w:rPr>
          <w:lang w:val="en-GB"/>
        </w:rPr>
        <w:t>S</w:t>
      </w:r>
      <w:r w:rsidR="00617545">
        <w:rPr>
          <w:lang w:val="en-GB"/>
        </w:rPr>
        <w:t xml:space="preserve">trong CYP3A4 inhibitors </w:t>
      </w:r>
      <w:r>
        <w:rPr>
          <w:lang w:val="en-GB"/>
        </w:rPr>
        <w:t xml:space="preserve">such as protease inhibitors may increase bedaquiline exposure which could potentially increase the risk of </w:t>
      </w:r>
      <w:r w:rsidR="00617545">
        <w:rPr>
          <w:lang w:val="en-GB"/>
        </w:rPr>
        <w:t>bedaquiline</w:t>
      </w:r>
      <w:r>
        <w:rPr>
          <w:lang w:val="en-GB"/>
        </w:rPr>
        <w:noBreakHyphen/>
      </w:r>
      <w:r w:rsidR="00617545">
        <w:rPr>
          <w:lang w:val="en-GB"/>
        </w:rPr>
        <w:t xml:space="preserve">related adverse reactions.  </w:t>
      </w:r>
      <w:r>
        <w:rPr>
          <w:lang w:val="en-GB"/>
        </w:rPr>
        <w:t>Therefore, combination of bedaquiline with lopinavir/ritonavir should be avoided.</w:t>
      </w:r>
      <w:r w:rsidR="004A14B3">
        <w:rPr>
          <w:lang w:val="en-GB"/>
        </w:rPr>
        <w:t xml:space="preserve">  </w:t>
      </w:r>
      <w:r>
        <w:rPr>
          <w:lang w:val="en-GB"/>
        </w:rPr>
        <w:t>However, if the benefit outweighs the risk, co</w:t>
      </w:r>
      <w:r>
        <w:rPr>
          <w:lang w:val="en-GB"/>
        </w:rPr>
        <w:noBreakHyphen/>
        <w:t>administration of bedaquiline with l</w:t>
      </w:r>
      <w:r w:rsidR="00617545">
        <w:rPr>
          <w:lang w:val="en-GB"/>
        </w:rPr>
        <w:t>opinavir/ritonavir</w:t>
      </w:r>
      <w:r w:rsidRPr="00C965C5">
        <w:rPr>
          <w:lang w:val="en-GB"/>
        </w:rPr>
        <w:t xml:space="preserve"> </w:t>
      </w:r>
      <w:r>
        <w:rPr>
          <w:lang w:val="en-GB"/>
        </w:rPr>
        <w:t>must be done with caution.  More frequent electrocardiogram monitoring and monitoring of transaminases is recommended (see section 4.5 and refer to the bedaquiline SmPC).</w:t>
      </w:r>
    </w:p>
    <w:p w14:paraId="1394236F" w14:textId="77777777" w:rsidR="002A75DB" w:rsidRDefault="002A75DB" w:rsidP="002A75DB">
      <w:pPr>
        <w:pStyle w:val="EMEANormal"/>
        <w:rPr>
          <w:lang w:val="en-GB"/>
        </w:rPr>
      </w:pPr>
    </w:p>
    <w:p w14:paraId="35200E26" w14:textId="77777777" w:rsidR="00D7303D" w:rsidRDefault="007F1AFC" w:rsidP="002A75DB">
      <w:pPr>
        <w:pStyle w:val="EMEANormal"/>
        <w:rPr>
          <w:lang w:val="en-GB"/>
        </w:rPr>
      </w:pPr>
      <w:r>
        <w:rPr>
          <w:lang w:val="en-GB"/>
        </w:rPr>
        <w:t>Co</w:t>
      </w:r>
      <w:r>
        <w:rPr>
          <w:lang w:val="en-GB"/>
        </w:rPr>
        <w:noBreakHyphen/>
        <w:t>administration of delamanid with a strong inhibitor of CYP3A (</w:t>
      </w:r>
      <w:r w:rsidR="00983852" w:rsidRPr="0056654E">
        <w:rPr>
          <w:lang w:val="en-GB"/>
        </w:rPr>
        <w:t>as</w:t>
      </w:r>
      <w:r w:rsidR="00983852">
        <w:rPr>
          <w:lang w:val="en-GB"/>
        </w:rPr>
        <w:t xml:space="preserve"> </w:t>
      </w:r>
      <w:r>
        <w:rPr>
          <w:lang w:val="en-GB"/>
        </w:rPr>
        <w:t>lopinavir/ritonavir) may increase exposure to delamanid metabolite, which has been associated with QTc prolongation.  Therefore, if co-administration of delamanid with lopinavir/ritonavir is considered necessary,</w:t>
      </w:r>
      <w:r w:rsidR="00983852">
        <w:rPr>
          <w:lang w:val="en-GB"/>
        </w:rPr>
        <w:t xml:space="preserve"> </w:t>
      </w:r>
      <w:r w:rsidR="00983852" w:rsidRPr="0056654E">
        <w:rPr>
          <w:lang w:val="en-GB"/>
        </w:rPr>
        <w:t>very</w:t>
      </w:r>
      <w:r w:rsidR="00983852">
        <w:rPr>
          <w:lang w:val="en-GB"/>
        </w:rPr>
        <w:t xml:space="preserve"> </w:t>
      </w:r>
      <w:r>
        <w:rPr>
          <w:lang w:val="en-GB"/>
        </w:rPr>
        <w:t>frequent ECG monitoring throughout the full delamanid treatment period is recommended (see section 4.5 and refer to the delamanid SmPC).</w:t>
      </w:r>
    </w:p>
    <w:p w14:paraId="29CBA3D1" w14:textId="77777777" w:rsidR="001F3D17" w:rsidRDefault="001F3D17" w:rsidP="002A75DB">
      <w:pPr>
        <w:pStyle w:val="EMEANormal"/>
        <w:rPr>
          <w:lang w:val="en-GB"/>
        </w:rPr>
      </w:pPr>
    </w:p>
    <w:p w14:paraId="045864DE" w14:textId="77777777" w:rsidR="00D7303D" w:rsidRDefault="0076580C" w:rsidP="00C81811">
      <w:pPr>
        <w:pStyle w:val="EMEANormal"/>
        <w:rPr>
          <w:lang w:val="en-GB"/>
        </w:rPr>
      </w:pPr>
      <w:r>
        <w:rPr>
          <w:lang w:val="en-GB"/>
        </w:rPr>
        <w:t xml:space="preserve">Life-threatening and fatal drug interactions have been reported in patients treated with colchicine and strong inhibitors of CYP3A like ritonavir.  </w:t>
      </w:r>
      <w:r w:rsidR="00D7303D" w:rsidRPr="00A95936">
        <w:rPr>
          <w:lang w:val="en-GB"/>
        </w:rPr>
        <w:t>Concomitant administration with colchicine</w:t>
      </w:r>
      <w:r w:rsidR="00451218">
        <w:rPr>
          <w:lang w:val="en-GB"/>
        </w:rPr>
        <w:t xml:space="preserve"> is contraindicated</w:t>
      </w:r>
      <w:r w:rsidR="00D7303D" w:rsidRPr="00A95936">
        <w:rPr>
          <w:lang w:val="en-GB"/>
        </w:rPr>
        <w:t xml:space="preserve"> in patients with renal </w:t>
      </w:r>
      <w:r w:rsidR="00B529BE">
        <w:rPr>
          <w:lang w:val="en-GB"/>
        </w:rPr>
        <w:t>and/</w:t>
      </w:r>
      <w:r w:rsidR="00D7303D" w:rsidRPr="00A95936">
        <w:rPr>
          <w:lang w:val="en-GB"/>
        </w:rPr>
        <w:t>or hepatic impairment (see section</w:t>
      </w:r>
      <w:r>
        <w:rPr>
          <w:lang w:val="en-GB"/>
        </w:rPr>
        <w:t>s 4.3 and</w:t>
      </w:r>
      <w:r w:rsidR="00D7303D" w:rsidRPr="00A95936">
        <w:rPr>
          <w:lang w:val="en-GB"/>
        </w:rPr>
        <w:t xml:space="preserve"> 4.5).</w:t>
      </w:r>
    </w:p>
    <w:p w14:paraId="4E224741" w14:textId="77777777" w:rsidR="00C81811" w:rsidRPr="00A95936" w:rsidRDefault="00C81811" w:rsidP="00C81811">
      <w:pPr>
        <w:pStyle w:val="EMEANormal"/>
        <w:rPr>
          <w:lang w:val="en-GB"/>
        </w:rPr>
      </w:pPr>
    </w:p>
    <w:p w14:paraId="141461B5" w14:textId="77777777" w:rsidR="00D7303D" w:rsidRPr="00A95936" w:rsidRDefault="00D7303D" w:rsidP="0071232B">
      <w:pPr>
        <w:pStyle w:val="EMEANormal"/>
        <w:rPr>
          <w:lang w:val="en-GB"/>
        </w:rPr>
      </w:pPr>
      <w:r w:rsidRPr="00A95936">
        <w:rPr>
          <w:lang w:val="en-GB"/>
        </w:rPr>
        <w:t xml:space="preserve">The combination of Kaletra with: </w:t>
      </w:r>
    </w:p>
    <w:p w14:paraId="6CF50F1A" w14:textId="77777777" w:rsidR="00D7303D" w:rsidRDefault="00D7303D" w:rsidP="007574EF">
      <w:pPr>
        <w:pStyle w:val="EMEANormal"/>
        <w:tabs>
          <w:tab w:val="clear" w:pos="562"/>
          <w:tab w:val="left" w:pos="567"/>
        </w:tabs>
        <w:ind w:left="600" w:hanging="600"/>
        <w:rPr>
          <w:lang w:val="en-GB"/>
        </w:rPr>
      </w:pPr>
      <w:r w:rsidRPr="00A95936">
        <w:rPr>
          <w:lang w:val="en-GB"/>
        </w:rPr>
        <w:t>-</w:t>
      </w:r>
      <w:r w:rsidRPr="00A95936">
        <w:rPr>
          <w:lang w:val="en-GB"/>
        </w:rPr>
        <w:tab/>
        <w:t>tadalafil, indicated for the treatment of pulmonary arterial hypertension, is not recommended (see section 4.5);</w:t>
      </w:r>
    </w:p>
    <w:p w14:paraId="10515B0C" w14:textId="77777777" w:rsidR="007574EF" w:rsidRDefault="007574EF" w:rsidP="007574EF">
      <w:pPr>
        <w:pStyle w:val="EMEANormal"/>
        <w:tabs>
          <w:tab w:val="clear" w:pos="562"/>
          <w:tab w:val="left" w:pos="567"/>
        </w:tabs>
        <w:ind w:left="600" w:hanging="600"/>
        <w:rPr>
          <w:lang w:val="en-GB"/>
        </w:rPr>
      </w:pPr>
      <w:r>
        <w:rPr>
          <w:lang w:val="en-GB"/>
        </w:rPr>
        <w:t>-</w:t>
      </w:r>
      <w:r>
        <w:rPr>
          <w:lang w:val="en-GB"/>
        </w:rPr>
        <w:tab/>
        <w:t>riociguat is not recommended (see section 4.5);</w:t>
      </w:r>
    </w:p>
    <w:p w14:paraId="1C1EA5EA" w14:textId="77777777" w:rsidR="00F42FB2" w:rsidRDefault="00F42FB2" w:rsidP="007574EF">
      <w:pPr>
        <w:pStyle w:val="EMEANormal"/>
        <w:tabs>
          <w:tab w:val="clear" w:pos="562"/>
          <w:tab w:val="left" w:pos="567"/>
        </w:tabs>
        <w:ind w:left="600" w:hanging="600"/>
        <w:rPr>
          <w:lang w:val="en-GB"/>
        </w:rPr>
      </w:pPr>
      <w:r>
        <w:rPr>
          <w:lang w:val="en-GB"/>
        </w:rPr>
        <w:t>-</w:t>
      </w:r>
      <w:r w:rsidR="0021619A">
        <w:rPr>
          <w:lang w:val="en-GB"/>
        </w:rPr>
        <w:tab/>
        <w:t>vorapaxar is not recommended (see section 4.5);</w:t>
      </w:r>
    </w:p>
    <w:p w14:paraId="5ECFD195" w14:textId="77777777" w:rsidR="00D7303D" w:rsidRPr="00A95936" w:rsidRDefault="00D7303D" w:rsidP="007574EF">
      <w:pPr>
        <w:pStyle w:val="EMEANormal"/>
        <w:tabs>
          <w:tab w:val="clear" w:pos="562"/>
          <w:tab w:val="left" w:pos="567"/>
        </w:tabs>
        <w:ind w:left="600" w:hanging="600"/>
        <w:rPr>
          <w:lang w:val="en-GB"/>
        </w:rPr>
      </w:pPr>
      <w:r w:rsidRPr="00A95936">
        <w:rPr>
          <w:lang w:val="en-GB"/>
        </w:rPr>
        <w:t>-</w:t>
      </w:r>
      <w:r w:rsidRPr="00A95936">
        <w:rPr>
          <w:lang w:val="en-GB"/>
        </w:rPr>
        <w:tab/>
        <w:t>fusidic acid in osteo-articular infections is not recommended (see section 4.5);</w:t>
      </w:r>
    </w:p>
    <w:p w14:paraId="65A81738" w14:textId="77777777" w:rsidR="00D7303D" w:rsidRDefault="00D7303D" w:rsidP="007574EF">
      <w:pPr>
        <w:pStyle w:val="EMEANormal"/>
        <w:tabs>
          <w:tab w:val="clear" w:pos="562"/>
          <w:tab w:val="left" w:pos="567"/>
        </w:tabs>
        <w:rPr>
          <w:lang w:val="en-GB"/>
        </w:rPr>
      </w:pPr>
      <w:r w:rsidRPr="00A95936">
        <w:rPr>
          <w:lang w:val="en-GB"/>
        </w:rPr>
        <w:t>-</w:t>
      </w:r>
      <w:r w:rsidRPr="00A95936">
        <w:rPr>
          <w:lang w:val="en-GB"/>
        </w:rPr>
        <w:tab/>
        <w:t>salmeterol is not recommended (see section 4.5)</w:t>
      </w:r>
      <w:r>
        <w:rPr>
          <w:lang w:val="en-GB"/>
        </w:rPr>
        <w:t>;</w:t>
      </w:r>
    </w:p>
    <w:p w14:paraId="7C8FB43A" w14:textId="77777777" w:rsidR="00D7303D" w:rsidRDefault="00D7303D" w:rsidP="007574EF">
      <w:pPr>
        <w:pStyle w:val="EMEANormal"/>
        <w:tabs>
          <w:tab w:val="clear" w:pos="562"/>
          <w:tab w:val="left" w:pos="567"/>
        </w:tabs>
        <w:rPr>
          <w:lang w:val="en-GB"/>
        </w:rPr>
      </w:pPr>
      <w:r>
        <w:rPr>
          <w:lang w:val="en-GB"/>
        </w:rPr>
        <w:t>-</w:t>
      </w:r>
      <w:r>
        <w:rPr>
          <w:lang w:val="en-GB"/>
        </w:rPr>
        <w:tab/>
        <w:t>rivaroxaban is not recommended (see section 4.5)</w:t>
      </w:r>
      <w:r w:rsidRPr="00A95936">
        <w:rPr>
          <w:lang w:val="en-GB"/>
        </w:rPr>
        <w:t>.</w:t>
      </w:r>
    </w:p>
    <w:p w14:paraId="30022310" w14:textId="77777777" w:rsidR="00D7303D" w:rsidRPr="00342F7C" w:rsidRDefault="00D7303D">
      <w:pPr>
        <w:pStyle w:val="EMEANormal"/>
        <w:rPr>
          <w:lang w:val="en-GB"/>
        </w:rPr>
      </w:pPr>
    </w:p>
    <w:p w14:paraId="5D07D861" w14:textId="77777777" w:rsidR="00D7303D" w:rsidRPr="00342F7C" w:rsidRDefault="00D7303D">
      <w:pPr>
        <w:pStyle w:val="EMEANormal"/>
        <w:rPr>
          <w:lang w:val="en-GB"/>
        </w:rPr>
      </w:pPr>
      <w:r w:rsidRPr="00342F7C">
        <w:rPr>
          <w:lang w:val="en-GB"/>
        </w:rPr>
        <w:t>The combination of Kaletra with atorvastatin is not recommended.  If the use of atorvastatin is considered strictly necessary, the lowest possible dose of atorvastatin should be administered with careful safety monitoring.  Caution must also be exercised and reduced doses should be considered if Kaletra is used concurrently with rosuvastatin.  If treatment with an HMG-CoA reductase inhibitor is indicated, pravastatin or fluvastatin is recommended (see section 4.5).</w:t>
      </w:r>
    </w:p>
    <w:p w14:paraId="1104EA97" w14:textId="77777777" w:rsidR="00D7303D" w:rsidRPr="00342F7C" w:rsidRDefault="00D7303D">
      <w:pPr>
        <w:pStyle w:val="EMEANormal"/>
        <w:rPr>
          <w:lang w:val="en-GB"/>
        </w:rPr>
      </w:pPr>
    </w:p>
    <w:p w14:paraId="04A8652C" w14:textId="77777777" w:rsidR="00EA4079" w:rsidRPr="00BE78BC" w:rsidRDefault="00D7303D" w:rsidP="00E20202">
      <w:pPr>
        <w:pStyle w:val="EMEANormal"/>
        <w:rPr>
          <w:szCs w:val="19"/>
          <w:lang w:val="en-GB"/>
        </w:rPr>
      </w:pPr>
      <w:r w:rsidRPr="00E01172">
        <w:rPr>
          <w:i/>
          <w:iCs/>
          <w:szCs w:val="19"/>
          <w:lang w:val="en-GB"/>
        </w:rPr>
        <w:t>PDE5 inhibitors</w:t>
      </w:r>
      <w:r w:rsidRPr="00BE78BC">
        <w:rPr>
          <w:szCs w:val="19"/>
          <w:lang w:val="en-GB"/>
        </w:rPr>
        <w:t xml:space="preserve"> </w:t>
      </w:r>
    </w:p>
    <w:p w14:paraId="4B3DF2F2" w14:textId="77777777" w:rsidR="00D7303D" w:rsidRPr="00342F7C" w:rsidRDefault="00EA4079" w:rsidP="00E20202">
      <w:pPr>
        <w:pStyle w:val="EMEANormal"/>
        <w:rPr>
          <w:szCs w:val="19"/>
          <w:lang w:val="en-GB"/>
        </w:rPr>
      </w:pPr>
      <w:r>
        <w:rPr>
          <w:szCs w:val="19"/>
          <w:lang w:val="en-GB"/>
        </w:rPr>
        <w:t>P</w:t>
      </w:r>
      <w:r w:rsidR="00D7303D" w:rsidRPr="00342F7C">
        <w:rPr>
          <w:szCs w:val="19"/>
          <w:lang w:val="en-GB"/>
        </w:rPr>
        <w:t xml:space="preserve">articular caution should be used when prescribing sildenafil or tadalafil for the treatment of erectile dysfunction in patients receiving Kaletra.  Co-administration of Kaletra with these medicinal products is expected to substantially increase their concentrations and may result in associated adverse events such as hypotension, syncope, visual changes and prolonged erection (see section 4.5).  Concomitant use of </w:t>
      </w:r>
      <w:r w:rsidR="008E3042">
        <w:rPr>
          <w:szCs w:val="19"/>
          <w:lang w:val="en-GB"/>
        </w:rPr>
        <w:t xml:space="preserve">avanafil or </w:t>
      </w:r>
      <w:r w:rsidR="00D7303D" w:rsidRPr="00342F7C">
        <w:rPr>
          <w:szCs w:val="19"/>
          <w:lang w:val="en-GB"/>
        </w:rPr>
        <w:t>vardenafil and lopinavir/ritonavir is contraindicated (see section 4.3).  Concomitant use of sildenafil prescribed for the treatment of pulmonary arterial hypertension with Kaletra is contraindicated (see section 4.3).</w:t>
      </w:r>
    </w:p>
    <w:p w14:paraId="229DFCF7" w14:textId="77777777" w:rsidR="00D7303D" w:rsidRPr="00342F7C" w:rsidRDefault="00D7303D">
      <w:pPr>
        <w:pStyle w:val="EMEANormal"/>
        <w:rPr>
          <w:lang w:val="en-GB"/>
        </w:rPr>
      </w:pPr>
    </w:p>
    <w:p w14:paraId="21FE5B69" w14:textId="77777777" w:rsidR="00D7303D" w:rsidRPr="00342F7C" w:rsidRDefault="00D7303D">
      <w:pPr>
        <w:pStyle w:val="EMEANormal"/>
        <w:rPr>
          <w:lang w:val="en-GB"/>
        </w:rPr>
      </w:pPr>
      <w:r w:rsidRPr="00342F7C">
        <w:rPr>
          <w:lang w:val="en-GB"/>
        </w:rPr>
        <w:t>Particular caution must be used when prescribing Kaletra and medicinal products known to induce QT interval prolongation such as: chlorpheniramine, quinidine, erythromycin, clarithromycin.  Indeed, Kaletra could increase concentrations of the co-administered medicinal products and this may result in an increase of their associated cardiac adverse reactions.  Cardiac events have been reported with Kaletra in preclinical studies; therefore, the potential cardiac effects of Kaletra cannot be currently ruled out (see sections 4.8 and 5.3).</w:t>
      </w:r>
    </w:p>
    <w:p w14:paraId="36059028" w14:textId="77777777" w:rsidR="00D7303D" w:rsidRPr="00342F7C" w:rsidRDefault="00D7303D">
      <w:pPr>
        <w:pStyle w:val="EMEANormal"/>
        <w:rPr>
          <w:lang w:val="en-GB"/>
        </w:rPr>
      </w:pPr>
    </w:p>
    <w:p w14:paraId="0E780D2D" w14:textId="77777777" w:rsidR="00D7303D" w:rsidRPr="00342F7C" w:rsidRDefault="00D7303D">
      <w:pPr>
        <w:pStyle w:val="EMEANormal"/>
        <w:rPr>
          <w:lang w:val="en-GB"/>
        </w:rPr>
      </w:pPr>
      <w:r w:rsidRPr="00342F7C">
        <w:rPr>
          <w:lang w:val="en-GB"/>
        </w:rPr>
        <w:t>Co</w:t>
      </w:r>
      <w:r w:rsidRPr="00342F7C">
        <w:rPr>
          <w:lang w:val="en-GB"/>
        </w:rPr>
        <w:noBreakHyphen/>
        <w:t>administration of Kaletra with rifampicin is not recommended.  Rifampicin in combination with Kaletra causes large decreases in lopinavir concentrations which may in turn significantly decrease the lopinavir therapeutic effect.  Adequate exposure to lopinavir/ritonavir may be achieved when a higher dose of Kaletra is used but this is associated with a higher risk of liver and gastrointestinal toxicity.  Therefore, this co</w:t>
      </w:r>
      <w:r w:rsidRPr="00342F7C">
        <w:rPr>
          <w:lang w:val="en-GB"/>
        </w:rPr>
        <w:noBreakHyphen/>
        <w:t>administration should be avoided unless judged strictly necessary (see section 4.5).</w:t>
      </w:r>
    </w:p>
    <w:p w14:paraId="2E9E2521" w14:textId="77777777" w:rsidR="00D7303D" w:rsidRPr="00342F7C" w:rsidRDefault="00D7303D" w:rsidP="008B507F">
      <w:pPr>
        <w:pStyle w:val="EMEANormal"/>
        <w:rPr>
          <w:lang w:val="en-GB"/>
        </w:rPr>
      </w:pPr>
    </w:p>
    <w:p w14:paraId="04033C28" w14:textId="77777777" w:rsidR="00D7303D" w:rsidRDefault="00D7303D" w:rsidP="008B507F">
      <w:pPr>
        <w:pStyle w:val="EMEANormal"/>
        <w:rPr>
          <w:lang w:val="en-GB"/>
        </w:rPr>
      </w:pPr>
      <w:r w:rsidRPr="00342F7C">
        <w:rPr>
          <w:lang w:val="en-GB"/>
        </w:rPr>
        <w:t>Concomitant use of Kaletra and fluticasone or other glucocorticoids that are metabolised by CYP3A4</w:t>
      </w:r>
      <w:r>
        <w:rPr>
          <w:lang w:val="en-GB"/>
        </w:rPr>
        <w:t>, such as budesonide</w:t>
      </w:r>
      <w:r w:rsidR="005760A9">
        <w:rPr>
          <w:lang w:val="en-GB"/>
        </w:rPr>
        <w:t xml:space="preserve"> and triamcinolone</w:t>
      </w:r>
      <w:r>
        <w:rPr>
          <w:lang w:val="en-GB"/>
        </w:rPr>
        <w:t>,</w:t>
      </w:r>
      <w:r w:rsidRPr="00342F7C">
        <w:rPr>
          <w:lang w:val="en-GB"/>
        </w:rPr>
        <w:t xml:space="preserve"> is not recommended unless the potential benefit of treatment outweighs the risk of systemic corticosteroid effects, including Cushing’s syndrome and adrenal suppression (see section 4.5).</w:t>
      </w:r>
    </w:p>
    <w:p w14:paraId="0B2783DB" w14:textId="77777777" w:rsidR="00C81811" w:rsidRPr="00342F7C" w:rsidRDefault="00C81811" w:rsidP="008B507F">
      <w:pPr>
        <w:pStyle w:val="EMEANormal"/>
        <w:rPr>
          <w:lang w:val="en-GB"/>
        </w:rPr>
      </w:pPr>
    </w:p>
    <w:p w14:paraId="05FA1A51" w14:textId="77777777" w:rsidR="00D7303D" w:rsidRPr="0017061C" w:rsidRDefault="00D7303D" w:rsidP="00C81811">
      <w:pPr>
        <w:pStyle w:val="EMEAHeadingUI"/>
        <w:spacing w:beforeLines="0" w:before="0" w:afterLines="0" w:after="0"/>
        <w:rPr>
          <w:i w:val="0"/>
          <w:lang w:val="en-GB"/>
        </w:rPr>
      </w:pPr>
      <w:r w:rsidRPr="0017061C">
        <w:rPr>
          <w:i w:val="0"/>
          <w:lang w:val="en-GB"/>
        </w:rPr>
        <w:t>Other</w:t>
      </w:r>
    </w:p>
    <w:p w14:paraId="66D039EA" w14:textId="77777777" w:rsidR="00C81811" w:rsidRPr="00C81811" w:rsidRDefault="00C81811" w:rsidP="00C81811">
      <w:pPr>
        <w:pStyle w:val="EMEANormal"/>
        <w:rPr>
          <w:lang w:val="en-GB"/>
        </w:rPr>
      </w:pPr>
    </w:p>
    <w:p w14:paraId="5D4AB174" w14:textId="77777777" w:rsidR="00D7303D" w:rsidRPr="00342F7C" w:rsidRDefault="00D7303D">
      <w:pPr>
        <w:pStyle w:val="EMEANormal"/>
        <w:rPr>
          <w:lang w:val="en-GB"/>
        </w:rPr>
      </w:pPr>
      <w:r w:rsidRPr="00342F7C">
        <w:rPr>
          <w:lang w:val="en-GB"/>
        </w:rPr>
        <w:t>Patients taking the oral solution, particularly those with renal impairment or with decreased ability to metabolise propylene glycol (e.g. those of Asian origin), should be monitored for adverse reactions potentially related to propylene glycol toxicity (i.e. seizures, stupor, tachycardia, hyperosmolarity, lactic acidosis, renal toxicity, haemolysis) (see section 4.3).</w:t>
      </w:r>
    </w:p>
    <w:p w14:paraId="15869B1D" w14:textId="77777777" w:rsidR="00D7303D" w:rsidRPr="00342F7C" w:rsidRDefault="00D7303D">
      <w:pPr>
        <w:pStyle w:val="EMEANormal"/>
        <w:rPr>
          <w:lang w:val="en-GB"/>
        </w:rPr>
      </w:pPr>
    </w:p>
    <w:p w14:paraId="67F9778E" w14:textId="77777777" w:rsidR="00D7303D" w:rsidRPr="00342F7C" w:rsidRDefault="00D7303D">
      <w:pPr>
        <w:pStyle w:val="EMEANormal"/>
        <w:rPr>
          <w:lang w:val="en-GB"/>
        </w:rPr>
      </w:pPr>
      <w:r w:rsidRPr="00342F7C">
        <w:rPr>
          <w:lang w:val="en-GB"/>
        </w:rPr>
        <w:t xml:space="preserve">Kaletra is not a cure for HIV infection or AIDS.  </w:t>
      </w:r>
      <w:r w:rsidR="009A3B05">
        <w:rPr>
          <w:lang w:val="en-GB"/>
        </w:rPr>
        <w:t>While effective viral suppression with antiretroviral therapy has been proven to substantially reduce the risk of sexual transmission, a residual risk cannot be ex</w:t>
      </w:r>
      <w:r w:rsidR="00482AB6">
        <w:rPr>
          <w:lang w:val="en-GB"/>
        </w:rPr>
        <w:t>c</w:t>
      </w:r>
      <w:r w:rsidR="009A3B05">
        <w:rPr>
          <w:lang w:val="en-GB"/>
        </w:rPr>
        <w:t>luded.  Precautions to prevent transmission should be taken in accordance with national guidelines</w:t>
      </w:r>
      <w:r w:rsidRPr="00342F7C">
        <w:rPr>
          <w:lang w:val="en-GB"/>
        </w:rPr>
        <w:t>.  People taking Kaletra may still develop infections or other illnesses associated with HIV disease and AIDS.</w:t>
      </w:r>
    </w:p>
    <w:p w14:paraId="686C827D" w14:textId="77777777" w:rsidR="00D7303D" w:rsidRPr="00342F7C" w:rsidRDefault="00D7303D">
      <w:pPr>
        <w:pStyle w:val="EMEANormal"/>
        <w:rPr>
          <w:lang w:val="en-GB"/>
        </w:rPr>
      </w:pPr>
    </w:p>
    <w:p w14:paraId="25D6D193" w14:textId="77777777" w:rsidR="00D7303D" w:rsidRDefault="00D7303D">
      <w:pPr>
        <w:pStyle w:val="EMEANormal"/>
        <w:rPr>
          <w:lang w:val="en-GB"/>
        </w:rPr>
      </w:pPr>
      <w:r w:rsidRPr="00342F7C">
        <w:rPr>
          <w:lang w:val="en-GB"/>
        </w:rPr>
        <w:t>Besides propylene glycol as described above, Kaletra oral solution contains alcohol (42% v/v) which</w:t>
      </w:r>
      <w:r w:rsidRPr="00342F7C">
        <w:rPr>
          <w:i/>
          <w:lang w:val="en-GB"/>
        </w:rPr>
        <w:t xml:space="preserve"> </w:t>
      </w:r>
      <w:r w:rsidRPr="00342F7C">
        <w:rPr>
          <w:lang w:val="en-GB"/>
        </w:rPr>
        <w:t>is potentially harmful for those suffering from liver disease, alcoholism, epilepsy, brain injury or disease as well as for pregnant women and children.  It may modify or increase the effects of other medicines.  Kaletra oral solution contains up to 0.8 g of fructose per dose when taken according to the dosage recommendations.  This may be unsuitable in hereditary fructose intolerance.  Kaletra oral solution contains up to 0.3 g of glycerol per dose.  Only at high inadvertent doses, it can cause headache and gastrointestinal upset.  Furthermore, polyoxol 40 hydrogenated castor oil and potassium present in Kaletra oral solution may cause only at high inadvertent doses gastrointestinal upset. Patients on a low potassium diet should be cautioned.</w:t>
      </w:r>
    </w:p>
    <w:p w14:paraId="3D32B7EA" w14:textId="77777777" w:rsidR="00D7303D" w:rsidRDefault="00D7303D">
      <w:pPr>
        <w:pStyle w:val="EMEANormal"/>
        <w:rPr>
          <w:lang w:val="en-GB"/>
        </w:rPr>
      </w:pPr>
    </w:p>
    <w:p w14:paraId="5DC658BC" w14:textId="77777777" w:rsidR="00D7303D" w:rsidRPr="0017061C" w:rsidRDefault="00D7303D" w:rsidP="00572D28">
      <w:pPr>
        <w:pStyle w:val="EMEANormal"/>
        <w:rPr>
          <w:u w:val="single"/>
        </w:rPr>
      </w:pPr>
      <w:r w:rsidRPr="0017061C">
        <w:rPr>
          <w:u w:val="single"/>
        </w:rPr>
        <w:t>Particular risk of toxicity in relation to the amount of alcohol and propylene glycol contained in Kaletra oral solution</w:t>
      </w:r>
    </w:p>
    <w:p w14:paraId="1D46FE23" w14:textId="77777777" w:rsidR="00A27565" w:rsidRDefault="00A27565" w:rsidP="00572D28">
      <w:pPr>
        <w:pStyle w:val="EMEANormal"/>
      </w:pPr>
    </w:p>
    <w:p w14:paraId="47905663" w14:textId="77777777" w:rsidR="00D7303D" w:rsidRPr="00572D28" w:rsidRDefault="00D7303D" w:rsidP="00572D28">
      <w:pPr>
        <w:pStyle w:val="EMEANormal"/>
      </w:pPr>
      <w:r w:rsidRPr="00572D28">
        <w:t>Healthcare professionals should be aware that Kaletra oral solution is highly concentrated and contains 42.4% alcohol (v/v) and 15.3% propylene glycol (w/v).</w:t>
      </w:r>
      <w:r>
        <w:t xml:space="preserve">  </w:t>
      </w:r>
      <w:r w:rsidRPr="00572D28">
        <w:t xml:space="preserve"> </w:t>
      </w:r>
      <w:r>
        <w:t>Each 1 ml of Kaletra oral solution contains 356.3 mg of alcohol and 152.7 mg of propylene glycol.</w:t>
      </w:r>
      <w:r w:rsidRPr="00572D28">
        <w:t xml:space="preserve">   </w:t>
      </w:r>
    </w:p>
    <w:p w14:paraId="074EED5C" w14:textId="77777777" w:rsidR="00F77E9E" w:rsidRPr="00572D28" w:rsidRDefault="00F77E9E" w:rsidP="00572D28">
      <w:pPr>
        <w:pStyle w:val="EMEANormal"/>
      </w:pPr>
    </w:p>
    <w:p w14:paraId="79F48A48" w14:textId="77777777" w:rsidR="00D7303D" w:rsidRDefault="00D7303D" w:rsidP="00572D28">
      <w:pPr>
        <w:pStyle w:val="EMEANormal"/>
      </w:pPr>
      <w:r w:rsidRPr="00572D28">
        <w:t>Special attention should be given to accurate calculation of the dose of Kaletra, transcription of the medication order, dispensing information and dosing instructions to minimize the risk for medication errors and overdose.  This is especially important for infants and young children.</w:t>
      </w:r>
      <w:r>
        <w:t xml:space="preserve">  </w:t>
      </w:r>
    </w:p>
    <w:p w14:paraId="3569DE46" w14:textId="77777777" w:rsidR="00D7303D" w:rsidRDefault="00D7303D" w:rsidP="00572D28">
      <w:pPr>
        <w:pStyle w:val="EMEANormal"/>
      </w:pPr>
    </w:p>
    <w:p w14:paraId="3980EF7C" w14:textId="77777777" w:rsidR="00EE4CD1" w:rsidRDefault="00D7303D" w:rsidP="00EE4CD1">
      <w:pPr>
        <w:pStyle w:val="EMEANormal"/>
      </w:pPr>
      <w:r w:rsidRPr="008A6692">
        <w:t>Total amounts of alcohol and propylene glycol from all medicines that are to be given to infants should be taken into account in order to avoid toxicity from these excipients.  Infants should be monitored closely for toxicity related to Kaletra oral solution including: hyperosmolality, with or without lactic acidosis, renal toxicity, central</w:t>
      </w:r>
      <w:r>
        <w:t xml:space="preserve"> nerv</w:t>
      </w:r>
      <w:r w:rsidRPr="008A6692">
        <w:t>ous system (CNS) depression (including stupor, coma, and apnea), seizures, hypotonia, cardiac arrhythmias and ECG changes, and hemolysis.  Postmarketing life-threatening cases of cardiac toxicity (including complete atrioventricular (AV) block, bradycardia, and cardiomyopathy), lactic acidosis, acute renal failure, CNS depression and respiratory complications leading to death have been reported, predominantly in preterm neonates receiving Kaletra oral solution</w:t>
      </w:r>
      <w:r>
        <w:t xml:space="preserve"> </w:t>
      </w:r>
      <w:r w:rsidRPr="008A6692">
        <w:t>(see sections 4.3 and 4.9)</w:t>
      </w:r>
      <w:r>
        <w:t>.</w:t>
      </w:r>
      <w:r w:rsidR="00EE4CD1" w:rsidRPr="00EE4CD1">
        <w:t xml:space="preserve"> </w:t>
      </w:r>
    </w:p>
    <w:p w14:paraId="22702989" w14:textId="77777777" w:rsidR="00EE4CD1" w:rsidRDefault="00EE4CD1" w:rsidP="00EE4CD1">
      <w:pPr>
        <w:pStyle w:val="EMEANormal"/>
      </w:pPr>
    </w:p>
    <w:p w14:paraId="43F63D2B" w14:textId="77777777" w:rsidR="00DF0C77" w:rsidRDefault="00301484" w:rsidP="00EE4CD1">
      <w:pPr>
        <w:pStyle w:val="EMEANormal"/>
        <w:rPr>
          <w:lang w:val="en-GB"/>
        </w:rPr>
      </w:pPr>
      <w:r w:rsidRPr="009E1C61">
        <w:rPr>
          <w:lang w:val="en-GB"/>
        </w:rPr>
        <w:t>Based on the findings in a paediatric study (observed exposures were approximately 35% AUC</w:t>
      </w:r>
      <w:r w:rsidRPr="009E1C61">
        <w:rPr>
          <w:vertAlign w:val="subscript"/>
          <w:lang w:val="en-GB"/>
        </w:rPr>
        <w:t>12</w:t>
      </w:r>
      <w:r w:rsidRPr="009E1C61">
        <w:rPr>
          <w:lang w:val="en-GB"/>
        </w:rPr>
        <w:t xml:space="preserve"> and 75% lower C</w:t>
      </w:r>
      <w:r w:rsidRPr="009E1C61">
        <w:rPr>
          <w:vertAlign w:val="subscript"/>
          <w:lang w:val="en-GB"/>
        </w:rPr>
        <w:t>min</w:t>
      </w:r>
      <w:r w:rsidRPr="009E1C61">
        <w:rPr>
          <w:lang w:val="en-GB"/>
        </w:rPr>
        <w:t xml:space="preserve"> than in adults), young children from 14 days to 3 months could have sub-optimal exposure with a potential risk of inadequate virologic suppression and emergence of resistance (see section 5.2).</w:t>
      </w:r>
    </w:p>
    <w:p w14:paraId="589570A3" w14:textId="77777777" w:rsidR="00DF0C77" w:rsidRDefault="00DF0C77" w:rsidP="00EE4CD1">
      <w:pPr>
        <w:pStyle w:val="EMEANormal"/>
        <w:rPr>
          <w:lang w:val="en-GB"/>
        </w:rPr>
      </w:pPr>
    </w:p>
    <w:p w14:paraId="780F0B22" w14:textId="77777777" w:rsidR="00D7303D" w:rsidRDefault="00EE4CD1" w:rsidP="00EE4CD1">
      <w:pPr>
        <w:pStyle w:val="EMEANormal"/>
      </w:pPr>
      <w:r>
        <w:rPr>
          <w:lang w:val="en-GB"/>
        </w:rPr>
        <w:t>Because Kaletra oral solution contains alcohol, it is not recommended for use with polyurethane feeding tubes due to potential incompatibility.</w:t>
      </w:r>
    </w:p>
    <w:p w14:paraId="742B0318" w14:textId="77777777" w:rsidR="00C81811" w:rsidRPr="00342F7C" w:rsidRDefault="00C81811" w:rsidP="00572D28">
      <w:pPr>
        <w:pStyle w:val="EMEANormal"/>
        <w:rPr>
          <w:lang w:val="en-GB"/>
        </w:rPr>
      </w:pPr>
    </w:p>
    <w:p w14:paraId="3122B7B7" w14:textId="77777777" w:rsidR="00D7303D" w:rsidRDefault="00D7303D" w:rsidP="00F86381">
      <w:pPr>
        <w:pStyle w:val="EMEAHeading2SPC"/>
        <w:spacing w:beforeLines="0" w:before="0" w:afterLines="0" w:after="0"/>
        <w:rPr>
          <w:rFonts w:ascii="Times New Roman" w:hAnsi="Times New Roman"/>
          <w:lang w:val="en-GB"/>
        </w:rPr>
      </w:pPr>
      <w:r w:rsidRPr="00342F7C">
        <w:rPr>
          <w:rFonts w:ascii="Times New Roman" w:hAnsi="Times New Roman"/>
          <w:lang w:val="en-GB"/>
        </w:rPr>
        <w:t xml:space="preserve">4.5 </w:t>
      </w:r>
      <w:r w:rsidRPr="00342F7C">
        <w:rPr>
          <w:rFonts w:ascii="Times New Roman" w:hAnsi="Times New Roman"/>
          <w:lang w:val="en-GB"/>
        </w:rPr>
        <w:tab/>
        <w:t xml:space="preserve">Interaction with other medicinal products and other forms of interaction </w:t>
      </w:r>
    </w:p>
    <w:p w14:paraId="1BEEB509" w14:textId="77777777" w:rsidR="00C81811" w:rsidRPr="00C81811" w:rsidRDefault="00C81811" w:rsidP="00F86381">
      <w:pPr>
        <w:pStyle w:val="EMEANormal"/>
        <w:rPr>
          <w:lang w:val="en-GB"/>
        </w:rPr>
      </w:pPr>
    </w:p>
    <w:p w14:paraId="2FA3CDAC" w14:textId="77777777" w:rsidR="00D7303D" w:rsidRPr="00342F7C" w:rsidRDefault="00D7303D" w:rsidP="00F86381">
      <w:pPr>
        <w:pStyle w:val="EMEANormal"/>
        <w:rPr>
          <w:lang w:val="en-GB"/>
        </w:rPr>
      </w:pPr>
      <w:r w:rsidRPr="00342F7C">
        <w:rPr>
          <w:lang w:val="en-GB"/>
        </w:rPr>
        <w:t xml:space="preserve">Kaletra contains lopinavir and ritonavir, both of which are inhibitors of the P450 isoform CYP3A </w:t>
      </w:r>
      <w:r w:rsidRPr="00342F7C">
        <w:rPr>
          <w:i/>
          <w:lang w:val="en-GB"/>
        </w:rPr>
        <w:t>in vitro</w:t>
      </w:r>
      <w:r w:rsidRPr="00342F7C">
        <w:rPr>
          <w:lang w:val="en-GB"/>
        </w:rPr>
        <w:t>.  Co-administration of Kaletra and medicinal products primarily metabolised by CYP3A may result in increased plasma concentrations of the other medicinal product, which could increase or prolong its therapeutic and adverse reactions.  Kaletra does not inhibit CYP2D6, CYP2C9, CYP2C19, CYP2E1, CYP2B6 or CYP1A2 at clinically relevant concentrations (see section 4.3).</w:t>
      </w:r>
    </w:p>
    <w:p w14:paraId="3A160A30" w14:textId="77777777" w:rsidR="00D7303D" w:rsidRPr="00342F7C" w:rsidRDefault="00D7303D">
      <w:pPr>
        <w:pStyle w:val="EMEANormal"/>
        <w:rPr>
          <w:lang w:val="en-GB"/>
        </w:rPr>
      </w:pPr>
    </w:p>
    <w:p w14:paraId="7A91B0F2" w14:textId="77777777" w:rsidR="00D7303D" w:rsidRPr="00342F7C" w:rsidRDefault="00D7303D" w:rsidP="00C6529F">
      <w:pPr>
        <w:pStyle w:val="EMEANormal"/>
        <w:tabs>
          <w:tab w:val="clear" w:pos="562"/>
          <w:tab w:val="left" w:pos="3060"/>
        </w:tabs>
        <w:suppressAutoHyphens w:val="0"/>
        <w:rPr>
          <w:lang w:val="en-GB"/>
        </w:rPr>
      </w:pPr>
      <w:r w:rsidRPr="00342F7C">
        <w:rPr>
          <w:lang w:val="en-GB"/>
        </w:rPr>
        <w:t xml:space="preserve">Kaletra has been shown </w:t>
      </w:r>
      <w:r w:rsidRPr="00342F7C">
        <w:rPr>
          <w:i/>
          <w:lang w:val="en-GB"/>
        </w:rPr>
        <w:t>in vivo</w:t>
      </w:r>
      <w:r w:rsidRPr="00342F7C">
        <w:rPr>
          <w:lang w:val="en-GB"/>
        </w:rPr>
        <w:t xml:space="preserve"> to induce its own metabolism and to increase the biotransformation of some medicinal products metabolised by cytochrome P450 enzymes (including CYP2C9 and CYP2C19) and by glucuronidation.  This may result in lowered plasma concentrations and potential decrease of efficacy of co-administered medicinal products.</w:t>
      </w:r>
    </w:p>
    <w:p w14:paraId="423E2821" w14:textId="77777777" w:rsidR="00D7303D" w:rsidRPr="00342F7C" w:rsidRDefault="00D7303D">
      <w:pPr>
        <w:pStyle w:val="EMEANormal"/>
        <w:rPr>
          <w:lang w:val="en-GB"/>
        </w:rPr>
      </w:pPr>
    </w:p>
    <w:p w14:paraId="65964956" w14:textId="77777777" w:rsidR="00D7303D" w:rsidRPr="00342F7C" w:rsidRDefault="00D7303D">
      <w:pPr>
        <w:pStyle w:val="EMEANormal"/>
        <w:rPr>
          <w:lang w:val="en-GB"/>
        </w:rPr>
      </w:pPr>
      <w:r w:rsidRPr="00342F7C">
        <w:rPr>
          <w:lang w:val="en-GB"/>
        </w:rPr>
        <w:t>Medicinal products that are contraindicated specifically due to the expected magnitude of interaction and potential for serious adverse events are listed in section 4.3.</w:t>
      </w:r>
    </w:p>
    <w:p w14:paraId="51884FCB" w14:textId="77777777" w:rsidR="00D7303D" w:rsidRPr="00342F7C" w:rsidRDefault="00D7303D" w:rsidP="00A00F6E">
      <w:pPr>
        <w:pStyle w:val="EMEANormal"/>
        <w:rPr>
          <w:lang w:val="en-GB"/>
        </w:rPr>
      </w:pPr>
    </w:p>
    <w:p w14:paraId="7569F9A2" w14:textId="77777777" w:rsidR="00D7303D" w:rsidRPr="00342F7C" w:rsidRDefault="00D7303D" w:rsidP="00A00F6E">
      <w:pPr>
        <w:pStyle w:val="EMEANormal"/>
        <w:rPr>
          <w:szCs w:val="22"/>
          <w:lang w:val="en-GB"/>
        </w:rPr>
      </w:pPr>
      <w:r w:rsidRPr="00342F7C">
        <w:rPr>
          <w:lang w:val="en-GB"/>
        </w:rPr>
        <w:t>Known and theoretical interactions with selected antiretrovirals and non-antiretroviral medicinal products are listed in the table below.</w:t>
      </w:r>
      <w:r w:rsidR="00AE4C3B">
        <w:rPr>
          <w:lang w:val="en-GB"/>
        </w:rPr>
        <w:t xml:space="preserve">  This list is not intended to be inclusive or comprehensive.  Individual SmPCs should be consulted.</w:t>
      </w:r>
    </w:p>
    <w:p w14:paraId="7D9AA25A" w14:textId="77777777" w:rsidR="00D7303D" w:rsidRPr="00342F7C" w:rsidRDefault="00D7303D" w:rsidP="00A00F6E">
      <w:pPr>
        <w:pStyle w:val="EMEANormal"/>
        <w:rPr>
          <w:lang w:val="en-GB"/>
        </w:rPr>
      </w:pPr>
    </w:p>
    <w:p w14:paraId="3053431E" w14:textId="77777777" w:rsidR="00D7303D" w:rsidRPr="00342F7C" w:rsidRDefault="00D7303D" w:rsidP="00387CF0">
      <w:pPr>
        <w:pStyle w:val="EMEANormal"/>
        <w:keepNext/>
        <w:rPr>
          <w:i/>
          <w:lang w:val="en-GB"/>
        </w:rPr>
      </w:pPr>
      <w:r w:rsidRPr="00342F7C">
        <w:rPr>
          <w:i/>
          <w:lang w:val="en-GB"/>
        </w:rPr>
        <w:t>Interaction table</w:t>
      </w:r>
    </w:p>
    <w:p w14:paraId="0542A973" w14:textId="77777777" w:rsidR="00D7303D" w:rsidRPr="00342F7C" w:rsidRDefault="00D7303D" w:rsidP="00387CF0">
      <w:pPr>
        <w:pStyle w:val="EMEANormal"/>
        <w:keepNext/>
        <w:rPr>
          <w:lang w:val="en-GB"/>
        </w:rPr>
      </w:pPr>
    </w:p>
    <w:p w14:paraId="696B4231" w14:textId="77777777" w:rsidR="00D7303D" w:rsidRPr="00342F7C" w:rsidRDefault="00D7303D" w:rsidP="00387CF0">
      <w:pPr>
        <w:pStyle w:val="EMEANormal"/>
        <w:keepNext/>
        <w:rPr>
          <w:sz w:val="20"/>
          <w:lang w:val="en-GB"/>
        </w:rPr>
      </w:pPr>
      <w:r w:rsidRPr="00342F7C">
        <w:rPr>
          <w:lang w:val="en-GB"/>
        </w:rPr>
        <w:t>Interactions between Kaletra and co-administered medicinal products are listed in the table below (increase is indicated as “↑”, decrease as “↓”, no change as “↔”,once daily as “QD”, twice daily as “BID” and three times daily as "TID").</w:t>
      </w:r>
    </w:p>
    <w:p w14:paraId="52D75274" w14:textId="77777777" w:rsidR="00D7303D" w:rsidRPr="00342F7C" w:rsidRDefault="00D7303D" w:rsidP="00A00F6E">
      <w:pPr>
        <w:pStyle w:val="EMEANormal"/>
        <w:rPr>
          <w:lang w:val="en-GB"/>
        </w:rPr>
      </w:pPr>
    </w:p>
    <w:p w14:paraId="29830143" w14:textId="77777777" w:rsidR="00D7303D" w:rsidRPr="00342F7C" w:rsidRDefault="00D7303D" w:rsidP="00A00F6E">
      <w:pPr>
        <w:pStyle w:val="EMEANormal"/>
        <w:rPr>
          <w:szCs w:val="24"/>
          <w:lang w:val="en-GB"/>
        </w:rPr>
      </w:pPr>
      <w:r w:rsidRPr="00342F7C">
        <w:rPr>
          <w:lang w:val="en-GB"/>
        </w:rPr>
        <w:t>Unless otherwise stated, studies detailed below have been performed with the recommended dosage of lopinavir/ritonavir (i.e. 400/100 mg twice daily).</w:t>
      </w:r>
    </w:p>
    <w:p w14:paraId="21D42801" w14:textId="77777777" w:rsidR="00D7303D" w:rsidRPr="00342F7C" w:rsidRDefault="00D7303D" w:rsidP="00A00F6E">
      <w:pPr>
        <w:pStyle w:val="EMEANormal"/>
        <w:rPr>
          <w:lang w:val="en-GB"/>
        </w:rPr>
      </w:pPr>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47"/>
        <w:gridCol w:w="47"/>
        <w:gridCol w:w="3072"/>
        <w:gridCol w:w="10"/>
        <w:gridCol w:w="36"/>
        <w:gridCol w:w="75"/>
        <w:gridCol w:w="20"/>
        <w:gridCol w:w="10"/>
        <w:gridCol w:w="37"/>
        <w:gridCol w:w="3214"/>
        <w:gridCol w:w="10"/>
        <w:gridCol w:w="36"/>
      </w:tblGrid>
      <w:tr w:rsidR="00D7303D" w:rsidRPr="00342F7C" w14:paraId="65BD8D60"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630F7ED6" w14:textId="77777777" w:rsidR="00D7303D" w:rsidRPr="00342F7C" w:rsidRDefault="00D7303D" w:rsidP="002A75DB">
            <w:pPr>
              <w:pStyle w:val="EMEANormal"/>
              <w:keepNext/>
              <w:rPr>
                <w:b/>
                <w:bCs/>
                <w:lang w:val="en-GB"/>
              </w:rPr>
            </w:pPr>
            <w:r w:rsidRPr="00342F7C">
              <w:rPr>
                <w:b/>
                <w:bCs/>
                <w:lang w:val="en-GB"/>
              </w:rPr>
              <w:t xml:space="preserve">Co-administered drug by therapeutic area </w:t>
            </w:r>
          </w:p>
          <w:p w14:paraId="6481B4BA" w14:textId="77777777" w:rsidR="00D7303D" w:rsidRPr="00342F7C" w:rsidRDefault="00D7303D" w:rsidP="002A75DB">
            <w:pPr>
              <w:pStyle w:val="EMEANormal"/>
              <w:keepNext/>
              <w:rPr>
                <w:b/>
                <w:bCs/>
                <w:lang w:val="en-GB"/>
              </w:rPr>
            </w:pPr>
          </w:p>
          <w:p w14:paraId="5EFF2D5E" w14:textId="77777777" w:rsidR="00D7303D" w:rsidRPr="00342F7C" w:rsidRDefault="00D7303D" w:rsidP="002A75DB">
            <w:pPr>
              <w:pStyle w:val="EMEANormal"/>
              <w:keepNext/>
              <w:rPr>
                <w:b/>
                <w:bCs/>
                <w:lang w:val="en-GB"/>
              </w:rPr>
            </w:pPr>
          </w:p>
        </w:tc>
        <w:tc>
          <w:tcPr>
            <w:tcW w:w="3240" w:type="dxa"/>
            <w:gridSpan w:val="5"/>
            <w:tcBorders>
              <w:top w:val="single" w:sz="4" w:space="0" w:color="auto"/>
              <w:left w:val="single" w:sz="4" w:space="0" w:color="auto"/>
              <w:bottom w:val="single" w:sz="4" w:space="0" w:color="auto"/>
              <w:right w:val="single" w:sz="4" w:space="0" w:color="auto"/>
            </w:tcBorders>
          </w:tcPr>
          <w:p w14:paraId="7E7C5B44" w14:textId="77777777" w:rsidR="00D7303D" w:rsidRPr="00342F7C" w:rsidRDefault="00D7303D" w:rsidP="002A75DB">
            <w:pPr>
              <w:pStyle w:val="EMEANormal"/>
              <w:keepNext/>
              <w:rPr>
                <w:b/>
                <w:bCs/>
                <w:lang w:val="en-GB"/>
              </w:rPr>
            </w:pPr>
            <w:r w:rsidRPr="00342F7C">
              <w:rPr>
                <w:b/>
                <w:bCs/>
                <w:lang w:val="en-GB"/>
              </w:rPr>
              <w:t>Effects on drug levels</w:t>
            </w:r>
          </w:p>
          <w:p w14:paraId="03C64408" w14:textId="77777777" w:rsidR="00D7303D" w:rsidRPr="00342F7C" w:rsidRDefault="00D7303D" w:rsidP="002A75DB">
            <w:pPr>
              <w:pStyle w:val="EMEANormal"/>
              <w:keepNext/>
              <w:rPr>
                <w:b/>
                <w:bCs/>
                <w:lang w:val="en-GB"/>
              </w:rPr>
            </w:pPr>
          </w:p>
          <w:p w14:paraId="682C91FD" w14:textId="77777777" w:rsidR="00D7303D" w:rsidRPr="00342F7C" w:rsidRDefault="00D7303D" w:rsidP="002A75DB">
            <w:pPr>
              <w:pStyle w:val="EMEANormal"/>
              <w:keepNext/>
              <w:rPr>
                <w:b/>
                <w:bCs/>
                <w:vertAlign w:val="subscript"/>
                <w:lang w:val="en-GB"/>
              </w:rPr>
            </w:pPr>
            <w:r w:rsidRPr="00342F7C">
              <w:rPr>
                <w:b/>
                <w:bCs/>
                <w:lang w:val="en-GB"/>
              </w:rPr>
              <w:t>Geometric Mean Change (%) in AUC, C</w:t>
            </w:r>
            <w:r w:rsidRPr="00342F7C">
              <w:rPr>
                <w:b/>
                <w:bCs/>
                <w:vertAlign w:val="subscript"/>
                <w:lang w:val="en-GB"/>
              </w:rPr>
              <w:t>max</w:t>
            </w:r>
            <w:r w:rsidRPr="00342F7C">
              <w:rPr>
                <w:b/>
                <w:bCs/>
                <w:lang w:val="en-GB"/>
              </w:rPr>
              <w:t>, C</w:t>
            </w:r>
            <w:r w:rsidRPr="00342F7C">
              <w:rPr>
                <w:b/>
                <w:bCs/>
                <w:vertAlign w:val="subscript"/>
                <w:lang w:val="en-GB"/>
              </w:rPr>
              <w:t>min</w:t>
            </w:r>
          </w:p>
          <w:p w14:paraId="10E981C3" w14:textId="77777777" w:rsidR="00D7303D" w:rsidRPr="00342F7C" w:rsidRDefault="00D7303D" w:rsidP="002A75DB">
            <w:pPr>
              <w:pStyle w:val="EMEANormal"/>
              <w:keepNext/>
              <w:rPr>
                <w:b/>
                <w:bCs/>
                <w:lang w:val="en-GB"/>
              </w:rPr>
            </w:pPr>
          </w:p>
          <w:p w14:paraId="6923CA10" w14:textId="77777777" w:rsidR="00D7303D" w:rsidRPr="00342F7C" w:rsidRDefault="00D7303D" w:rsidP="002A75DB">
            <w:pPr>
              <w:pStyle w:val="EMEANormal"/>
              <w:keepNext/>
              <w:rPr>
                <w:b/>
                <w:bCs/>
                <w:lang w:val="en-GB"/>
              </w:rPr>
            </w:pPr>
            <w:r w:rsidRPr="00342F7C">
              <w:rPr>
                <w:b/>
                <w:bCs/>
                <w:lang w:val="en-GB"/>
              </w:rPr>
              <w:t>Mechanism of interaction</w:t>
            </w:r>
          </w:p>
        </w:tc>
        <w:tc>
          <w:tcPr>
            <w:tcW w:w="3291" w:type="dxa"/>
            <w:gridSpan w:val="5"/>
            <w:tcBorders>
              <w:top w:val="single" w:sz="4" w:space="0" w:color="auto"/>
              <w:left w:val="single" w:sz="4" w:space="0" w:color="auto"/>
              <w:bottom w:val="single" w:sz="4" w:space="0" w:color="auto"/>
              <w:right w:val="single" w:sz="4" w:space="0" w:color="auto"/>
            </w:tcBorders>
          </w:tcPr>
          <w:p w14:paraId="1D0BB8CF" w14:textId="77777777" w:rsidR="00D7303D" w:rsidRPr="00342F7C" w:rsidRDefault="00D7303D" w:rsidP="002A75DB">
            <w:pPr>
              <w:pStyle w:val="EMEANormal"/>
              <w:keepNext/>
              <w:rPr>
                <w:b/>
                <w:bCs/>
                <w:lang w:val="en-GB"/>
              </w:rPr>
            </w:pPr>
            <w:r w:rsidRPr="00342F7C">
              <w:rPr>
                <w:b/>
                <w:bCs/>
                <w:lang w:val="en-GB"/>
              </w:rPr>
              <w:t>Clinical recommendation concerning co-administration with Kaletra</w:t>
            </w:r>
          </w:p>
        </w:tc>
      </w:tr>
      <w:tr w:rsidR="00D7303D" w:rsidRPr="00342F7C" w14:paraId="0973AA85" w14:textId="77777777" w:rsidTr="008F531F">
        <w:trPr>
          <w:gridAfter w:val="1"/>
          <w:wAfter w:w="36" w:type="dxa"/>
        </w:trPr>
        <w:tc>
          <w:tcPr>
            <w:tcW w:w="9178" w:type="dxa"/>
            <w:gridSpan w:val="11"/>
            <w:tcBorders>
              <w:top w:val="single" w:sz="4" w:space="0" w:color="auto"/>
              <w:left w:val="single" w:sz="4" w:space="0" w:color="auto"/>
              <w:bottom w:val="single" w:sz="4" w:space="0" w:color="auto"/>
              <w:right w:val="single" w:sz="4" w:space="0" w:color="auto"/>
            </w:tcBorders>
          </w:tcPr>
          <w:p w14:paraId="33E59436" w14:textId="77777777" w:rsidR="00D7303D" w:rsidRPr="00342F7C" w:rsidRDefault="00D7303D" w:rsidP="002A75DB">
            <w:pPr>
              <w:pStyle w:val="EMEANormal"/>
              <w:keepNext/>
              <w:rPr>
                <w:b/>
                <w:bCs/>
                <w:i/>
                <w:iCs/>
                <w:lang w:val="en-GB"/>
              </w:rPr>
            </w:pPr>
            <w:r w:rsidRPr="00342F7C">
              <w:rPr>
                <w:b/>
                <w:bCs/>
                <w:i/>
                <w:iCs/>
                <w:lang w:val="en-GB"/>
              </w:rPr>
              <w:t>Antiretroviral Agents</w:t>
            </w:r>
          </w:p>
        </w:tc>
      </w:tr>
      <w:tr w:rsidR="00D7303D" w:rsidRPr="00342F7C" w14:paraId="75C802B3" w14:textId="77777777" w:rsidTr="008F531F">
        <w:trPr>
          <w:gridAfter w:val="1"/>
          <w:wAfter w:w="36" w:type="dxa"/>
        </w:trPr>
        <w:tc>
          <w:tcPr>
            <w:tcW w:w="9178" w:type="dxa"/>
            <w:gridSpan w:val="11"/>
            <w:tcBorders>
              <w:top w:val="single" w:sz="4" w:space="0" w:color="auto"/>
              <w:left w:val="single" w:sz="4" w:space="0" w:color="auto"/>
              <w:bottom w:val="single" w:sz="4" w:space="0" w:color="auto"/>
              <w:right w:val="single" w:sz="4" w:space="0" w:color="auto"/>
            </w:tcBorders>
          </w:tcPr>
          <w:p w14:paraId="35616E0F" w14:textId="77777777" w:rsidR="00D7303D" w:rsidRPr="00342F7C" w:rsidRDefault="00D7303D" w:rsidP="002A75DB">
            <w:pPr>
              <w:pStyle w:val="EMEANormal"/>
              <w:keepNext/>
              <w:rPr>
                <w:i/>
                <w:iCs/>
                <w:lang w:val="en-GB"/>
              </w:rPr>
            </w:pPr>
            <w:r w:rsidRPr="00342F7C">
              <w:rPr>
                <w:i/>
                <w:iCs/>
                <w:lang w:val="en-GB"/>
              </w:rPr>
              <w:t>Nucleoside/Nucleotide reverse transcriptase inhibitors (NRTIs)</w:t>
            </w:r>
            <w:r w:rsidRPr="00342F7C">
              <w:rPr>
                <w:i/>
                <w:iCs/>
                <w:lang w:val="en-GB"/>
              </w:rPr>
              <w:tab/>
            </w:r>
          </w:p>
        </w:tc>
      </w:tr>
      <w:tr w:rsidR="00D7303D" w:rsidRPr="00342F7C" w14:paraId="049AEC62"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151C7149" w14:textId="77777777" w:rsidR="00D7303D" w:rsidRPr="00342F7C" w:rsidRDefault="00D7303D" w:rsidP="002A75DB">
            <w:pPr>
              <w:pStyle w:val="EMEANormal"/>
              <w:keepNext/>
              <w:rPr>
                <w:lang w:val="en-GB"/>
              </w:rPr>
            </w:pPr>
            <w:r w:rsidRPr="00342F7C">
              <w:rPr>
                <w:lang w:val="en-GB"/>
              </w:rPr>
              <w:t>Stavudine, Lamivudine</w:t>
            </w:r>
          </w:p>
        </w:tc>
        <w:tc>
          <w:tcPr>
            <w:tcW w:w="3240" w:type="dxa"/>
            <w:gridSpan w:val="5"/>
            <w:tcBorders>
              <w:top w:val="single" w:sz="4" w:space="0" w:color="auto"/>
              <w:left w:val="single" w:sz="4" w:space="0" w:color="auto"/>
              <w:bottom w:val="single" w:sz="4" w:space="0" w:color="auto"/>
              <w:right w:val="single" w:sz="4" w:space="0" w:color="auto"/>
            </w:tcBorders>
          </w:tcPr>
          <w:p w14:paraId="7F32B27E" w14:textId="77777777" w:rsidR="00D7303D" w:rsidRPr="00342F7C" w:rsidRDefault="00D7303D" w:rsidP="002A75DB">
            <w:pPr>
              <w:pStyle w:val="EMEANormal"/>
              <w:keepNext/>
              <w:rPr>
                <w:lang w:val="en-GB"/>
              </w:rPr>
            </w:pPr>
            <w:r w:rsidRPr="00342F7C">
              <w:rPr>
                <w:lang w:val="en-GB"/>
              </w:rPr>
              <w:t xml:space="preserve">Lopinavir: </w:t>
            </w:r>
            <w:r w:rsidRPr="00342F7C">
              <w:rPr>
                <w:szCs w:val="22"/>
                <w:lang w:val="en-GB"/>
              </w:rPr>
              <w:t>↔</w:t>
            </w:r>
          </w:p>
          <w:p w14:paraId="56F675B9" w14:textId="77777777" w:rsidR="00D7303D" w:rsidRPr="00342F7C" w:rsidRDefault="00D7303D" w:rsidP="002A75DB">
            <w:pPr>
              <w:pStyle w:val="EMEANormal"/>
              <w:keepNext/>
              <w:rPr>
                <w:lang w:val="en-GB"/>
              </w:rPr>
            </w:pPr>
          </w:p>
        </w:tc>
        <w:tc>
          <w:tcPr>
            <w:tcW w:w="3291" w:type="dxa"/>
            <w:gridSpan w:val="5"/>
            <w:tcBorders>
              <w:top w:val="single" w:sz="4" w:space="0" w:color="auto"/>
              <w:left w:val="single" w:sz="4" w:space="0" w:color="auto"/>
              <w:bottom w:val="single" w:sz="4" w:space="0" w:color="auto"/>
              <w:right w:val="single" w:sz="4" w:space="0" w:color="auto"/>
            </w:tcBorders>
          </w:tcPr>
          <w:p w14:paraId="480F0E0D" w14:textId="77777777" w:rsidR="00D7303D" w:rsidRPr="00342F7C" w:rsidRDefault="00D7303D" w:rsidP="002A75DB">
            <w:pPr>
              <w:pStyle w:val="EMEANormal"/>
              <w:keepNext/>
              <w:rPr>
                <w:lang w:val="en-GB"/>
              </w:rPr>
            </w:pPr>
            <w:r w:rsidRPr="00342F7C">
              <w:rPr>
                <w:lang w:val="en-GB"/>
              </w:rPr>
              <w:t>No dose adjustment necessary.</w:t>
            </w:r>
          </w:p>
        </w:tc>
      </w:tr>
      <w:tr w:rsidR="00D7303D" w:rsidRPr="00342F7C" w14:paraId="4794B025"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466B0F0B" w14:textId="77777777" w:rsidR="00D7303D" w:rsidRPr="00342F7C" w:rsidRDefault="00D7303D" w:rsidP="002A75DB">
            <w:pPr>
              <w:pStyle w:val="EMEANormal"/>
              <w:keepNext/>
              <w:rPr>
                <w:lang w:val="en-GB"/>
              </w:rPr>
            </w:pPr>
            <w:r w:rsidRPr="00342F7C">
              <w:rPr>
                <w:lang w:val="en-GB"/>
              </w:rPr>
              <w:t>Abacavir, Zidovudine</w:t>
            </w:r>
          </w:p>
          <w:p w14:paraId="142CEF9E" w14:textId="77777777" w:rsidR="00D7303D" w:rsidRPr="00342F7C" w:rsidRDefault="00D7303D" w:rsidP="002A75DB">
            <w:pPr>
              <w:pStyle w:val="EMEANormal"/>
              <w:keepNext/>
              <w:rPr>
                <w:lang w:val="en-GB"/>
              </w:rPr>
            </w:pPr>
          </w:p>
          <w:p w14:paraId="1AF132FA" w14:textId="77777777" w:rsidR="00D7303D" w:rsidRPr="00342F7C" w:rsidRDefault="00D7303D" w:rsidP="002A75DB">
            <w:pPr>
              <w:pStyle w:val="EMEANormal"/>
              <w:keepNext/>
              <w:rPr>
                <w:i/>
                <w:iCs/>
                <w:lang w:val="en-GB"/>
              </w:rPr>
            </w:pPr>
          </w:p>
        </w:tc>
        <w:tc>
          <w:tcPr>
            <w:tcW w:w="3240" w:type="dxa"/>
            <w:gridSpan w:val="5"/>
            <w:tcBorders>
              <w:top w:val="single" w:sz="4" w:space="0" w:color="auto"/>
              <w:left w:val="single" w:sz="4" w:space="0" w:color="auto"/>
              <w:bottom w:val="single" w:sz="4" w:space="0" w:color="auto"/>
              <w:right w:val="single" w:sz="4" w:space="0" w:color="auto"/>
            </w:tcBorders>
          </w:tcPr>
          <w:p w14:paraId="323D6B9A" w14:textId="77777777" w:rsidR="00D7303D" w:rsidRPr="00342F7C" w:rsidRDefault="00D7303D" w:rsidP="002A75DB">
            <w:pPr>
              <w:pStyle w:val="EMEANormal"/>
              <w:keepNext/>
              <w:rPr>
                <w:lang w:val="en-GB"/>
              </w:rPr>
            </w:pPr>
            <w:r w:rsidRPr="00342F7C">
              <w:rPr>
                <w:lang w:val="en-GB"/>
              </w:rPr>
              <w:t>Abacavir, Zidovudine:</w:t>
            </w:r>
          </w:p>
          <w:p w14:paraId="7955B10F" w14:textId="77777777" w:rsidR="00D7303D" w:rsidRPr="00342F7C" w:rsidRDefault="00D7303D" w:rsidP="0011253A">
            <w:pPr>
              <w:pStyle w:val="EMEANormal"/>
              <w:keepNext/>
              <w:rPr>
                <w:lang w:val="en-GB"/>
              </w:rPr>
            </w:pPr>
            <w:r w:rsidRPr="00342F7C">
              <w:rPr>
                <w:lang w:val="en-GB"/>
              </w:rPr>
              <w:t xml:space="preserve">Concentrations may be reduced due to increased glucuronidation by </w:t>
            </w:r>
            <w:r w:rsidR="0011253A">
              <w:rPr>
                <w:lang w:val="en-GB"/>
              </w:rPr>
              <w:t>lopinavir/ritonavir</w:t>
            </w:r>
            <w:r w:rsidRPr="00342F7C">
              <w:rPr>
                <w:lang w:val="en-GB"/>
              </w:rPr>
              <w:t>.</w:t>
            </w:r>
          </w:p>
        </w:tc>
        <w:tc>
          <w:tcPr>
            <w:tcW w:w="3291" w:type="dxa"/>
            <w:gridSpan w:val="5"/>
            <w:tcBorders>
              <w:top w:val="single" w:sz="4" w:space="0" w:color="auto"/>
              <w:left w:val="single" w:sz="4" w:space="0" w:color="auto"/>
              <w:bottom w:val="single" w:sz="4" w:space="0" w:color="auto"/>
              <w:right w:val="single" w:sz="4" w:space="0" w:color="auto"/>
            </w:tcBorders>
          </w:tcPr>
          <w:p w14:paraId="67767C8A" w14:textId="77777777" w:rsidR="00D7303D" w:rsidRPr="00342F7C" w:rsidRDefault="00D7303D" w:rsidP="002A75DB">
            <w:pPr>
              <w:pStyle w:val="EMEANormal"/>
              <w:keepNext/>
              <w:rPr>
                <w:lang w:val="en-GB"/>
              </w:rPr>
            </w:pPr>
            <w:r w:rsidRPr="00342F7C">
              <w:rPr>
                <w:lang w:val="en-GB"/>
              </w:rPr>
              <w:t>The clinical significance of reduced abacavir and zidovudine concentrations is unknown.</w:t>
            </w:r>
          </w:p>
        </w:tc>
      </w:tr>
      <w:tr w:rsidR="00D7303D" w:rsidRPr="00342F7C" w14:paraId="659C6766"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2E365881" w14:textId="77777777" w:rsidR="00D7303D" w:rsidRPr="00342F7C" w:rsidRDefault="00D7303D" w:rsidP="002A75DB">
            <w:pPr>
              <w:pStyle w:val="EMEANormal"/>
              <w:keepNext/>
              <w:rPr>
                <w:lang w:val="en-GB"/>
              </w:rPr>
            </w:pPr>
            <w:r w:rsidRPr="00342F7C">
              <w:rPr>
                <w:lang w:val="en-GB"/>
              </w:rPr>
              <w:t>Tenofovir</w:t>
            </w:r>
            <w:r w:rsidR="000B35E1">
              <w:rPr>
                <w:lang w:val="en-GB"/>
              </w:rPr>
              <w:t xml:space="preserve"> disoproxil fumarate (DF)</w:t>
            </w:r>
            <w:r w:rsidRPr="00342F7C">
              <w:rPr>
                <w:lang w:val="en-GB"/>
              </w:rPr>
              <w:t>, 30</w:t>
            </w:r>
            <w:r>
              <w:rPr>
                <w:lang w:val="en-GB"/>
              </w:rPr>
              <w:t>0 </w:t>
            </w:r>
            <w:r w:rsidRPr="00342F7C">
              <w:rPr>
                <w:lang w:val="en-GB"/>
              </w:rPr>
              <w:t>mg QD</w:t>
            </w:r>
          </w:p>
          <w:p w14:paraId="75EE1744" w14:textId="77777777" w:rsidR="00D7303D" w:rsidRPr="00342F7C" w:rsidRDefault="00D7303D" w:rsidP="002A75DB">
            <w:pPr>
              <w:pStyle w:val="EMEANormal"/>
              <w:keepNext/>
              <w:rPr>
                <w:lang w:val="en-GB"/>
              </w:rPr>
            </w:pPr>
            <w:r w:rsidRPr="00342F7C">
              <w:rPr>
                <w:lang w:val="en-GB"/>
              </w:rPr>
              <w:t xml:space="preserve"> </w:t>
            </w:r>
          </w:p>
          <w:p w14:paraId="49FF73B4" w14:textId="77777777" w:rsidR="00D7303D" w:rsidRPr="00342F7C" w:rsidRDefault="000B35E1" w:rsidP="002A75DB">
            <w:pPr>
              <w:pStyle w:val="EMEANormal"/>
              <w:keepNext/>
              <w:rPr>
                <w:i/>
                <w:iCs/>
                <w:lang w:val="en-GB"/>
              </w:rPr>
            </w:pPr>
            <w:r>
              <w:rPr>
                <w:lang w:val="en-GB"/>
              </w:rPr>
              <w:t>(equivalent to 245 mg tenofovir disoproxil)</w:t>
            </w:r>
          </w:p>
        </w:tc>
        <w:tc>
          <w:tcPr>
            <w:tcW w:w="3240" w:type="dxa"/>
            <w:gridSpan w:val="5"/>
            <w:tcBorders>
              <w:top w:val="single" w:sz="4" w:space="0" w:color="auto"/>
              <w:left w:val="single" w:sz="4" w:space="0" w:color="auto"/>
              <w:bottom w:val="single" w:sz="4" w:space="0" w:color="auto"/>
              <w:right w:val="single" w:sz="4" w:space="0" w:color="auto"/>
            </w:tcBorders>
          </w:tcPr>
          <w:p w14:paraId="68069EB9" w14:textId="77777777" w:rsidR="00D7303D" w:rsidRPr="00342F7C" w:rsidRDefault="00D7303D" w:rsidP="002A75DB">
            <w:pPr>
              <w:pStyle w:val="EMEANormal"/>
              <w:keepNext/>
              <w:rPr>
                <w:lang w:val="en-GB"/>
              </w:rPr>
            </w:pPr>
            <w:r w:rsidRPr="00342F7C">
              <w:rPr>
                <w:lang w:val="en-GB"/>
              </w:rPr>
              <w:t>Tenofovir:</w:t>
            </w:r>
          </w:p>
          <w:p w14:paraId="61041358" w14:textId="77777777" w:rsidR="00D7303D" w:rsidRPr="00342F7C" w:rsidRDefault="00D7303D" w:rsidP="002A75DB">
            <w:pPr>
              <w:pStyle w:val="EMEANormal"/>
              <w:keepNext/>
              <w:rPr>
                <w:szCs w:val="22"/>
                <w:lang w:val="en-GB"/>
              </w:rPr>
            </w:pPr>
            <w:r w:rsidRPr="00342F7C">
              <w:rPr>
                <w:szCs w:val="22"/>
                <w:lang w:val="en-GB"/>
              </w:rPr>
              <w:t>AUC: ↑ 32%</w:t>
            </w:r>
          </w:p>
          <w:p w14:paraId="746705A3" w14:textId="77777777" w:rsidR="00D7303D" w:rsidRPr="00342F7C" w:rsidRDefault="00D7303D" w:rsidP="002A75DB">
            <w:pPr>
              <w:pStyle w:val="EMEANormal"/>
              <w:keepNext/>
              <w:rPr>
                <w:szCs w:val="22"/>
                <w:lang w:val="en-GB"/>
              </w:rPr>
            </w:pPr>
            <w:r w:rsidRPr="00342F7C">
              <w:rPr>
                <w:szCs w:val="22"/>
                <w:lang w:val="en-GB"/>
              </w:rPr>
              <w:t>C</w:t>
            </w:r>
            <w:r w:rsidRPr="00342F7C">
              <w:rPr>
                <w:szCs w:val="22"/>
                <w:vertAlign w:val="subscript"/>
                <w:lang w:val="en-GB"/>
              </w:rPr>
              <w:t>max</w:t>
            </w:r>
            <w:r w:rsidRPr="00342F7C">
              <w:rPr>
                <w:szCs w:val="22"/>
                <w:lang w:val="en-GB"/>
              </w:rPr>
              <w:t>: ↔</w:t>
            </w:r>
          </w:p>
          <w:p w14:paraId="2F5022EB" w14:textId="77777777" w:rsidR="00D7303D" w:rsidRPr="00342F7C" w:rsidRDefault="00D7303D" w:rsidP="002A75DB">
            <w:pPr>
              <w:pStyle w:val="EMEANormal"/>
              <w:keepNext/>
              <w:rPr>
                <w:lang w:val="en-GB"/>
              </w:rPr>
            </w:pPr>
            <w:r w:rsidRPr="00342F7C">
              <w:rPr>
                <w:szCs w:val="22"/>
                <w:lang w:val="en-GB"/>
              </w:rPr>
              <w:t>C</w:t>
            </w:r>
            <w:r w:rsidRPr="00342F7C">
              <w:rPr>
                <w:szCs w:val="22"/>
                <w:vertAlign w:val="subscript"/>
                <w:lang w:val="en-GB"/>
              </w:rPr>
              <w:t>min</w:t>
            </w:r>
            <w:r w:rsidRPr="00342F7C">
              <w:rPr>
                <w:szCs w:val="22"/>
                <w:lang w:val="en-GB"/>
              </w:rPr>
              <w:t>: ↑ 51%</w:t>
            </w:r>
          </w:p>
          <w:p w14:paraId="30587002" w14:textId="77777777" w:rsidR="00D7303D" w:rsidRPr="00342F7C" w:rsidRDefault="00D7303D" w:rsidP="002A75DB">
            <w:pPr>
              <w:pStyle w:val="EMEANormal"/>
              <w:keepNext/>
              <w:rPr>
                <w:lang w:val="en-GB"/>
              </w:rPr>
            </w:pPr>
          </w:p>
          <w:p w14:paraId="4BCDC003" w14:textId="77777777" w:rsidR="00D7303D" w:rsidRPr="00342F7C" w:rsidRDefault="00D7303D" w:rsidP="002A75DB">
            <w:pPr>
              <w:pStyle w:val="EMEANormal"/>
              <w:keepNext/>
              <w:rPr>
                <w:lang w:val="en-GB"/>
              </w:rPr>
            </w:pPr>
            <w:r w:rsidRPr="00342F7C">
              <w:rPr>
                <w:lang w:val="en-GB"/>
              </w:rPr>
              <w:t xml:space="preserve">Lopinavir: </w:t>
            </w:r>
            <w:r w:rsidRPr="00342F7C">
              <w:rPr>
                <w:szCs w:val="22"/>
                <w:lang w:val="en-GB"/>
              </w:rPr>
              <w:t>↔</w:t>
            </w:r>
          </w:p>
        </w:tc>
        <w:tc>
          <w:tcPr>
            <w:tcW w:w="3291" w:type="dxa"/>
            <w:gridSpan w:val="5"/>
            <w:tcBorders>
              <w:top w:val="single" w:sz="4" w:space="0" w:color="auto"/>
              <w:left w:val="single" w:sz="4" w:space="0" w:color="auto"/>
              <w:bottom w:val="single" w:sz="4" w:space="0" w:color="auto"/>
              <w:right w:val="single" w:sz="4" w:space="0" w:color="auto"/>
            </w:tcBorders>
          </w:tcPr>
          <w:p w14:paraId="2F4C1147" w14:textId="77777777" w:rsidR="00D7303D" w:rsidRPr="00342F7C" w:rsidRDefault="00D7303D" w:rsidP="002A75DB">
            <w:pPr>
              <w:pStyle w:val="EMEANormal"/>
              <w:keepNext/>
              <w:rPr>
                <w:lang w:val="en-GB"/>
              </w:rPr>
            </w:pPr>
            <w:r w:rsidRPr="00342F7C">
              <w:rPr>
                <w:lang w:val="en-GB"/>
              </w:rPr>
              <w:t xml:space="preserve">No dose adjustment necessary.  </w:t>
            </w:r>
          </w:p>
          <w:p w14:paraId="143F90A3" w14:textId="77777777" w:rsidR="00D7303D" w:rsidRPr="00342F7C" w:rsidRDefault="00D7303D" w:rsidP="002A75DB">
            <w:pPr>
              <w:pStyle w:val="EMEANormal"/>
              <w:keepNext/>
              <w:rPr>
                <w:lang w:val="en-GB"/>
              </w:rPr>
            </w:pPr>
            <w:r w:rsidRPr="00342F7C">
              <w:rPr>
                <w:lang w:val="en-GB"/>
              </w:rPr>
              <w:t>Higher tenofovir concentrations could potentiate tenofovir associated adverse events, including renal disorders.</w:t>
            </w:r>
          </w:p>
        </w:tc>
      </w:tr>
      <w:tr w:rsidR="00D7303D" w:rsidRPr="00342F7C" w14:paraId="3BCF6A68" w14:textId="77777777" w:rsidTr="008F531F">
        <w:trPr>
          <w:gridAfter w:val="1"/>
          <w:wAfter w:w="36" w:type="dxa"/>
        </w:trPr>
        <w:tc>
          <w:tcPr>
            <w:tcW w:w="9178" w:type="dxa"/>
            <w:gridSpan w:val="11"/>
            <w:tcBorders>
              <w:top w:val="single" w:sz="4" w:space="0" w:color="auto"/>
              <w:left w:val="single" w:sz="4" w:space="0" w:color="auto"/>
              <w:bottom w:val="single" w:sz="4" w:space="0" w:color="auto"/>
              <w:right w:val="single" w:sz="4" w:space="0" w:color="auto"/>
            </w:tcBorders>
          </w:tcPr>
          <w:p w14:paraId="3C379802" w14:textId="77777777" w:rsidR="00D7303D" w:rsidRPr="00342F7C" w:rsidRDefault="00D7303D" w:rsidP="008831F2">
            <w:pPr>
              <w:pStyle w:val="EMEANormal"/>
              <w:rPr>
                <w:lang w:val="en-GB"/>
              </w:rPr>
            </w:pPr>
            <w:r w:rsidRPr="00342F7C">
              <w:rPr>
                <w:i/>
                <w:iCs/>
                <w:lang w:val="en-GB"/>
              </w:rPr>
              <w:t>Non-nucleoside reverse transcriptase inhibitors (NNRTIs)</w:t>
            </w:r>
            <w:r w:rsidRPr="00342F7C">
              <w:rPr>
                <w:i/>
                <w:iCs/>
                <w:lang w:val="en-GB"/>
              </w:rPr>
              <w:tab/>
            </w:r>
          </w:p>
        </w:tc>
      </w:tr>
      <w:tr w:rsidR="00D7303D" w:rsidRPr="00342F7C" w14:paraId="6A28CC97" w14:textId="77777777" w:rsidTr="008F531F">
        <w:trPr>
          <w:gridAfter w:val="1"/>
          <w:wAfter w:w="36" w:type="dxa"/>
          <w:cantSplit/>
        </w:trPr>
        <w:tc>
          <w:tcPr>
            <w:tcW w:w="2647" w:type="dxa"/>
            <w:tcBorders>
              <w:top w:val="single" w:sz="4" w:space="0" w:color="auto"/>
              <w:left w:val="single" w:sz="4" w:space="0" w:color="auto"/>
              <w:bottom w:val="single" w:sz="4" w:space="0" w:color="auto"/>
              <w:right w:val="single" w:sz="4" w:space="0" w:color="auto"/>
            </w:tcBorders>
          </w:tcPr>
          <w:p w14:paraId="1F31DDEB" w14:textId="77777777" w:rsidR="00D7303D" w:rsidRPr="00342F7C" w:rsidRDefault="00D7303D" w:rsidP="008831F2">
            <w:pPr>
              <w:pStyle w:val="EMEANormal"/>
              <w:rPr>
                <w:bCs/>
                <w:iCs/>
                <w:lang w:val="en-GB"/>
              </w:rPr>
            </w:pPr>
            <w:r w:rsidRPr="00342F7C">
              <w:rPr>
                <w:bCs/>
                <w:iCs/>
                <w:lang w:val="en-GB"/>
              </w:rPr>
              <w:t>Efavirenz, 600</w:t>
            </w:r>
            <w:r>
              <w:rPr>
                <w:bCs/>
                <w:iCs/>
                <w:lang w:val="en-GB"/>
              </w:rPr>
              <w:t> </w:t>
            </w:r>
            <w:r w:rsidRPr="00342F7C">
              <w:rPr>
                <w:bCs/>
                <w:iCs/>
                <w:lang w:val="en-GB"/>
              </w:rPr>
              <w:t>mg QD</w:t>
            </w:r>
          </w:p>
          <w:p w14:paraId="571B3472" w14:textId="77777777" w:rsidR="00D7303D" w:rsidRPr="00342F7C" w:rsidRDefault="00D7303D" w:rsidP="008831F2">
            <w:pPr>
              <w:pStyle w:val="EMEANormal"/>
              <w:rPr>
                <w:bCs/>
                <w:iCs/>
                <w:lang w:val="en-GB"/>
              </w:rPr>
            </w:pPr>
          </w:p>
          <w:p w14:paraId="49B7DC78" w14:textId="77777777" w:rsidR="00D7303D" w:rsidRPr="00342F7C" w:rsidRDefault="00D7303D" w:rsidP="008831F2">
            <w:pPr>
              <w:pStyle w:val="EMEANormal"/>
              <w:rPr>
                <w:bCs/>
                <w:iCs/>
                <w:lang w:val="en-GB"/>
              </w:rPr>
            </w:pPr>
          </w:p>
        </w:tc>
        <w:tc>
          <w:tcPr>
            <w:tcW w:w="3240" w:type="dxa"/>
            <w:gridSpan w:val="5"/>
            <w:tcBorders>
              <w:top w:val="single" w:sz="4" w:space="0" w:color="auto"/>
              <w:left w:val="single" w:sz="4" w:space="0" w:color="auto"/>
              <w:bottom w:val="single" w:sz="4" w:space="0" w:color="auto"/>
              <w:right w:val="single" w:sz="4" w:space="0" w:color="auto"/>
            </w:tcBorders>
          </w:tcPr>
          <w:p w14:paraId="2D91C661" w14:textId="77777777" w:rsidR="00D7303D" w:rsidRPr="00342F7C" w:rsidRDefault="00D7303D" w:rsidP="008831F2">
            <w:pPr>
              <w:pStyle w:val="EMEANormal"/>
              <w:rPr>
                <w:lang w:val="en-GB"/>
              </w:rPr>
            </w:pPr>
            <w:r w:rsidRPr="00342F7C">
              <w:rPr>
                <w:lang w:val="en-GB"/>
              </w:rPr>
              <w:t>Lopinavir:</w:t>
            </w:r>
          </w:p>
          <w:p w14:paraId="4C744876" w14:textId="77777777" w:rsidR="00D7303D" w:rsidRPr="00342F7C" w:rsidRDefault="00D7303D" w:rsidP="008831F2">
            <w:pPr>
              <w:pStyle w:val="EMEANormal"/>
              <w:rPr>
                <w:lang w:val="en-GB"/>
              </w:rPr>
            </w:pPr>
            <w:r w:rsidRPr="00342F7C">
              <w:rPr>
                <w:lang w:val="en-GB"/>
              </w:rPr>
              <w:t>AUC: ↓</w:t>
            </w:r>
            <w:r w:rsidRPr="00342F7C">
              <w:rPr>
                <w:rFonts w:cs="Verdana"/>
                <w:lang w:val="en-GB"/>
              </w:rPr>
              <w:t xml:space="preserve"> 20%</w:t>
            </w:r>
          </w:p>
          <w:p w14:paraId="240CACD0" w14:textId="77777777" w:rsidR="00D7303D" w:rsidRPr="00342F7C" w:rsidRDefault="00D7303D" w:rsidP="008831F2">
            <w:pPr>
              <w:pStyle w:val="EMEANormal"/>
              <w:rPr>
                <w:lang w:val="en-GB"/>
              </w:rPr>
            </w:pPr>
            <w:r w:rsidRPr="00342F7C">
              <w:rPr>
                <w:lang w:val="en-GB"/>
              </w:rPr>
              <w:t>C</w:t>
            </w:r>
            <w:r w:rsidRPr="00342F7C">
              <w:rPr>
                <w:vertAlign w:val="subscript"/>
                <w:lang w:val="en-GB"/>
              </w:rPr>
              <w:t>max</w:t>
            </w:r>
            <w:r w:rsidRPr="00342F7C">
              <w:rPr>
                <w:lang w:val="en-GB"/>
              </w:rPr>
              <w:t>: ↓ 13%</w:t>
            </w:r>
          </w:p>
          <w:p w14:paraId="154E6827" w14:textId="77777777" w:rsidR="00D7303D" w:rsidRPr="00342F7C" w:rsidRDefault="00D7303D" w:rsidP="00F4521F">
            <w:pPr>
              <w:pStyle w:val="EMEANormal"/>
              <w:rPr>
                <w:lang w:val="en-GB"/>
              </w:rPr>
            </w:pPr>
            <w:r w:rsidRPr="00342F7C">
              <w:rPr>
                <w:lang w:val="en-GB"/>
              </w:rPr>
              <w:t>C</w:t>
            </w:r>
            <w:r w:rsidRPr="00342F7C">
              <w:rPr>
                <w:vertAlign w:val="subscript"/>
                <w:lang w:val="en-GB"/>
              </w:rPr>
              <w:t>min</w:t>
            </w:r>
            <w:r w:rsidRPr="00342F7C">
              <w:rPr>
                <w:lang w:val="en-GB"/>
              </w:rPr>
              <w:t>: ↓</w:t>
            </w:r>
            <w:r w:rsidRPr="00342F7C">
              <w:rPr>
                <w:rFonts w:cs="Verdana"/>
                <w:lang w:val="en-GB"/>
              </w:rPr>
              <w:t xml:space="preserve"> 42%</w:t>
            </w:r>
          </w:p>
        </w:tc>
        <w:tc>
          <w:tcPr>
            <w:tcW w:w="3291" w:type="dxa"/>
            <w:gridSpan w:val="5"/>
            <w:vMerge w:val="restart"/>
            <w:tcBorders>
              <w:top w:val="single" w:sz="4" w:space="0" w:color="auto"/>
              <w:left w:val="single" w:sz="4" w:space="0" w:color="auto"/>
              <w:bottom w:val="single" w:sz="4" w:space="0" w:color="auto"/>
              <w:right w:val="single" w:sz="4" w:space="0" w:color="auto"/>
            </w:tcBorders>
          </w:tcPr>
          <w:p w14:paraId="7BFE69AB" w14:textId="77777777" w:rsidR="00D7303D" w:rsidRPr="00342F7C" w:rsidRDefault="00D7303D" w:rsidP="008831F2">
            <w:pPr>
              <w:pStyle w:val="EMEANormal"/>
              <w:rPr>
                <w:lang w:val="en-GB"/>
              </w:rPr>
            </w:pPr>
            <w:r w:rsidRPr="00342F7C">
              <w:rPr>
                <w:lang w:val="en-GB"/>
              </w:rPr>
              <w:t>The Kaletra tablets dosage</w:t>
            </w:r>
            <w:r>
              <w:rPr>
                <w:lang w:val="en-GB"/>
              </w:rPr>
              <w:t xml:space="preserve"> should be increased to 500/125 </w:t>
            </w:r>
            <w:r w:rsidRPr="00342F7C">
              <w:rPr>
                <w:lang w:val="en-GB"/>
              </w:rPr>
              <w:t xml:space="preserve">mg twice daily when co-administered with efavirenz.  </w:t>
            </w:r>
          </w:p>
        </w:tc>
      </w:tr>
      <w:tr w:rsidR="00D7303D" w:rsidRPr="00342F7C" w14:paraId="7A3AF816" w14:textId="77777777" w:rsidTr="008F531F">
        <w:trPr>
          <w:gridAfter w:val="1"/>
          <w:wAfter w:w="36" w:type="dxa"/>
          <w:cantSplit/>
        </w:trPr>
        <w:tc>
          <w:tcPr>
            <w:tcW w:w="2647" w:type="dxa"/>
            <w:tcBorders>
              <w:top w:val="single" w:sz="4" w:space="0" w:color="auto"/>
              <w:left w:val="single" w:sz="4" w:space="0" w:color="auto"/>
              <w:bottom w:val="single" w:sz="4" w:space="0" w:color="auto"/>
              <w:right w:val="single" w:sz="4" w:space="0" w:color="auto"/>
            </w:tcBorders>
          </w:tcPr>
          <w:p w14:paraId="3A3DA648" w14:textId="77777777" w:rsidR="00D7303D" w:rsidRPr="00342F7C" w:rsidRDefault="00D7303D" w:rsidP="008831F2">
            <w:pPr>
              <w:pStyle w:val="EMEANormal"/>
              <w:rPr>
                <w:bCs/>
                <w:iCs/>
                <w:lang w:val="en-GB"/>
              </w:rPr>
            </w:pPr>
            <w:r w:rsidRPr="00342F7C">
              <w:rPr>
                <w:bCs/>
                <w:iCs/>
                <w:lang w:val="en-GB"/>
              </w:rPr>
              <w:t>Efavirenz, 600</w:t>
            </w:r>
            <w:r>
              <w:rPr>
                <w:bCs/>
                <w:iCs/>
                <w:lang w:val="en-GB"/>
              </w:rPr>
              <w:t> </w:t>
            </w:r>
            <w:r w:rsidRPr="00342F7C">
              <w:rPr>
                <w:bCs/>
                <w:iCs/>
                <w:lang w:val="en-GB"/>
              </w:rPr>
              <w:t>mg QD</w:t>
            </w:r>
          </w:p>
          <w:p w14:paraId="6A20E16F" w14:textId="77777777" w:rsidR="00D7303D" w:rsidRPr="00342F7C" w:rsidRDefault="00D7303D" w:rsidP="008831F2">
            <w:pPr>
              <w:pStyle w:val="EMEANormal"/>
              <w:rPr>
                <w:bCs/>
                <w:iCs/>
                <w:lang w:val="en-GB"/>
              </w:rPr>
            </w:pPr>
          </w:p>
          <w:p w14:paraId="0A7551E5" w14:textId="77777777" w:rsidR="00D7303D" w:rsidRPr="00342F7C" w:rsidRDefault="00D7303D" w:rsidP="00F50B0B">
            <w:pPr>
              <w:pStyle w:val="EMEANormal"/>
              <w:rPr>
                <w:bCs/>
                <w:i/>
                <w:iCs/>
                <w:lang w:val="en-GB"/>
              </w:rPr>
            </w:pPr>
            <w:r w:rsidRPr="00342F7C">
              <w:rPr>
                <w:lang w:val="en-GB"/>
              </w:rPr>
              <w:t>(Lopinavir/ritonavir 500/125</w:t>
            </w:r>
            <w:r w:rsidR="00F50B0B">
              <w:rPr>
                <w:lang w:val="en-GB"/>
              </w:rPr>
              <w:t> </w:t>
            </w:r>
            <w:r w:rsidRPr="00342F7C">
              <w:rPr>
                <w:lang w:val="en-GB"/>
              </w:rPr>
              <w:t>mg BID)</w:t>
            </w:r>
          </w:p>
        </w:tc>
        <w:tc>
          <w:tcPr>
            <w:tcW w:w="3240" w:type="dxa"/>
            <w:gridSpan w:val="5"/>
            <w:tcBorders>
              <w:top w:val="single" w:sz="4" w:space="0" w:color="auto"/>
              <w:left w:val="single" w:sz="4" w:space="0" w:color="auto"/>
              <w:bottom w:val="single" w:sz="4" w:space="0" w:color="auto"/>
              <w:right w:val="single" w:sz="4" w:space="0" w:color="auto"/>
            </w:tcBorders>
          </w:tcPr>
          <w:p w14:paraId="51D36740" w14:textId="77777777" w:rsidR="00D7303D" w:rsidRPr="00342F7C" w:rsidRDefault="00D7303D" w:rsidP="008831F2">
            <w:pPr>
              <w:pStyle w:val="EMEANormal"/>
              <w:rPr>
                <w:rFonts w:cs="Verdana"/>
                <w:lang w:val="en-GB"/>
              </w:rPr>
            </w:pPr>
          </w:p>
          <w:p w14:paraId="362CF0C5" w14:textId="77777777" w:rsidR="00D7303D" w:rsidRPr="00342F7C" w:rsidRDefault="00D7303D" w:rsidP="008831F2">
            <w:pPr>
              <w:pStyle w:val="EMEANormal"/>
              <w:rPr>
                <w:lang w:val="en-GB"/>
              </w:rPr>
            </w:pPr>
            <w:r w:rsidRPr="00342F7C">
              <w:rPr>
                <w:rFonts w:cs="Verdana"/>
                <w:lang w:val="en-GB"/>
              </w:rPr>
              <w:t xml:space="preserve">Lopinavir: </w:t>
            </w:r>
            <w:r w:rsidRPr="00342F7C">
              <w:rPr>
                <w:szCs w:val="22"/>
                <w:lang w:val="en-GB"/>
              </w:rPr>
              <w:t>↔</w:t>
            </w:r>
          </w:p>
          <w:p w14:paraId="751D8C55" w14:textId="77777777" w:rsidR="00D7303D" w:rsidRPr="00342F7C" w:rsidRDefault="00D7303D" w:rsidP="008831F2">
            <w:pPr>
              <w:pStyle w:val="EMEANormal"/>
              <w:rPr>
                <w:lang w:val="en-GB"/>
              </w:rPr>
            </w:pPr>
            <w:r w:rsidRPr="00342F7C">
              <w:rPr>
                <w:lang w:val="en-GB"/>
              </w:rPr>
              <w:t>(Relative to 400/100</w:t>
            </w:r>
            <w:r>
              <w:rPr>
                <w:lang w:val="en-GB"/>
              </w:rPr>
              <w:t> </w:t>
            </w:r>
            <w:r w:rsidRPr="00342F7C">
              <w:rPr>
                <w:lang w:val="en-GB"/>
              </w:rPr>
              <w:t xml:space="preserve">mg BID administered alone) </w:t>
            </w:r>
          </w:p>
        </w:tc>
        <w:tc>
          <w:tcPr>
            <w:tcW w:w="3291" w:type="dxa"/>
            <w:gridSpan w:val="5"/>
            <w:vMerge/>
            <w:tcBorders>
              <w:top w:val="single" w:sz="4" w:space="0" w:color="auto"/>
              <w:left w:val="single" w:sz="4" w:space="0" w:color="auto"/>
              <w:bottom w:val="single" w:sz="4" w:space="0" w:color="auto"/>
              <w:right w:val="single" w:sz="4" w:space="0" w:color="auto"/>
            </w:tcBorders>
            <w:vAlign w:val="center"/>
          </w:tcPr>
          <w:p w14:paraId="099D7FC2" w14:textId="77777777" w:rsidR="00D7303D" w:rsidRPr="00342F7C" w:rsidRDefault="00D7303D" w:rsidP="008831F2">
            <w:pPr>
              <w:rPr>
                <w:sz w:val="22"/>
                <w:szCs w:val="20"/>
              </w:rPr>
            </w:pPr>
          </w:p>
        </w:tc>
      </w:tr>
      <w:tr w:rsidR="00D7303D" w:rsidRPr="00342F7C" w14:paraId="301E4BDA"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434C5030" w14:textId="77777777" w:rsidR="00D7303D" w:rsidRPr="00342F7C" w:rsidRDefault="00D7303D" w:rsidP="008831F2">
            <w:pPr>
              <w:pStyle w:val="EMEANormal"/>
              <w:rPr>
                <w:bCs/>
                <w:i/>
                <w:lang w:val="en-GB"/>
              </w:rPr>
            </w:pPr>
            <w:r w:rsidRPr="00342F7C">
              <w:rPr>
                <w:bCs/>
                <w:iCs/>
                <w:lang w:val="en-GB"/>
              </w:rPr>
              <w:t>Nevirapine, 200 mg BID</w:t>
            </w:r>
          </w:p>
          <w:p w14:paraId="61AD265D" w14:textId="77777777" w:rsidR="00D7303D" w:rsidRPr="00342F7C" w:rsidRDefault="00D7303D" w:rsidP="008831F2">
            <w:pPr>
              <w:pStyle w:val="EMEANormal"/>
              <w:rPr>
                <w:bCs/>
                <w:i/>
                <w:lang w:val="en-GB"/>
              </w:rPr>
            </w:pPr>
          </w:p>
          <w:p w14:paraId="4AA5B153" w14:textId="77777777" w:rsidR="00D7303D" w:rsidRPr="00342F7C" w:rsidRDefault="00D7303D" w:rsidP="008831F2">
            <w:pPr>
              <w:pStyle w:val="EMEANormal"/>
              <w:rPr>
                <w:i/>
                <w:lang w:val="en-GB"/>
              </w:rPr>
            </w:pPr>
          </w:p>
        </w:tc>
        <w:tc>
          <w:tcPr>
            <w:tcW w:w="3240" w:type="dxa"/>
            <w:gridSpan w:val="5"/>
            <w:tcBorders>
              <w:top w:val="single" w:sz="4" w:space="0" w:color="auto"/>
              <w:left w:val="single" w:sz="4" w:space="0" w:color="auto"/>
              <w:bottom w:val="single" w:sz="4" w:space="0" w:color="auto"/>
              <w:right w:val="single" w:sz="4" w:space="0" w:color="auto"/>
            </w:tcBorders>
          </w:tcPr>
          <w:p w14:paraId="51909A70" w14:textId="77777777" w:rsidR="00D7303D" w:rsidRPr="00342F7C" w:rsidRDefault="00D7303D" w:rsidP="008831F2">
            <w:pPr>
              <w:pStyle w:val="EMEANormal"/>
              <w:rPr>
                <w:lang w:val="en-GB"/>
              </w:rPr>
            </w:pPr>
            <w:r w:rsidRPr="00342F7C">
              <w:rPr>
                <w:lang w:val="en-GB"/>
              </w:rPr>
              <w:t>Lopinavir:</w:t>
            </w:r>
          </w:p>
          <w:p w14:paraId="338199FF" w14:textId="77777777" w:rsidR="00D7303D" w:rsidRPr="00342F7C" w:rsidRDefault="00D7303D" w:rsidP="008831F2">
            <w:pPr>
              <w:pStyle w:val="EMEANormal"/>
              <w:rPr>
                <w:lang w:val="en-GB"/>
              </w:rPr>
            </w:pPr>
            <w:r w:rsidRPr="00342F7C">
              <w:rPr>
                <w:lang w:val="en-GB"/>
              </w:rPr>
              <w:t>AUC: ↓</w:t>
            </w:r>
            <w:r w:rsidRPr="00342F7C">
              <w:rPr>
                <w:rFonts w:cs="Verdana"/>
                <w:lang w:val="en-GB"/>
              </w:rPr>
              <w:t xml:space="preserve"> 27%</w:t>
            </w:r>
          </w:p>
          <w:p w14:paraId="0DFDA747" w14:textId="77777777" w:rsidR="00D7303D" w:rsidRPr="00342F7C" w:rsidRDefault="00D7303D" w:rsidP="008831F2">
            <w:pPr>
              <w:pStyle w:val="EMEANormal"/>
              <w:rPr>
                <w:lang w:val="en-GB"/>
              </w:rPr>
            </w:pPr>
            <w:r w:rsidRPr="00342F7C">
              <w:rPr>
                <w:lang w:val="en-GB"/>
              </w:rPr>
              <w:t>C</w:t>
            </w:r>
            <w:r w:rsidRPr="00342F7C">
              <w:rPr>
                <w:vertAlign w:val="subscript"/>
                <w:lang w:val="en-GB"/>
              </w:rPr>
              <w:t>max</w:t>
            </w:r>
            <w:r w:rsidRPr="00342F7C">
              <w:rPr>
                <w:lang w:val="en-GB"/>
              </w:rPr>
              <w:t>: ↓ 19%</w:t>
            </w:r>
          </w:p>
          <w:p w14:paraId="570707E3" w14:textId="77777777" w:rsidR="00D7303D" w:rsidRPr="00342F7C" w:rsidRDefault="00D7303D" w:rsidP="00F4521F">
            <w:pPr>
              <w:pStyle w:val="EMEANormal"/>
              <w:rPr>
                <w:lang w:val="en-GB"/>
              </w:rPr>
            </w:pPr>
            <w:r w:rsidRPr="00342F7C">
              <w:rPr>
                <w:lang w:val="en-GB"/>
              </w:rPr>
              <w:t>C</w:t>
            </w:r>
            <w:r w:rsidRPr="00342F7C">
              <w:rPr>
                <w:vertAlign w:val="subscript"/>
                <w:lang w:val="en-GB"/>
              </w:rPr>
              <w:t>min</w:t>
            </w:r>
            <w:r w:rsidRPr="00342F7C">
              <w:rPr>
                <w:lang w:val="en-GB"/>
              </w:rPr>
              <w:t>: ↓</w:t>
            </w:r>
            <w:r w:rsidRPr="00342F7C">
              <w:rPr>
                <w:rFonts w:cs="Verdana"/>
                <w:lang w:val="en-GB"/>
              </w:rPr>
              <w:t xml:space="preserve"> 51%</w:t>
            </w:r>
          </w:p>
        </w:tc>
        <w:tc>
          <w:tcPr>
            <w:tcW w:w="3291" w:type="dxa"/>
            <w:gridSpan w:val="5"/>
            <w:tcBorders>
              <w:top w:val="single" w:sz="4" w:space="0" w:color="auto"/>
              <w:left w:val="single" w:sz="4" w:space="0" w:color="auto"/>
              <w:bottom w:val="single" w:sz="4" w:space="0" w:color="auto"/>
              <w:right w:val="single" w:sz="4" w:space="0" w:color="auto"/>
            </w:tcBorders>
          </w:tcPr>
          <w:p w14:paraId="43C6790A" w14:textId="77777777" w:rsidR="00D7303D" w:rsidRPr="00342F7C" w:rsidRDefault="00D7303D" w:rsidP="008831F2">
            <w:pPr>
              <w:pStyle w:val="EMEANormal"/>
              <w:rPr>
                <w:i/>
                <w:iCs/>
                <w:lang w:val="en-GB"/>
              </w:rPr>
            </w:pPr>
            <w:r w:rsidRPr="00342F7C">
              <w:rPr>
                <w:lang w:val="en-GB"/>
              </w:rPr>
              <w:t>The Kaletra tablets dosage should be increased to 500/125</w:t>
            </w:r>
            <w:r>
              <w:rPr>
                <w:lang w:val="en-GB"/>
              </w:rPr>
              <w:t> </w:t>
            </w:r>
            <w:r w:rsidRPr="00342F7C">
              <w:rPr>
                <w:lang w:val="en-GB"/>
              </w:rPr>
              <w:t xml:space="preserve">mg twice daily when co-administered with nevirapine.  </w:t>
            </w:r>
          </w:p>
        </w:tc>
      </w:tr>
      <w:tr w:rsidR="006B3F1F" w:rsidRPr="0026037D" w14:paraId="350E2748"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1550AE29" w14:textId="77777777" w:rsidR="006B3F1F" w:rsidRPr="00E21142" w:rsidRDefault="006B3F1F" w:rsidP="00591AA5">
            <w:pPr>
              <w:widowControl w:val="0"/>
              <w:autoSpaceDE w:val="0"/>
              <w:autoSpaceDN w:val="0"/>
              <w:adjustRightInd w:val="0"/>
              <w:ind w:right="-23"/>
              <w:rPr>
                <w:sz w:val="22"/>
                <w:szCs w:val="22"/>
                <w:lang w:val="fr-FR" w:eastAsia="fr-FR"/>
              </w:rPr>
            </w:pPr>
            <w:r w:rsidRPr="00E21142">
              <w:rPr>
                <w:sz w:val="22"/>
                <w:szCs w:val="22"/>
                <w:lang w:val="fr-FR" w:eastAsia="fr-FR"/>
              </w:rPr>
              <w:t>Etravirine</w:t>
            </w:r>
          </w:p>
          <w:p w14:paraId="533604B4" w14:textId="77777777" w:rsidR="006B3F1F" w:rsidRPr="00E21142" w:rsidRDefault="006B3F1F" w:rsidP="008831F2">
            <w:pPr>
              <w:pStyle w:val="EMEANormal"/>
              <w:rPr>
                <w:szCs w:val="22"/>
                <w:lang w:val="fr-FR" w:eastAsia="fr-FR"/>
              </w:rPr>
            </w:pPr>
          </w:p>
          <w:p w14:paraId="5A5F54DE" w14:textId="77777777" w:rsidR="006B3F1F" w:rsidRPr="0026037D" w:rsidRDefault="006B3F1F" w:rsidP="00F50B0B">
            <w:pPr>
              <w:pStyle w:val="EMEANormal"/>
              <w:rPr>
                <w:bCs/>
                <w:iCs/>
                <w:szCs w:val="22"/>
                <w:lang w:val="en-GB"/>
              </w:rPr>
            </w:pPr>
            <w:r w:rsidRPr="0026037D">
              <w:rPr>
                <w:szCs w:val="22"/>
                <w:lang w:val="fr-FR" w:eastAsia="fr-FR"/>
              </w:rPr>
              <w:t>(</w:t>
            </w:r>
            <w:r w:rsidRPr="0026037D">
              <w:rPr>
                <w:szCs w:val="22"/>
              </w:rPr>
              <w:t>Lopinavir/ri</w:t>
            </w:r>
            <w:r w:rsidRPr="0026037D">
              <w:rPr>
                <w:spacing w:val="-1"/>
                <w:szCs w:val="22"/>
              </w:rPr>
              <w:t>t</w:t>
            </w:r>
            <w:r w:rsidRPr="0026037D">
              <w:rPr>
                <w:szCs w:val="22"/>
              </w:rPr>
              <w:t>onavir tablet 400/</w:t>
            </w:r>
            <w:r w:rsidRPr="0026037D">
              <w:rPr>
                <w:spacing w:val="-1"/>
                <w:szCs w:val="22"/>
              </w:rPr>
              <w:t>1</w:t>
            </w:r>
            <w:r w:rsidRPr="0026037D">
              <w:rPr>
                <w:szCs w:val="22"/>
              </w:rPr>
              <w:t>00</w:t>
            </w:r>
            <w:r w:rsidR="00F50B0B">
              <w:rPr>
                <w:spacing w:val="-7"/>
                <w:szCs w:val="22"/>
              </w:rPr>
              <w:t> </w:t>
            </w:r>
            <w:r w:rsidRPr="0026037D">
              <w:rPr>
                <w:spacing w:val="-2"/>
                <w:szCs w:val="22"/>
              </w:rPr>
              <w:t>m</w:t>
            </w:r>
            <w:r w:rsidRPr="0026037D">
              <w:rPr>
                <w:szCs w:val="22"/>
              </w:rPr>
              <w:t>g</w:t>
            </w:r>
            <w:r w:rsidRPr="0026037D">
              <w:rPr>
                <w:spacing w:val="-2"/>
                <w:szCs w:val="22"/>
              </w:rPr>
              <w:t xml:space="preserve"> </w:t>
            </w:r>
            <w:r w:rsidRPr="0026037D">
              <w:rPr>
                <w:szCs w:val="22"/>
              </w:rPr>
              <w:t>BID)</w:t>
            </w:r>
          </w:p>
        </w:tc>
        <w:tc>
          <w:tcPr>
            <w:tcW w:w="3240" w:type="dxa"/>
            <w:gridSpan w:val="5"/>
            <w:tcBorders>
              <w:top w:val="single" w:sz="4" w:space="0" w:color="auto"/>
              <w:left w:val="single" w:sz="4" w:space="0" w:color="auto"/>
              <w:bottom w:val="single" w:sz="4" w:space="0" w:color="auto"/>
              <w:right w:val="single" w:sz="4" w:space="0" w:color="auto"/>
            </w:tcBorders>
          </w:tcPr>
          <w:p w14:paraId="16479C92" w14:textId="77777777" w:rsidR="006B3F1F" w:rsidRPr="00E21142" w:rsidRDefault="006B3F1F" w:rsidP="006B3F1F">
            <w:pPr>
              <w:widowControl w:val="0"/>
              <w:autoSpaceDE w:val="0"/>
              <w:autoSpaceDN w:val="0"/>
              <w:adjustRightInd w:val="0"/>
              <w:spacing w:before="8" w:line="229" w:lineRule="auto"/>
              <w:ind w:left="44" w:right="-20"/>
              <w:rPr>
                <w:sz w:val="22"/>
                <w:szCs w:val="22"/>
                <w:lang w:val="fr-FR" w:eastAsia="fr-FR"/>
              </w:rPr>
            </w:pPr>
            <w:r w:rsidRPr="00E21142">
              <w:rPr>
                <w:sz w:val="22"/>
                <w:szCs w:val="22"/>
                <w:lang w:val="fr-FR" w:eastAsia="fr-FR"/>
              </w:rPr>
              <w:t>Etravirine:</w:t>
            </w:r>
          </w:p>
          <w:p w14:paraId="544E514C" w14:textId="77777777" w:rsidR="006B3F1F" w:rsidRPr="0026037D" w:rsidRDefault="006B3F1F" w:rsidP="006B3F1F">
            <w:pPr>
              <w:widowControl w:val="0"/>
              <w:autoSpaceDE w:val="0"/>
              <w:autoSpaceDN w:val="0"/>
              <w:adjustRightInd w:val="0"/>
              <w:spacing w:before="5" w:line="234" w:lineRule="auto"/>
              <w:ind w:left="44" w:right="-20"/>
              <w:jc w:val="both"/>
              <w:rPr>
                <w:sz w:val="22"/>
                <w:szCs w:val="22"/>
                <w:lang w:val="fr-FR" w:eastAsia="fr-FR"/>
              </w:rPr>
            </w:pPr>
            <w:r w:rsidRPr="00E21142">
              <w:rPr>
                <w:sz w:val="22"/>
                <w:szCs w:val="22"/>
                <w:lang w:val="fr-FR" w:eastAsia="fr-FR"/>
              </w:rPr>
              <w:t>AUC:</w:t>
            </w:r>
            <w:r w:rsidRPr="00E21142">
              <w:rPr>
                <w:spacing w:val="-1"/>
                <w:sz w:val="22"/>
                <w:szCs w:val="22"/>
                <w:lang w:val="fr-FR" w:eastAsia="fr-FR"/>
              </w:rPr>
              <w:t xml:space="preserve"> </w:t>
            </w:r>
            <w:r w:rsidRPr="00E21142">
              <w:rPr>
                <w:sz w:val="22"/>
                <w:szCs w:val="22"/>
                <w:lang w:val="fr-FR" w:eastAsia="fr-FR"/>
              </w:rPr>
              <w:t>↓</w:t>
            </w:r>
            <w:r w:rsidRPr="0026037D">
              <w:rPr>
                <w:spacing w:val="-1"/>
                <w:sz w:val="22"/>
                <w:szCs w:val="22"/>
                <w:lang w:val="fr-FR" w:eastAsia="fr-FR"/>
              </w:rPr>
              <w:t xml:space="preserve"> </w:t>
            </w:r>
            <w:r w:rsidRPr="0026037D">
              <w:rPr>
                <w:sz w:val="22"/>
                <w:szCs w:val="22"/>
                <w:lang w:val="fr-FR" w:eastAsia="fr-FR"/>
              </w:rPr>
              <w:t>35%</w:t>
            </w:r>
          </w:p>
          <w:p w14:paraId="5B91BCA8" w14:textId="77777777" w:rsidR="006B3F1F" w:rsidRPr="0026037D" w:rsidRDefault="006B3F1F" w:rsidP="006B3F1F">
            <w:pPr>
              <w:widowControl w:val="0"/>
              <w:autoSpaceDE w:val="0"/>
              <w:autoSpaceDN w:val="0"/>
              <w:adjustRightInd w:val="0"/>
              <w:spacing w:before="5" w:line="234" w:lineRule="auto"/>
              <w:ind w:left="44" w:right="-20"/>
              <w:jc w:val="both"/>
              <w:rPr>
                <w:spacing w:val="1"/>
                <w:sz w:val="22"/>
                <w:szCs w:val="22"/>
                <w:lang w:val="fr-FR" w:eastAsia="fr-FR"/>
              </w:rPr>
            </w:pPr>
            <w:r w:rsidRPr="0026037D">
              <w:rPr>
                <w:spacing w:val="2"/>
                <w:sz w:val="22"/>
                <w:szCs w:val="22"/>
                <w:lang w:val="fr-FR" w:eastAsia="fr-FR"/>
              </w:rPr>
              <w:t>C</w:t>
            </w:r>
            <w:r w:rsidRPr="0026037D">
              <w:rPr>
                <w:spacing w:val="-1"/>
                <w:position w:val="-3"/>
                <w:sz w:val="22"/>
                <w:szCs w:val="22"/>
                <w:vertAlign w:val="subscript"/>
                <w:lang w:val="fr-FR" w:eastAsia="fr-FR"/>
              </w:rPr>
              <w:t>mi</w:t>
            </w:r>
            <w:r w:rsidRPr="0026037D">
              <w:rPr>
                <w:position w:val="-3"/>
                <w:sz w:val="22"/>
                <w:szCs w:val="22"/>
                <w:vertAlign w:val="subscript"/>
                <w:lang w:val="fr-FR" w:eastAsia="fr-FR"/>
              </w:rPr>
              <w:t>n</w:t>
            </w:r>
            <w:r w:rsidRPr="0026037D">
              <w:rPr>
                <w:position w:val="-3"/>
                <w:sz w:val="22"/>
                <w:szCs w:val="22"/>
                <w:lang w:val="fr-FR" w:eastAsia="fr-FR"/>
              </w:rPr>
              <w:t>:</w:t>
            </w:r>
            <w:r w:rsidRPr="0026037D">
              <w:rPr>
                <w:spacing w:val="17"/>
                <w:position w:val="-3"/>
                <w:sz w:val="22"/>
                <w:szCs w:val="22"/>
                <w:lang w:val="fr-FR" w:eastAsia="fr-FR"/>
              </w:rPr>
              <w:t xml:space="preserve"> </w:t>
            </w:r>
            <w:r w:rsidRPr="0026037D">
              <w:rPr>
                <w:sz w:val="22"/>
                <w:szCs w:val="22"/>
                <w:lang w:val="fr-FR" w:eastAsia="fr-FR"/>
              </w:rPr>
              <w:t>↓</w:t>
            </w:r>
            <w:r w:rsidRPr="0026037D">
              <w:rPr>
                <w:spacing w:val="-1"/>
                <w:sz w:val="22"/>
                <w:szCs w:val="22"/>
                <w:lang w:val="fr-FR" w:eastAsia="fr-FR"/>
              </w:rPr>
              <w:t xml:space="preserve"> </w:t>
            </w:r>
            <w:r w:rsidRPr="0026037D">
              <w:rPr>
                <w:sz w:val="22"/>
                <w:szCs w:val="22"/>
                <w:lang w:val="fr-FR" w:eastAsia="fr-FR"/>
              </w:rPr>
              <w:t>45%</w:t>
            </w:r>
            <w:r w:rsidRPr="0026037D">
              <w:rPr>
                <w:spacing w:val="1"/>
                <w:sz w:val="22"/>
                <w:szCs w:val="22"/>
                <w:lang w:val="fr-FR" w:eastAsia="fr-FR"/>
              </w:rPr>
              <w:t xml:space="preserve"> </w:t>
            </w:r>
          </w:p>
          <w:p w14:paraId="00FF5007" w14:textId="77777777" w:rsidR="006B3F1F" w:rsidRPr="0026037D" w:rsidRDefault="006B3F1F" w:rsidP="006B3F1F">
            <w:pPr>
              <w:pStyle w:val="EMEANormal"/>
              <w:ind w:left="44"/>
              <w:rPr>
                <w:szCs w:val="22"/>
                <w:lang w:val="fr-FR" w:eastAsia="fr-FR"/>
              </w:rPr>
            </w:pPr>
            <w:r w:rsidRPr="0026037D">
              <w:rPr>
                <w:spacing w:val="2"/>
                <w:szCs w:val="22"/>
                <w:lang w:val="fr-FR" w:eastAsia="fr-FR"/>
              </w:rPr>
              <w:t>C</w:t>
            </w:r>
            <w:r w:rsidRPr="0026037D">
              <w:rPr>
                <w:spacing w:val="-1"/>
                <w:position w:val="-3"/>
                <w:szCs w:val="22"/>
                <w:vertAlign w:val="subscript"/>
                <w:lang w:val="fr-FR" w:eastAsia="fr-FR"/>
              </w:rPr>
              <w:t>ma</w:t>
            </w:r>
            <w:r w:rsidRPr="0026037D">
              <w:rPr>
                <w:position w:val="-3"/>
                <w:szCs w:val="22"/>
                <w:vertAlign w:val="subscript"/>
                <w:lang w:val="fr-FR" w:eastAsia="fr-FR"/>
              </w:rPr>
              <w:t>x</w:t>
            </w:r>
            <w:r w:rsidRPr="0026037D">
              <w:rPr>
                <w:position w:val="-3"/>
                <w:szCs w:val="22"/>
                <w:lang w:val="fr-FR" w:eastAsia="fr-FR"/>
              </w:rPr>
              <w:t>:</w:t>
            </w:r>
            <w:r w:rsidRPr="0026037D">
              <w:rPr>
                <w:spacing w:val="17"/>
                <w:position w:val="-3"/>
                <w:szCs w:val="22"/>
                <w:lang w:val="fr-FR" w:eastAsia="fr-FR"/>
              </w:rPr>
              <w:t xml:space="preserve"> </w:t>
            </w:r>
            <w:r w:rsidRPr="0026037D">
              <w:rPr>
                <w:szCs w:val="22"/>
                <w:lang w:val="fr-FR" w:eastAsia="fr-FR"/>
              </w:rPr>
              <w:t>↓</w:t>
            </w:r>
            <w:r w:rsidRPr="0026037D">
              <w:rPr>
                <w:spacing w:val="-1"/>
                <w:szCs w:val="22"/>
                <w:lang w:val="fr-FR" w:eastAsia="fr-FR"/>
              </w:rPr>
              <w:t xml:space="preserve"> </w:t>
            </w:r>
            <w:r w:rsidRPr="0026037D">
              <w:rPr>
                <w:szCs w:val="22"/>
                <w:lang w:val="fr-FR" w:eastAsia="fr-FR"/>
              </w:rPr>
              <w:t>30%</w:t>
            </w:r>
          </w:p>
          <w:p w14:paraId="5DADCB99" w14:textId="77777777" w:rsidR="006B3F1F" w:rsidRPr="0026037D" w:rsidRDefault="006B3F1F" w:rsidP="006B3F1F">
            <w:pPr>
              <w:pStyle w:val="EMEANormal"/>
              <w:ind w:left="44"/>
              <w:rPr>
                <w:szCs w:val="22"/>
                <w:lang w:val="fr-FR" w:eastAsia="fr-FR"/>
              </w:rPr>
            </w:pPr>
          </w:p>
          <w:p w14:paraId="6F68891E" w14:textId="77777777" w:rsidR="006B3F1F" w:rsidRPr="0026037D" w:rsidRDefault="006B3F1F" w:rsidP="006B3F1F">
            <w:pPr>
              <w:widowControl w:val="0"/>
              <w:autoSpaceDE w:val="0"/>
              <w:autoSpaceDN w:val="0"/>
              <w:adjustRightInd w:val="0"/>
              <w:spacing w:line="222" w:lineRule="exact"/>
              <w:ind w:left="44" w:right="-20"/>
              <w:rPr>
                <w:sz w:val="22"/>
                <w:szCs w:val="22"/>
                <w:lang w:val="fr-FR" w:eastAsia="fr-FR"/>
              </w:rPr>
            </w:pPr>
            <w:r w:rsidRPr="0026037D">
              <w:rPr>
                <w:sz w:val="22"/>
                <w:szCs w:val="22"/>
                <w:lang w:val="fr-FR" w:eastAsia="fr-FR"/>
              </w:rPr>
              <w:t>Lopinavir:</w:t>
            </w:r>
          </w:p>
          <w:p w14:paraId="186135B8" w14:textId="77777777" w:rsidR="006B3F1F" w:rsidRPr="0026037D" w:rsidRDefault="006B3F1F" w:rsidP="006B3F1F">
            <w:pPr>
              <w:widowControl w:val="0"/>
              <w:autoSpaceDE w:val="0"/>
              <w:autoSpaceDN w:val="0"/>
              <w:adjustRightInd w:val="0"/>
              <w:spacing w:before="8" w:line="229" w:lineRule="auto"/>
              <w:ind w:left="44" w:right="-20"/>
              <w:rPr>
                <w:spacing w:val="1"/>
                <w:sz w:val="22"/>
                <w:szCs w:val="22"/>
                <w:lang w:val="fr-FR" w:eastAsia="fr-FR"/>
              </w:rPr>
            </w:pPr>
            <w:r w:rsidRPr="0026037D">
              <w:rPr>
                <w:sz w:val="22"/>
                <w:szCs w:val="22"/>
                <w:lang w:val="fr-FR" w:eastAsia="fr-FR"/>
              </w:rPr>
              <w:t>AUC:</w:t>
            </w:r>
            <w:r w:rsidRPr="0026037D">
              <w:rPr>
                <w:spacing w:val="-4"/>
                <w:sz w:val="22"/>
                <w:szCs w:val="22"/>
                <w:lang w:val="fr-FR" w:eastAsia="fr-FR"/>
              </w:rPr>
              <w:t xml:space="preserve"> </w:t>
            </w:r>
            <w:r w:rsidRPr="0026037D">
              <w:rPr>
                <w:sz w:val="22"/>
                <w:szCs w:val="22"/>
                <w:lang w:val="fr-FR" w:eastAsia="fr-FR"/>
              </w:rPr>
              <w:t>↔</w:t>
            </w:r>
            <w:r w:rsidRPr="0026037D">
              <w:rPr>
                <w:spacing w:val="-1"/>
                <w:sz w:val="22"/>
                <w:szCs w:val="22"/>
                <w:lang w:val="fr-FR" w:eastAsia="fr-FR"/>
              </w:rPr>
              <w:t xml:space="preserve"> </w:t>
            </w:r>
          </w:p>
          <w:p w14:paraId="64568405" w14:textId="77777777" w:rsidR="006B3F1F" w:rsidRPr="0026037D" w:rsidRDefault="006B3F1F" w:rsidP="006B3F1F">
            <w:pPr>
              <w:widowControl w:val="0"/>
              <w:autoSpaceDE w:val="0"/>
              <w:autoSpaceDN w:val="0"/>
              <w:adjustRightInd w:val="0"/>
              <w:spacing w:before="8" w:line="229" w:lineRule="auto"/>
              <w:ind w:left="44" w:right="-20"/>
              <w:rPr>
                <w:spacing w:val="1"/>
                <w:sz w:val="22"/>
                <w:szCs w:val="22"/>
                <w:lang w:val="fr-FR" w:eastAsia="fr-FR"/>
              </w:rPr>
            </w:pPr>
            <w:r w:rsidRPr="0026037D">
              <w:rPr>
                <w:spacing w:val="2"/>
                <w:sz w:val="22"/>
                <w:szCs w:val="22"/>
                <w:lang w:val="fr-FR" w:eastAsia="fr-FR"/>
              </w:rPr>
              <w:t>C</w:t>
            </w:r>
            <w:r w:rsidRPr="0026037D">
              <w:rPr>
                <w:spacing w:val="-1"/>
                <w:position w:val="-3"/>
                <w:sz w:val="22"/>
                <w:szCs w:val="22"/>
                <w:vertAlign w:val="subscript"/>
                <w:lang w:val="fr-FR" w:eastAsia="fr-FR"/>
              </w:rPr>
              <w:t>mi</w:t>
            </w:r>
            <w:r w:rsidRPr="0026037D">
              <w:rPr>
                <w:position w:val="-3"/>
                <w:sz w:val="22"/>
                <w:szCs w:val="22"/>
                <w:vertAlign w:val="subscript"/>
                <w:lang w:val="fr-FR" w:eastAsia="fr-FR"/>
              </w:rPr>
              <w:t>n</w:t>
            </w:r>
            <w:r w:rsidRPr="0026037D">
              <w:rPr>
                <w:position w:val="-3"/>
                <w:sz w:val="22"/>
                <w:szCs w:val="22"/>
                <w:lang w:val="fr-FR" w:eastAsia="fr-FR"/>
              </w:rPr>
              <w:t>:</w:t>
            </w:r>
            <w:r w:rsidRPr="0026037D">
              <w:rPr>
                <w:spacing w:val="17"/>
                <w:position w:val="-3"/>
                <w:sz w:val="22"/>
                <w:szCs w:val="22"/>
                <w:lang w:val="fr-FR" w:eastAsia="fr-FR"/>
              </w:rPr>
              <w:t xml:space="preserve"> </w:t>
            </w:r>
            <w:r w:rsidRPr="0026037D">
              <w:rPr>
                <w:sz w:val="22"/>
                <w:szCs w:val="22"/>
                <w:lang w:val="fr-FR" w:eastAsia="fr-FR"/>
              </w:rPr>
              <w:t>↓</w:t>
            </w:r>
            <w:r w:rsidRPr="0026037D">
              <w:rPr>
                <w:spacing w:val="-1"/>
                <w:sz w:val="22"/>
                <w:szCs w:val="22"/>
                <w:lang w:val="fr-FR" w:eastAsia="fr-FR"/>
              </w:rPr>
              <w:t xml:space="preserve"> </w:t>
            </w:r>
            <w:r w:rsidRPr="0026037D">
              <w:rPr>
                <w:sz w:val="22"/>
                <w:szCs w:val="22"/>
                <w:lang w:val="fr-FR" w:eastAsia="fr-FR"/>
              </w:rPr>
              <w:t>20%</w:t>
            </w:r>
          </w:p>
          <w:p w14:paraId="6613AC26" w14:textId="77777777" w:rsidR="006B3F1F" w:rsidRPr="0026037D" w:rsidRDefault="006B3F1F" w:rsidP="006B3F1F">
            <w:pPr>
              <w:widowControl w:val="0"/>
              <w:autoSpaceDE w:val="0"/>
              <w:autoSpaceDN w:val="0"/>
              <w:adjustRightInd w:val="0"/>
              <w:spacing w:before="8" w:line="229" w:lineRule="auto"/>
              <w:ind w:left="44" w:right="-20"/>
              <w:rPr>
                <w:sz w:val="22"/>
                <w:szCs w:val="22"/>
                <w:lang w:val="fr-FR" w:eastAsia="fr-FR"/>
              </w:rPr>
            </w:pPr>
            <w:r w:rsidRPr="0026037D">
              <w:rPr>
                <w:spacing w:val="2"/>
                <w:sz w:val="22"/>
                <w:szCs w:val="22"/>
                <w:lang w:val="fr-FR" w:eastAsia="fr-FR"/>
              </w:rPr>
              <w:t>C</w:t>
            </w:r>
            <w:r w:rsidRPr="0026037D">
              <w:rPr>
                <w:spacing w:val="-1"/>
                <w:position w:val="-3"/>
                <w:sz w:val="22"/>
                <w:szCs w:val="22"/>
                <w:vertAlign w:val="subscript"/>
                <w:lang w:val="fr-FR" w:eastAsia="fr-FR"/>
              </w:rPr>
              <w:t>ma</w:t>
            </w:r>
            <w:r w:rsidRPr="0026037D">
              <w:rPr>
                <w:position w:val="-3"/>
                <w:sz w:val="22"/>
                <w:szCs w:val="22"/>
                <w:vertAlign w:val="subscript"/>
                <w:lang w:val="fr-FR" w:eastAsia="fr-FR"/>
              </w:rPr>
              <w:t>x</w:t>
            </w:r>
            <w:r w:rsidRPr="0026037D">
              <w:rPr>
                <w:position w:val="-3"/>
                <w:sz w:val="22"/>
                <w:szCs w:val="22"/>
                <w:lang w:val="fr-FR" w:eastAsia="fr-FR"/>
              </w:rPr>
              <w:t>:</w:t>
            </w:r>
            <w:r w:rsidRPr="0026037D">
              <w:rPr>
                <w:spacing w:val="14"/>
                <w:position w:val="-3"/>
                <w:sz w:val="22"/>
                <w:szCs w:val="22"/>
                <w:lang w:val="fr-FR" w:eastAsia="fr-FR"/>
              </w:rPr>
              <w:t xml:space="preserve"> </w:t>
            </w:r>
            <w:r w:rsidRPr="0026037D">
              <w:rPr>
                <w:sz w:val="22"/>
                <w:szCs w:val="22"/>
                <w:lang w:val="fr-FR" w:eastAsia="fr-FR"/>
              </w:rPr>
              <w:t>↔</w:t>
            </w:r>
            <w:r w:rsidRPr="0026037D">
              <w:rPr>
                <w:spacing w:val="-1"/>
                <w:sz w:val="22"/>
                <w:szCs w:val="22"/>
                <w:lang w:val="fr-FR" w:eastAsia="fr-FR"/>
              </w:rPr>
              <w:t xml:space="preserve"> </w:t>
            </w:r>
          </w:p>
        </w:tc>
        <w:tc>
          <w:tcPr>
            <w:tcW w:w="3291" w:type="dxa"/>
            <w:gridSpan w:val="5"/>
            <w:tcBorders>
              <w:top w:val="single" w:sz="4" w:space="0" w:color="auto"/>
              <w:left w:val="single" w:sz="4" w:space="0" w:color="auto"/>
              <w:bottom w:val="single" w:sz="4" w:space="0" w:color="auto"/>
              <w:right w:val="single" w:sz="4" w:space="0" w:color="auto"/>
            </w:tcBorders>
          </w:tcPr>
          <w:p w14:paraId="1BC02312" w14:textId="77777777" w:rsidR="006B3F1F" w:rsidRPr="00E21142" w:rsidRDefault="006B3F1F" w:rsidP="008831F2">
            <w:pPr>
              <w:pStyle w:val="EMEANormal"/>
              <w:rPr>
                <w:szCs w:val="22"/>
                <w:lang w:val="en-GB"/>
              </w:rPr>
            </w:pPr>
            <w:r w:rsidRPr="00E21142">
              <w:rPr>
                <w:szCs w:val="22"/>
                <w:lang w:eastAsia="fr-FR"/>
              </w:rPr>
              <w:t>No dose adjustment necessary</w:t>
            </w:r>
          </w:p>
        </w:tc>
      </w:tr>
      <w:tr w:rsidR="006B3F1F" w:rsidRPr="0026037D" w14:paraId="2BBDF8F4"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7B05C267" w14:textId="77777777" w:rsidR="006B3F1F" w:rsidRPr="0026037D" w:rsidRDefault="006B3F1F" w:rsidP="00E7753E">
            <w:pPr>
              <w:widowControl w:val="0"/>
              <w:autoSpaceDE w:val="0"/>
              <w:autoSpaceDN w:val="0"/>
              <w:adjustRightInd w:val="0"/>
              <w:ind w:left="34" w:right="-20"/>
              <w:rPr>
                <w:sz w:val="22"/>
                <w:szCs w:val="22"/>
                <w:lang w:val="fr-FR" w:eastAsia="fr-FR"/>
              </w:rPr>
            </w:pPr>
            <w:r w:rsidRPr="0026037D">
              <w:rPr>
                <w:sz w:val="22"/>
                <w:szCs w:val="22"/>
                <w:lang w:val="fr-FR" w:eastAsia="fr-FR"/>
              </w:rPr>
              <w:t>Rilpivirine</w:t>
            </w:r>
          </w:p>
          <w:p w14:paraId="26FFF40A" w14:textId="77777777" w:rsidR="006B3F1F" w:rsidRPr="0026037D" w:rsidRDefault="006B3F1F" w:rsidP="008831F2">
            <w:pPr>
              <w:pStyle w:val="EMEANormal"/>
              <w:rPr>
                <w:szCs w:val="22"/>
                <w:lang w:val="fr-FR" w:eastAsia="fr-FR"/>
              </w:rPr>
            </w:pPr>
          </w:p>
          <w:p w14:paraId="4441D89B" w14:textId="77777777" w:rsidR="006B3F1F" w:rsidRPr="0026037D" w:rsidRDefault="006B3F1F" w:rsidP="00F50B0B">
            <w:pPr>
              <w:pStyle w:val="EMEANormal"/>
              <w:rPr>
                <w:bCs/>
                <w:iCs/>
                <w:szCs w:val="22"/>
                <w:lang w:val="en-GB"/>
              </w:rPr>
            </w:pPr>
            <w:r w:rsidRPr="0026037D">
              <w:rPr>
                <w:szCs w:val="22"/>
                <w:lang w:val="fr-FR" w:eastAsia="fr-FR"/>
              </w:rPr>
              <w:t>(</w:t>
            </w:r>
            <w:r w:rsidRPr="0026037D">
              <w:rPr>
                <w:szCs w:val="22"/>
              </w:rPr>
              <w:t>Lopinavir/ri</w:t>
            </w:r>
            <w:r w:rsidRPr="0026037D">
              <w:rPr>
                <w:spacing w:val="-1"/>
                <w:szCs w:val="22"/>
              </w:rPr>
              <w:t>t</w:t>
            </w:r>
            <w:r w:rsidRPr="0026037D">
              <w:rPr>
                <w:szCs w:val="22"/>
              </w:rPr>
              <w:t>onavir capsule 400/</w:t>
            </w:r>
            <w:r w:rsidRPr="0026037D">
              <w:rPr>
                <w:spacing w:val="-1"/>
                <w:szCs w:val="22"/>
              </w:rPr>
              <w:t>1</w:t>
            </w:r>
            <w:r w:rsidRPr="0026037D">
              <w:rPr>
                <w:szCs w:val="22"/>
              </w:rPr>
              <w:t>00</w:t>
            </w:r>
            <w:r w:rsidR="00F50B0B">
              <w:rPr>
                <w:spacing w:val="-7"/>
                <w:szCs w:val="22"/>
              </w:rPr>
              <w:t> </w:t>
            </w:r>
            <w:r w:rsidRPr="0026037D">
              <w:rPr>
                <w:spacing w:val="-2"/>
                <w:szCs w:val="22"/>
              </w:rPr>
              <w:t>m</w:t>
            </w:r>
            <w:r w:rsidRPr="0026037D">
              <w:rPr>
                <w:szCs w:val="22"/>
              </w:rPr>
              <w:t>g</w:t>
            </w:r>
            <w:r w:rsidRPr="0026037D">
              <w:rPr>
                <w:spacing w:val="-2"/>
                <w:szCs w:val="22"/>
              </w:rPr>
              <w:t xml:space="preserve"> </w:t>
            </w:r>
            <w:r w:rsidRPr="0026037D">
              <w:rPr>
                <w:szCs w:val="22"/>
              </w:rPr>
              <w:t>BID)</w:t>
            </w:r>
          </w:p>
        </w:tc>
        <w:tc>
          <w:tcPr>
            <w:tcW w:w="3240" w:type="dxa"/>
            <w:gridSpan w:val="5"/>
            <w:tcBorders>
              <w:top w:val="single" w:sz="4" w:space="0" w:color="auto"/>
              <w:left w:val="single" w:sz="4" w:space="0" w:color="auto"/>
              <w:bottom w:val="single" w:sz="4" w:space="0" w:color="auto"/>
              <w:right w:val="single" w:sz="4" w:space="0" w:color="auto"/>
            </w:tcBorders>
          </w:tcPr>
          <w:p w14:paraId="2D1F9C42" w14:textId="77777777" w:rsidR="006B3F1F" w:rsidRPr="0026037D" w:rsidRDefault="006B3F1F" w:rsidP="006B3F1F">
            <w:pPr>
              <w:widowControl w:val="0"/>
              <w:autoSpaceDE w:val="0"/>
              <w:autoSpaceDN w:val="0"/>
              <w:adjustRightInd w:val="0"/>
              <w:spacing w:before="9" w:line="228" w:lineRule="auto"/>
              <w:ind w:left="44" w:right="1206"/>
              <w:rPr>
                <w:sz w:val="22"/>
                <w:szCs w:val="22"/>
                <w:lang w:val="fr-FR" w:eastAsia="fr-FR"/>
              </w:rPr>
            </w:pPr>
            <w:r w:rsidRPr="0026037D">
              <w:rPr>
                <w:sz w:val="22"/>
                <w:szCs w:val="22"/>
                <w:lang w:val="fr-FR" w:eastAsia="fr-FR"/>
              </w:rPr>
              <w:t>Rilpivirine:</w:t>
            </w:r>
          </w:p>
          <w:p w14:paraId="30BA63AC" w14:textId="77777777" w:rsidR="006B3F1F" w:rsidRPr="0026037D" w:rsidRDefault="006B3F1F" w:rsidP="006B3F1F">
            <w:pPr>
              <w:widowControl w:val="0"/>
              <w:autoSpaceDE w:val="0"/>
              <w:autoSpaceDN w:val="0"/>
              <w:adjustRightInd w:val="0"/>
              <w:spacing w:before="9" w:line="228" w:lineRule="auto"/>
              <w:ind w:left="44" w:right="1206"/>
              <w:rPr>
                <w:sz w:val="22"/>
                <w:szCs w:val="22"/>
                <w:lang w:val="fr-FR" w:eastAsia="fr-FR"/>
              </w:rPr>
            </w:pPr>
            <w:r w:rsidRPr="0026037D">
              <w:rPr>
                <w:sz w:val="22"/>
                <w:szCs w:val="22"/>
                <w:lang w:val="fr-FR" w:eastAsia="fr-FR"/>
              </w:rPr>
              <w:t>AUC:</w:t>
            </w:r>
            <w:r w:rsidRPr="0026037D">
              <w:rPr>
                <w:spacing w:val="-1"/>
                <w:sz w:val="22"/>
                <w:szCs w:val="22"/>
                <w:lang w:val="fr-FR" w:eastAsia="fr-FR"/>
              </w:rPr>
              <w:t xml:space="preserve"> </w:t>
            </w:r>
            <w:r w:rsidRPr="0026037D">
              <w:rPr>
                <w:sz w:val="22"/>
                <w:szCs w:val="22"/>
                <w:lang w:val="fr-FR" w:eastAsia="fr-FR"/>
              </w:rPr>
              <w:t>↑</w:t>
            </w:r>
            <w:r w:rsidRPr="0026037D">
              <w:rPr>
                <w:spacing w:val="-4"/>
                <w:sz w:val="22"/>
                <w:szCs w:val="22"/>
                <w:lang w:val="fr-FR" w:eastAsia="fr-FR"/>
              </w:rPr>
              <w:t xml:space="preserve"> </w:t>
            </w:r>
            <w:r w:rsidRPr="0026037D">
              <w:rPr>
                <w:spacing w:val="1"/>
                <w:sz w:val="22"/>
                <w:szCs w:val="22"/>
                <w:lang w:val="fr-FR" w:eastAsia="fr-FR"/>
              </w:rPr>
              <w:t xml:space="preserve">52% </w:t>
            </w:r>
          </w:p>
          <w:p w14:paraId="798E9333" w14:textId="77777777" w:rsidR="006B3F1F" w:rsidRPr="0026037D" w:rsidRDefault="006B3F1F" w:rsidP="006B3F1F">
            <w:pPr>
              <w:widowControl w:val="0"/>
              <w:autoSpaceDE w:val="0"/>
              <w:autoSpaceDN w:val="0"/>
              <w:adjustRightInd w:val="0"/>
              <w:spacing w:before="9" w:line="228" w:lineRule="auto"/>
              <w:ind w:left="44" w:right="1206"/>
              <w:rPr>
                <w:sz w:val="22"/>
                <w:szCs w:val="22"/>
                <w:lang w:val="fr-FR" w:eastAsia="fr-FR"/>
              </w:rPr>
            </w:pPr>
            <w:r w:rsidRPr="0026037D">
              <w:rPr>
                <w:spacing w:val="1"/>
                <w:sz w:val="22"/>
                <w:szCs w:val="22"/>
                <w:lang w:val="fr-FR" w:eastAsia="fr-FR"/>
              </w:rPr>
              <w:t>C</w:t>
            </w:r>
            <w:r w:rsidRPr="0026037D">
              <w:rPr>
                <w:spacing w:val="-1"/>
                <w:position w:val="-3"/>
                <w:sz w:val="22"/>
                <w:szCs w:val="22"/>
                <w:vertAlign w:val="subscript"/>
                <w:lang w:val="fr-FR" w:eastAsia="fr-FR"/>
              </w:rPr>
              <w:t>mi</w:t>
            </w:r>
            <w:r w:rsidRPr="0026037D">
              <w:rPr>
                <w:position w:val="-3"/>
                <w:sz w:val="22"/>
                <w:szCs w:val="22"/>
                <w:vertAlign w:val="subscript"/>
                <w:lang w:val="fr-FR" w:eastAsia="fr-FR"/>
              </w:rPr>
              <w:t>n</w:t>
            </w:r>
            <w:r w:rsidRPr="0026037D">
              <w:rPr>
                <w:position w:val="-3"/>
                <w:sz w:val="22"/>
                <w:szCs w:val="22"/>
                <w:lang w:val="fr-FR" w:eastAsia="fr-FR"/>
              </w:rPr>
              <w:t>:</w:t>
            </w:r>
            <w:r w:rsidRPr="0026037D">
              <w:rPr>
                <w:spacing w:val="17"/>
                <w:position w:val="-3"/>
                <w:sz w:val="22"/>
                <w:szCs w:val="22"/>
                <w:lang w:val="fr-FR" w:eastAsia="fr-FR"/>
              </w:rPr>
              <w:t xml:space="preserve"> </w:t>
            </w:r>
            <w:r w:rsidRPr="0026037D">
              <w:rPr>
                <w:sz w:val="22"/>
                <w:szCs w:val="22"/>
                <w:lang w:val="fr-FR" w:eastAsia="fr-FR"/>
              </w:rPr>
              <w:t>↑</w:t>
            </w:r>
            <w:r w:rsidRPr="0026037D">
              <w:rPr>
                <w:spacing w:val="-4"/>
                <w:sz w:val="22"/>
                <w:szCs w:val="22"/>
                <w:lang w:val="fr-FR" w:eastAsia="fr-FR"/>
              </w:rPr>
              <w:t xml:space="preserve"> </w:t>
            </w:r>
            <w:r w:rsidRPr="0026037D">
              <w:rPr>
                <w:spacing w:val="1"/>
                <w:sz w:val="22"/>
                <w:szCs w:val="22"/>
                <w:lang w:val="fr-FR" w:eastAsia="fr-FR"/>
              </w:rPr>
              <w:t xml:space="preserve">74% </w:t>
            </w:r>
          </w:p>
          <w:p w14:paraId="6DB203EF" w14:textId="77777777" w:rsidR="006B3F1F" w:rsidRPr="0026037D" w:rsidRDefault="006B3F1F" w:rsidP="006B3F1F">
            <w:pPr>
              <w:widowControl w:val="0"/>
              <w:autoSpaceDE w:val="0"/>
              <w:autoSpaceDN w:val="0"/>
              <w:adjustRightInd w:val="0"/>
              <w:spacing w:before="9" w:line="228" w:lineRule="auto"/>
              <w:ind w:left="44" w:right="1206"/>
              <w:rPr>
                <w:spacing w:val="1"/>
                <w:sz w:val="22"/>
                <w:szCs w:val="22"/>
                <w:lang w:val="fr-FR" w:eastAsia="fr-FR"/>
              </w:rPr>
            </w:pPr>
            <w:r w:rsidRPr="0026037D">
              <w:rPr>
                <w:spacing w:val="1"/>
                <w:sz w:val="22"/>
                <w:szCs w:val="22"/>
                <w:lang w:val="fr-FR" w:eastAsia="fr-FR"/>
              </w:rPr>
              <w:t>C</w:t>
            </w:r>
            <w:r w:rsidRPr="0026037D">
              <w:rPr>
                <w:spacing w:val="-1"/>
                <w:position w:val="-3"/>
                <w:sz w:val="22"/>
                <w:szCs w:val="22"/>
                <w:vertAlign w:val="subscript"/>
                <w:lang w:val="fr-FR" w:eastAsia="fr-FR"/>
              </w:rPr>
              <w:t>ma</w:t>
            </w:r>
            <w:r w:rsidRPr="0026037D">
              <w:rPr>
                <w:position w:val="-3"/>
                <w:sz w:val="22"/>
                <w:szCs w:val="22"/>
                <w:vertAlign w:val="subscript"/>
                <w:lang w:val="fr-FR" w:eastAsia="fr-FR"/>
              </w:rPr>
              <w:t>x</w:t>
            </w:r>
            <w:r w:rsidRPr="0026037D">
              <w:rPr>
                <w:position w:val="-3"/>
                <w:sz w:val="22"/>
                <w:szCs w:val="22"/>
                <w:lang w:val="fr-FR" w:eastAsia="fr-FR"/>
              </w:rPr>
              <w:t>:</w:t>
            </w:r>
            <w:r w:rsidRPr="0026037D">
              <w:rPr>
                <w:spacing w:val="17"/>
                <w:position w:val="-3"/>
                <w:sz w:val="22"/>
                <w:szCs w:val="22"/>
                <w:lang w:val="fr-FR" w:eastAsia="fr-FR"/>
              </w:rPr>
              <w:t xml:space="preserve"> </w:t>
            </w:r>
            <w:r w:rsidRPr="0026037D">
              <w:rPr>
                <w:sz w:val="22"/>
                <w:szCs w:val="22"/>
                <w:lang w:val="fr-FR" w:eastAsia="fr-FR"/>
              </w:rPr>
              <w:t>↑</w:t>
            </w:r>
            <w:r w:rsidRPr="0026037D">
              <w:rPr>
                <w:spacing w:val="-4"/>
                <w:sz w:val="22"/>
                <w:szCs w:val="22"/>
                <w:lang w:val="fr-FR" w:eastAsia="fr-FR"/>
              </w:rPr>
              <w:t xml:space="preserve"> </w:t>
            </w:r>
            <w:r w:rsidRPr="0026037D">
              <w:rPr>
                <w:spacing w:val="1"/>
                <w:sz w:val="22"/>
                <w:szCs w:val="22"/>
                <w:lang w:val="fr-FR" w:eastAsia="fr-FR"/>
              </w:rPr>
              <w:t>29%</w:t>
            </w:r>
          </w:p>
          <w:p w14:paraId="614DE421" w14:textId="77777777" w:rsidR="00E7753E" w:rsidRPr="0026037D" w:rsidRDefault="00E7753E" w:rsidP="006B3F1F">
            <w:pPr>
              <w:widowControl w:val="0"/>
              <w:autoSpaceDE w:val="0"/>
              <w:autoSpaceDN w:val="0"/>
              <w:adjustRightInd w:val="0"/>
              <w:spacing w:before="9" w:line="228" w:lineRule="auto"/>
              <w:ind w:left="44" w:right="1206"/>
              <w:rPr>
                <w:spacing w:val="1"/>
                <w:sz w:val="22"/>
                <w:szCs w:val="22"/>
                <w:lang w:val="fr-FR" w:eastAsia="fr-FR"/>
              </w:rPr>
            </w:pPr>
          </w:p>
          <w:p w14:paraId="0435AD05" w14:textId="77777777" w:rsidR="00E7753E" w:rsidRPr="00F21053" w:rsidRDefault="00E7753E" w:rsidP="00E7753E">
            <w:pPr>
              <w:widowControl w:val="0"/>
              <w:autoSpaceDE w:val="0"/>
              <w:autoSpaceDN w:val="0"/>
              <w:adjustRightInd w:val="0"/>
              <w:spacing w:line="222" w:lineRule="exact"/>
              <w:ind w:left="44" w:right="-20"/>
              <w:rPr>
                <w:sz w:val="22"/>
                <w:szCs w:val="22"/>
                <w:lang w:val="fi-FI" w:eastAsia="fr-FR"/>
              </w:rPr>
            </w:pPr>
            <w:r w:rsidRPr="00F21053">
              <w:rPr>
                <w:sz w:val="22"/>
                <w:szCs w:val="22"/>
                <w:lang w:val="fi-FI" w:eastAsia="fr-FR"/>
              </w:rPr>
              <w:t>Lopinavir:</w:t>
            </w:r>
          </w:p>
          <w:p w14:paraId="1A3B42EE" w14:textId="77777777" w:rsidR="00E7753E" w:rsidRPr="0026037D" w:rsidRDefault="00E7753E" w:rsidP="00E7753E">
            <w:pPr>
              <w:widowControl w:val="0"/>
              <w:autoSpaceDE w:val="0"/>
              <w:autoSpaceDN w:val="0"/>
              <w:adjustRightInd w:val="0"/>
              <w:spacing w:line="222" w:lineRule="exact"/>
              <w:ind w:left="44" w:right="-20"/>
              <w:rPr>
                <w:sz w:val="22"/>
                <w:szCs w:val="22"/>
                <w:lang w:eastAsia="fr-FR"/>
              </w:rPr>
            </w:pPr>
            <w:r w:rsidRPr="0026037D">
              <w:rPr>
                <w:sz w:val="22"/>
                <w:szCs w:val="22"/>
                <w:lang w:eastAsia="fr-FR"/>
              </w:rPr>
              <w:t>AUC:</w:t>
            </w:r>
            <w:r w:rsidRPr="0026037D">
              <w:rPr>
                <w:spacing w:val="-3"/>
                <w:sz w:val="22"/>
                <w:szCs w:val="22"/>
                <w:lang w:eastAsia="fr-FR"/>
              </w:rPr>
              <w:t xml:space="preserve"> </w:t>
            </w:r>
            <w:r w:rsidRPr="0026037D">
              <w:rPr>
                <w:sz w:val="22"/>
                <w:szCs w:val="22"/>
                <w:lang w:eastAsia="fr-FR"/>
              </w:rPr>
              <w:t>↔</w:t>
            </w:r>
          </w:p>
          <w:p w14:paraId="6E835B15" w14:textId="77777777" w:rsidR="00E7753E" w:rsidRPr="0026037D" w:rsidRDefault="00E7753E" w:rsidP="00E7753E">
            <w:pPr>
              <w:widowControl w:val="0"/>
              <w:autoSpaceDE w:val="0"/>
              <w:autoSpaceDN w:val="0"/>
              <w:adjustRightInd w:val="0"/>
              <w:spacing w:before="9" w:line="228" w:lineRule="auto"/>
              <w:ind w:left="44" w:right="1206"/>
              <w:rPr>
                <w:sz w:val="22"/>
                <w:szCs w:val="22"/>
                <w:lang w:eastAsia="fr-FR"/>
              </w:rPr>
            </w:pPr>
            <w:r w:rsidRPr="0026037D">
              <w:rPr>
                <w:spacing w:val="1"/>
                <w:sz w:val="22"/>
                <w:szCs w:val="22"/>
                <w:lang w:eastAsia="fr-FR"/>
              </w:rPr>
              <w:t>C</w:t>
            </w:r>
            <w:r w:rsidRPr="0026037D">
              <w:rPr>
                <w:position w:val="-3"/>
                <w:sz w:val="22"/>
                <w:szCs w:val="22"/>
                <w:vertAlign w:val="subscript"/>
                <w:lang w:eastAsia="fr-FR"/>
              </w:rPr>
              <w:t>min</w:t>
            </w:r>
            <w:r w:rsidRPr="0026037D">
              <w:rPr>
                <w:position w:val="-3"/>
                <w:sz w:val="22"/>
                <w:szCs w:val="22"/>
                <w:lang w:eastAsia="fr-FR"/>
              </w:rPr>
              <w:t>:</w:t>
            </w:r>
            <w:r w:rsidRPr="0026037D">
              <w:rPr>
                <w:spacing w:val="17"/>
                <w:position w:val="-3"/>
                <w:sz w:val="22"/>
                <w:szCs w:val="22"/>
                <w:lang w:eastAsia="fr-FR"/>
              </w:rPr>
              <w:t xml:space="preserve"> </w:t>
            </w:r>
            <w:r w:rsidRPr="0026037D">
              <w:rPr>
                <w:sz w:val="22"/>
                <w:szCs w:val="22"/>
                <w:lang w:eastAsia="fr-FR"/>
              </w:rPr>
              <w:t>↓</w:t>
            </w:r>
            <w:r w:rsidRPr="0026037D">
              <w:rPr>
                <w:spacing w:val="-4"/>
                <w:sz w:val="22"/>
                <w:szCs w:val="22"/>
                <w:lang w:eastAsia="fr-FR"/>
              </w:rPr>
              <w:t xml:space="preserve"> </w:t>
            </w:r>
            <w:r w:rsidRPr="0026037D">
              <w:rPr>
                <w:spacing w:val="1"/>
                <w:sz w:val="22"/>
                <w:szCs w:val="22"/>
                <w:lang w:eastAsia="fr-FR"/>
              </w:rPr>
              <w:t xml:space="preserve">11% </w:t>
            </w:r>
          </w:p>
          <w:p w14:paraId="404A1E6E" w14:textId="77777777" w:rsidR="00E7753E" w:rsidRPr="0026037D" w:rsidRDefault="00E7753E" w:rsidP="00E7753E">
            <w:pPr>
              <w:widowControl w:val="0"/>
              <w:autoSpaceDE w:val="0"/>
              <w:autoSpaceDN w:val="0"/>
              <w:adjustRightInd w:val="0"/>
              <w:spacing w:before="9" w:line="228" w:lineRule="auto"/>
              <w:ind w:left="44" w:right="1206"/>
              <w:rPr>
                <w:sz w:val="22"/>
                <w:szCs w:val="22"/>
                <w:lang w:eastAsia="fr-FR"/>
              </w:rPr>
            </w:pPr>
            <w:r w:rsidRPr="0026037D">
              <w:rPr>
                <w:spacing w:val="1"/>
                <w:sz w:val="22"/>
                <w:szCs w:val="22"/>
                <w:lang w:eastAsia="fr-FR"/>
              </w:rPr>
              <w:t>C</w:t>
            </w:r>
            <w:r w:rsidRPr="0026037D">
              <w:rPr>
                <w:spacing w:val="-2"/>
                <w:position w:val="-3"/>
                <w:sz w:val="22"/>
                <w:szCs w:val="22"/>
                <w:vertAlign w:val="subscript"/>
                <w:lang w:eastAsia="fr-FR"/>
              </w:rPr>
              <w:t>m</w:t>
            </w:r>
            <w:r w:rsidRPr="0026037D">
              <w:rPr>
                <w:spacing w:val="2"/>
                <w:position w:val="-3"/>
                <w:sz w:val="22"/>
                <w:szCs w:val="22"/>
                <w:vertAlign w:val="subscript"/>
                <w:lang w:eastAsia="fr-FR"/>
              </w:rPr>
              <w:t>a</w:t>
            </w:r>
            <w:r w:rsidRPr="0026037D">
              <w:rPr>
                <w:position w:val="-3"/>
                <w:sz w:val="22"/>
                <w:szCs w:val="22"/>
                <w:vertAlign w:val="subscript"/>
                <w:lang w:eastAsia="fr-FR"/>
              </w:rPr>
              <w:t>x</w:t>
            </w:r>
            <w:r w:rsidRPr="0026037D">
              <w:rPr>
                <w:position w:val="-3"/>
                <w:sz w:val="22"/>
                <w:szCs w:val="22"/>
                <w:lang w:eastAsia="fr-FR"/>
              </w:rPr>
              <w:t>:</w:t>
            </w:r>
            <w:r w:rsidRPr="0026037D">
              <w:rPr>
                <w:spacing w:val="14"/>
                <w:position w:val="-3"/>
                <w:sz w:val="22"/>
                <w:szCs w:val="22"/>
                <w:lang w:eastAsia="fr-FR"/>
              </w:rPr>
              <w:t xml:space="preserve"> </w:t>
            </w:r>
            <w:r w:rsidRPr="0026037D">
              <w:rPr>
                <w:sz w:val="22"/>
                <w:szCs w:val="22"/>
                <w:lang w:eastAsia="fr-FR"/>
              </w:rPr>
              <w:t xml:space="preserve">↔ </w:t>
            </w:r>
          </w:p>
          <w:p w14:paraId="767E27B7" w14:textId="77777777" w:rsidR="006B3F1F" w:rsidRPr="0026037D" w:rsidRDefault="006B3F1F" w:rsidP="006B3F1F">
            <w:pPr>
              <w:widowControl w:val="0"/>
              <w:autoSpaceDE w:val="0"/>
              <w:autoSpaceDN w:val="0"/>
              <w:adjustRightInd w:val="0"/>
              <w:spacing w:before="19" w:line="200" w:lineRule="exact"/>
              <w:ind w:left="44" w:right="-20"/>
              <w:rPr>
                <w:sz w:val="22"/>
                <w:szCs w:val="22"/>
                <w:lang w:val="fr-FR" w:eastAsia="fr-FR"/>
              </w:rPr>
            </w:pPr>
          </w:p>
          <w:p w14:paraId="60C69BCD" w14:textId="77777777" w:rsidR="006B3F1F" w:rsidRPr="0026037D" w:rsidRDefault="006B3F1F" w:rsidP="006B3F1F">
            <w:pPr>
              <w:pStyle w:val="EMEANormal"/>
              <w:ind w:left="44"/>
              <w:rPr>
                <w:szCs w:val="22"/>
                <w:lang w:val="en-GB"/>
              </w:rPr>
            </w:pPr>
            <w:r w:rsidRPr="0026037D">
              <w:rPr>
                <w:szCs w:val="22"/>
                <w:lang w:eastAsia="fr-FR"/>
              </w:rPr>
              <w:t>(inhibition</w:t>
            </w:r>
            <w:r w:rsidRPr="0026037D">
              <w:rPr>
                <w:spacing w:val="-8"/>
                <w:szCs w:val="22"/>
                <w:lang w:eastAsia="fr-FR"/>
              </w:rPr>
              <w:t xml:space="preserve"> </w:t>
            </w:r>
            <w:r w:rsidRPr="0026037D">
              <w:rPr>
                <w:szCs w:val="22"/>
                <w:lang w:eastAsia="fr-FR"/>
              </w:rPr>
              <w:t>of</w:t>
            </w:r>
            <w:r w:rsidRPr="0026037D">
              <w:rPr>
                <w:spacing w:val="1"/>
                <w:szCs w:val="22"/>
                <w:lang w:eastAsia="fr-FR"/>
              </w:rPr>
              <w:t xml:space="preserve"> </w:t>
            </w:r>
            <w:r w:rsidRPr="0026037D">
              <w:rPr>
                <w:szCs w:val="22"/>
                <w:lang w:eastAsia="fr-FR"/>
              </w:rPr>
              <w:t>CYP3A</w:t>
            </w:r>
            <w:r w:rsidRPr="0026037D">
              <w:rPr>
                <w:spacing w:val="-5"/>
                <w:szCs w:val="22"/>
                <w:lang w:eastAsia="fr-FR"/>
              </w:rPr>
              <w:t xml:space="preserve"> </w:t>
            </w:r>
            <w:r w:rsidRPr="0026037D">
              <w:rPr>
                <w:szCs w:val="22"/>
                <w:lang w:eastAsia="fr-FR"/>
              </w:rPr>
              <w:t>enzymes)</w:t>
            </w:r>
          </w:p>
        </w:tc>
        <w:tc>
          <w:tcPr>
            <w:tcW w:w="3291" w:type="dxa"/>
            <w:gridSpan w:val="5"/>
            <w:tcBorders>
              <w:top w:val="single" w:sz="4" w:space="0" w:color="auto"/>
              <w:left w:val="single" w:sz="4" w:space="0" w:color="auto"/>
              <w:bottom w:val="single" w:sz="4" w:space="0" w:color="auto"/>
              <w:right w:val="single" w:sz="4" w:space="0" w:color="auto"/>
            </w:tcBorders>
          </w:tcPr>
          <w:p w14:paraId="3E53FF49" w14:textId="77777777" w:rsidR="006B3F1F" w:rsidRPr="0026037D" w:rsidRDefault="006B3F1F" w:rsidP="006B3F1F">
            <w:pPr>
              <w:widowControl w:val="0"/>
              <w:autoSpaceDE w:val="0"/>
              <w:autoSpaceDN w:val="0"/>
              <w:adjustRightInd w:val="0"/>
              <w:spacing w:line="225" w:lineRule="exact"/>
              <w:ind w:right="-20"/>
              <w:rPr>
                <w:sz w:val="22"/>
                <w:szCs w:val="22"/>
                <w:lang w:eastAsia="fr-FR"/>
              </w:rPr>
            </w:pPr>
            <w:r w:rsidRPr="0026037D">
              <w:rPr>
                <w:sz w:val="22"/>
                <w:szCs w:val="22"/>
                <w:lang w:eastAsia="fr-FR"/>
              </w:rPr>
              <w:t>Concomitant</w:t>
            </w:r>
            <w:r w:rsidRPr="0026037D">
              <w:rPr>
                <w:spacing w:val="-10"/>
                <w:sz w:val="22"/>
                <w:szCs w:val="22"/>
                <w:lang w:eastAsia="fr-FR"/>
              </w:rPr>
              <w:t xml:space="preserve"> </w:t>
            </w:r>
            <w:r w:rsidRPr="0026037D">
              <w:rPr>
                <w:sz w:val="22"/>
                <w:szCs w:val="22"/>
                <w:lang w:eastAsia="fr-FR"/>
              </w:rPr>
              <w:t>use</w:t>
            </w:r>
            <w:r w:rsidRPr="0026037D">
              <w:rPr>
                <w:spacing w:val="-3"/>
                <w:sz w:val="22"/>
                <w:szCs w:val="22"/>
                <w:lang w:eastAsia="fr-FR"/>
              </w:rPr>
              <w:t xml:space="preserve"> </w:t>
            </w:r>
            <w:r w:rsidRPr="0026037D">
              <w:rPr>
                <w:sz w:val="22"/>
                <w:szCs w:val="22"/>
                <w:lang w:eastAsia="fr-FR"/>
              </w:rPr>
              <w:t>of</w:t>
            </w:r>
            <w:r w:rsidRPr="0026037D">
              <w:rPr>
                <w:spacing w:val="-1"/>
                <w:sz w:val="22"/>
                <w:szCs w:val="22"/>
                <w:lang w:eastAsia="fr-FR"/>
              </w:rPr>
              <w:t xml:space="preserve"> </w:t>
            </w:r>
            <w:r w:rsidRPr="0026037D">
              <w:rPr>
                <w:spacing w:val="1"/>
                <w:sz w:val="22"/>
                <w:szCs w:val="22"/>
                <w:lang w:eastAsia="fr-FR"/>
              </w:rPr>
              <w:t>Kaletra</w:t>
            </w:r>
            <w:r w:rsidRPr="0026037D">
              <w:rPr>
                <w:spacing w:val="-6"/>
                <w:sz w:val="22"/>
                <w:szCs w:val="22"/>
                <w:lang w:eastAsia="fr-FR"/>
              </w:rPr>
              <w:t xml:space="preserve"> </w:t>
            </w:r>
            <w:r w:rsidRPr="0026037D">
              <w:rPr>
                <w:spacing w:val="-1"/>
                <w:sz w:val="22"/>
                <w:szCs w:val="22"/>
                <w:lang w:eastAsia="fr-FR"/>
              </w:rPr>
              <w:t>with</w:t>
            </w:r>
          </w:p>
          <w:p w14:paraId="37755801" w14:textId="77777777" w:rsidR="006B3F1F" w:rsidRPr="0026037D" w:rsidRDefault="006B3F1F" w:rsidP="006B3F1F">
            <w:pPr>
              <w:pStyle w:val="EMEANormal"/>
              <w:rPr>
                <w:szCs w:val="22"/>
                <w:lang w:val="en-GB"/>
              </w:rPr>
            </w:pPr>
            <w:r w:rsidRPr="0026037D">
              <w:rPr>
                <w:szCs w:val="22"/>
                <w:lang w:eastAsia="fr-FR"/>
              </w:rPr>
              <w:t>rilpivirine</w:t>
            </w:r>
            <w:r w:rsidRPr="0026037D">
              <w:rPr>
                <w:spacing w:val="-3"/>
                <w:szCs w:val="22"/>
                <w:lang w:eastAsia="fr-FR"/>
              </w:rPr>
              <w:t xml:space="preserve"> </w:t>
            </w:r>
            <w:r w:rsidRPr="0026037D">
              <w:rPr>
                <w:szCs w:val="22"/>
                <w:lang w:eastAsia="fr-FR"/>
              </w:rPr>
              <w:t>causes</w:t>
            </w:r>
            <w:r w:rsidRPr="0026037D">
              <w:rPr>
                <w:spacing w:val="-5"/>
                <w:szCs w:val="22"/>
                <w:lang w:eastAsia="fr-FR"/>
              </w:rPr>
              <w:t xml:space="preserve"> </w:t>
            </w:r>
            <w:r w:rsidRPr="0026037D">
              <w:rPr>
                <w:szCs w:val="22"/>
                <w:lang w:eastAsia="fr-FR"/>
              </w:rPr>
              <w:t>an</w:t>
            </w:r>
            <w:r w:rsidRPr="0026037D">
              <w:rPr>
                <w:spacing w:val="-2"/>
                <w:szCs w:val="22"/>
                <w:lang w:eastAsia="fr-FR"/>
              </w:rPr>
              <w:t xml:space="preserve"> </w:t>
            </w:r>
            <w:r w:rsidRPr="0026037D">
              <w:rPr>
                <w:szCs w:val="22"/>
                <w:lang w:eastAsia="fr-FR"/>
              </w:rPr>
              <w:t>increase in</w:t>
            </w:r>
            <w:r w:rsidRPr="0026037D">
              <w:rPr>
                <w:spacing w:val="-2"/>
                <w:szCs w:val="22"/>
                <w:lang w:eastAsia="fr-FR"/>
              </w:rPr>
              <w:t xml:space="preserve"> </w:t>
            </w:r>
            <w:r w:rsidRPr="0026037D">
              <w:rPr>
                <w:szCs w:val="22"/>
                <w:lang w:eastAsia="fr-FR"/>
              </w:rPr>
              <w:t>the</w:t>
            </w:r>
            <w:r w:rsidRPr="0026037D">
              <w:rPr>
                <w:spacing w:val="-2"/>
                <w:szCs w:val="22"/>
                <w:lang w:eastAsia="fr-FR"/>
              </w:rPr>
              <w:t xml:space="preserve"> </w:t>
            </w:r>
            <w:r w:rsidRPr="0026037D">
              <w:rPr>
                <w:szCs w:val="22"/>
                <w:lang w:eastAsia="fr-FR"/>
              </w:rPr>
              <w:t>plasma</w:t>
            </w:r>
            <w:r w:rsidRPr="0026037D">
              <w:rPr>
                <w:spacing w:val="-6"/>
                <w:szCs w:val="22"/>
                <w:lang w:eastAsia="fr-FR"/>
              </w:rPr>
              <w:t xml:space="preserve"> </w:t>
            </w:r>
            <w:r w:rsidRPr="0026037D">
              <w:rPr>
                <w:szCs w:val="22"/>
                <w:lang w:eastAsia="fr-FR"/>
              </w:rPr>
              <w:t>concentrations</w:t>
            </w:r>
            <w:r w:rsidRPr="0026037D">
              <w:rPr>
                <w:spacing w:val="-12"/>
                <w:szCs w:val="22"/>
                <w:lang w:eastAsia="fr-FR"/>
              </w:rPr>
              <w:t xml:space="preserve"> </w:t>
            </w:r>
            <w:r w:rsidRPr="0026037D">
              <w:rPr>
                <w:spacing w:val="4"/>
                <w:szCs w:val="22"/>
                <w:lang w:eastAsia="fr-FR"/>
              </w:rPr>
              <w:t xml:space="preserve">of </w:t>
            </w:r>
            <w:r w:rsidRPr="0026037D">
              <w:rPr>
                <w:szCs w:val="22"/>
                <w:lang w:eastAsia="fr-FR"/>
              </w:rPr>
              <w:t>rilpivirine,</w:t>
            </w:r>
            <w:r w:rsidRPr="0026037D">
              <w:rPr>
                <w:spacing w:val="-8"/>
                <w:szCs w:val="22"/>
                <w:lang w:eastAsia="fr-FR"/>
              </w:rPr>
              <w:t xml:space="preserve"> </w:t>
            </w:r>
            <w:r w:rsidRPr="0026037D">
              <w:rPr>
                <w:szCs w:val="22"/>
                <w:lang w:eastAsia="fr-FR"/>
              </w:rPr>
              <w:t>but</w:t>
            </w:r>
            <w:r w:rsidRPr="0026037D">
              <w:rPr>
                <w:spacing w:val="-3"/>
                <w:szCs w:val="22"/>
                <w:lang w:eastAsia="fr-FR"/>
              </w:rPr>
              <w:t xml:space="preserve"> </w:t>
            </w:r>
            <w:r w:rsidRPr="0026037D">
              <w:rPr>
                <w:szCs w:val="22"/>
                <w:lang w:eastAsia="fr-FR"/>
              </w:rPr>
              <w:t>no</w:t>
            </w:r>
            <w:r w:rsidRPr="0026037D">
              <w:rPr>
                <w:spacing w:val="-2"/>
                <w:szCs w:val="22"/>
                <w:lang w:eastAsia="fr-FR"/>
              </w:rPr>
              <w:t xml:space="preserve"> </w:t>
            </w:r>
            <w:r w:rsidRPr="0026037D">
              <w:rPr>
                <w:szCs w:val="22"/>
                <w:lang w:eastAsia="fr-FR"/>
              </w:rPr>
              <w:t>dose</w:t>
            </w:r>
            <w:r w:rsidRPr="0026037D">
              <w:rPr>
                <w:spacing w:val="-4"/>
                <w:szCs w:val="22"/>
                <w:lang w:eastAsia="fr-FR"/>
              </w:rPr>
              <w:t xml:space="preserve"> a</w:t>
            </w:r>
            <w:r w:rsidRPr="0026037D">
              <w:rPr>
                <w:szCs w:val="22"/>
                <w:lang w:eastAsia="fr-FR"/>
              </w:rPr>
              <w:t>djustment</w:t>
            </w:r>
            <w:r w:rsidRPr="0026037D">
              <w:rPr>
                <w:spacing w:val="-9"/>
                <w:szCs w:val="22"/>
                <w:lang w:eastAsia="fr-FR"/>
              </w:rPr>
              <w:t xml:space="preserve"> </w:t>
            </w:r>
            <w:r w:rsidRPr="0026037D">
              <w:rPr>
                <w:szCs w:val="22"/>
                <w:lang w:eastAsia="fr-FR"/>
              </w:rPr>
              <w:t>is required.</w:t>
            </w:r>
          </w:p>
        </w:tc>
      </w:tr>
      <w:tr w:rsidR="006B3F1F" w:rsidRPr="007A46A1" w14:paraId="6FC6F49B" w14:textId="77777777" w:rsidTr="008F531F">
        <w:trPr>
          <w:gridAfter w:val="1"/>
          <w:wAfter w:w="36" w:type="dxa"/>
        </w:trPr>
        <w:tc>
          <w:tcPr>
            <w:tcW w:w="9178" w:type="dxa"/>
            <w:gridSpan w:val="11"/>
            <w:tcBorders>
              <w:top w:val="single" w:sz="4" w:space="0" w:color="auto"/>
              <w:left w:val="single" w:sz="4" w:space="0" w:color="auto"/>
              <w:bottom w:val="single" w:sz="4" w:space="0" w:color="auto"/>
              <w:right w:val="single" w:sz="4" w:space="0" w:color="auto"/>
            </w:tcBorders>
          </w:tcPr>
          <w:p w14:paraId="32047345" w14:textId="77777777" w:rsidR="006B3F1F" w:rsidRPr="009D233A" w:rsidRDefault="006B3F1F" w:rsidP="002A75DB">
            <w:pPr>
              <w:pStyle w:val="EMEANormal"/>
              <w:keepNext/>
              <w:rPr>
                <w:i/>
                <w:iCs/>
                <w:szCs w:val="22"/>
                <w:lang w:val="en-GB"/>
              </w:rPr>
            </w:pPr>
            <w:r w:rsidRPr="009D233A">
              <w:rPr>
                <w:i/>
                <w:iCs/>
                <w:szCs w:val="22"/>
              </w:rPr>
              <w:t>HIV CCR5 – antagonist</w:t>
            </w:r>
          </w:p>
        </w:tc>
      </w:tr>
      <w:tr w:rsidR="006B3F1F" w:rsidRPr="007A46A1" w14:paraId="29354E68"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3EA2D6A5" w14:textId="77777777" w:rsidR="006B3F1F" w:rsidRPr="009D233A" w:rsidRDefault="006B3F1F" w:rsidP="002A75DB">
            <w:pPr>
              <w:keepNext/>
              <w:rPr>
                <w:sz w:val="22"/>
                <w:szCs w:val="22"/>
              </w:rPr>
            </w:pPr>
            <w:r w:rsidRPr="009D233A">
              <w:rPr>
                <w:sz w:val="22"/>
                <w:szCs w:val="22"/>
              </w:rPr>
              <w:t>Maraviroc</w:t>
            </w:r>
          </w:p>
          <w:p w14:paraId="081146FF" w14:textId="77777777" w:rsidR="006B3F1F" w:rsidRPr="009D233A" w:rsidRDefault="006B3F1F" w:rsidP="002A75DB">
            <w:pPr>
              <w:pStyle w:val="EMEANormal"/>
              <w:keepNext/>
              <w:rPr>
                <w:bCs/>
                <w:iCs/>
                <w:szCs w:val="22"/>
                <w:lang w:val="en-GB"/>
              </w:rPr>
            </w:pPr>
          </w:p>
        </w:tc>
        <w:tc>
          <w:tcPr>
            <w:tcW w:w="3240" w:type="dxa"/>
            <w:gridSpan w:val="5"/>
            <w:tcBorders>
              <w:top w:val="single" w:sz="4" w:space="0" w:color="auto"/>
              <w:left w:val="single" w:sz="4" w:space="0" w:color="auto"/>
              <w:bottom w:val="single" w:sz="4" w:space="0" w:color="auto"/>
              <w:right w:val="single" w:sz="4" w:space="0" w:color="auto"/>
            </w:tcBorders>
          </w:tcPr>
          <w:p w14:paraId="19DD49F4" w14:textId="77777777" w:rsidR="006B3F1F" w:rsidRPr="007A46A1" w:rsidRDefault="006B3F1F" w:rsidP="002A75DB">
            <w:pPr>
              <w:pStyle w:val="EMEANormal"/>
              <w:keepNext/>
              <w:rPr>
                <w:szCs w:val="22"/>
                <w:lang w:val="en-GB"/>
              </w:rPr>
            </w:pPr>
            <w:r w:rsidRPr="007A46A1">
              <w:rPr>
                <w:szCs w:val="22"/>
                <w:lang w:val="en-GB"/>
              </w:rPr>
              <w:t>Maraviroc:</w:t>
            </w:r>
          </w:p>
          <w:p w14:paraId="596ADAA6" w14:textId="77777777" w:rsidR="006B3F1F" w:rsidRPr="007A46A1" w:rsidRDefault="006B3F1F" w:rsidP="002A75DB">
            <w:pPr>
              <w:pStyle w:val="EMEANormal"/>
              <w:keepNext/>
              <w:rPr>
                <w:szCs w:val="22"/>
                <w:lang w:val="en-GB"/>
              </w:rPr>
            </w:pPr>
            <w:r w:rsidRPr="007A46A1">
              <w:rPr>
                <w:szCs w:val="22"/>
                <w:lang w:val="en-GB"/>
              </w:rPr>
              <w:t xml:space="preserve">AUC: ↑ 295% </w:t>
            </w:r>
          </w:p>
          <w:p w14:paraId="7352F74E" w14:textId="77777777" w:rsidR="006B3F1F" w:rsidRDefault="006B3F1F" w:rsidP="002A75DB">
            <w:pPr>
              <w:pStyle w:val="EMEANormal"/>
              <w:keepNext/>
              <w:rPr>
                <w:szCs w:val="22"/>
                <w:lang w:val="en-GB"/>
              </w:rPr>
            </w:pPr>
            <w:r w:rsidRPr="007A46A1">
              <w:rPr>
                <w:szCs w:val="22"/>
                <w:lang w:val="en-GB"/>
              </w:rPr>
              <w:t>C</w:t>
            </w:r>
            <w:r w:rsidRPr="007A46A1">
              <w:rPr>
                <w:szCs w:val="22"/>
                <w:vertAlign w:val="subscript"/>
                <w:lang w:val="en-GB"/>
              </w:rPr>
              <w:t>max</w:t>
            </w:r>
            <w:r w:rsidRPr="007A46A1">
              <w:rPr>
                <w:szCs w:val="22"/>
                <w:lang w:val="en-GB"/>
              </w:rPr>
              <w:t xml:space="preserve">: ↑ 97% </w:t>
            </w:r>
          </w:p>
          <w:p w14:paraId="50E665D8" w14:textId="77777777" w:rsidR="006B3F1F" w:rsidRPr="007A46A1" w:rsidRDefault="006B3F1F" w:rsidP="002A75DB">
            <w:pPr>
              <w:pStyle w:val="EMEANormal"/>
              <w:keepNext/>
              <w:rPr>
                <w:szCs w:val="22"/>
                <w:lang w:val="en-GB"/>
              </w:rPr>
            </w:pPr>
            <w:r>
              <w:rPr>
                <w:szCs w:val="22"/>
                <w:lang w:val="en-GB"/>
              </w:rPr>
              <w:t>Due to CYP3A inhibition by lopinavir/ritonavir.</w:t>
            </w:r>
          </w:p>
        </w:tc>
        <w:tc>
          <w:tcPr>
            <w:tcW w:w="3291" w:type="dxa"/>
            <w:gridSpan w:val="5"/>
            <w:tcBorders>
              <w:top w:val="single" w:sz="4" w:space="0" w:color="auto"/>
              <w:left w:val="single" w:sz="4" w:space="0" w:color="auto"/>
              <w:bottom w:val="single" w:sz="4" w:space="0" w:color="auto"/>
              <w:right w:val="single" w:sz="4" w:space="0" w:color="auto"/>
            </w:tcBorders>
          </w:tcPr>
          <w:p w14:paraId="31DDE8B6" w14:textId="77777777" w:rsidR="006B3F1F" w:rsidRPr="009D233A" w:rsidRDefault="006B3F1F" w:rsidP="00F50B0B">
            <w:pPr>
              <w:keepNext/>
              <w:rPr>
                <w:sz w:val="22"/>
                <w:szCs w:val="22"/>
              </w:rPr>
            </w:pPr>
            <w:r w:rsidRPr="009D233A">
              <w:rPr>
                <w:sz w:val="22"/>
                <w:szCs w:val="22"/>
              </w:rPr>
              <w:t>The dose of maraviroc should be decreased to 150 mg twice daily during co</w:t>
            </w:r>
            <w:r w:rsidRPr="009D233A">
              <w:rPr>
                <w:sz w:val="22"/>
                <w:szCs w:val="22"/>
              </w:rPr>
              <w:noBreakHyphen/>
              <w:t>administration with Kaletra 400/100</w:t>
            </w:r>
            <w:r w:rsidR="00F50B0B">
              <w:rPr>
                <w:sz w:val="22"/>
                <w:szCs w:val="22"/>
              </w:rPr>
              <w:t> </w:t>
            </w:r>
            <w:r w:rsidRPr="009D233A">
              <w:rPr>
                <w:sz w:val="22"/>
                <w:szCs w:val="22"/>
              </w:rPr>
              <w:t xml:space="preserve">mg twice daily.  </w:t>
            </w:r>
          </w:p>
        </w:tc>
      </w:tr>
      <w:tr w:rsidR="006B3F1F" w:rsidRPr="009D233A" w14:paraId="13830086" w14:textId="77777777" w:rsidTr="008F531F">
        <w:trPr>
          <w:gridAfter w:val="1"/>
          <w:wAfter w:w="36" w:type="dxa"/>
        </w:trPr>
        <w:tc>
          <w:tcPr>
            <w:tcW w:w="9178" w:type="dxa"/>
            <w:gridSpan w:val="11"/>
            <w:tcBorders>
              <w:top w:val="single" w:sz="4" w:space="0" w:color="auto"/>
              <w:left w:val="single" w:sz="4" w:space="0" w:color="auto"/>
              <w:bottom w:val="single" w:sz="4" w:space="0" w:color="auto"/>
              <w:right w:val="single" w:sz="4" w:space="0" w:color="auto"/>
            </w:tcBorders>
          </w:tcPr>
          <w:p w14:paraId="7D0DBFC6" w14:textId="77777777" w:rsidR="006B3F1F" w:rsidRPr="009D233A" w:rsidRDefault="006B3F1F" w:rsidP="00285B05">
            <w:pPr>
              <w:pStyle w:val="EMEANormal"/>
              <w:rPr>
                <w:i/>
                <w:szCs w:val="22"/>
                <w:lang w:val="en-GB"/>
              </w:rPr>
            </w:pPr>
            <w:r w:rsidRPr="009D233A">
              <w:rPr>
                <w:i/>
                <w:szCs w:val="22"/>
                <w:lang w:val="en-GB"/>
              </w:rPr>
              <w:t>Integrase inhibitor</w:t>
            </w:r>
          </w:p>
        </w:tc>
      </w:tr>
      <w:tr w:rsidR="006B3F1F" w:rsidRPr="009D233A" w14:paraId="242EFB5B"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23B7D63E" w14:textId="77777777" w:rsidR="006B3F1F" w:rsidRPr="009D233A" w:rsidRDefault="006B3F1F" w:rsidP="00285B05">
            <w:pPr>
              <w:pStyle w:val="EMEANormal"/>
              <w:rPr>
                <w:bCs/>
                <w:iCs/>
                <w:szCs w:val="22"/>
                <w:lang w:val="en-GB"/>
              </w:rPr>
            </w:pPr>
            <w:r w:rsidRPr="009D233A">
              <w:rPr>
                <w:iCs/>
                <w:szCs w:val="22"/>
                <w:lang w:val="en-GB"/>
              </w:rPr>
              <w:t>Raltegravir</w:t>
            </w:r>
          </w:p>
        </w:tc>
        <w:tc>
          <w:tcPr>
            <w:tcW w:w="3240" w:type="dxa"/>
            <w:gridSpan w:val="5"/>
            <w:tcBorders>
              <w:top w:val="single" w:sz="4" w:space="0" w:color="auto"/>
              <w:left w:val="single" w:sz="4" w:space="0" w:color="auto"/>
              <w:bottom w:val="single" w:sz="4" w:space="0" w:color="auto"/>
              <w:right w:val="single" w:sz="4" w:space="0" w:color="auto"/>
            </w:tcBorders>
          </w:tcPr>
          <w:p w14:paraId="5EA2DFE3" w14:textId="77777777" w:rsidR="006B3F1F" w:rsidRPr="009D233A" w:rsidRDefault="006B3F1F" w:rsidP="006B3626">
            <w:pPr>
              <w:pStyle w:val="EMEANormal"/>
              <w:rPr>
                <w:szCs w:val="22"/>
                <w:lang w:val="en-GB"/>
              </w:rPr>
            </w:pPr>
            <w:r w:rsidRPr="009D233A">
              <w:rPr>
                <w:szCs w:val="22"/>
                <w:lang w:val="en-GB"/>
              </w:rPr>
              <w:t xml:space="preserve">Raltegravir: </w:t>
            </w:r>
          </w:p>
          <w:p w14:paraId="2973FFBA" w14:textId="77777777" w:rsidR="006B3F1F" w:rsidRPr="009D233A" w:rsidRDefault="006B3F1F" w:rsidP="006B3626">
            <w:pPr>
              <w:pStyle w:val="EMEANormal"/>
              <w:rPr>
                <w:szCs w:val="22"/>
                <w:lang w:val="en-GB"/>
              </w:rPr>
            </w:pPr>
            <w:r w:rsidRPr="009D233A">
              <w:rPr>
                <w:szCs w:val="22"/>
                <w:lang w:val="en-GB"/>
              </w:rPr>
              <w:t>AUC: ↔</w:t>
            </w:r>
          </w:p>
          <w:p w14:paraId="62264A80" w14:textId="77777777" w:rsidR="006B3F1F" w:rsidRPr="009D233A" w:rsidRDefault="006B3F1F" w:rsidP="006B3626">
            <w:pPr>
              <w:pStyle w:val="EMEANormal"/>
              <w:rPr>
                <w:szCs w:val="22"/>
                <w:lang w:val="en-GB"/>
              </w:rPr>
            </w:pPr>
            <w:r w:rsidRPr="009D233A">
              <w:rPr>
                <w:szCs w:val="22"/>
                <w:lang w:val="en-GB"/>
              </w:rPr>
              <w:t>C</w:t>
            </w:r>
            <w:r w:rsidRPr="009D233A">
              <w:rPr>
                <w:szCs w:val="22"/>
                <w:vertAlign w:val="subscript"/>
                <w:lang w:val="en-GB"/>
              </w:rPr>
              <w:t>max</w:t>
            </w:r>
            <w:r w:rsidRPr="009D233A">
              <w:rPr>
                <w:szCs w:val="22"/>
                <w:lang w:val="en-GB"/>
              </w:rPr>
              <w:t>: ↔</w:t>
            </w:r>
          </w:p>
          <w:p w14:paraId="7204F8B9" w14:textId="77777777" w:rsidR="006B3F1F" w:rsidRPr="009D233A" w:rsidRDefault="006B3F1F" w:rsidP="006B3626">
            <w:pPr>
              <w:pStyle w:val="EMEANormal"/>
              <w:rPr>
                <w:szCs w:val="22"/>
                <w:lang w:val="en-GB"/>
              </w:rPr>
            </w:pPr>
            <w:r w:rsidRPr="009D233A">
              <w:rPr>
                <w:szCs w:val="22"/>
                <w:lang w:val="en-GB"/>
              </w:rPr>
              <w:t>C</w:t>
            </w:r>
            <w:r w:rsidRPr="009D233A">
              <w:rPr>
                <w:szCs w:val="22"/>
                <w:vertAlign w:val="subscript"/>
                <w:lang w:val="en-GB"/>
              </w:rPr>
              <w:t>12</w:t>
            </w:r>
            <w:r w:rsidRPr="009D233A">
              <w:rPr>
                <w:szCs w:val="22"/>
                <w:lang w:val="en-GB"/>
              </w:rPr>
              <w:t>: ↓ 30%</w:t>
            </w:r>
          </w:p>
          <w:p w14:paraId="43C6C472" w14:textId="77777777" w:rsidR="006B3F1F" w:rsidRPr="009D233A" w:rsidRDefault="006B3F1F" w:rsidP="00285B05">
            <w:pPr>
              <w:pStyle w:val="EMEANormal"/>
              <w:rPr>
                <w:szCs w:val="22"/>
                <w:lang w:val="en-GB"/>
              </w:rPr>
            </w:pPr>
            <w:r w:rsidRPr="009D233A">
              <w:rPr>
                <w:szCs w:val="22"/>
                <w:lang w:val="en-GB"/>
              </w:rPr>
              <w:t>Lopinavir: ↔</w:t>
            </w:r>
          </w:p>
        </w:tc>
        <w:tc>
          <w:tcPr>
            <w:tcW w:w="3291" w:type="dxa"/>
            <w:gridSpan w:val="5"/>
            <w:tcBorders>
              <w:top w:val="single" w:sz="4" w:space="0" w:color="auto"/>
              <w:left w:val="single" w:sz="4" w:space="0" w:color="auto"/>
              <w:bottom w:val="single" w:sz="4" w:space="0" w:color="auto"/>
              <w:right w:val="single" w:sz="4" w:space="0" w:color="auto"/>
            </w:tcBorders>
          </w:tcPr>
          <w:p w14:paraId="3B6B3157" w14:textId="77777777" w:rsidR="006B3F1F" w:rsidRPr="009D233A" w:rsidRDefault="006B3F1F" w:rsidP="006B3626">
            <w:pPr>
              <w:pStyle w:val="EMEANormal"/>
              <w:spacing w:after="240"/>
              <w:rPr>
                <w:szCs w:val="22"/>
                <w:lang w:val="en-GB"/>
              </w:rPr>
            </w:pPr>
            <w:r w:rsidRPr="009D233A">
              <w:rPr>
                <w:szCs w:val="22"/>
                <w:lang w:val="en-GB"/>
              </w:rPr>
              <w:t xml:space="preserve">No dose adjustment </w:t>
            </w:r>
            <w:r w:rsidRPr="009D233A">
              <w:rPr>
                <w:bCs/>
                <w:iCs/>
                <w:szCs w:val="22"/>
                <w:lang w:val="en-GB"/>
              </w:rPr>
              <w:t>necessary</w:t>
            </w:r>
          </w:p>
          <w:p w14:paraId="1A50ADF9" w14:textId="77777777" w:rsidR="006B3F1F" w:rsidRPr="009D233A" w:rsidRDefault="006B3F1F" w:rsidP="00285B05">
            <w:pPr>
              <w:pStyle w:val="EMEANormal"/>
              <w:rPr>
                <w:szCs w:val="22"/>
                <w:lang w:val="en-GB"/>
              </w:rPr>
            </w:pPr>
          </w:p>
        </w:tc>
      </w:tr>
      <w:tr w:rsidR="006B3F1F" w:rsidRPr="00342F7C" w14:paraId="2FB67698" w14:textId="77777777" w:rsidTr="008F531F">
        <w:trPr>
          <w:gridAfter w:val="1"/>
          <w:wAfter w:w="36" w:type="dxa"/>
        </w:trPr>
        <w:tc>
          <w:tcPr>
            <w:tcW w:w="9178" w:type="dxa"/>
            <w:gridSpan w:val="11"/>
            <w:tcBorders>
              <w:top w:val="single" w:sz="4" w:space="0" w:color="auto"/>
              <w:left w:val="single" w:sz="4" w:space="0" w:color="auto"/>
              <w:bottom w:val="single" w:sz="4" w:space="0" w:color="auto"/>
              <w:right w:val="single" w:sz="4" w:space="0" w:color="auto"/>
            </w:tcBorders>
          </w:tcPr>
          <w:p w14:paraId="396D99FE" w14:textId="77777777" w:rsidR="006B3F1F" w:rsidRPr="00342F7C" w:rsidRDefault="006B3F1F" w:rsidP="008831F2">
            <w:pPr>
              <w:pStyle w:val="EMEANormal"/>
              <w:rPr>
                <w:i/>
                <w:iCs/>
                <w:lang w:val="en-GB"/>
              </w:rPr>
            </w:pPr>
            <w:r w:rsidRPr="00342F7C">
              <w:rPr>
                <w:i/>
                <w:iCs/>
                <w:lang w:val="en-GB"/>
              </w:rPr>
              <w:t>Co-administration with other HIV protease inhibitors (PIs)</w:t>
            </w:r>
          </w:p>
          <w:p w14:paraId="3CB96723" w14:textId="77777777" w:rsidR="006B3F1F" w:rsidRPr="00342F7C" w:rsidRDefault="006B3F1F" w:rsidP="008831F2">
            <w:pPr>
              <w:pStyle w:val="EMEANormal"/>
              <w:rPr>
                <w:i/>
                <w:iCs/>
                <w:lang w:val="en-GB"/>
              </w:rPr>
            </w:pPr>
            <w:r w:rsidRPr="00342F7C">
              <w:rPr>
                <w:color w:val="000000"/>
                <w:lang w:val="en-GB" w:eastAsia="en-GB"/>
              </w:rPr>
              <w:t>According to current treatment guidelines, dual therapy with protease inhibitors is generally not recommended.</w:t>
            </w:r>
          </w:p>
        </w:tc>
      </w:tr>
      <w:tr w:rsidR="006B3F1F" w:rsidRPr="00342F7C" w14:paraId="5AFD2989" w14:textId="77777777" w:rsidTr="008F531F">
        <w:trPr>
          <w:gridAfter w:val="1"/>
          <w:wAfter w:w="36" w:type="dxa"/>
          <w:trHeight w:val="1781"/>
        </w:trPr>
        <w:tc>
          <w:tcPr>
            <w:tcW w:w="2647" w:type="dxa"/>
            <w:tcBorders>
              <w:top w:val="single" w:sz="4" w:space="0" w:color="auto"/>
              <w:left w:val="single" w:sz="4" w:space="0" w:color="auto"/>
              <w:bottom w:val="single" w:sz="4" w:space="0" w:color="auto"/>
              <w:right w:val="single" w:sz="4" w:space="0" w:color="auto"/>
            </w:tcBorders>
          </w:tcPr>
          <w:p w14:paraId="05F066A3" w14:textId="77777777" w:rsidR="006B3F1F" w:rsidRPr="00342F7C" w:rsidRDefault="006B3F1F" w:rsidP="008831F2">
            <w:pPr>
              <w:pStyle w:val="EMEANormal"/>
              <w:rPr>
                <w:lang w:val="en-GB"/>
              </w:rPr>
            </w:pPr>
            <w:r w:rsidRPr="00342F7C">
              <w:rPr>
                <w:lang w:val="en-GB"/>
              </w:rPr>
              <w:t xml:space="preserve">Fosamprenavir/ ritonavir (700/100 mg BID) </w:t>
            </w:r>
          </w:p>
          <w:p w14:paraId="729E1E47" w14:textId="77777777" w:rsidR="006B3F1F" w:rsidRPr="00342F7C" w:rsidRDefault="006B3F1F" w:rsidP="008831F2">
            <w:pPr>
              <w:pStyle w:val="EMEANormal"/>
              <w:rPr>
                <w:lang w:val="en-GB"/>
              </w:rPr>
            </w:pPr>
          </w:p>
          <w:p w14:paraId="36FC8A4C" w14:textId="77777777" w:rsidR="006B3F1F" w:rsidRPr="00342F7C" w:rsidRDefault="006B3F1F" w:rsidP="008831F2">
            <w:pPr>
              <w:pStyle w:val="EMEANormal"/>
              <w:rPr>
                <w:bCs/>
                <w:iCs/>
                <w:lang w:val="en-GB"/>
              </w:rPr>
            </w:pPr>
            <w:r w:rsidRPr="00342F7C">
              <w:rPr>
                <w:bCs/>
                <w:iCs/>
                <w:lang w:val="en-GB"/>
              </w:rPr>
              <w:t>(L</w:t>
            </w:r>
            <w:r w:rsidRPr="00342F7C">
              <w:rPr>
                <w:lang w:val="en-GB"/>
              </w:rPr>
              <w:t xml:space="preserve">opinavir/ritonavir </w:t>
            </w:r>
            <w:r w:rsidRPr="00342F7C">
              <w:rPr>
                <w:bCs/>
                <w:iCs/>
                <w:lang w:val="en-GB"/>
              </w:rPr>
              <w:t>400/100 mg BID)</w:t>
            </w:r>
          </w:p>
          <w:p w14:paraId="11524CDF" w14:textId="77777777" w:rsidR="006B3F1F" w:rsidRPr="00342F7C" w:rsidRDefault="006B3F1F" w:rsidP="008831F2">
            <w:pPr>
              <w:pStyle w:val="EMEANormal"/>
              <w:rPr>
                <w:lang w:val="en-GB"/>
              </w:rPr>
            </w:pPr>
          </w:p>
          <w:p w14:paraId="1D5BB086" w14:textId="77777777" w:rsidR="006B3F1F" w:rsidRPr="00342F7C" w:rsidRDefault="006B3F1F" w:rsidP="008831F2">
            <w:pPr>
              <w:pStyle w:val="EMEANormal"/>
              <w:rPr>
                <w:lang w:val="en-GB"/>
              </w:rPr>
            </w:pPr>
            <w:r w:rsidRPr="00342F7C">
              <w:rPr>
                <w:lang w:val="en-GB"/>
              </w:rPr>
              <w:t xml:space="preserve">or </w:t>
            </w:r>
          </w:p>
          <w:p w14:paraId="618FD048" w14:textId="77777777" w:rsidR="006B3F1F" w:rsidRPr="00342F7C" w:rsidRDefault="006B3F1F" w:rsidP="008831F2">
            <w:pPr>
              <w:pStyle w:val="EMEANormal"/>
              <w:rPr>
                <w:lang w:val="en-GB"/>
              </w:rPr>
            </w:pPr>
          </w:p>
          <w:p w14:paraId="65363E8F" w14:textId="77777777" w:rsidR="006B3F1F" w:rsidRPr="00342F7C" w:rsidRDefault="006B3F1F" w:rsidP="008831F2">
            <w:pPr>
              <w:pStyle w:val="EMEANormal"/>
              <w:rPr>
                <w:lang w:val="en-GB"/>
              </w:rPr>
            </w:pPr>
            <w:r w:rsidRPr="00342F7C">
              <w:rPr>
                <w:lang w:val="en-GB"/>
              </w:rPr>
              <w:t>Fosamprenavir (1400 mg BID)</w:t>
            </w:r>
          </w:p>
          <w:p w14:paraId="6D0ADD12" w14:textId="77777777" w:rsidR="006B3F1F" w:rsidRPr="00342F7C" w:rsidRDefault="006B3F1F" w:rsidP="008831F2">
            <w:pPr>
              <w:pStyle w:val="EMEANormal"/>
              <w:rPr>
                <w:lang w:val="en-GB"/>
              </w:rPr>
            </w:pPr>
          </w:p>
          <w:p w14:paraId="54CFF5AC" w14:textId="77777777" w:rsidR="006B3F1F" w:rsidRPr="00342F7C" w:rsidRDefault="006B3F1F" w:rsidP="008831F2">
            <w:pPr>
              <w:pStyle w:val="EMEANormal"/>
              <w:rPr>
                <w:bCs/>
                <w:iCs/>
                <w:lang w:val="en-GB"/>
              </w:rPr>
            </w:pPr>
            <w:r w:rsidRPr="00342F7C">
              <w:rPr>
                <w:bCs/>
                <w:iCs/>
                <w:lang w:val="en-GB"/>
              </w:rPr>
              <w:t>(</w:t>
            </w:r>
            <w:r w:rsidRPr="00342F7C">
              <w:rPr>
                <w:lang w:val="en-GB"/>
              </w:rPr>
              <w:t xml:space="preserve">Lopinavir/ritonavir </w:t>
            </w:r>
            <w:r w:rsidRPr="00342F7C">
              <w:rPr>
                <w:bCs/>
                <w:iCs/>
                <w:lang w:val="en-GB"/>
              </w:rPr>
              <w:t>533/133 mg BID)</w:t>
            </w:r>
          </w:p>
          <w:p w14:paraId="4910A452" w14:textId="77777777" w:rsidR="006B3F1F" w:rsidRPr="00342F7C" w:rsidRDefault="006B3F1F" w:rsidP="008831F2">
            <w:pPr>
              <w:pStyle w:val="EMEANormal"/>
              <w:rPr>
                <w:lang w:val="en-GB"/>
              </w:rPr>
            </w:pPr>
          </w:p>
          <w:p w14:paraId="1E7CB9A7" w14:textId="77777777" w:rsidR="006B3F1F" w:rsidRPr="00342F7C" w:rsidRDefault="006B3F1F" w:rsidP="008831F2">
            <w:pPr>
              <w:pStyle w:val="EMEANormal"/>
              <w:rPr>
                <w:i/>
                <w:iCs/>
                <w:lang w:val="en-GB"/>
              </w:rPr>
            </w:pPr>
          </w:p>
        </w:tc>
        <w:tc>
          <w:tcPr>
            <w:tcW w:w="3240" w:type="dxa"/>
            <w:gridSpan w:val="5"/>
            <w:tcBorders>
              <w:top w:val="single" w:sz="4" w:space="0" w:color="auto"/>
              <w:left w:val="single" w:sz="4" w:space="0" w:color="auto"/>
              <w:bottom w:val="single" w:sz="4" w:space="0" w:color="auto"/>
              <w:right w:val="single" w:sz="4" w:space="0" w:color="auto"/>
            </w:tcBorders>
          </w:tcPr>
          <w:p w14:paraId="31EB09AB" w14:textId="77777777" w:rsidR="006B3F1F" w:rsidRPr="00342F7C" w:rsidRDefault="006B3F1F" w:rsidP="008831F2">
            <w:pPr>
              <w:pStyle w:val="EMEANormal"/>
              <w:rPr>
                <w:lang w:val="en-GB"/>
              </w:rPr>
            </w:pPr>
            <w:r w:rsidRPr="00342F7C">
              <w:rPr>
                <w:lang w:val="en-GB"/>
              </w:rPr>
              <w:t>Fosamprenavir:</w:t>
            </w:r>
          </w:p>
          <w:p w14:paraId="20DEC256" w14:textId="77777777" w:rsidR="006B3F1F" w:rsidRPr="00342F7C" w:rsidRDefault="006B3F1F" w:rsidP="008831F2">
            <w:pPr>
              <w:pStyle w:val="EMEANormal"/>
              <w:rPr>
                <w:lang w:val="en-GB"/>
              </w:rPr>
            </w:pPr>
            <w:r w:rsidRPr="00342F7C">
              <w:rPr>
                <w:lang w:val="en-GB"/>
              </w:rPr>
              <w:t xml:space="preserve">Amprenavir concentrations are significantly reduced. </w:t>
            </w:r>
          </w:p>
          <w:p w14:paraId="1CD20F39" w14:textId="77777777" w:rsidR="006B3F1F" w:rsidRPr="00342F7C" w:rsidRDefault="006B3F1F" w:rsidP="008831F2">
            <w:pPr>
              <w:pStyle w:val="EMEANormal"/>
              <w:rPr>
                <w:lang w:val="en-GB"/>
              </w:rPr>
            </w:pPr>
          </w:p>
          <w:p w14:paraId="419EB71A" w14:textId="77777777" w:rsidR="006B3F1F" w:rsidRPr="00342F7C" w:rsidRDefault="006B3F1F" w:rsidP="008831F2">
            <w:pPr>
              <w:pStyle w:val="EMEANormal"/>
              <w:rPr>
                <w:lang w:val="en-GB"/>
              </w:rPr>
            </w:pPr>
          </w:p>
          <w:p w14:paraId="00E33F89" w14:textId="77777777" w:rsidR="006B3F1F" w:rsidRPr="00342F7C" w:rsidRDefault="006B3F1F" w:rsidP="008831F2">
            <w:pPr>
              <w:pStyle w:val="EMEANormal"/>
              <w:jc w:val="right"/>
              <w:rPr>
                <w:lang w:val="en-GB"/>
              </w:rPr>
            </w:pPr>
          </w:p>
        </w:tc>
        <w:tc>
          <w:tcPr>
            <w:tcW w:w="3291" w:type="dxa"/>
            <w:gridSpan w:val="5"/>
            <w:tcBorders>
              <w:top w:val="single" w:sz="4" w:space="0" w:color="auto"/>
              <w:left w:val="single" w:sz="4" w:space="0" w:color="auto"/>
              <w:bottom w:val="single" w:sz="4" w:space="0" w:color="auto"/>
              <w:right w:val="single" w:sz="4" w:space="0" w:color="auto"/>
            </w:tcBorders>
          </w:tcPr>
          <w:p w14:paraId="29090B24" w14:textId="77777777" w:rsidR="006B3F1F" w:rsidRPr="00342F7C" w:rsidRDefault="006B3F1F" w:rsidP="0011253A">
            <w:pPr>
              <w:pStyle w:val="EMEANormal"/>
              <w:rPr>
                <w:lang w:val="en-GB"/>
              </w:rPr>
            </w:pPr>
            <w:r w:rsidRPr="00342F7C">
              <w:rPr>
                <w:lang w:val="en-GB"/>
              </w:rPr>
              <w:t xml:space="preserve">Co-administration of increased doses of fosamprenavir (1400 mg BID) with </w:t>
            </w:r>
            <w:r w:rsidR="0011253A">
              <w:rPr>
                <w:lang w:val="en-GB"/>
              </w:rPr>
              <w:t>Kaletra</w:t>
            </w:r>
            <w:r w:rsidRPr="00342F7C">
              <w:rPr>
                <w:lang w:val="en-GB"/>
              </w:rPr>
              <w:t xml:space="preserve"> (533/133 mg BID) to protease inhibitor</w:t>
            </w:r>
            <w:r w:rsidRPr="00342F7C">
              <w:rPr>
                <w:lang w:val="en-GB"/>
              </w:rPr>
              <w:noBreakHyphen/>
              <w:t>experienced patients resulted in a higher incidence of gastrointestinal adverse events and elevations in triglycerides with the combination regimen without increases in virological efficacy, when compared with standard doses of fosamprenavir/ritonavir.  Concomitant administration of these medicinal products is not recommended.</w:t>
            </w:r>
          </w:p>
        </w:tc>
      </w:tr>
      <w:tr w:rsidR="006B3F1F" w:rsidRPr="00342F7C" w14:paraId="249C7D54"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3D2F60B9" w14:textId="77777777" w:rsidR="006B3F1F" w:rsidRPr="00342F7C" w:rsidRDefault="006B3F1F" w:rsidP="008831F2">
            <w:pPr>
              <w:pStyle w:val="EMEANormal"/>
              <w:rPr>
                <w:lang w:val="en-GB"/>
              </w:rPr>
            </w:pPr>
            <w:r w:rsidRPr="00342F7C">
              <w:rPr>
                <w:lang w:val="en-GB"/>
              </w:rPr>
              <w:t>Indinavir, 600 mg BID</w:t>
            </w:r>
          </w:p>
          <w:p w14:paraId="5D9E633C" w14:textId="77777777" w:rsidR="006B3F1F" w:rsidRPr="00342F7C" w:rsidRDefault="006B3F1F" w:rsidP="008831F2">
            <w:pPr>
              <w:pStyle w:val="EMEANormal"/>
              <w:rPr>
                <w:lang w:val="en-GB"/>
              </w:rPr>
            </w:pPr>
          </w:p>
          <w:p w14:paraId="2051E052" w14:textId="77777777" w:rsidR="006B3F1F" w:rsidRPr="00342F7C" w:rsidRDefault="006B3F1F" w:rsidP="008831F2">
            <w:pPr>
              <w:pStyle w:val="EMEANormal"/>
              <w:rPr>
                <w:lang w:val="en-GB"/>
              </w:rPr>
            </w:pPr>
          </w:p>
        </w:tc>
        <w:tc>
          <w:tcPr>
            <w:tcW w:w="3240" w:type="dxa"/>
            <w:gridSpan w:val="5"/>
            <w:tcBorders>
              <w:top w:val="single" w:sz="4" w:space="0" w:color="auto"/>
              <w:left w:val="single" w:sz="4" w:space="0" w:color="auto"/>
              <w:bottom w:val="single" w:sz="4" w:space="0" w:color="auto"/>
              <w:right w:val="single" w:sz="4" w:space="0" w:color="auto"/>
            </w:tcBorders>
          </w:tcPr>
          <w:p w14:paraId="0017765F" w14:textId="77777777" w:rsidR="006B3F1F" w:rsidRPr="00342F7C" w:rsidRDefault="006B3F1F" w:rsidP="008831F2">
            <w:pPr>
              <w:pStyle w:val="EMEANormal"/>
              <w:rPr>
                <w:lang w:val="en-GB"/>
              </w:rPr>
            </w:pPr>
            <w:r w:rsidRPr="00342F7C">
              <w:rPr>
                <w:lang w:val="en-GB"/>
              </w:rPr>
              <w:t xml:space="preserve">Indinavir: </w:t>
            </w:r>
          </w:p>
          <w:p w14:paraId="1F24C00E" w14:textId="77777777" w:rsidR="006B3F1F" w:rsidRPr="00342F7C" w:rsidRDefault="006B3F1F" w:rsidP="008831F2">
            <w:pPr>
              <w:pStyle w:val="EMEANormal"/>
              <w:rPr>
                <w:lang w:val="en-GB"/>
              </w:rPr>
            </w:pPr>
            <w:r w:rsidRPr="00342F7C">
              <w:rPr>
                <w:lang w:val="en-GB"/>
              </w:rPr>
              <w:t>AUC: ↔</w:t>
            </w:r>
          </w:p>
          <w:p w14:paraId="5FE88CA3" w14:textId="77777777" w:rsidR="006B3F1F" w:rsidRPr="00342F7C" w:rsidRDefault="006B3F1F" w:rsidP="008831F2">
            <w:pPr>
              <w:pStyle w:val="EMEANormal"/>
              <w:rPr>
                <w:lang w:val="en-GB"/>
              </w:rPr>
            </w:pPr>
            <w:r w:rsidRPr="00342F7C">
              <w:rPr>
                <w:lang w:val="en-GB"/>
              </w:rPr>
              <w:t>C</w:t>
            </w:r>
            <w:r w:rsidRPr="00342F7C">
              <w:rPr>
                <w:vertAlign w:val="subscript"/>
                <w:lang w:val="en-GB"/>
              </w:rPr>
              <w:t>min</w:t>
            </w:r>
            <w:r w:rsidRPr="00342F7C">
              <w:rPr>
                <w:lang w:val="en-GB"/>
              </w:rPr>
              <w:t>: ↑ 3.5-fold</w:t>
            </w:r>
          </w:p>
          <w:p w14:paraId="77682F7D" w14:textId="77777777" w:rsidR="006B3F1F" w:rsidRPr="00342F7C" w:rsidRDefault="006B3F1F" w:rsidP="008831F2">
            <w:pPr>
              <w:pStyle w:val="EMEANormal"/>
              <w:rPr>
                <w:lang w:val="en-GB"/>
              </w:rPr>
            </w:pPr>
            <w:r w:rsidRPr="00342F7C">
              <w:rPr>
                <w:lang w:val="en-GB"/>
              </w:rPr>
              <w:t>C</w:t>
            </w:r>
            <w:r w:rsidRPr="00342F7C">
              <w:rPr>
                <w:vertAlign w:val="subscript"/>
                <w:lang w:val="en-GB"/>
              </w:rPr>
              <w:t>max</w:t>
            </w:r>
            <w:r w:rsidRPr="00342F7C">
              <w:rPr>
                <w:lang w:val="en-GB"/>
              </w:rPr>
              <w:t>: ↓</w:t>
            </w:r>
          </w:p>
          <w:p w14:paraId="72F2CC49" w14:textId="77777777" w:rsidR="006B3F1F" w:rsidRPr="00342F7C" w:rsidRDefault="006B3F1F" w:rsidP="008831F2">
            <w:pPr>
              <w:pStyle w:val="EMEANormal"/>
              <w:rPr>
                <w:lang w:val="en-GB"/>
              </w:rPr>
            </w:pPr>
            <w:r w:rsidRPr="00342F7C">
              <w:rPr>
                <w:lang w:val="en-GB"/>
              </w:rPr>
              <w:t>(relative to indinavir 800 mg TID alone)</w:t>
            </w:r>
          </w:p>
          <w:p w14:paraId="679412B7" w14:textId="77777777" w:rsidR="006B3F1F" w:rsidRPr="00342F7C" w:rsidRDefault="006B3F1F" w:rsidP="008831F2">
            <w:pPr>
              <w:pStyle w:val="EMEANormal"/>
              <w:rPr>
                <w:szCs w:val="22"/>
                <w:lang w:val="en-GB"/>
              </w:rPr>
            </w:pPr>
            <w:r w:rsidRPr="00342F7C">
              <w:rPr>
                <w:lang w:val="en-GB"/>
              </w:rPr>
              <w:t xml:space="preserve">Lopinavir: </w:t>
            </w:r>
            <w:r w:rsidRPr="00342F7C">
              <w:rPr>
                <w:szCs w:val="22"/>
                <w:lang w:val="en-GB"/>
              </w:rPr>
              <w:t>↔</w:t>
            </w:r>
          </w:p>
          <w:p w14:paraId="369EDC9C" w14:textId="77777777" w:rsidR="006B3F1F" w:rsidRPr="00342F7C" w:rsidRDefault="006B3F1F" w:rsidP="008831F2">
            <w:pPr>
              <w:pStyle w:val="EMEANormal"/>
              <w:rPr>
                <w:lang w:val="en-GB"/>
              </w:rPr>
            </w:pPr>
            <w:r w:rsidRPr="00342F7C">
              <w:rPr>
                <w:szCs w:val="22"/>
                <w:lang w:val="en-GB"/>
              </w:rPr>
              <w:t>(relative to historical comparison)</w:t>
            </w:r>
          </w:p>
        </w:tc>
        <w:tc>
          <w:tcPr>
            <w:tcW w:w="3291" w:type="dxa"/>
            <w:gridSpan w:val="5"/>
            <w:tcBorders>
              <w:top w:val="single" w:sz="4" w:space="0" w:color="auto"/>
              <w:left w:val="single" w:sz="4" w:space="0" w:color="auto"/>
              <w:bottom w:val="single" w:sz="4" w:space="0" w:color="auto"/>
              <w:right w:val="single" w:sz="4" w:space="0" w:color="auto"/>
            </w:tcBorders>
          </w:tcPr>
          <w:p w14:paraId="07821641" w14:textId="77777777" w:rsidR="006B3F1F" w:rsidRPr="00342F7C" w:rsidRDefault="006B3F1F" w:rsidP="008831F2">
            <w:pPr>
              <w:pStyle w:val="EMEANormal"/>
              <w:rPr>
                <w:lang w:val="en-GB"/>
              </w:rPr>
            </w:pPr>
            <w:r w:rsidRPr="00342F7C">
              <w:rPr>
                <w:lang w:val="en-GB"/>
              </w:rPr>
              <w:t>The appropriate doses for this combination, with respect to efficacy and safety, have not been established.</w:t>
            </w:r>
          </w:p>
        </w:tc>
      </w:tr>
      <w:tr w:rsidR="006B3F1F" w:rsidRPr="00342F7C" w14:paraId="384B5986"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2280BE75" w14:textId="77777777" w:rsidR="006B3F1F" w:rsidRPr="00342F7C" w:rsidRDefault="006B3F1F" w:rsidP="00DE6AE4">
            <w:pPr>
              <w:pStyle w:val="NormalWeb"/>
              <w:spacing w:before="0" w:beforeAutospacing="0" w:after="0" w:afterAutospacing="0"/>
              <w:rPr>
                <w:rFonts w:ascii="Times New Roman" w:hAnsi="Times New Roman" w:cs="Times New Roman" w:hint="default"/>
                <w:sz w:val="22"/>
                <w:szCs w:val="20"/>
                <w:lang w:val="en-GB"/>
              </w:rPr>
            </w:pPr>
            <w:r w:rsidRPr="00342F7C">
              <w:rPr>
                <w:rFonts w:ascii="Times New Roman" w:hAnsi="Times New Roman" w:cs="Times New Roman" w:hint="default"/>
                <w:sz w:val="22"/>
                <w:szCs w:val="20"/>
                <w:lang w:val="en-GB"/>
              </w:rPr>
              <w:t xml:space="preserve">Saquinavir </w:t>
            </w:r>
          </w:p>
          <w:p w14:paraId="40175829" w14:textId="77777777" w:rsidR="006B3F1F" w:rsidRPr="00342F7C" w:rsidRDefault="006B3F1F" w:rsidP="00DE6AE4">
            <w:pPr>
              <w:pStyle w:val="NormalWeb"/>
              <w:spacing w:before="0" w:beforeAutospacing="0" w:after="0" w:afterAutospacing="0"/>
              <w:rPr>
                <w:rFonts w:ascii="Times New Roman" w:hAnsi="Times New Roman" w:cs="Times New Roman" w:hint="default"/>
                <w:sz w:val="22"/>
                <w:lang w:val="en-GB"/>
              </w:rPr>
            </w:pPr>
            <w:r w:rsidRPr="00342F7C">
              <w:rPr>
                <w:rFonts w:ascii="Times New Roman" w:hAnsi="Times New Roman" w:cs="Times New Roman" w:hint="default"/>
                <w:sz w:val="22"/>
                <w:szCs w:val="20"/>
                <w:lang w:val="en-GB"/>
              </w:rPr>
              <w:t>1000 mg BID</w:t>
            </w:r>
          </w:p>
        </w:tc>
        <w:tc>
          <w:tcPr>
            <w:tcW w:w="3240" w:type="dxa"/>
            <w:gridSpan w:val="5"/>
            <w:tcBorders>
              <w:top w:val="single" w:sz="4" w:space="0" w:color="auto"/>
              <w:left w:val="single" w:sz="4" w:space="0" w:color="auto"/>
              <w:bottom w:val="single" w:sz="4" w:space="0" w:color="auto"/>
              <w:right w:val="single" w:sz="4" w:space="0" w:color="auto"/>
            </w:tcBorders>
          </w:tcPr>
          <w:p w14:paraId="5A9DE593" w14:textId="77777777" w:rsidR="006B3F1F" w:rsidRPr="00342F7C" w:rsidRDefault="006B3F1F" w:rsidP="008831F2">
            <w:pPr>
              <w:pStyle w:val="EMEANormal"/>
              <w:rPr>
                <w:lang w:val="en-GB"/>
              </w:rPr>
            </w:pPr>
            <w:r w:rsidRPr="00342F7C">
              <w:rPr>
                <w:szCs w:val="22"/>
                <w:lang w:val="en-GB"/>
              </w:rPr>
              <w:t xml:space="preserve">Saquinavir:  </w:t>
            </w:r>
            <w:r w:rsidRPr="00342F7C">
              <w:rPr>
                <w:lang w:val="en-GB"/>
              </w:rPr>
              <w:t xml:space="preserve">↔ </w:t>
            </w:r>
          </w:p>
        </w:tc>
        <w:tc>
          <w:tcPr>
            <w:tcW w:w="3291" w:type="dxa"/>
            <w:gridSpan w:val="5"/>
            <w:tcBorders>
              <w:top w:val="single" w:sz="4" w:space="0" w:color="auto"/>
              <w:left w:val="single" w:sz="4" w:space="0" w:color="auto"/>
              <w:bottom w:val="single" w:sz="4" w:space="0" w:color="auto"/>
              <w:right w:val="single" w:sz="4" w:space="0" w:color="auto"/>
            </w:tcBorders>
          </w:tcPr>
          <w:p w14:paraId="767D1995" w14:textId="77777777" w:rsidR="006B3F1F" w:rsidRPr="00342F7C" w:rsidRDefault="006B3F1F" w:rsidP="008831F2">
            <w:pPr>
              <w:pStyle w:val="NormalWeb"/>
              <w:rPr>
                <w:rFonts w:ascii="Times New Roman" w:hAnsi="Times New Roman" w:cs="Times New Roman" w:hint="default"/>
                <w:sz w:val="22"/>
                <w:lang w:val="en-GB"/>
              </w:rPr>
            </w:pPr>
            <w:r w:rsidRPr="00342F7C">
              <w:rPr>
                <w:rFonts w:ascii="Times New Roman" w:hAnsi="Times New Roman" w:cs="Times New Roman" w:hint="default"/>
                <w:sz w:val="22"/>
                <w:lang w:val="en-GB"/>
              </w:rPr>
              <w:t>No dose adjustment necessary.</w:t>
            </w:r>
          </w:p>
        </w:tc>
      </w:tr>
      <w:tr w:rsidR="003B5E4E" w:rsidRPr="00342F7C" w14:paraId="4B53539D"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3DB62ED7" w14:textId="77777777" w:rsidR="003B5E4E" w:rsidRPr="00342F7C" w:rsidRDefault="003B5E4E" w:rsidP="0011493C">
            <w:pPr>
              <w:pStyle w:val="NormalWeb"/>
              <w:spacing w:before="0" w:beforeAutospacing="0" w:after="0" w:afterAutospacing="0"/>
              <w:rPr>
                <w:rFonts w:ascii="Times New Roman" w:hAnsi="Times New Roman" w:cs="Times New Roman" w:hint="default"/>
                <w:sz w:val="22"/>
                <w:szCs w:val="20"/>
                <w:lang w:val="en-GB"/>
              </w:rPr>
            </w:pPr>
            <w:r w:rsidRPr="00342F7C">
              <w:rPr>
                <w:rFonts w:ascii="Times New Roman" w:hAnsi="Times New Roman" w:cs="Times New Roman" w:hint="default"/>
                <w:sz w:val="22"/>
                <w:szCs w:val="20"/>
                <w:lang w:val="en-GB"/>
              </w:rPr>
              <w:t>Tipranavir/ritonavir</w:t>
            </w:r>
          </w:p>
          <w:p w14:paraId="112FBAAF" w14:textId="77777777" w:rsidR="003B5E4E" w:rsidRPr="00342F7C" w:rsidRDefault="003B5E4E" w:rsidP="0011493C">
            <w:pPr>
              <w:pStyle w:val="NormalWeb"/>
              <w:spacing w:before="0" w:beforeAutospacing="0" w:after="0" w:afterAutospacing="0"/>
              <w:rPr>
                <w:rFonts w:ascii="Times New Roman" w:hAnsi="Times New Roman" w:cs="Times New Roman" w:hint="default"/>
                <w:sz w:val="22"/>
                <w:szCs w:val="20"/>
                <w:lang w:val="en-GB"/>
              </w:rPr>
            </w:pPr>
            <w:r w:rsidRPr="00342F7C">
              <w:rPr>
                <w:rFonts w:ascii="Times New Roman" w:hAnsi="Times New Roman" w:cs="Times New Roman" w:hint="default"/>
                <w:sz w:val="22"/>
                <w:szCs w:val="20"/>
                <w:lang w:val="en-GB"/>
              </w:rPr>
              <w:t>(500/100 mg BID)</w:t>
            </w:r>
          </w:p>
        </w:tc>
        <w:tc>
          <w:tcPr>
            <w:tcW w:w="3240" w:type="dxa"/>
            <w:gridSpan w:val="5"/>
            <w:tcBorders>
              <w:top w:val="single" w:sz="4" w:space="0" w:color="auto"/>
              <w:left w:val="single" w:sz="4" w:space="0" w:color="auto"/>
              <w:bottom w:val="single" w:sz="4" w:space="0" w:color="auto"/>
              <w:right w:val="single" w:sz="4" w:space="0" w:color="auto"/>
            </w:tcBorders>
          </w:tcPr>
          <w:p w14:paraId="6F199779" w14:textId="77777777" w:rsidR="003B5E4E" w:rsidRPr="00342F7C" w:rsidRDefault="003B5E4E" w:rsidP="0011493C">
            <w:pPr>
              <w:pStyle w:val="EMEANormal"/>
              <w:rPr>
                <w:szCs w:val="22"/>
                <w:lang w:val="en-GB"/>
              </w:rPr>
            </w:pPr>
            <w:r w:rsidRPr="00342F7C">
              <w:rPr>
                <w:szCs w:val="22"/>
                <w:lang w:val="en-GB"/>
              </w:rPr>
              <w:t>Lopinavir:</w:t>
            </w:r>
          </w:p>
          <w:p w14:paraId="43D4FD3C" w14:textId="77777777" w:rsidR="003B5E4E" w:rsidRPr="00342F7C" w:rsidRDefault="003B5E4E" w:rsidP="0011493C">
            <w:pPr>
              <w:pStyle w:val="EMEANormal"/>
              <w:rPr>
                <w:lang w:val="en-GB"/>
              </w:rPr>
            </w:pPr>
            <w:r w:rsidRPr="00342F7C">
              <w:rPr>
                <w:lang w:val="en-GB"/>
              </w:rPr>
              <w:t>AUC: ↓ 55%</w:t>
            </w:r>
          </w:p>
          <w:p w14:paraId="5D03BF70" w14:textId="77777777" w:rsidR="003B5E4E" w:rsidRPr="00342F7C" w:rsidRDefault="003B5E4E" w:rsidP="0011493C">
            <w:pPr>
              <w:pStyle w:val="EMEANormal"/>
              <w:rPr>
                <w:lang w:val="en-GB"/>
              </w:rPr>
            </w:pPr>
            <w:r w:rsidRPr="00342F7C">
              <w:rPr>
                <w:lang w:val="en-GB"/>
              </w:rPr>
              <w:t>C</w:t>
            </w:r>
            <w:r w:rsidRPr="00342F7C">
              <w:rPr>
                <w:vertAlign w:val="subscript"/>
                <w:lang w:val="en-GB"/>
              </w:rPr>
              <w:t>min</w:t>
            </w:r>
            <w:r w:rsidRPr="00342F7C">
              <w:rPr>
                <w:lang w:val="en-GB"/>
              </w:rPr>
              <w:t>: ↓ 7</w:t>
            </w:r>
            <w:r>
              <w:rPr>
                <w:lang w:val="en-GB"/>
              </w:rPr>
              <w:t>0</w:t>
            </w:r>
            <w:r w:rsidRPr="00342F7C">
              <w:rPr>
                <w:lang w:val="en-GB"/>
              </w:rPr>
              <w:t>%</w:t>
            </w:r>
          </w:p>
          <w:p w14:paraId="73D400F4" w14:textId="77777777" w:rsidR="003B5E4E" w:rsidRPr="00342F7C" w:rsidRDefault="003B5E4E" w:rsidP="0011493C">
            <w:pPr>
              <w:pStyle w:val="EMEANormal"/>
              <w:rPr>
                <w:szCs w:val="22"/>
                <w:lang w:val="en-GB"/>
              </w:rPr>
            </w:pPr>
            <w:r w:rsidRPr="00342F7C">
              <w:rPr>
                <w:lang w:val="en-GB"/>
              </w:rPr>
              <w:t>C</w:t>
            </w:r>
            <w:r w:rsidRPr="00342F7C">
              <w:rPr>
                <w:vertAlign w:val="subscript"/>
                <w:lang w:val="en-GB"/>
              </w:rPr>
              <w:t>max</w:t>
            </w:r>
            <w:r w:rsidRPr="00342F7C">
              <w:rPr>
                <w:lang w:val="en-GB"/>
              </w:rPr>
              <w:t xml:space="preserve">: ↓ </w:t>
            </w:r>
            <w:r>
              <w:rPr>
                <w:lang w:val="en-GB"/>
              </w:rPr>
              <w:t>4</w:t>
            </w:r>
            <w:r w:rsidRPr="00342F7C">
              <w:rPr>
                <w:lang w:val="en-GB"/>
              </w:rPr>
              <w:t>7%</w:t>
            </w:r>
          </w:p>
        </w:tc>
        <w:tc>
          <w:tcPr>
            <w:tcW w:w="3291" w:type="dxa"/>
            <w:gridSpan w:val="5"/>
            <w:tcBorders>
              <w:top w:val="single" w:sz="4" w:space="0" w:color="auto"/>
              <w:left w:val="single" w:sz="4" w:space="0" w:color="auto"/>
              <w:bottom w:val="single" w:sz="4" w:space="0" w:color="auto"/>
              <w:right w:val="single" w:sz="4" w:space="0" w:color="auto"/>
            </w:tcBorders>
          </w:tcPr>
          <w:p w14:paraId="2735859B" w14:textId="77777777" w:rsidR="003B5E4E" w:rsidRPr="00342F7C" w:rsidRDefault="003B5E4E" w:rsidP="0011493C">
            <w:pPr>
              <w:pStyle w:val="NormalWeb"/>
              <w:rPr>
                <w:rFonts w:ascii="Times New Roman" w:hAnsi="Times New Roman" w:cs="Times New Roman" w:hint="default"/>
                <w:sz w:val="22"/>
                <w:lang w:val="en-GB"/>
              </w:rPr>
            </w:pPr>
            <w:r w:rsidRPr="00342F7C">
              <w:rPr>
                <w:rFonts w:ascii="Times New Roman" w:hAnsi="Times New Roman" w:cs="Times New Roman" w:hint="default"/>
                <w:sz w:val="22"/>
                <w:lang w:val="en-GB"/>
              </w:rPr>
              <w:t>Concomitant administration of these medicinal products is not recommended.</w:t>
            </w:r>
          </w:p>
        </w:tc>
      </w:tr>
      <w:tr w:rsidR="003B5E4E" w:rsidRPr="00342F7C" w14:paraId="74F93B4B" w14:textId="77777777" w:rsidTr="008F531F">
        <w:trPr>
          <w:gridAfter w:val="1"/>
          <w:wAfter w:w="36" w:type="dxa"/>
        </w:trPr>
        <w:tc>
          <w:tcPr>
            <w:tcW w:w="9178" w:type="dxa"/>
            <w:gridSpan w:val="11"/>
            <w:tcBorders>
              <w:top w:val="single" w:sz="4" w:space="0" w:color="auto"/>
              <w:left w:val="single" w:sz="4" w:space="0" w:color="auto"/>
              <w:bottom w:val="single" w:sz="4" w:space="0" w:color="auto"/>
              <w:right w:val="single" w:sz="4" w:space="0" w:color="auto"/>
            </w:tcBorders>
          </w:tcPr>
          <w:p w14:paraId="56BB92BD" w14:textId="77777777" w:rsidR="003B5E4E" w:rsidRPr="00342F7C" w:rsidRDefault="003B5E4E" w:rsidP="008831F2">
            <w:pPr>
              <w:pStyle w:val="EMEANormal"/>
              <w:rPr>
                <w:i/>
                <w:iCs/>
                <w:lang w:val="en-GB"/>
              </w:rPr>
            </w:pPr>
            <w:r w:rsidRPr="00342F7C">
              <w:rPr>
                <w:i/>
                <w:iCs/>
                <w:lang w:val="en-GB"/>
              </w:rPr>
              <w:t>Acid reducing agents</w:t>
            </w:r>
          </w:p>
        </w:tc>
      </w:tr>
      <w:tr w:rsidR="003B5E4E" w:rsidRPr="00342F7C" w14:paraId="6EEAE6CB"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186495E6" w14:textId="77777777" w:rsidR="003B5E4E" w:rsidRPr="00342F7C" w:rsidRDefault="003B5E4E" w:rsidP="008831F2">
            <w:pPr>
              <w:pStyle w:val="EMEANormal"/>
              <w:rPr>
                <w:lang w:val="en-GB"/>
              </w:rPr>
            </w:pPr>
            <w:r w:rsidRPr="00342F7C">
              <w:rPr>
                <w:lang w:val="en-GB"/>
              </w:rPr>
              <w:t xml:space="preserve">Omeprazole (40 mg QD) </w:t>
            </w:r>
          </w:p>
          <w:p w14:paraId="65D75086" w14:textId="77777777" w:rsidR="003B5E4E" w:rsidRPr="00342F7C" w:rsidRDefault="003B5E4E" w:rsidP="008831F2">
            <w:pPr>
              <w:pStyle w:val="EMEANormal"/>
              <w:rPr>
                <w:lang w:val="en-GB"/>
              </w:rPr>
            </w:pPr>
            <w:r w:rsidRPr="00342F7C">
              <w:rPr>
                <w:lang w:val="en-GB"/>
              </w:rPr>
              <w:t xml:space="preserve"> </w:t>
            </w:r>
          </w:p>
        </w:tc>
        <w:tc>
          <w:tcPr>
            <w:tcW w:w="3240" w:type="dxa"/>
            <w:gridSpan w:val="5"/>
            <w:tcBorders>
              <w:top w:val="single" w:sz="4" w:space="0" w:color="auto"/>
              <w:left w:val="single" w:sz="4" w:space="0" w:color="auto"/>
              <w:bottom w:val="single" w:sz="4" w:space="0" w:color="auto"/>
              <w:right w:val="single" w:sz="4" w:space="0" w:color="auto"/>
            </w:tcBorders>
          </w:tcPr>
          <w:p w14:paraId="103918D2" w14:textId="77777777" w:rsidR="003B5E4E" w:rsidRPr="00342F7C" w:rsidRDefault="003B5E4E" w:rsidP="008831F2">
            <w:pPr>
              <w:pStyle w:val="EMEANormal"/>
              <w:rPr>
                <w:lang w:val="en-GB"/>
              </w:rPr>
            </w:pPr>
            <w:r w:rsidRPr="00342F7C">
              <w:rPr>
                <w:lang w:val="en-GB"/>
              </w:rPr>
              <w:t xml:space="preserve">Omeprazole: </w:t>
            </w:r>
            <w:r w:rsidRPr="00342F7C">
              <w:rPr>
                <w:szCs w:val="22"/>
                <w:lang w:val="en-GB"/>
              </w:rPr>
              <w:t>↔</w:t>
            </w:r>
          </w:p>
          <w:p w14:paraId="7979F897" w14:textId="77777777" w:rsidR="003B5E4E" w:rsidRPr="00342F7C" w:rsidRDefault="003B5E4E" w:rsidP="008831F2">
            <w:pPr>
              <w:pStyle w:val="EMEANormal"/>
              <w:rPr>
                <w:lang w:val="en-GB"/>
              </w:rPr>
            </w:pPr>
          </w:p>
          <w:p w14:paraId="5742C3EC" w14:textId="77777777" w:rsidR="003B5E4E" w:rsidRPr="00342F7C" w:rsidRDefault="003B5E4E" w:rsidP="008831F2">
            <w:pPr>
              <w:pStyle w:val="EMEANormal"/>
              <w:rPr>
                <w:lang w:val="en-GB"/>
              </w:rPr>
            </w:pPr>
            <w:r w:rsidRPr="00342F7C">
              <w:rPr>
                <w:lang w:val="en-GB"/>
              </w:rPr>
              <w:t xml:space="preserve">Lopinavir: </w:t>
            </w:r>
            <w:r w:rsidRPr="00342F7C">
              <w:rPr>
                <w:szCs w:val="22"/>
                <w:lang w:val="en-GB"/>
              </w:rPr>
              <w:t>↔</w:t>
            </w:r>
          </w:p>
        </w:tc>
        <w:tc>
          <w:tcPr>
            <w:tcW w:w="3291" w:type="dxa"/>
            <w:gridSpan w:val="5"/>
            <w:tcBorders>
              <w:top w:val="single" w:sz="4" w:space="0" w:color="auto"/>
              <w:left w:val="single" w:sz="4" w:space="0" w:color="auto"/>
              <w:bottom w:val="single" w:sz="4" w:space="0" w:color="auto"/>
              <w:right w:val="single" w:sz="4" w:space="0" w:color="auto"/>
            </w:tcBorders>
          </w:tcPr>
          <w:p w14:paraId="3763135F" w14:textId="77777777" w:rsidR="003B5E4E" w:rsidRPr="00342F7C" w:rsidRDefault="003B5E4E" w:rsidP="008831F2">
            <w:pPr>
              <w:pStyle w:val="EMEANormal"/>
              <w:rPr>
                <w:lang w:val="en-GB"/>
              </w:rPr>
            </w:pPr>
            <w:r w:rsidRPr="00342F7C">
              <w:rPr>
                <w:lang w:val="en-GB"/>
              </w:rPr>
              <w:t xml:space="preserve">No dose adjustment </w:t>
            </w:r>
            <w:r w:rsidRPr="00342F7C">
              <w:rPr>
                <w:bCs/>
                <w:iCs/>
                <w:lang w:val="en-GB"/>
              </w:rPr>
              <w:t>necessary</w:t>
            </w:r>
          </w:p>
        </w:tc>
      </w:tr>
      <w:tr w:rsidR="003B5E4E" w:rsidRPr="00342F7C" w14:paraId="25858B00"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44A4FE4B" w14:textId="77777777" w:rsidR="003B5E4E" w:rsidRPr="00342F7C" w:rsidRDefault="003B5E4E" w:rsidP="008831F2">
            <w:pPr>
              <w:pStyle w:val="EMEANormal"/>
              <w:rPr>
                <w:lang w:val="en-GB"/>
              </w:rPr>
            </w:pPr>
            <w:r w:rsidRPr="00342F7C">
              <w:rPr>
                <w:lang w:val="en-GB"/>
              </w:rPr>
              <w:t>Ranitidine (150 mg single dose)</w:t>
            </w:r>
          </w:p>
        </w:tc>
        <w:tc>
          <w:tcPr>
            <w:tcW w:w="3240" w:type="dxa"/>
            <w:gridSpan w:val="5"/>
            <w:tcBorders>
              <w:top w:val="single" w:sz="4" w:space="0" w:color="auto"/>
              <w:left w:val="single" w:sz="4" w:space="0" w:color="auto"/>
              <w:bottom w:val="single" w:sz="4" w:space="0" w:color="auto"/>
              <w:right w:val="single" w:sz="4" w:space="0" w:color="auto"/>
            </w:tcBorders>
          </w:tcPr>
          <w:p w14:paraId="08BC6987" w14:textId="77777777" w:rsidR="003B5E4E" w:rsidRPr="00342F7C" w:rsidRDefault="003B5E4E" w:rsidP="008831F2">
            <w:pPr>
              <w:pStyle w:val="EMEANormal"/>
              <w:rPr>
                <w:lang w:val="en-GB"/>
              </w:rPr>
            </w:pPr>
            <w:r w:rsidRPr="00342F7C">
              <w:rPr>
                <w:lang w:val="en-GB"/>
              </w:rPr>
              <w:t xml:space="preserve">Ranitidine: </w:t>
            </w:r>
            <w:r w:rsidRPr="00342F7C">
              <w:rPr>
                <w:szCs w:val="22"/>
                <w:lang w:val="en-GB"/>
              </w:rPr>
              <w:t>↔</w:t>
            </w:r>
          </w:p>
        </w:tc>
        <w:tc>
          <w:tcPr>
            <w:tcW w:w="3291" w:type="dxa"/>
            <w:gridSpan w:val="5"/>
            <w:tcBorders>
              <w:top w:val="single" w:sz="4" w:space="0" w:color="auto"/>
              <w:left w:val="single" w:sz="4" w:space="0" w:color="auto"/>
              <w:bottom w:val="single" w:sz="4" w:space="0" w:color="auto"/>
              <w:right w:val="single" w:sz="4" w:space="0" w:color="auto"/>
            </w:tcBorders>
          </w:tcPr>
          <w:p w14:paraId="3F291132" w14:textId="77777777" w:rsidR="003B5E4E" w:rsidRPr="00342F7C" w:rsidRDefault="003B5E4E" w:rsidP="008831F2">
            <w:pPr>
              <w:pStyle w:val="EMEANormal"/>
              <w:rPr>
                <w:bCs/>
                <w:iCs/>
                <w:lang w:val="en-GB"/>
              </w:rPr>
            </w:pPr>
            <w:r w:rsidRPr="00342F7C">
              <w:rPr>
                <w:lang w:val="en-GB"/>
              </w:rPr>
              <w:t>No dose adjustment necessary</w:t>
            </w:r>
          </w:p>
        </w:tc>
      </w:tr>
      <w:tr w:rsidR="003B5E4E" w:rsidRPr="00342F7C" w14:paraId="159BCEEA" w14:textId="77777777" w:rsidTr="008F531F">
        <w:trPr>
          <w:gridAfter w:val="1"/>
          <w:wAfter w:w="36" w:type="dxa"/>
        </w:trPr>
        <w:tc>
          <w:tcPr>
            <w:tcW w:w="9178" w:type="dxa"/>
            <w:gridSpan w:val="11"/>
            <w:tcBorders>
              <w:top w:val="single" w:sz="4" w:space="0" w:color="auto"/>
              <w:left w:val="single" w:sz="4" w:space="0" w:color="auto"/>
              <w:bottom w:val="single" w:sz="4" w:space="0" w:color="auto"/>
              <w:right w:val="single" w:sz="4" w:space="0" w:color="auto"/>
            </w:tcBorders>
          </w:tcPr>
          <w:p w14:paraId="0F323EB1" w14:textId="77777777" w:rsidR="003B5E4E" w:rsidRPr="00342F7C" w:rsidRDefault="003B5E4E" w:rsidP="002A75DB">
            <w:pPr>
              <w:pStyle w:val="EMEANormal"/>
              <w:keepNext/>
              <w:rPr>
                <w:lang w:val="en-GB"/>
              </w:rPr>
            </w:pPr>
            <w:r>
              <w:rPr>
                <w:i/>
                <w:iCs/>
                <w:lang w:val="en-GB"/>
              </w:rPr>
              <w:t>Alpha</w:t>
            </w:r>
            <w:r w:rsidRPr="00DA5877">
              <w:rPr>
                <w:i/>
                <w:iCs/>
                <w:sz w:val="24"/>
                <w:vertAlign w:val="subscript"/>
                <w:lang w:val="en-GB"/>
              </w:rPr>
              <w:t>1</w:t>
            </w:r>
            <w:r>
              <w:rPr>
                <w:i/>
                <w:iCs/>
                <w:lang w:val="en-GB"/>
              </w:rPr>
              <w:t xml:space="preserve"> adrenoreceptor antagonist</w:t>
            </w:r>
          </w:p>
        </w:tc>
      </w:tr>
      <w:tr w:rsidR="003B5E4E" w:rsidRPr="00342F7C" w14:paraId="40556F69"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155DACD8" w14:textId="77777777" w:rsidR="003B5E4E" w:rsidRPr="00342F7C" w:rsidRDefault="003B5E4E" w:rsidP="002A75DB">
            <w:pPr>
              <w:pStyle w:val="EMEANormal"/>
              <w:keepNext/>
              <w:rPr>
                <w:lang w:val="en-GB"/>
              </w:rPr>
            </w:pPr>
            <w:r>
              <w:rPr>
                <w:lang w:val="en-GB"/>
              </w:rPr>
              <w:t xml:space="preserve">Alfuzosin </w:t>
            </w:r>
          </w:p>
        </w:tc>
        <w:tc>
          <w:tcPr>
            <w:tcW w:w="3240" w:type="dxa"/>
            <w:gridSpan w:val="5"/>
            <w:tcBorders>
              <w:top w:val="single" w:sz="4" w:space="0" w:color="auto"/>
              <w:left w:val="single" w:sz="4" w:space="0" w:color="auto"/>
              <w:bottom w:val="single" w:sz="4" w:space="0" w:color="auto"/>
              <w:right w:val="single" w:sz="4" w:space="0" w:color="auto"/>
            </w:tcBorders>
          </w:tcPr>
          <w:p w14:paraId="45BC9909" w14:textId="77777777" w:rsidR="003B5E4E" w:rsidRPr="00A95936" w:rsidRDefault="003B5E4E" w:rsidP="002A75DB">
            <w:pPr>
              <w:pStyle w:val="EMEANormal"/>
              <w:keepNext/>
              <w:rPr>
                <w:lang w:val="en-GB"/>
              </w:rPr>
            </w:pPr>
            <w:r w:rsidRPr="00A95936">
              <w:rPr>
                <w:lang w:val="en-GB"/>
              </w:rPr>
              <w:t>Alfuzosin:</w:t>
            </w:r>
          </w:p>
          <w:p w14:paraId="6F47BB71" w14:textId="77777777" w:rsidR="003B5E4E" w:rsidRPr="00342F7C" w:rsidRDefault="003B5E4E" w:rsidP="002A75DB">
            <w:pPr>
              <w:pStyle w:val="EMEANormal"/>
              <w:keepNext/>
              <w:rPr>
                <w:lang w:val="en-GB"/>
              </w:rPr>
            </w:pPr>
            <w:r>
              <w:t>Due to CYP3A inhibition by lopinavir/ritonavir, concentrations of alfuzosin are expected to increase</w:t>
            </w:r>
            <w:r w:rsidRPr="00A95936">
              <w:t>.</w:t>
            </w:r>
          </w:p>
        </w:tc>
        <w:tc>
          <w:tcPr>
            <w:tcW w:w="3291" w:type="dxa"/>
            <w:gridSpan w:val="5"/>
            <w:tcBorders>
              <w:top w:val="single" w:sz="4" w:space="0" w:color="auto"/>
              <w:left w:val="single" w:sz="4" w:space="0" w:color="auto"/>
              <w:bottom w:val="single" w:sz="4" w:space="0" w:color="auto"/>
              <w:right w:val="single" w:sz="4" w:space="0" w:color="auto"/>
            </w:tcBorders>
          </w:tcPr>
          <w:p w14:paraId="2DEEE1B4" w14:textId="77777777" w:rsidR="003B5E4E" w:rsidRPr="00DA5877" w:rsidRDefault="003B5E4E" w:rsidP="002A75DB">
            <w:pPr>
              <w:pStyle w:val="EMEANormal"/>
              <w:keepNext/>
              <w:rPr>
                <w:szCs w:val="22"/>
              </w:rPr>
            </w:pPr>
            <w:r w:rsidRPr="00A95936">
              <w:rPr>
                <w:szCs w:val="22"/>
              </w:rPr>
              <w:t>Concomitant administration of Kaletra and alfuzosin is contra-indicated</w:t>
            </w:r>
            <w:r w:rsidRPr="00A95936">
              <w:rPr>
                <w:b/>
                <w:bCs/>
                <w:szCs w:val="22"/>
              </w:rPr>
              <w:t xml:space="preserve"> </w:t>
            </w:r>
            <w:r w:rsidRPr="00A95936">
              <w:rPr>
                <w:szCs w:val="22"/>
              </w:rPr>
              <w:t>(see section 4.3)</w:t>
            </w:r>
            <w:r>
              <w:rPr>
                <w:szCs w:val="22"/>
              </w:rPr>
              <w:t xml:space="preserve"> as alfuzosin-related toxicity, including hypotension, may be increased</w:t>
            </w:r>
            <w:r w:rsidRPr="00A95936">
              <w:rPr>
                <w:szCs w:val="22"/>
              </w:rPr>
              <w:t>.</w:t>
            </w:r>
          </w:p>
        </w:tc>
      </w:tr>
      <w:tr w:rsidR="003B5E4E" w:rsidRPr="00342F7C" w14:paraId="1B0A2E17" w14:textId="77777777" w:rsidTr="008F531F">
        <w:trPr>
          <w:gridAfter w:val="1"/>
          <w:wAfter w:w="36" w:type="dxa"/>
        </w:trPr>
        <w:tc>
          <w:tcPr>
            <w:tcW w:w="9178" w:type="dxa"/>
            <w:gridSpan w:val="11"/>
            <w:tcBorders>
              <w:top w:val="single" w:sz="4" w:space="0" w:color="auto"/>
              <w:left w:val="single" w:sz="4" w:space="0" w:color="auto"/>
              <w:bottom w:val="single" w:sz="4" w:space="0" w:color="auto"/>
              <w:right w:val="single" w:sz="4" w:space="0" w:color="auto"/>
            </w:tcBorders>
          </w:tcPr>
          <w:p w14:paraId="289FF1C0" w14:textId="77777777" w:rsidR="003B5E4E" w:rsidRPr="00342F7C" w:rsidRDefault="003B5E4E" w:rsidP="008A55B1">
            <w:pPr>
              <w:pStyle w:val="EMEANormal"/>
              <w:rPr>
                <w:i/>
                <w:iCs/>
                <w:lang w:val="en-GB"/>
              </w:rPr>
            </w:pPr>
            <w:r w:rsidRPr="00342F7C">
              <w:rPr>
                <w:i/>
                <w:iCs/>
                <w:lang w:val="en-GB"/>
              </w:rPr>
              <w:t>Analgesics</w:t>
            </w:r>
          </w:p>
        </w:tc>
      </w:tr>
      <w:tr w:rsidR="003B5E4E" w:rsidRPr="00342F7C" w14:paraId="336A6649"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7096EBF0" w14:textId="77777777" w:rsidR="003B5E4E" w:rsidRPr="00342F7C" w:rsidRDefault="003B5E4E" w:rsidP="008A55B1">
            <w:pPr>
              <w:pStyle w:val="EMEANormal"/>
              <w:rPr>
                <w:lang w:val="en-GB"/>
              </w:rPr>
            </w:pPr>
            <w:r w:rsidRPr="00342F7C">
              <w:rPr>
                <w:lang w:val="en-GB"/>
              </w:rPr>
              <w:t>Fentanyl</w:t>
            </w:r>
          </w:p>
          <w:p w14:paraId="68E6503E" w14:textId="77777777" w:rsidR="003B5E4E" w:rsidRPr="00342F7C" w:rsidRDefault="003B5E4E" w:rsidP="008A55B1">
            <w:pPr>
              <w:pStyle w:val="EMEANormal"/>
              <w:rPr>
                <w:lang w:val="en-GB"/>
              </w:rPr>
            </w:pPr>
            <w:r w:rsidRPr="00342F7C">
              <w:rPr>
                <w:lang w:val="en-GB"/>
              </w:rPr>
              <w:t xml:space="preserve"> </w:t>
            </w:r>
          </w:p>
        </w:tc>
        <w:tc>
          <w:tcPr>
            <w:tcW w:w="3240" w:type="dxa"/>
            <w:gridSpan w:val="5"/>
            <w:tcBorders>
              <w:top w:val="single" w:sz="4" w:space="0" w:color="auto"/>
              <w:left w:val="single" w:sz="4" w:space="0" w:color="auto"/>
              <w:bottom w:val="single" w:sz="4" w:space="0" w:color="auto"/>
              <w:right w:val="single" w:sz="4" w:space="0" w:color="auto"/>
            </w:tcBorders>
          </w:tcPr>
          <w:p w14:paraId="66A156AD" w14:textId="77777777" w:rsidR="003B5E4E" w:rsidRPr="00342F7C" w:rsidRDefault="003B5E4E" w:rsidP="008A55B1">
            <w:pPr>
              <w:pStyle w:val="EMEANormal"/>
              <w:rPr>
                <w:lang w:val="en-GB"/>
              </w:rPr>
            </w:pPr>
            <w:r w:rsidRPr="00342F7C">
              <w:rPr>
                <w:lang w:val="en-GB"/>
              </w:rPr>
              <w:t>Fentanyl:</w:t>
            </w:r>
          </w:p>
          <w:p w14:paraId="56872A3A" w14:textId="77777777" w:rsidR="003B5E4E" w:rsidRPr="00342F7C" w:rsidRDefault="003B5E4E" w:rsidP="008A55B1">
            <w:pPr>
              <w:pStyle w:val="EMEANormal"/>
              <w:rPr>
                <w:lang w:val="en-GB"/>
              </w:rPr>
            </w:pPr>
            <w:r w:rsidRPr="00342F7C">
              <w:rPr>
                <w:lang w:val="en-GB"/>
              </w:rPr>
              <w:t xml:space="preserve">Increased risk of side-effects (respiratory depression, sedation) due to higher plasma concentrations because of CYP3A4 inhibition by </w:t>
            </w:r>
            <w:r w:rsidR="0011253A">
              <w:rPr>
                <w:lang w:val="en-GB"/>
              </w:rPr>
              <w:t>lopinavir/ritonavir.</w:t>
            </w:r>
          </w:p>
        </w:tc>
        <w:tc>
          <w:tcPr>
            <w:tcW w:w="3291" w:type="dxa"/>
            <w:gridSpan w:val="5"/>
            <w:tcBorders>
              <w:top w:val="single" w:sz="4" w:space="0" w:color="auto"/>
              <w:left w:val="single" w:sz="4" w:space="0" w:color="auto"/>
              <w:bottom w:val="single" w:sz="4" w:space="0" w:color="auto"/>
              <w:right w:val="single" w:sz="4" w:space="0" w:color="auto"/>
            </w:tcBorders>
          </w:tcPr>
          <w:p w14:paraId="1A6BC4D2" w14:textId="77777777" w:rsidR="003B5E4E" w:rsidRPr="00342F7C" w:rsidRDefault="003B5E4E" w:rsidP="008A55B1">
            <w:pPr>
              <w:pStyle w:val="EMEANormal"/>
              <w:rPr>
                <w:lang w:val="en-GB"/>
              </w:rPr>
            </w:pPr>
            <w:r w:rsidRPr="00342F7C">
              <w:rPr>
                <w:lang w:val="en-GB"/>
              </w:rPr>
              <w:t>Careful monitoring of adverse effects (notably respiratory depression but also sedation) is recommended when fentanyl is concomitantly administered with Kaletra.</w:t>
            </w:r>
          </w:p>
        </w:tc>
      </w:tr>
      <w:tr w:rsidR="00F16C15" w:rsidRPr="00342F7C" w14:paraId="7E376E40" w14:textId="77777777" w:rsidTr="008F531F">
        <w:trPr>
          <w:gridAfter w:val="1"/>
          <w:wAfter w:w="36" w:type="dxa"/>
        </w:trPr>
        <w:tc>
          <w:tcPr>
            <w:tcW w:w="9178" w:type="dxa"/>
            <w:gridSpan w:val="11"/>
            <w:tcBorders>
              <w:top w:val="single" w:sz="4" w:space="0" w:color="auto"/>
              <w:left w:val="single" w:sz="4" w:space="0" w:color="auto"/>
              <w:bottom w:val="single" w:sz="4" w:space="0" w:color="auto"/>
              <w:right w:val="single" w:sz="4" w:space="0" w:color="auto"/>
            </w:tcBorders>
          </w:tcPr>
          <w:p w14:paraId="13E2C8A0" w14:textId="77777777" w:rsidR="00F16C15" w:rsidRPr="00342F7C" w:rsidRDefault="00F16C15" w:rsidP="00E271FB">
            <w:pPr>
              <w:pStyle w:val="EMEANormal"/>
              <w:rPr>
                <w:bCs/>
                <w:iCs/>
                <w:lang w:val="en-GB"/>
              </w:rPr>
            </w:pPr>
            <w:r>
              <w:rPr>
                <w:i/>
                <w:iCs/>
                <w:lang w:val="en-GB"/>
              </w:rPr>
              <w:t>Antianginal</w:t>
            </w:r>
          </w:p>
        </w:tc>
      </w:tr>
      <w:tr w:rsidR="00F16C15" w:rsidRPr="00342F7C" w14:paraId="522D59B7"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2F8D7C12" w14:textId="77777777" w:rsidR="00F16C15" w:rsidRPr="00342F7C" w:rsidRDefault="00F16C15" w:rsidP="00E271FB">
            <w:pPr>
              <w:pStyle w:val="EMEANormal"/>
              <w:rPr>
                <w:lang w:val="en-GB"/>
              </w:rPr>
            </w:pPr>
            <w:r>
              <w:rPr>
                <w:lang w:val="en-GB"/>
              </w:rPr>
              <w:t>Ranolazine</w:t>
            </w:r>
          </w:p>
        </w:tc>
        <w:tc>
          <w:tcPr>
            <w:tcW w:w="3240" w:type="dxa"/>
            <w:gridSpan w:val="5"/>
            <w:tcBorders>
              <w:top w:val="single" w:sz="4" w:space="0" w:color="auto"/>
              <w:left w:val="single" w:sz="4" w:space="0" w:color="auto"/>
              <w:bottom w:val="single" w:sz="4" w:space="0" w:color="auto"/>
              <w:right w:val="single" w:sz="4" w:space="0" w:color="auto"/>
            </w:tcBorders>
          </w:tcPr>
          <w:p w14:paraId="61DD8AE4" w14:textId="77777777" w:rsidR="00F16C15" w:rsidRPr="00342F7C" w:rsidRDefault="00F16C15" w:rsidP="00E271FB">
            <w:pPr>
              <w:pStyle w:val="EMEANormal"/>
              <w:rPr>
                <w:lang w:val="en-GB"/>
              </w:rPr>
            </w:pPr>
            <w:r>
              <w:rPr>
                <w:lang w:val="en-GB"/>
              </w:rPr>
              <w:t>Due to CYP3A inhibition by lopinavir/ritonavir, concentrations of ranolazine are expected to increase.</w:t>
            </w:r>
          </w:p>
        </w:tc>
        <w:tc>
          <w:tcPr>
            <w:tcW w:w="3291" w:type="dxa"/>
            <w:gridSpan w:val="5"/>
            <w:tcBorders>
              <w:top w:val="single" w:sz="4" w:space="0" w:color="auto"/>
              <w:left w:val="single" w:sz="4" w:space="0" w:color="auto"/>
              <w:bottom w:val="single" w:sz="4" w:space="0" w:color="auto"/>
              <w:right w:val="single" w:sz="4" w:space="0" w:color="auto"/>
            </w:tcBorders>
          </w:tcPr>
          <w:p w14:paraId="0B262A31" w14:textId="77777777" w:rsidR="00F16C15" w:rsidRPr="00342F7C" w:rsidRDefault="00F16C15" w:rsidP="00BA10BA">
            <w:pPr>
              <w:pStyle w:val="EMEANormal"/>
              <w:rPr>
                <w:lang w:val="en-GB"/>
              </w:rPr>
            </w:pPr>
            <w:r>
              <w:rPr>
                <w:lang w:val="en-GB"/>
              </w:rPr>
              <w:t xml:space="preserve">The concomitant administration </w:t>
            </w:r>
            <w:r w:rsidR="00BA10BA">
              <w:rPr>
                <w:lang w:val="en-GB"/>
              </w:rPr>
              <w:t>of Kaletra and</w:t>
            </w:r>
            <w:r>
              <w:rPr>
                <w:lang w:val="en-GB"/>
              </w:rPr>
              <w:t xml:space="preserve"> ranolazine is contraindicated (see section 4.3).</w:t>
            </w:r>
          </w:p>
        </w:tc>
      </w:tr>
      <w:tr w:rsidR="003B5E4E" w:rsidRPr="00342F7C" w14:paraId="5A154E78" w14:textId="77777777" w:rsidTr="008F531F">
        <w:trPr>
          <w:gridAfter w:val="1"/>
          <w:wAfter w:w="36" w:type="dxa"/>
        </w:trPr>
        <w:tc>
          <w:tcPr>
            <w:tcW w:w="9178" w:type="dxa"/>
            <w:gridSpan w:val="11"/>
            <w:tcBorders>
              <w:top w:val="single" w:sz="4" w:space="0" w:color="auto"/>
              <w:left w:val="single" w:sz="4" w:space="0" w:color="auto"/>
              <w:bottom w:val="single" w:sz="4" w:space="0" w:color="auto"/>
              <w:right w:val="single" w:sz="4" w:space="0" w:color="auto"/>
            </w:tcBorders>
          </w:tcPr>
          <w:p w14:paraId="30D798FF" w14:textId="77777777" w:rsidR="003B5E4E" w:rsidRPr="00342F7C" w:rsidRDefault="003B5E4E" w:rsidP="008831F2">
            <w:pPr>
              <w:pStyle w:val="EMEANormal"/>
              <w:rPr>
                <w:bCs/>
                <w:iCs/>
                <w:lang w:val="en-GB"/>
              </w:rPr>
            </w:pPr>
            <w:r w:rsidRPr="00342F7C">
              <w:rPr>
                <w:i/>
                <w:iCs/>
                <w:lang w:val="en-GB"/>
              </w:rPr>
              <w:t>Antiarrhythmics</w:t>
            </w:r>
          </w:p>
        </w:tc>
      </w:tr>
      <w:tr w:rsidR="00180DDD" w:rsidRPr="00342F7C" w14:paraId="0A63BDB1"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7E7037A5" w14:textId="77777777" w:rsidR="00180DDD" w:rsidRPr="00342F7C" w:rsidRDefault="00180DDD" w:rsidP="006D3B0D">
            <w:pPr>
              <w:pStyle w:val="EMEANormal"/>
              <w:rPr>
                <w:lang w:val="en-GB"/>
              </w:rPr>
            </w:pPr>
            <w:r>
              <w:rPr>
                <w:lang w:val="en-GB"/>
              </w:rPr>
              <w:t>Amiodarone, Dronedarone</w:t>
            </w:r>
          </w:p>
        </w:tc>
        <w:tc>
          <w:tcPr>
            <w:tcW w:w="3240" w:type="dxa"/>
            <w:gridSpan w:val="5"/>
            <w:tcBorders>
              <w:top w:val="single" w:sz="4" w:space="0" w:color="auto"/>
              <w:left w:val="single" w:sz="4" w:space="0" w:color="auto"/>
              <w:bottom w:val="single" w:sz="4" w:space="0" w:color="auto"/>
              <w:right w:val="single" w:sz="4" w:space="0" w:color="auto"/>
            </w:tcBorders>
          </w:tcPr>
          <w:p w14:paraId="32139DEB" w14:textId="77777777" w:rsidR="00180DDD" w:rsidRPr="00342F7C" w:rsidRDefault="00180DDD" w:rsidP="006D3B0D">
            <w:pPr>
              <w:pStyle w:val="EMEANormal"/>
              <w:rPr>
                <w:lang w:val="en-GB"/>
              </w:rPr>
            </w:pPr>
            <w:r>
              <w:rPr>
                <w:lang w:val="en-GB"/>
              </w:rPr>
              <w:t xml:space="preserve">Amiodarone, Dronedarone: Concentrations may be increased due to CYP3A4 inhibition by </w:t>
            </w:r>
            <w:r w:rsidR="0011253A">
              <w:rPr>
                <w:lang w:val="en-GB"/>
              </w:rPr>
              <w:t>lopinavir/ritonavir</w:t>
            </w:r>
            <w:r>
              <w:rPr>
                <w:lang w:val="en-GB"/>
              </w:rPr>
              <w:t>.</w:t>
            </w:r>
          </w:p>
        </w:tc>
        <w:tc>
          <w:tcPr>
            <w:tcW w:w="3291" w:type="dxa"/>
            <w:gridSpan w:val="5"/>
            <w:tcBorders>
              <w:top w:val="single" w:sz="4" w:space="0" w:color="auto"/>
              <w:left w:val="single" w:sz="4" w:space="0" w:color="auto"/>
              <w:bottom w:val="single" w:sz="4" w:space="0" w:color="auto"/>
              <w:right w:val="single" w:sz="4" w:space="0" w:color="auto"/>
            </w:tcBorders>
          </w:tcPr>
          <w:p w14:paraId="359E0648" w14:textId="77777777" w:rsidR="00180DDD" w:rsidRPr="00342F7C" w:rsidRDefault="00180DDD" w:rsidP="006D3B0D">
            <w:pPr>
              <w:pStyle w:val="EMEANormal"/>
              <w:rPr>
                <w:lang w:val="en-GB"/>
              </w:rPr>
            </w:pPr>
            <w:r>
              <w:rPr>
                <w:lang w:val="en-GB"/>
              </w:rPr>
              <w:t>Concomitant administration of Kaletra and amiodarone or dronedarone is contraindicated (see section 4.3) as the risk of arrhythmias or other serious adverse reactions may be increased.</w:t>
            </w:r>
          </w:p>
        </w:tc>
      </w:tr>
      <w:tr w:rsidR="003B5E4E" w:rsidRPr="00342F7C" w14:paraId="5C12D15A"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2F70F85B" w14:textId="77777777" w:rsidR="003B5E4E" w:rsidRPr="00342F7C" w:rsidRDefault="003B5E4E" w:rsidP="008831F2">
            <w:pPr>
              <w:pStyle w:val="EMEANormal"/>
              <w:rPr>
                <w:lang w:val="en-GB"/>
              </w:rPr>
            </w:pPr>
            <w:r w:rsidRPr="00342F7C">
              <w:rPr>
                <w:lang w:val="en-GB"/>
              </w:rPr>
              <w:t>Digoxin</w:t>
            </w:r>
          </w:p>
          <w:p w14:paraId="1BF498B9" w14:textId="77777777" w:rsidR="003B5E4E" w:rsidRPr="00342F7C" w:rsidRDefault="003B5E4E" w:rsidP="008831F2">
            <w:pPr>
              <w:pStyle w:val="EMEANormal"/>
              <w:rPr>
                <w:lang w:val="en-GB"/>
              </w:rPr>
            </w:pPr>
          </w:p>
          <w:p w14:paraId="1193A6A2" w14:textId="77777777" w:rsidR="003B5E4E" w:rsidRPr="00342F7C" w:rsidRDefault="003B5E4E" w:rsidP="008831F2">
            <w:pPr>
              <w:pStyle w:val="EMEANormal"/>
              <w:rPr>
                <w:i/>
                <w:iCs/>
                <w:lang w:val="en-GB"/>
              </w:rPr>
            </w:pPr>
          </w:p>
        </w:tc>
        <w:tc>
          <w:tcPr>
            <w:tcW w:w="3240" w:type="dxa"/>
            <w:gridSpan w:val="5"/>
            <w:tcBorders>
              <w:top w:val="single" w:sz="4" w:space="0" w:color="auto"/>
              <w:left w:val="single" w:sz="4" w:space="0" w:color="auto"/>
              <w:bottom w:val="single" w:sz="4" w:space="0" w:color="auto"/>
              <w:right w:val="single" w:sz="4" w:space="0" w:color="auto"/>
            </w:tcBorders>
          </w:tcPr>
          <w:p w14:paraId="686C5BE2" w14:textId="77777777" w:rsidR="003B5E4E" w:rsidRPr="00342F7C" w:rsidRDefault="003B5E4E" w:rsidP="008831F2">
            <w:pPr>
              <w:pStyle w:val="EMEANormal"/>
              <w:rPr>
                <w:lang w:val="en-GB"/>
              </w:rPr>
            </w:pPr>
            <w:r w:rsidRPr="00342F7C">
              <w:rPr>
                <w:lang w:val="en-GB"/>
              </w:rPr>
              <w:t>Digoxin:</w:t>
            </w:r>
          </w:p>
          <w:p w14:paraId="200DCE70" w14:textId="77777777" w:rsidR="003B5E4E" w:rsidRPr="00342F7C" w:rsidRDefault="003B5E4E" w:rsidP="008831F2">
            <w:pPr>
              <w:pStyle w:val="EMEANormal"/>
              <w:rPr>
                <w:lang w:val="en-GB"/>
              </w:rPr>
            </w:pPr>
            <w:r w:rsidRPr="00342F7C">
              <w:rPr>
                <w:lang w:val="en-GB"/>
              </w:rPr>
              <w:t xml:space="preserve">Plasma concentrations may be increased due to P-glycoprotein inhibition by </w:t>
            </w:r>
            <w:r w:rsidR="005766B5">
              <w:rPr>
                <w:lang w:val="en-GB"/>
              </w:rPr>
              <w:t>lopinavir/ritonavir</w:t>
            </w:r>
            <w:r w:rsidRPr="00342F7C">
              <w:rPr>
                <w:lang w:val="en-GB"/>
              </w:rPr>
              <w:t>.  The increased digoxin level may lessen over time as P</w:t>
            </w:r>
            <w:r w:rsidR="00EE26C0">
              <w:rPr>
                <w:lang w:val="en-GB"/>
              </w:rPr>
              <w:t>-</w:t>
            </w:r>
            <w:r w:rsidRPr="00342F7C">
              <w:rPr>
                <w:lang w:val="en-GB"/>
              </w:rPr>
              <w:t>gp induction develops.</w:t>
            </w:r>
          </w:p>
          <w:p w14:paraId="4CB5504A" w14:textId="77777777" w:rsidR="003B5E4E" w:rsidRPr="00342F7C" w:rsidRDefault="003B5E4E" w:rsidP="008831F2">
            <w:pPr>
              <w:pStyle w:val="EMEANormal"/>
              <w:rPr>
                <w:lang w:val="en-GB"/>
              </w:rPr>
            </w:pPr>
          </w:p>
          <w:p w14:paraId="62D60A29" w14:textId="77777777" w:rsidR="003B5E4E" w:rsidRPr="00342F7C" w:rsidRDefault="003B5E4E" w:rsidP="008831F2">
            <w:pPr>
              <w:pStyle w:val="EMEANormal"/>
              <w:rPr>
                <w:lang w:val="en-GB"/>
              </w:rPr>
            </w:pPr>
          </w:p>
        </w:tc>
        <w:tc>
          <w:tcPr>
            <w:tcW w:w="3291" w:type="dxa"/>
            <w:gridSpan w:val="5"/>
            <w:tcBorders>
              <w:top w:val="single" w:sz="4" w:space="0" w:color="auto"/>
              <w:left w:val="single" w:sz="4" w:space="0" w:color="auto"/>
              <w:bottom w:val="single" w:sz="4" w:space="0" w:color="auto"/>
              <w:right w:val="single" w:sz="4" w:space="0" w:color="auto"/>
            </w:tcBorders>
          </w:tcPr>
          <w:p w14:paraId="4850BA95" w14:textId="77777777" w:rsidR="003B5E4E" w:rsidRPr="00342F7C" w:rsidRDefault="003B5E4E" w:rsidP="008831F2">
            <w:pPr>
              <w:pStyle w:val="EMEANormal"/>
              <w:rPr>
                <w:lang w:val="en-GB"/>
              </w:rPr>
            </w:pPr>
            <w:r w:rsidRPr="00342F7C">
              <w:rPr>
                <w:lang w:val="en-GB"/>
              </w:rPr>
              <w:t>Caution is warranted and therapeutic drug monitoring of digoxin concentrations, if available, is recommended in case of co</w:t>
            </w:r>
            <w:r w:rsidRPr="00342F7C">
              <w:rPr>
                <w:lang w:val="en-GB"/>
              </w:rPr>
              <w:noBreakHyphen/>
              <w:t>administration of Kaletra and digoxin.  Particular caution should be used when prescribing Kaletra in patients taking digoxin as the acute inhibitory effect of ritonavir on P</w:t>
            </w:r>
            <w:r w:rsidR="00EE26C0">
              <w:rPr>
                <w:lang w:val="en-GB"/>
              </w:rPr>
              <w:t>-</w:t>
            </w:r>
            <w:r w:rsidRPr="00342F7C">
              <w:rPr>
                <w:lang w:val="en-GB"/>
              </w:rPr>
              <w:t>gp is expected to significantly increase digoxin levels.  Initiation of digoxin in patients already taking Kaletra is likely to result in lower than expected increases of digoxin concentrations.</w:t>
            </w:r>
          </w:p>
        </w:tc>
      </w:tr>
      <w:tr w:rsidR="003B5E4E" w:rsidRPr="00342F7C" w14:paraId="6EEE6FE4"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58F640C3" w14:textId="77777777" w:rsidR="003B5E4E" w:rsidRPr="00342F7C" w:rsidRDefault="003B5E4E" w:rsidP="008831F2">
            <w:pPr>
              <w:pStyle w:val="EMEANormal"/>
              <w:rPr>
                <w:lang w:val="en-GB"/>
              </w:rPr>
            </w:pPr>
            <w:r w:rsidRPr="00342F7C">
              <w:rPr>
                <w:lang w:val="en-GB"/>
              </w:rPr>
              <w:t xml:space="preserve">Bepridil, Systemic Lidocaine, and Quinidine </w:t>
            </w:r>
          </w:p>
        </w:tc>
        <w:tc>
          <w:tcPr>
            <w:tcW w:w="3240" w:type="dxa"/>
            <w:gridSpan w:val="5"/>
            <w:tcBorders>
              <w:top w:val="single" w:sz="4" w:space="0" w:color="auto"/>
              <w:left w:val="single" w:sz="4" w:space="0" w:color="auto"/>
              <w:bottom w:val="single" w:sz="4" w:space="0" w:color="auto"/>
              <w:right w:val="single" w:sz="4" w:space="0" w:color="auto"/>
            </w:tcBorders>
          </w:tcPr>
          <w:p w14:paraId="7A1F5539" w14:textId="77777777" w:rsidR="003B5E4E" w:rsidRPr="00342F7C" w:rsidRDefault="003B5E4E" w:rsidP="008831F2">
            <w:pPr>
              <w:pStyle w:val="EMEANormal"/>
              <w:rPr>
                <w:lang w:val="en-GB"/>
              </w:rPr>
            </w:pPr>
            <w:r w:rsidRPr="00342F7C">
              <w:rPr>
                <w:lang w:val="en-GB"/>
              </w:rPr>
              <w:t xml:space="preserve">Bepridil, Systemic Lidocaine, Quinidine: </w:t>
            </w:r>
          </w:p>
          <w:p w14:paraId="1F156A7D" w14:textId="77777777" w:rsidR="003B5E4E" w:rsidRPr="00342F7C" w:rsidRDefault="003B5E4E" w:rsidP="008831F2">
            <w:pPr>
              <w:pStyle w:val="EMEANormal"/>
              <w:rPr>
                <w:lang w:val="en-GB"/>
              </w:rPr>
            </w:pPr>
            <w:r w:rsidRPr="00342F7C">
              <w:rPr>
                <w:lang w:val="en-GB"/>
              </w:rPr>
              <w:t xml:space="preserve">Concentrations may be increased when co-administered with </w:t>
            </w:r>
            <w:r w:rsidR="0011253A">
              <w:rPr>
                <w:lang w:val="en-GB"/>
              </w:rPr>
              <w:t>lopinavir/ritonavir</w:t>
            </w:r>
            <w:r w:rsidRPr="00342F7C">
              <w:rPr>
                <w:lang w:val="en-GB"/>
              </w:rPr>
              <w:t xml:space="preserve">. </w:t>
            </w:r>
          </w:p>
        </w:tc>
        <w:tc>
          <w:tcPr>
            <w:tcW w:w="3291" w:type="dxa"/>
            <w:gridSpan w:val="5"/>
            <w:tcBorders>
              <w:top w:val="single" w:sz="4" w:space="0" w:color="auto"/>
              <w:left w:val="single" w:sz="4" w:space="0" w:color="auto"/>
              <w:bottom w:val="single" w:sz="4" w:space="0" w:color="auto"/>
              <w:right w:val="single" w:sz="4" w:space="0" w:color="auto"/>
            </w:tcBorders>
          </w:tcPr>
          <w:p w14:paraId="13A2FDC7" w14:textId="77777777" w:rsidR="003B5E4E" w:rsidRPr="00342F7C" w:rsidRDefault="003B5E4E" w:rsidP="008831F2">
            <w:pPr>
              <w:pStyle w:val="EMEANormal"/>
              <w:rPr>
                <w:bCs/>
                <w:iCs/>
                <w:lang w:val="en-GB"/>
              </w:rPr>
            </w:pPr>
            <w:r w:rsidRPr="00342F7C">
              <w:rPr>
                <w:lang w:val="en-GB"/>
              </w:rPr>
              <w:t>Caution is warranted and therapeutic drug concentration monitoring is recommended when available.</w:t>
            </w:r>
          </w:p>
        </w:tc>
      </w:tr>
      <w:tr w:rsidR="003B5E4E" w:rsidRPr="00342F7C" w14:paraId="6AEC2AFB" w14:textId="77777777" w:rsidTr="008F531F">
        <w:trPr>
          <w:gridAfter w:val="1"/>
          <w:wAfter w:w="36" w:type="dxa"/>
        </w:trPr>
        <w:tc>
          <w:tcPr>
            <w:tcW w:w="9178" w:type="dxa"/>
            <w:gridSpan w:val="11"/>
            <w:tcBorders>
              <w:top w:val="single" w:sz="4" w:space="0" w:color="auto"/>
              <w:left w:val="single" w:sz="4" w:space="0" w:color="auto"/>
              <w:bottom w:val="single" w:sz="4" w:space="0" w:color="auto"/>
              <w:right w:val="single" w:sz="4" w:space="0" w:color="auto"/>
            </w:tcBorders>
          </w:tcPr>
          <w:p w14:paraId="4C476B4C" w14:textId="77777777" w:rsidR="003B5E4E" w:rsidRPr="00342F7C" w:rsidRDefault="003B5E4E" w:rsidP="002A75DB">
            <w:pPr>
              <w:pStyle w:val="EMEANormal"/>
              <w:keepNext/>
              <w:rPr>
                <w:i/>
                <w:iCs/>
                <w:lang w:val="en-GB"/>
              </w:rPr>
            </w:pPr>
            <w:r w:rsidRPr="00342F7C">
              <w:rPr>
                <w:i/>
                <w:iCs/>
                <w:lang w:val="en-GB"/>
              </w:rPr>
              <w:t>Antibiotics</w:t>
            </w:r>
          </w:p>
        </w:tc>
      </w:tr>
      <w:tr w:rsidR="003B5E4E" w:rsidRPr="00342F7C" w14:paraId="44B1CB98"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0139E05D" w14:textId="77777777" w:rsidR="003B5E4E" w:rsidRPr="00342F7C" w:rsidRDefault="003B5E4E" w:rsidP="002A75DB">
            <w:pPr>
              <w:pStyle w:val="EMEANormal"/>
              <w:keepNext/>
              <w:rPr>
                <w:lang w:val="en-GB"/>
              </w:rPr>
            </w:pPr>
            <w:r w:rsidRPr="00342F7C">
              <w:rPr>
                <w:bCs/>
                <w:iCs/>
                <w:lang w:val="en-GB"/>
              </w:rPr>
              <w:t>Clarithromycin</w:t>
            </w:r>
          </w:p>
        </w:tc>
        <w:tc>
          <w:tcPr>
            <w:tcW w:w="3240" w:type="dxa"/>
            <w:gridSpan w:val="5"/>
            <w:tcBorders>
              <w:top w:val="single" w:sz="4" w:space="0" w:color="auto"/>
              <w:left w:val="single" w:sz="4" w:space="0" w:color="auto"/>
              <w:bottom w:val="single" w:sz="4" w:space="0" w:color="auto"/>
              <w:right w:val="single" w:sz="4" w:space="0" w:color="auto"/>
            </w:tcBorders>
          </w:tcPr>
          <w:p w14:paraId="246108F5" w14:textId="77777777" w:rsidR="003B5E4E" w:rsidRPr="00342F7C" w:rsidRDefault="003B5E4E" w:rsidP="002A75DB">
            <w:pPr>
              <w:pStyle w:val="EMEANormal"/>
              <w:keepNext/>
              <w:rPr>
                <w:i/>
                <w:lang w:val="en-GB"/>
              </w:rPr>
            </w:pPr>
            <w:r w:rsidRPr="00342F7C">
              <w:rPr>
                <w:bCs/>
                <w:iCs/>
                <w:lang w:val="en-GB"/>
              </w:rPr>
              <w:t>Clarithromycin:</w:t>
            </w:r>
            <w:r w:rsidRPr="00342F7C">
              <w:rPr>
                <w:i/>
                <w:lang w:val="en-GB"/>
              </w:rPr>
              <w:t xml:space="preserve"> </w:t>
            </w:r>
          </w:p>
          <w:p w14:paraId="39A1692F" w14:textId="77777777" w:rsidR="003B5E4E" w:rsidRPr="00342F7C" w:rsidRDefault="003B5E4E" w:rsidP="002A75DB">
            <w:pPr>
              <w:pStyle w:val="EMEANormal"/>
              <w:keepNext/>
              <w:rPr>
                <w:lang w:val="en-GB"/>
              </w:rPr>
            </w:pPr>
            <w:r w:rsidRPr="00342F7C">
              <w:rPr>
                <w:lang w:val="en-GB"/>
              </w:rPr>
              <w:t xml:space="preserve">Moderate increases in clarithromycin AUC are expected due to CYP3A inhibition by </w:t>
            </w:r>
            <w:r w:rsidR="0011253A">
              <w:rPr>
                <w:lang w:val="en-GB"/>
              </w:rPr>
              <w:t>lopinavir/ritonavir</w:t>
            </w:r>
            <w:r w:rsidRPr="00342F7C">
              <w:rPr>
                <w:lang w:val="en-GB"/>
              </w:rPr>
              <w:t xml:space="preserve">. </w:t>
            </w:r>
          </w:p>
          <w:p w14:paraId="004D0EAD" w14:textId="77777777" w:rsidR="003B5E4E" w:rsidRPr="00342F7C" w:rsidRDefault="003B5E4E" w:rsidP="002A75DB">
            <w:pPr>
              <w:pStyle w:val="EMEANormal"/>
              <w:keepNext/>
              <w:rPr>
                <w:lang w:val="en-GB"/>
              </w:rPr>
            </w:pPr>
          </w:p>
        </w:tc>
        <w:tc>
          <w:tcPr>
            <w:tcW w:w="3291" w:type="dxa"/>
            <w:gridSpan w:val="5"/>
            <w:tcBorders>
              <w:top w:val="single" w:sz="4" w:space="0" w:color="auto"/>
              <w:left w:val="single" w:sz="4" w:space="0" w:color="auto"/>
              <w:bottom w:val="single" w:sz="4" w:space="0" w:color="auto"/>
              <w:right w:val="single" w:sz="4" w:space="0" w:color="auto"/>
            </w:tcBorders>
          </w:tcPr>
          <w:p w14:paraId="2738AF82" w14:textId="77777777" w:rsidR="003B5E4E" w:rsidRPr="00342F7C" w:rsidRDefault="003B5E4E" w:rsidP="002A75DB">
            <w:pPr>
              <w:pStyle w:val="EMEANormal"/>
              <w:keepNext/>
              <w:rPr>
                <w:lang w:val="en-GB"/>
              </w:rPr>
            </w:pPr>
            <w:r w:rsidRPr="00342F7C">
              <w:rPr>
                <w:lang w:val="en-GB"/>
              </w:rPr>
              <w:t>For patients with renal impairment (CrCL &lt; 30 ml/min) dose reduction of clarithromycin should be considered (see section 4.4).  Caution should be exercised in administering clarithromycin with Kaletra to patients with impaired hepatic or renal function.</w:t>
            </w:r>
          </w:p>
        </w:tc>
      </w:tr>
      <w:tr w:rsidR="003B5E4E" w:rsidRPr="00342F7C" w14:paraId="692A07F0" w14:textId="77777777" w:rsidTr="008F531F">
        <w:trPr>
          <w:gridAfter w:val="1"/>
          <w:wAfter w:w="36" w:type="dxa"/>
        </w:trPr>
        <w:tc>
          <w:tcPr>
            <w:tcW w:w="9178" w:type="dxa"/>
            <w:gridSpan w:val="11"/>
            <w:tcBorders>
              <w:top w:val="single" w:sz="4" w:space="0" w:color="auto"/>
              <w:left w:val="single" w:sz="4" w:space="0" w:color="auto"/>
              <w:bottom w:val="single" w:sz="4" w:space="0" w:color="auto"/>
              <w:right w:val="single" w:sz="4" w:space="0" w:color="auto"/>
            </w:tcBorders>
          </w:tcPr>
          <w:p w14:paraId="73DC6560" w14:textId="05FCC05C" w:rsidR="003B5E4E" w:rsidRPr="00342F7C" w:rsidRDefault="003B5E4E" w:rsidP="008831F2">
            <w:pPr>
              <w:pStyle w:val="EMEANormal"/>
              <w:rPr>
                <w:i/>
                <w:iCs/>
                <w:lang w:val="en-GB"/>
              </w:rPr>
            </w:pPr>
            <w:r w:rsidRPr="00342F7C">
              <w:rPr>
                <w:i/>
                <w:iCs/>
                <w:lang w:val="en-GB"/>
              </w:rPr>
              <w:t>Anticancer agents</w:t>
            </w:r>
            <w:r w:rsidR="008915C6" w:rsidRPr="003E4843">
              <w:rPr>
                <w:i/>
                <w:iCs/>
                <w:lang w:val="en-GB"/>
              </w:rPr>
              <w:t xml:space="preserve"> and kinase inhibitors</w:t>
            </w:r>
          </w:p>
        </w:tc>
      </w:tr>
      <w:tr w:rsidR="006E1FDC" w:rsidRPr="00342F7C" w14:paraId="27C6C574"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0C7F69F7" w14:textId="77777777" w:rsidR="006E1FDC" w:rsidRDefault="006E1FDC" w:rsidP="005F6620">
            <w:pPr>
              <w:pStyle w:val="EMEANormal"/>
              <w:tabs>
                <w:tab w:val="right" w:pos="2431"/>
              </w:tabs>
              <w:rPr>
                <w:lang w:val="en-GB"/>
              </w:rPr>
            </w:pPr>
            <w:r>
              <w:rPr>
                <w:lang w:val="en-GB"/>
              </w:rPr>
              <w:t>Abemaciclib</w:t>
            </w:r>
            <w:r w:rsidR="005F6620">
              <w:rPr>
                <w:lang w:val="en-GB"/>
              </w:rPr>
              <w:tab/>
            </w:r>
          </w:p>
        </w:tc>
        <w:tc>
          <w:tcPr>
            <w:tcW w:w="3240" w:type="dxa"/>
            <w:gridSpan w:val="5"/>
            <w:tcBorders>
              <w:top w:val="single" w:sz="4" w:space="0" w:color="auto"/>
              <w:left w:val="single" w:sz="4" w:space="0" w:color="auto"/>
              <w:bottom w:val="single" w:sz="4" w:space="0" w:color="auto"/>
              <w:right w:val="single" w:sz="4" w:space="0" w:color="auto"/>
            </w:tcBorders>
          </w:tcPr>
          <w:p w14:paraId="0F10F22A" w14:textId="77777777" w:rsidR="006E1FDC" w:rsidRDefault="006E1FDC" w:rsidP="00A03DBE">
            <w:pPr>
              <w:pStyle w:val="EMEANormal"/>
            </w:pPr>
            <w:r>
              <w:t xml:space="preserve">Serum concentrations may be increased due to CYP3A </w:t>
            </w:r>
            <w:r w:rsidR="00A03DBE">
              <w:t xml:space="preserve">inhibition </w:t>
            </w:r>
            <w:r>
              <w:t>by ritonavir</w:t>
            </w:r>
            <w:r w:rsidR="00A03DBE">
              <w:t>.</w:t>
            </w:r>
          </w:p>
        </w:tc>
        <w:tc>
          <w:tcPr>
            <w:tcW w:w="3291" w:type="dxa"/>
            <w:gridSpan w:val="5"/>
            <w:tcBorders>
              <w:top w:val="single" w:sz="4" w:space="0" w:color="auto"/>
              <w:left w:val="single" w:sz="4" w:space="0" w:color="auto"/>
              <w:bottom w:val="single" w:sz="4" w:space="0" w:color="auto"/>
              <w:right w:val="single" w:sz="4" w:space="0" w:color="auto"/>
            </w:tcBorders>
          </w:tcPr>
          <w:p w14:paraId="1826E909" w14:textId="77777777" w:rsidR="006E1FDC" w:rsidRDefault="00463201" w:rsidP="009E75CD">
            <w:pPr>
              <w:pStyle w:val="EMEANormal"/>
              <w:rPr>
                <w:lang w:val="en-GB"/>
              </w:rPr>
            </w:pPr>
            <w:r>
              <w:rPr>
                <w:lang w:val="en-GB"/>
              </w:rPr>
              <w:t>Co</w:t>
            </w:r>
            <w:r>
              <w:rPr>
                <w:lang w:val="en-GB"/>
              </w:rPr>
              <w:noBreakHyphen/>
              <w:t xml:space="preserve">administration of abemaciclib </w:t>
            </w:r>
            <w:r w:rsidR="009E75CD">
              <w:rPr>
                <w:lang w:val="en-GB"/>
              </w:rPr>
              <w:t>and</w:t>
            </w:r>
            <w:r>
              <w:rPr>
                <w:lang w:val="en-GB"/>
              </w:rPr>
              <w:t xml:space="preserve"> Kaletra should be avoided.  If this co</w:t>
            </w:r>
            <w:r>
              <w:rPr>
                <w:lang w:val="en-GB"/>
              </w:rPr>
              <w:noBreakHyphen/>
              <w:t>administration is judged unavoidable, refer to the abemaciclib SmPC for dosage adjustment recommendations.  Monitor for ADRs related to abemaciclib.</w:t>
            </w:r>
          </w:p>
        </w:tc>
      </w:tr>
      <w:tr w:rsidR="00AE4C3B" w:rsidRPr="00342F7C" w14:paraId="01B159DB"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0F91BC0D" w14:textId="77777777" w:rsidR="00AE4C3B" w:rsidRDefault="00AE4C3B" w:rsidP="005F6620">
            <w:pPr>
              <w:pStyle w:val="EMEANormal"/>
              <w:tabs>
                <w:tab w:val="right" w:pos="2431"/>
              </w:tabs>
              <w:rPr>
                <w:lang w:val="en-GB"/>
              </w:rPr>
            </w:pPr>
            <w:r>
              <w:rPr>
                <w:lang w:val="en-GB"/>
              </w:rPr>
              <w:t>Apalutamide</w:t>
            </w:r>
          </w:p>
        </w:tc>
        <w:tc>
          <w:tcPr>
            <w:tcW w:w="3240" w:type="dxa"/>
            <w:gridSpan w:val="5"/>
            <w:tcBorders>
              <w:top w:val="single" w:sz="4" w:space="0" w:color="auto"/>
              <w:left w:val="single" w:sz="4" w:space="0" w:color="auto"/>
              <w:bottom w:val="single" w:sz="4" w:space="0" w:color="auto"/>
              <w:right w:val="single" w:sz="4" w:space="0" w:color="auto"/>
            </w:tcBorders>
          </w:tcPr>
          <w:p w14:paraId="64E7E815" w14:textId="77777777" w:rsidR="00AE4C3B" w:rsidRDefault="00AE4C3B" w:rsidP="00A03DBE">
            <w:pPr>
              <w:pStyle w:val="EMEANormal"/>
            </w:pPr>
            <w:r>
              <w:t>Apalutamide is a moderate to strong CYP3A4 inducer and this may lead to a decreased exposure of lopinavir/ritonavir.</w:t>
            </w:r>
          </w:p>
          <w:p w14:paraId="2FBF51A9" w14:textId="77777777" w:rsidR="00AE4C3B" w:rsidRDefault="00AE4C3B" w:rsidP="00A03DBE">
            <w:pPr>
              <w:pStyle w:val="EMEANormal"/>
            </w:pPr>
          </w:p>
          <w:p w14:paraId="59AC86AD" w14:textId="77777777" w:rsidR="00AE4C3B" w:rsidRDefault="00AE4C3B" w:rsidP="00A03DBE">
            <w:pPr>
              <w:pStyle w:val="EMEANormal"/>
            </w:pPr>
            <w:r>
              <w:t>Serum concentrations of apalutamide may be increased due to CYP3A inhibition by lopinavir/ritonavir.</w:t>
            </w:r>
          </w:p>
        </w:tc>
        <w:tc>
          <w:tcPr>
            <w:tcW w:w="3291" w:type="dxa"/>
            <w:gridSpan w:val="5"/>
            <w:tcBorders>
              <w:top w:val="single" w:sz="4" w:space="0" w:color="auto"/>
              <w:left w:val="single" w:sz="4" w:space="0" w:color="auto"/>
              <w:bottom w:val="single" w:sz="4" w:space="0" w:color="auto"/>
              <w:right w:val="single" w:sz="4" w:space="0" w:color="auto"/>
            </w:tcBorders>
          </w:tcPr>
          <w:p w14:paraId="4AB78339" w14:textId="77777777" w:rsidR="00E175A9" w:rsidRDefault="00E175A9" w:rsidP="00E175A9">
            <w:pPr>
              <w:pStyle w:val="EMEANormal"/>
              <w:rPr>
                <w:lang w:val="en-GB"/>
              </w:rPr>
            </w:pPr>
            <w:r>
              <w:rPr>
                <w:lang w:val="en-GB"/>
              </w:rPr>
              <w:t xml:space="preserve">Decreased exposure of Kaletra may result in potential loss of virological response.  </w:t>
            </w:r>
          </w:p>
          <w:p w14:paraId="7D31FC84" w14:textId="77777777" w:rsidR="00AE4C3B" w:rsidRDefault="00E175A9" w:rsidP="000818DA">
            <w:pPr>
              <w:pStyle w:val="EMEANormal"/>
              <w:rPr>
                <w:lang w:val="en-GB"/>
              </w:rPr>
            </w:pPr>
            <w:r>
              <w:rPr>
                <w:lang w:val="en-GB"/>
              </w:rPr>
              <w:t>In addition, c</w:t>
            </w:r>
            <w:r w:rsidR="00BE1421">
              <w:rPr>
                <w:lang w:val="en-GB"/>
              </w:rPr>
              <w:t xml:space="preserve">o-administration of apalutamide and Kaletra may lead to serious adverse events including seizure due to higher apalutamide levels.  Concomitant use of Kaletra </w:t>
            </w:r>
            <w:r w:rsidR="00034DEB">
              <w:rPr>
                <w:lang w:val="en-GB"/>
              </w:rPr>
              <w:t xml:space="preserve">with apalutamide </w:t>
            </w:r>
            <w:r w:rsidR="00BE1421">
              <w:rPr>
                <w:lang w:val="en-GB"/>
              </w:rPr>
              <w:t xml:space="preserve">is </w:t>
            </w:r>
            <w:r w:rsidR="000818DA">
              <w:rPr>
                <w:lang w:val="en-GB"/>
              </w:rPr>
              <w:t>not recommended.</w:t>
            </w:r>
          </w:p>
        </w:tc>
      </w:tr>
      <w:tr w:rsidR="006E1FDC" w:rsidRPr="00342F7C" w14:paraId="066F25C0"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0BD0CA74" w14:textId="77777777" w:rsidR="006E1FDC" w:rsidRDefault="006E1FDC" w:rsidP="005A4A77">
            <w:pPr>
              <w:pStyle w:val="EMEANormal"/>
              <w:rPr>
                <w:lang w:val="en-GB"/>
              </w:rPr>
            </w:pPr>
            <w:r>
              <w:rPr>
                <w:lang w:val="en-GB"/>
              </w:rPr>
              <w:t>Afatinib</w:t>
            </w:r>
          </w:p>
          <w:p w14:paraId="63F377D7" w14:textId="77777777" w:rsidR="006E1FDC" w:rsidRDefault="006E1FDC" w:rsidP="005A4A77">
            <w:pPr>
              <w:pStyle w:val="EMEANormal"/>
              <w:rPr>
                <w:lang w:val="en-GB"/>
              </w:rPr>
            </w:pPr>
          </w:p>
          <w:p w14:paraId="0E4970AE" w14:textId="77777777" w:rsidR="006E1FDC" w:rsidRPr="00342F7C" w:rsidRDefault="006E1FDC" w:rsidP="00F50B0B">
            <w:pPr>
              <w:pStyle w:val="EMEANormal"/>
              <w:rPr>
                <w:lang w:val="en-GB"/>
              </w:rPr>
            </w:pPr>
            <w:r>
              <w:rPr>
                <w:lang w:val="en-GB"/>
              </w:rPr>
              <w:t>(Ritonavir 200 mg twice daily)</w:t>
            </w:r>
          </w:p>
        </w:tc>
        <w:tc>
          <w:tcPr>
            <w:tcW w:w="3240" w:type="dxa"/>
            <w:gridSpan w:val="5"/>
            <w:tcBorders>
              <w:top w:val="single" w:sz="4" w:space="0" w:color="auto"/>
              <w:left w:val="single" w:sz="4" w:space="0" w:color="auto"/>
              <w:bottom w:val="single" w:sz="4" w:space="0" w:color="auto"/>
              <w:right w:val="single" w:sz="4" w:space="0" w:color="auto"/>
            </w:tcBorders>
          </w:tcPr>
          <w:p w14:paraId="327477E3" w14:textId="77777777" w:rsidR="006E1FDC" w:rsidRDefault="006E1FDC" w:rsidP="005A4A77">
            <w:pPr>
              <w:pStyle w:val="EMEANormal"/>
            </w:pPr>
            <w:r>
              <w:t>Afatinib:</w:t>
            </w:r>
          </w:p>
          <w:p w14:paraId="39280D8A" w14:textId="77777777" w:rsidR="006E1FDC" w:rsidRPr="00FF64FE" w:rsidRDefault="006E1FDC" w:rsidP="005A4A77">
            <w:pPr>
              <w:pStyle w:val="EMEANormal"/>
            </w:pPr>
            <w:r w:rsidRPr="00FF64FE">
              <w:t xml:space="preserve">AUC: </w:t>
            </w:r>
            <w:r w:rsidRPr="00FF64FE">
              <w:rPr>
                <w:lang w:val="en-GB"/>
              </w:rPr>
              <w:t xml:space="preserve">↑ </w:t>
            </w:r>
          </w:p>
          <w:p w14:paraId="509C4B50" w14:textId="77777777" w:rsidR="006E1FDC" w:rsidRDefault="006E1FDC" w:rsidP="005A4A77">
            <w:pPr>
              <w:pStyle w:val="EMEANormal"/>
              <w:rPr>
                <w:lang w:val="en-GB"/>
              </w:rPr>
            </w:pPr>
            <w:r w:rsidRPr="00FF64FE">
              <w:t>C</w:t>
            </w:r>
            <w:r w:rsidRPr="00FF64FE">
              <w:rPr>
                <w:vertAlign w:val="subscript"/>
              </w:rPr>
              <w:t>max</w:t>
            </w:r>
            <w:r w:rsidRPr="00FF64FE">
              <w:t xml:space="preserve">: </w:t>
            </w:r>
            <w:r w:rsidRPr="00FF64FE">
              <w:rPr>
                <w:lang w:val="en-GB"/>
              </w:rPr>
              <w:t>↑</w:t>
            </w:r>
          </w:p>
          <w:p w14:paraId="17021049" w14:textId="77777777" w:rsidR="006E1FDC" w:rsidRDefault="006E1FDC" w:rsidP="005A4A77">
            <w:pPr>
              <w:pStyle w:val="EMEANormal"/>
              <w:rPr>
                <w:lang w:val="en-GB"/>
              </w:rPr>
            </w:pPr>
          </w:p>
          <w:p w14:paraId="45377A4A" w14:textId="77777777" w:rsidR="006E1FDC" w:rsidRDefault="006E1FDC" w:rsidP="005A4A77">
            <w:pPr>
              <w:pStyle w:val="EMEANormal"/>
              <w:rPr>
                <w:lang w:val="en-GB"/>
              </w:rPr>
            </w:pPr>
            <w:r>
              <w:rPr>
                <w:lang w:val="en-GB"/>
              </w:rPr>
              <w:t>The extent of increase depends on the timing of ritonavir administration.</w:t>
            </w:r>
          </w:p>
          <w:p w14:paraId="7C5B4471" w14:textId="77777777" w:rsidR="006E1FDC" w:rsidRDefault="006E1FDC" w:rsidP="005A4A77">
            <w:pPr>
              <w:pStyle w:val="EMEANormal"/>
              <w:rPr>
                <w:lang w:val="en-GB"/>
              </w:rPr>
            </w:pPr>
          </w:p>
          <w:p w14:paraId="545DA1E7" w14:textId="77777777" w:rsidR="006E1FDC" w:rsidRPr="00342F7C" w:rsidRDefault="006E1FDC" w:rsidP="005A4A77">
            <w:pPr>
              <w:pStyle w:val="EMEANormal"/>
              <w:rPr>
                <w:lang w:val="en-GB"/>
              </w:rPr>
            </w:pPr>
            <w:r>
              <w:rPr>
                <w:lang w:val="en-GB"/>
              </w:rPr>
              <w:t xml:space="preserve">Due to BCRP (breast cancer </w:t>
            </w:r>
            <w:r w:rsidRPr="009F191D">
              <w:rPr>
                <w:szCs w:val="22"/>
              </w:rPr>
              <w:t>resistance protein/ABCG2)</w:t>
            </w:r>
            <w:r>
              <w:rPr>
                <w:lang w:val="en-GB"/>
              </w:rPr>
              <w:t xml:space="preserve"> and acute P-gp inhibition by lopinavir/ritonavir.</w:t>
            </w:r>
          </w:p>
        </w:tc>
        <w:tc>
          <w:tcPr>
            <w:tcW w:w="3291" w:type="dxa"/>
            <w:gridSpan w:val="5"/>
            <w:tcBorders>
              <w:top w:val="single" w:sz="4" w:space="0" w:color="auto"/>
              <w:left w:val="single" w:sz="4" w:space="0" w:color="auto"/>
              <w:bottom w:val="single" w:sz="4" w:space="0" w:color="auto"/>
              <w:right w:val="single" w:sz="4" w:space="0" w:color="auto"/>
            </w:tcBorders>
          </w:tcPr>
          <w:p w14:paraId="271908B1" w14:textId="77777777" w:rsidR="006E1FDC" w:rsidRPr="00342F7C" w:rsidRDefault="006E1FDC" w:rsidP="005A4A77">
            <w:pPr>
              <w:pStyle w:val="EMEANormal"/>
              <w:rPr>
                <w:lang w:val="en-GB"/>
              </w:rPr>
            </w:pPr>
            <w:r>
              <w:rPr>
                <w:lang w:val="en-GB"/>
              </w:rPr>
              <w:t>Caution should be exercised in administering afatinib with Kaletra.  Refer to the afatinib SmPC for dosage adjustment recommendations.  Monitor for ADRs related to afatinib.</w:t>
            </w:r>
          </w:p>
        </w:tc>
      </w:tr>
      <w:tr w:rsidR="006E1FDC" w:rsidRPr="00342F7C" w14:paraId="3B584976"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7107FA1C" w14:textId="77777777" w:rsidR="006E1FDC" w:rsidRPr="00342F7C" w:rsidRDefault="006E1FDC" w:rsidP="005A4A77">
            <w:pPr>
              <w:pStyle w:val="EMEANormal"/>
              <w:rPr>
                <w:lang w:val="en-GB"/>
              </w:rPr>
            </w:pPr>
            <w:r>
              <w:rPr>
                <w:lang w:val="en-GB"/>
              </w:rPr>
              <w:t>Ceritinib</w:t>
            </w:r>
          </w:p>
        </w:tc>
        <w:tc>
          <w:tcPr>
            <w:tcW w:w="3240" w:type="dxa"/>
            <w:gridSpan w:val="5"/>
            <w:tcBorders>
              <w:top w:val="single" w:sz="4" w:space="0" w:color="auto"/>
              <w:left w:val="single" w:sz="4" w:space="0" w:color="auto"/>
              <w:bottom w:val="single" w:sz="4" w:space="0" w:color="auto"/>
              <w:right w:val="single" w:sz="4" w:space="0" w:color="auto"/>
            </w:tcBorders>
          </w:tcPr>
          <w:p w14:paraId="5A12E953" w14:textId="77777777" w:rsidR="006E1FDC" w:rsidRPr="00342F7C" w:rsidRDefault="006E1FDC" w:rsidP="005A4A77">
            <w:pPr>
              <w:pStyle w:val="EMEANormal"/>
              <w:rPr>
                <w:lang w:val="en-GB"/>
              </w:rPr>
            </w:pPr>
            <w:r>
              <w:rPr>
                <w:lang w:val="en-GB"/>
              </w:rPr>
              <w:t>Serum concentrations may be increased due to CYP3A and P</w:t>
            </w:r>
            <w:r>
              <w:rPr>
                <w:lang w:val="en-GB"/>
              </w:rPr>
              <w:noBreakHyphen/>
              <w:t>gp inhibition by lopinavir/ritonavir.</w:t>
            </w:r>
          </w:p>
        </w:tc>
        <w:tc>
          <w:tcPr>
            <w:tcW w:w="3291" w:type="dxa"/>
            <w:gridSpan w:val="5"/>
            <w:tcBorders>
              <w:top w:val="single" w:sz="4" w:space="0" w:color="auto"/>
              <w:left w:val="single" w:sz="4" w:space="0" w:color="auto"/>
              <w:bottom w:val="single" w:sz="4" w:space="0" w:color="auto"/>
              <w:right w:val="single" w:sz="4" w:space="0" w:color="auto"/>
            </w:tcBorders>
          </w:tcPr>
          <w:p w14:paraId="228DF763" w14:textId="77777777" w:rsidR="006E1FDC" w:rsidRPr="00342F7C" w:rsidRDefault="006E1FDC" w:rsidP="005A4A77">
            <w:pPr>
              <w:pStyle w:val="EMEANormal"/>
              <w:rPr>
                <w:lang w:val="en-GB"/>
              </w:rPr>
            </w:pPr>
            <w:r>
              <w:rPr>
                <w:lang w:val="en-GB"/>
              </w:rPr>
              <w:t>Caution should be exercised in administering ceritinib with Kaletra.  Refer to the ceritinib SmPC for dosage adjustment recommendations.  Monitor for ADRs related to ceritinib.</w:t>
            </w:r>
          </w:p>
        </w:tc>
      </w:tr>
      <w:tr w:rsidR="006E1FDC" w:rsidRPr="00342F7C" w14:paraId="0030D1A2" w14:textId="77777777" w:rsidTr="003C1BB0">
        <w:trPr>
          <w:gridAfter w:val="1"/>
          <w:wAfter w:w="36" w:type="dxa"/>
          <w:trHeight w:val="2090"/>
        </w:trPr>
        <w:tc>
          <w:tcPr>
            <w:tcW w:w="2647" w:type="dxa"/>
            <w:tcBorders>
              <w:top w:val="single" w:sz="4" w:space="0" w:color="auto"/>
              <w:left w:val="single" w:sz="4" w:space="0" w:color="auto"/>
              <w:bottom w:val="single" w:sz="4" w:space="0" w:color="auto"/>
              <w:right w:val="single" w:sz="4" w:space="0" w:color="auto"/>
            </w:tcBorders>
          </w:tcPr>
          <w:p w14:paraId="45070C0F" w14:textId="77777777" w:rsidR="006E1FDC" w:rsidRPr="00342F7C" w:rsidRDefault="006E1FDC" w:rsidP="007574EF">
            <w:pPr>
              <w:pStyle w:val="EMEANormal"/>
              <w:rPr>
                <w:lang w:val="en-GB"/>
              </w:rPr>
            </w:pPr>
            <w:r w:rsidRPr="00342F7C">
              <w:rPr>
                <w:lang w:val="en-GB"/>
              </w:rPr>
              <w:t xml:space="preserve">Most tyrosine kinase inhibitors such as dasatinib and nilotinib, </w:t>
            </w:r>
            <w:r>
              <w:rPr>
                <w:lang w:val="en-GB"/>
              </w:rPr>
              <w:t>v</w:t>
            </w:r>
            <w:r w:rsidRPr="00342F7C">
              <w:rPr>
                <w:lang w:val="en-GB"/>
              </w:rPr>
              <w:t xml:space="preserve">incristine, </w:t>
            </w:r>
            <w:r>
              <w:rPr>
                <w:lang w:val="en-GB"/>
              </w:rPr>
              <w:t>v</w:t>
            </w:r>
            <w:r w:rsidRPr="00342F7C">
              <w:rPr>
                <w:lang w:val="en-GB"/>
              </w:rPr>
              <w:t>inblastine</w:t>
            </w:r>
          </w:p>
        </w:tc>
        <w:tc>
          <w:tcPr>
            <w:tcW w:w="3240" w:type="dxa"/>
            <w:gridSpan w:val="5"/>
            <w:tcBorders>
              <w:top w:val="single" w:sz="4" w:space="0" w:color="auto"/>
              <w:left w:val="single" w:sz="4" w:space="0" w:color="auto"/>
              <w:bottom w:val="single" w:sz="4" w:space="0" w:color="auto"/>
              <w:right w:val="single" w:sz="4" w:space="0" w:color="auto"/>
            </w:tcBorders>
          </w:tcPr>
          <w:p w14:paraId="3A666D46" w14:textId="77777777" w:rsidR="006E1FDC" w:rsidRPr="00342F7C" w:rsidRDefault="006E1FDC" w:rsidP="008A55B1">
            <w:pPr>
              <w:pStyle w:val="EMEANormal"/>
              <w:rPr>
                <w:lang w:val="en-GB"/>
              </w:rPr>
            </w:pPr>
            <w:r w:rsidRPr="00342F7C">
              <w:rPr>
                <w:lang w:val="en-GB"/>
              </w:rPr>
              <w:t>Most tyrosine kinase inhibitors such as dasatinib and nilotinib, also vincristine and vinblastine:</w:t>
            </w:r>
          </w:p>
          <w:p w14:paraId="067AD765" w14:textId="77777777" w:rsidR="006E1FDC" w:rsidRPr="00342F7C" w:rsidRDefault="006E1FDC" w:rsidP="008A55B1">
            <w:pPr>
              <w:pStyle w:val="EMEANormal"/>
              <w:rPr>
                <w:lang w:val="en-GB"/>
              </w:rPr>
            </w:pPr>
            <w:r w:rsidRPr="00342F7C">
              <w:rPr>
                <w:lang w:val="en-GB"/>
              </w:rPr>
              <w:t xml:space="preserve">Risk of increased adverse events due to higher serum concentrations because of CYP3A4 inhibition by </w:t>
            </w:r>
            <w:r>
              <w:rPr>
                <w:lang w:val="en-GB"/>
              </w:rPr>
              <w:t>lopinavir/ritonavir</w:t>
            </w:r>
            <w:r w:rsidRPr="00342F7C">
              <w:rPr>
                <w:lang w:val="en-GB"/>
              </w:rPr>
              <w:t>.</w:t>
            </w:r>
          </w:p>
        </w:tc>
        <w:tc>
          <w:tcPr>
            <w:tcW w:w="3291" w:type="dxa"/>
            <w:gridSpan w:val="5"/>
            <w:tcBorders>
              <w:top w:val="single" w:sz="4" w:space="0" w:color="auto"/>
              <w:left w:val="single" w:sz="4" w:space="0" w:color="auto"/>
              <w:bottom w:val="single" w:sz="4" w:space="0" w:color="auto"/>
              <w:right w:val="single" w:sz="4" w:space="0" w:color="auto"/>
            </w:tcBorders>
          </w:tcPr>
          <w:p w14:paraId="31A603AD" w14:textId="77777777" w:rsidR="006E1FDC" w:rsidRPr="00342F7C" w:rsidRDefault="006E1FDC" w:rsidP="008A55B1">
            <w:pPr>
              <w:pStyle w:val="EMEANormal"/>
              <w:rPr>
                <w:lang w:val="en-GB"/>
              </w:rPr>
            </w:pPr>
            <w:r w:rsidRPr="00342F7C">
              <w:rPr>
                <w:lang w:val="en-GB"/>
              </w:rPr>
              <w:t>Careful monitoring of the tolerance of these anticancer agents.</w:t>
            </w:r>
          </w:p>
          <w:p w14:paraId="48E7D059" w14:textId="77777777" w:rsidR="006E1FDC" w:rsidRPr="00342F7C" w:rsidRDefault="006E1FDC" w:rsidP="008A55B1">
            <w:pPr>
              <w:pStyle w:val="EMEANormal"/>
              <w:rPr>
                <w:lang w:val="en-GB"/>
              </w:rPr>
            </w:pPr>
          </w:p>
        </w:tc>
      </w:tr>
      <w:tr w:rsidR="00BE1421" w:rsidRPr="00342F7C" w14:paraId="2B7ED2C4"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6BE6EB85" w14:textId="77777777" w:rsidR="00BE1421" w:rsidRPr="00342F7C" w:rsidRDefault="00BE1421" w:rsidP="007574EF">
            <w:pPr>
              <w:pStyle w:val="EMEANormal"/>
              <w:rPr>
                <w:lang w:val="en-GB"/>
              </w:rPr>
            </w:pPr>
            <w:r>
              <w:rPr>
                <w:lang w:val="en-GB"/>
              </w:rPr>
              <w:t>Encorafenib</w:t>
            </w:r>
          </w:p>
        </w:tc>
        <w:tc>
          <w:tcPr>
            <w:tcW w:w="3240" w:type="dxa"/>
            <w:gridSpan w:val="5"/>
            <w:tcBorders>
              <w:top w:val="single" w:sz="4" w:space="0" w:color="auto"/>
              <w:left w:val="single" w:sz="4" w:space="0" w:color="auto"/>
              <w:bottom w:val="single" w:sz="4" w:space="0" w:color="auto"/>
              <w:right w:val="single" w:sz="4" w:space="0" w:color="auto"/>
            </w:tcBorders>
          </w:tcPr>
          <w:p w14:paraId="14E64BF3" w14:textId="77777777" w:rsidR="00BE1421" w:rsidRPr="00342F7C" w:rsidRDefault="00BE1421" w:rsidP="008A55B1">
            <w:pPr>
              <w:pStyle w:val="EMEANormal"/>
              <w:rPr>
                <w:lang w:val="en-GB"/>
              </w:rPr>
            </w:pPr>
            <w:r>
              <w:rPr>
                <w:lang w:val="en-GB"/>
              </w:rPr>
              <w:t>Serum concentrations may be increased due to CYP3A inhibition by lopinavir/ritonavir.</w:t>
            </w:r>
          </w:p>
        </w:tc>
        <w:tc>
          <w:tcPr>
            <w:tcW w:w="3291" w:type="dxa"/>
            <w:gridSpan w:val="5"/>
            <w:tcBorders>
              <w:top w:val="single" w:sz="4" w:space="0" w:color="auto"/>
              <w:left w:val="single" w:sz="4" w:space="0" w:color="auto"/>
              <w:bottom w:val="single" w:sz="4" w:space="0" w:color="auto"/>
              <w:right w:val="single" w:sz="4" w:space="0" w:color="auto"/>
            </w:tcBorders>
          </w:tcPr>
          <w:p w14:paraId="61FC6A17" w14:textId="77777777" w:rsidR="00BE1421" w:rsidRPr="00342F7C" w:rsidRDefault="00BE1421" w:rsidP="00034DEB">
            <w:pPr>
              <w:pStyle w:val="EMEANormal"/>
              <w:rPr>
                <w:lang w:val="en-GB"/>
              </w:rPr>
            </w:pPr>
            <w:r>
              <w:rPr>
                <w:lang w:val="en-GB"/>
              </w:rPr>
              <w:t xml:space="preserve">Co-administration of encorafenib with Kaletra may increase encorafenib exposure </w:t>
            </w:r>
            <w:r w:rsidR="00034DEB">
              <w:rPr>
                <w:lang w:val="en-GB"/>
              </w:rPr>
              <w:t>which may increase the risk of toxicity, including</w:t>
            </w:r>
            <w:r>
              <w:rPr>
                <w:lang w:val="en-GB"/>
              </w:rPr>
              <w:t xml:space="preserve"> the risk of serious adverse events such as QT interval prolongation.</w:t>
            </w:r>
            <w:r w:rsidR="00034DEB">
              <w:rPr>
                <w:lang w:val="en-GB"/>
              </w:rPr>
              <w:t xml:space="preserve">  </w:t>
            </w:r>
            <w:r w:rsidR="00034DEB" w:rsidRPr="007B1EDD">
              <w:t>Co</w:t>
            </w:r>
            <w:r w:rsidR="00034DEB" w:rsidRPr="007B1EDD">
              <w:noBreakHyphen/>
              <w:t xml:space="preserve">administration of encorafenib and </w:t>
            </w:r>
            <w:r w:rsidR="00034DEB">
              <w:t xml:space="preserve">Kaletra </w:t>
            </w:r>
            <w:r w:rsidR="00034DEB" w:rsidRPr="007B1EDD">
              <w:t xml:space="preserve">should be avoided.  If the benefit is considered to outweigh the risk and </w:t>
            </w:r>
            <w:r w:rsidR="00034DEB">
              <w:t>Kaletra</w:t>
            </w:r>
            <w:r w:rsidR="00034DEB" w:rsidRPr="007B1EDD">
              <w:t xml:space="preserve"> must be used</w:t>
            </w:r>
            <w:r w:rsidR="00950960">
              <w:t>,</w:t>
            </w:r>
            <w:r w:rsidR="00034DEB" w:rsidRPr="007B1EDD">
              <w:t xml:space="preserve"> </w:t>
            </w:r>
            <w:r w:rsidR="00950960">
              <w:t>patients should be carefully monitored for safety</w:t>
            </w:r>
            <w:r w:rsidR="00034DEB" w:rsidRPr="007B1EDD">
              <w:t>.</w:t>
            </w:r>
          </w:p>
        </w:tc>
      </w:tr>
      <w:tr w:rsidR="008915C6" w:rsidRPr="00342F7C" w14:paraId="7C42EAE5"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0D518AE1" w14:textId="236AF880" w:rsidR="008915C6" w:rsidRDefault="008915C6" w:rsidP="008915C6">
            <w:pPr>
              <w:pStyle w:val="EMEANormal"/>
              <w:rPr>
                <w:lang w:val="en-GB"/>
              </w:rPr>
            </w:pPr>
            <w:r w:rsidRPr="0022767B">
              <w:rPr>
                <w:szCs w:val="22"/>
                <w:lang w:val="en-GB"/>
              </w:rPr>
              <w:t>Fostamatinib</w:t>
            </w:r>
          </w:p>
        </w:tc>
        <w:tc>
          <w:tcPr>
            <w:tcW w:w="3240" w:type="dxa"/>
            <w:gridSpan w:val="5"/>
            <w:tcBorders>
              <w:top w:val="single" w:sz="4" w:space="0" w:color="auto"/>
              <w:left w:val="single" w:sz="4" w:space="0" w:color="auto"/>
              <w:bottom w:val="single" w:sz="4" w:space="0" w:color="auto"/>
              <w:right w:val="single" w:sz="4" w:space="0" w:color="auto"/>
            </w:tcBorders>
          </w:tcPr>
          <w:p w14:paraId="0C49A292" w14:textId="59CC1181" w:rsidR="008915C6" w:rsidRDefault="008915C6" w:rsidP="008915C6">
            <w:pPr>
              <w:pStyle w:val="EMEANormal"/>
              <w:rPr>
                <w:lang w:val="en-GB"/>
              </w:rPr>
            </w:pPr>
            <w:r w:rsidRPr="0022767B">
              <w:rPr>
                <w:szCs w:val="22"/>
              </w:rPr>
              <w:t>Increase in fostamatinib metabolite R406 exposure.</w:t>
            </w:r>
          </w:p>
        </w:tc>
        <w:tc>
          <w:tcPr>
            <w:tcW w:w="3291" w:type="dxa"/>
            <w:gridSpan w:val="5"/>
            <w:tcBorders>
              <w:top w:val="single" w:sz="4" w:space="0" w:color="auto"/>
              <w:left w:val="single" w:sz="4" w:space="0" w:color="auto"/>
              <w:bottom w:val="single" w:sz="4" w:space="0" w:color="auto"/>
              <w:right w:val="single" w:sz="4" w:space="0" w:color="auto"/>
            </w:tcBorders>
          </w:tcPr>
          <w:p w14:paraId="7FEE83CA" w14:textId="4EF723AA" w:rsidR="008915C6" w:rsidRDefault="008915C6" w:rsidP="008915C6">
            <w:pPr>
              <w:pStyle w:val="EMEANormal"/>
              <w:rPr>
                <w:lang w:val="en-GB"/>
              </w:rPr>
            </w:pPr>
            <w:r w:rsidRPr="0022767B">
              <w:rPr>
                <w:szCs w:val="22"/>
              </w:rPr>
              <w:t>Co-administration of fostamatinib with Kaletra may increase fostamatinib metabolite R406 exposure resulting in dose-related adverse events such as hepatotoxicity, neutropenia, hypertension, or diarrhoea.</w:t>
            </w:r>
            <w:r>
              <w:rPr>
                <w:szCs w:val="22"/>
              </w:rPr>
              <w:t xml:space="preserve"> </w:t>
            </w:r>
            <w:r w:rsidRPr="0022767B">
              <w:rPr>
                <w:szCs w:val="22"/>
              </w:rPr>
              <w:t xml:space="preserve"> Refer to the fostamatinib SmPC for dose reduction recommendations if such events occur.</w:t>
            </w:r>
          </w:p>
        </w:tc>
      </w:tr>
      <w:tr w:rsidR="00BE1421" w:rsidRPr="00342F7C" w14:paraId="4B641507"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3B687DF3" w14:textId="77777777" w:rsidR="00BE1421" w:rsidRPr="00342F7C" w:rsidRDefault="00BE1421" w:rsidP="00B84095">
            <w:pPr>
              <w:pStyle w:val="EMEANormal"/>
              <w:rPr>
                <w:lang w:val="en-GB"/>
              </w:rPr>
            </w:pPr>
            <w:r>
              <w:rPr>
                <w:lang w:val="en-GB"/>
              </w:rPr>
              <w:t>Ibrutinib</w:t>
            </w:r>
          </w:p>
        </w:tc>
        <w:tc>
          <w:tcPr>
            <w:tcW w:w="3240" w:type="dxa"/>
            <w:gridSpan w:val="5"/>
            <w:tcBorders>
              <w:top w:val="single" w:sz="4" w:space="0" w:color="auto"/>
              <w:left w:val="single" w:sz="4" w:space="0" w:color="auto"/>
              <w:bottom w:val="single" w:sz="4" w:space="0" w:color="auto"/>
              <w:right w:val="single" w:sz="4" w:space="0" w:color="auto"/>
            </w:tcBorders>
          </w:tcPr>
          <w:p w14:paraId="32B49777" w14:textId="77777777" w:rsidR="00BE1421" w:rsidRPr="00342F7C" w:rsidRDefault="00BE1421" w:rsidP="005832AE">
            <w:pPr>
              <w:pStyle w:val="EMEANormal"/>
              <w:rPr>
                <w:lang w:val="en-GB"/>
              </w:rPr>
            </w:pPr>
            <w:r>
              <w:rPr>
                <w:lang w:val="en-GB"/>
              </w:rPr>
              <w:t>Serum concentrations may be increased due to CYP3A inhibition by lopinavir/ritonavir.</w:t>
            </w:r>
          </w:p>
        </w:tc>
        <w:tc>
          <w:tcPr>
            <w:tcW w:w="3291" w:type="dxa"/>
            <w:gridSpan w:val="5"/>
            <w:tcBorders>
              <w:top w:val="single" w:sz="4" w:space="0" w:color="auto"/>
              <w:left w:val="single" w:sz="4" w:space="0" w:color="auto"/>
              <w:bottom w:val="single" w:sz="4" w:space="0" w:color="auto"/>
              <w:right w:val="single" w:sz="4" w:space="0" w:color="auto"/>
            </w:tcBorders>
          </w:tcPr>
          <w:p w14:paraId="55236EF2" w14:textId="77777777" w:rsidR="00BE1421" w:rsidRPr="00342F7C" w:rsidRDefault="00BE1421" w:rsidP="00B35D1A">
            <w:pPr>
              <w:pStyle w:val="EMEANormal"/>
              <w:rPr>
                <w:lang w:val="en-GB"/>
              </w:rPr>
            </w:pPr>
            <w:r>
              <w:rPr>
                <w:lang w:val="en-GB"/>
              </w:rPr>
              <w:t>Co-administration of ibrutinib and Kaletra may increase ibrutinib exposure which may increase the risk of toxicity including risk of tumor lysis syndrome. Co</w:t>
            </w:r>
            <w:r>
              <w:rPr>
                <w:lang w:val="en-GB"/>
              </w:rPr>
              <w:noBreakHyphen/>
              <w:t>administration of ibrutinib and Kaletra should be avoided.  If the benefit is considered to outweigh the risk and Kaletra must be used, reduce the ibrutinib dose to 140 mg and monitor patient closely for toxicity.</w:t>
            </w:r>
          </w:p>
        </w:tc>
      </w:tr>
      <w:tr w:rsidR="00BE1421" w:rsidRPr="00342F7C" w14:paraId="52496389"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59878296" w14:textId="77777777" w:rsidR="00BE1421" w:rsidRDefault="00BE1421" w:rsidP="005F7244">
            <w:pPr>
              <w:pStyle w:val="EMEANormal"/>
              <w:keepNext/>
              <w:rPr>
                <w:lang w:val="en-GB"/>
              </w:rPr>
            </w:pPr>
            <w:r>
              <w:rPr>
                <w:lang w:val="en-GB"/>
              </w:rPr>
              <w:t>Neratinib</w:t>
            </w:r>
          </w:p>
        </w:tc>
        <w:tc>
          <w:tcPr>
            <w:tcW w:w="3240" w:type="dxa"/>
            <w:gridSpan w:val="5"/>
            <w:tcBorders>
              <w:top w:val="single" w:sz="4" w:space="0" w:color="auto"/>
              <w:left w:val="single" w:sz="4" w:space="0" w:color="auto"/>
              <w:bottom w:val="single" w:sz="4" w:space="0" w:color="auto"/>
              <w:right w:val="single" w:sz="4" w:space="0" w:color="auto"/>
            </w:tcBorders>
          </w:tcPr>
          <w:p w14:paraId="3EA9948D" w14:textId="77777777" w:rsidR="00BE1421" w:rsidRDefault="00BE1421" w:rsidP="00A03DBE">
            <w:pPr>
              <w:pStyle w:val="EMEANormal"/>
              <w:keepNext/>
              <w:rPr>
                <w:lang w:val="en-GB"/>
              </w:rPr>
            </w:pPr>
            <w:r>
              <w:rPr>
                <w:lang w:val="en-GB"/>
              </w:rPr>
              <w:t>Serum concentrations may be increased due to CYP3A inhibition by ritonavir.</w:t>
            </w:r>
          </w:p>
        </w:tc>
        <w:tc>
          <w:tcPr>
            <w:tcW w:w="3291" w:type="dxa"/>
            <w:gridSpan w:val="5"/>
            <w:tcBorders>
              <w:top w:val="single" w:sz="4" w:space="0" w:color="auto"/>
              <w:left w:val="single" w:sz="4" w:space="0" w:color="auto"/>
              <w:bottom w:val="single" w:sz="4" w:space="0" w:color="auto"/>
              <w:right w:val="single" w:sz="4" w:space="0" w:color="auto"/>
            </w:tcBorders>
          </w:tcPr>
          <w:p w14:paraId="0AB4B9D2" w14:textId="77777777" w:rsidR="00BE1421" w:rsidRDefault="00BE1421" w:rsidP="005F7244">
            <w:pPr>
              <w:pStyle w:val="EMEANormal"/>
              <w:keepNext/>
              <w:rPr>
                <w:lang w:val="en-GB"/>
              </w:rPr>
            </w:pPr>
            <w:r>
              <w:rPr>
                <w:lang w:val="en-GB"/>
              </w:rPr>
              <w:t>Concomitant use of neratinib with Kaletra is contraindicated due to serious and/or life</w:t>
            </w:r>
            <w:r>
              <w:rPr>
                <w:lang w:val="en-GB"/>
              </w:rPr>
              <w:noBreakHyphen/>
              <w:t>threatening potential reactions including hepatotoxicity (see section 4.3).</w:t>
            </w:r>
          </w:p>
        </w:tc>
      </w:tr>
      <w:tr w:rsidR="00BE1421" w:rsidRPr="00342F7C" w14:paraId="1370811B"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647C6C17" w14:textId="77777777" w:rsidR="00BE1421" w:rsidRPr="00342F7C" w:rsidRDefault="00BE1421" w:rsidP="007574EF">
            <w:pPr>
              <w:pStyle w:val="EMEANormal"/>
              <w:rPr>
                <w:lang w:val="en-GB"/>
              </w:rPr>
            </w:pPr>
            <w:r>
              <w:rPr>
                <w:lang w:val="en-GB"/>
              </w:rPr>
              <w:t>Venetoclax</w:t>
            </w:r>
          </w:p>
        </w:tc>
        <w:tc>
          <w:tcPr>
            <w:tcW w:w="3240" w:type="dxa"/>
            <w:gridSpan w:val="5"/>
            <w:tcBorders>
              <w:top w:val="single" w:sz="4" w:space="0" w:color="auto"/>
              <w:left w:val="single" w:sz="4" w:space="0" w:color="auto"/>
              <w:bottom w:val="single" w:sz="4" w:space="0" w:color="auto"/>
              <w:right w:val="single" w:sz="4" w:space="0" w:color="auto"/>
            </w:tcBorders>
          </w:tcPr>
          <w:p w14:paraId="144B88B9" w14:textId="77777777" w:rsidR="00BE1421" w:rsidRPr="00342F7C" w:rsidRDefault="00BE1421" w:rsidP="008A55B1">
            <w:pPr>
              <w:pStyle w:val="EMEANormal"/>
              <w:rPr>
                <w:lang w:val="en-GB"/>
              </w:rPr>
            </w:pPr>
            <w:r>
              <w:rPr>
                <w:lang w:val="en-GB"/>
              </w:rPr>
              <w:t>Due to CYP3A inhibition by lopinavir/ritonavir.</w:t>
            </w:r>
          </w:p>
        </w:tc>
        <w:tc>
          <w:tcPr>
            <w:tcW w:w="3291" w:type="dxa"/>
            <w:gridSpan w:val="5"/>
            <w:tcBorders>
              <w:top w:val="single" w:sz="4" w:space="0" w:color="auto"/>
              <w:left w:val="single" w:sz="4" w:space="0" w:color="auto"/>
              <w:bottom w:val="single" w:sz="4" w:space="0" w:color="auto"/>
              <w:right w:val="single" w:sz="4" w:space="0" w:color="auto"/>
            </w:tcBorders>
          </w:tcPr>
          <w:p w14:paraId="30C8D6EF" w14:textId="77777777" w:rsidR="00BE1421" w:rsidRPr="006E0E58" w:rsidRDefault="00BE1421" w:rsidP="00B86D44">
            <w:pPr>
              <w:pStyle w:val="EMEANormal"/>
              <w:rPr>
                <w:lang w:val="en-GB"/>
              </w:rPr>
            </w:pPr>
            <w:r w:rsidRPr="0029146F">
              <w:rPr>
                <w:lang w:val="en-GB"/>
              </w:rPr>
              <w:t>Serum concentrations may be increased due to CYP3A inhibition by lopinavir/ritonavir, resulting in increased risk of tumor lysis syndrome at the dose initiation and during the ramp-up phase (see section 4.3 and refer to the venetoclax SmPC).</w:t>
            </w:r>
          </w:p>
          <w:p w14:paraId="23EA4B5E" w14:textId="77777777" w:rsidR="00BE1421" w:rsidRPr="006E0E58" w:rsidRDefault="00BE1421" w:rsidP="00B86D44">
            <w:pPr>
              <w:pStyle w:val="EMEANormal"/>
              <w:rPr>
                <w:lang w:val="en-GB"/>
              </w:rPr>
            </w:pPr>
          </w:p>
          <w:p w14:paraId="6E5A25FE" w14:textId="77777777" w:rsidR="00BE1421" w:rsidRPr="00342F7C" w:rsidRDefault="00BE1421" w:rsidP="00B86D44">
            <w:pPr>
              <w:pStyle w:val="EMEANormal"/>
              <w:rPr>
                <w:lang w:val="en-GB"/>
              </w:rPr>
            </w:pPr>
            <w:r w:rsidRPr="0029146F">
              <w:rPr>
                <w:szCs w:val="22"/>
              </w:rPr>
              <w:t>For patients who have completed the ramp-up phase and are on a steady daily dose of venetoclax, reduce the venetoclax dose by at least 75% when used with strong CYP3A inhibitors (refer to the venetoclax SmPC for dosing instructions).  Patients should be closely monitored for signs related</w:t>
            </w:r>
            <w:r>
              <w:rPr>
                <w:szCs w:val="22"/>
              </w:rPr>
              <w:t xml:space="preserve"> </w:t>
            </w:r>
            <w:r w:rsidRPr="0029146F">
              <w:rPr>
                <w:szCs w:val="22"/>
              </w:rPr>
              <w:t>to venetoclax toxicities.</w:t>
            </w:r>
          </w:p>
        </w:tc>
      </w:tr>
      <w:tr w:rsidR="00BE1421" w:rsidRPr="00342F7C" w14:paraId="7D6CF5F3" w14:textId="77777777" w:rsidTr="008F531F">
        <w:trPr>
          <w:gridAfter w:val="1"/>
          <w:wAfter w:w="36" w:type="dxa"/>
        </w:trPr>
        <w:tc>
          <w:tcPr>
            <w:tcW w:w="9178" w:type="dxa"/>
            <w:gridSpan w:val="11"/>
            <w:tcBorders>
              <w:top w:val="single" w:sz="4" w:space="0" w:color="auto"/>
              <w:left w:val="single" w:sz="4" w:space="0" w:color="auto"/>
              <w:bottom w:val="single" w:sz="4" w:space="0" w:color="auto"/>
              <w:right w:val="single" w:sz="4" w:space="0" w:color="auto"/>
            </w:tcBorders>
          </w:tcPr>
          <w:p w14:paraId="5E1597CA" w14:textId="77777777" w:rsidR="00BE1421" w:rsidRPr="00342F7C" w:rsidRDefault="00BE1421" w:rsidP="0089797D">
            <w:pPr>
              <w:pStyle w:val="EMEANormal"/>
              <w:keepNext/>
              <w:rPr>
                <w:i/>
                <w:iCs/>
                <w:lang w:val="en-GB"/>
              </w:rPr>
            </w:pPr>
            <w:r w:rsidRPr="00342F7C">
              <w:rPr>
                <w:i/>
                <w:iCs/>
                <w:lang w:val="en-GB"/>
              </w:rPr>
              <w:t>Anticoagulants</w:t>
            </w:r>
          </w:p>
        </w:tc>
      </w:tr>
      <w:tr w:rsidR="00BE1421" w:rsidRPr="00342F7C" w14:paraId="7A7EF5B9"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582455C0" w14:textId="77777777" w:rsidR="00BE1421" w:rsidRPr="00342F7C" w:rsidRDefault="00BE1421" w:rsidP="0089797D">
            <w:pPr>
              <w:pStyle w:val="EMEANormal"/>
              <w:keepNext/>
              <w:rPr>
                <w:lang w:val="en-GB"/>
              </w:rPr>
            </w:pPr>
            <w:r w:rsidRPr="00342F7C">
              <w:rPr>
                <w:lang w:val="en-GB"/>
              </w:rPr>
              <w:t>Warfarin</w:t>
            </w:r>
          </w:p>
          <w:p w14:paraId="04FA84F0" w14:textId="77777777" w:rsidR="00BE1421" w:rsidRPr="00342F7C" w:rsidRDefault="00BE1421" w:rsidP="0089797D">
            <w:pPr>
              <w:pStyle w:val="EMEANormal"/>
              <w:keepNext/>
              <w:rPr>
                <w:lang w:val="en-GB"/>
              </w:rPr>
            </w:pPr>
          </w:p>
          <w:p w14:paraId="19CAAB07" w14:textId="77777777" w:rsidR="00BE1421" w:rsidRPr="00342F7C" w:rsidRDefault="00BE1421" w:rsidP="0089797D">
            <w:pPr>
              <w:pStyle w:val="EMEANormal"/>
              <w:keepNext/>
              <w:rPr>
                <w:lang w:val="en-GB"/>
              </w:rPr>
            </w:pPr>
          </w:p>
          <w:p w14:paraId="0F0FFC18" w14:textId="77777777" w:rsidR="00BE1421" w:rsidRPr="00342F7C" w:rsidRDefault="00BE1421" w:rsidP="0089797D">
            <w:pPr>
              <w:pStyle w:val="EMEANormal"/>
              <w:keepNext/>
              <w:rPr>
                <w:i/>
                <w:iCs/>
                <w:lang w:val="en-GB"/>
              </w:rPr>
            </w:pPr>
          </w:p>
        </w:tc>
        <w:tc>
          <w:tcPr>
            <w:tcW w:w="3270" w:type="dxa"/>
            <w:gridSpan w:val="7"/>
            <w:tcBorders>
              <w:top w:val="single" w:sz="4" w:space="0" w:color="auto"/>
              <w:left w:val="single" w:sz="4" w:space="0" w:color="auto"/>
              <w:bottom w:val="single" w:sz="4" w:space="0" w:color="auto"/>
              <w:right w:val="single" w:sz="4" w:space="0" w:color="auto"/>
            </w:tcBorders>
          </w:tcPr>
          <w:p w14:paraId="7346E24F" w14:textId="77777777" w:rsidR="00BE1421" w:rsidRPr="00342F7C" w:rsidRDefault="00BE1421" w:rsidP="0089797D">
            <w:pPr>
              <w:pStyle w:val="EMEANormal"/>
              <w:keepNext/>
              <w:rPr>
                <w:lang w:val="en-GB"/>
              </w:rPr>
            </w:pPr>
            <w:r w:rsidRPr="00342F7C">
              <w:rPr>
                <w:lang w:val="en-GB"/>
              </w:rPr>
              <w:t>Warfarin:</w:t>
            </w:r>
          </w:p>
          <w:p w14:paraId="0164D662" w14:textId="77777777" w:rsidR="00BE1421" w:rsidRPr="00342F7C" w:rsidRDefault="00BE1421" w:rsidP="0089797D">
            <w:pPr>
              <w:pStyle w:val="EMEANormal"/>
              <w:keepNext/>
              <w:rPr>
                <w:lang w:val="en-GB"/>
              </w:rPr>
            </w:pPr>
            <w:r w:rsidRPr="00342F7C">
              <w:rPr>
                <w:lang w:val="en-GB"/>
              </w:rPr>
              <w:t xml:space="preserve">Concentrations may be affected when co-administered with </w:t>
            </w:r>
            <w:r>
              <w:rPr>
                <w:lang w:val="en-GB"/>
              </w:rPr>
              <w:t>lopinavir/ritonavir</w:t>
            </w:r>
            <w:r w:rsidRPr="00342F7C">
              <w:rPr>
                <w:lang w:val="en-GB"/>
              </w:rPr>
              <w:t xml:space="preserve"> due to CYP2C9 induction.  </w:t>
            </w:r>
          </w:p>
        </w:tc>
        <w:tc>
          <w:tcPr>
            <w:tcW w:w="3261" w:type="dxa"/>
            <w:gridSpan w:val="3"/>
            <w:tcBorders>
              <w:top w:val="single" w:sz="4" w:space="0" w:color="auto"/>
              <w:left w:val="single" w:sz="4" w:space="0" w:color="auto"/>
              <w:bottom w:val="single" w:sz="4" w:space="0" w:color="auto"/>
              <w:right w:val="single" w:sz="4" w:space="0" w:color="auto"/>
            </w:tcBorders>
          </w:tcPr>
          <w:p w14:paraId="14810D73" w14:textId="77777777" w:rsidR="00BE1421" w:rsidRPr="00342F7C" w:rsidRDefault="00BE1421" w:rsidP="0089797D">
            <w:pPr>
              <w:pStyle w:val="EMEANormal"/>
              <w:keepNext/>
              <w:rPr>
                <w:lang w:val="en-GB"/>
              </w:rPr>
            </w:pPr>
            <w:r w:rsidRPr="00342F7C">
              <w:rPr>
                <w:lang w:val="en-GB"/>
              </w:rPr>
              <w:t>It is recommended that INR (international normalised ratio) be monitored.</w:t>
            </w:r>
          </w:p>
          <w:p w14:paraId="35EDAFD3" w14:textId="77777777" w:rsidR="00BE1421" w:rsidRPr="00342F7C" w:rsidRDefault="00BE1421" w:rsidP="0089797D">
            <w:pPr>
              <w:pStyle w:val="EMEANormal"/>
              <w:keepNext/>
              <w:rPr>
                <w:lang w:val="en-GB"/>
              </w:rPr>
            </w:pPr>
          </w:p>
        </w:tc>
      </w:tr>
      <w:tr w:rsidR="00BE1421" w:rsidRPr="00FF64FE" w14:paraId="697039BA" w14:textId="77777777" w:rsidTr="003C1BB0">
        <w:trPr>
          <w:gridAfter w:val="1"/>
          <w:wAfter w:w="36" w:type="dxa"/>
          <w:trHeight w:val="2090"/>
        </w:trPr>
        <w:tc>
          <w:tcPr>
            <w:tcW w:w="2647" w:type="dxa"/>
            <w:tcBorders>
              <w:top w:val="single" w:sz="4" w:space="0" w:color="auto"/>
              <w:left w:val="single" w:sz="4" w:space="0" w:color="auto"/>
              <w:bottom w:val="single" w:sz="4" w:space="0" w:color="auto"/>
              <w:right w:val="single" w:sz="4" w:space="0" w:color="auto"/>
            </w:tcBorders>
          </w:tcPr>
          <w:p w14:paraId="73A5A80D" w14:textId="77777777" w:rsidR="00BE1421" w:rsidRDefault="00BE1421" w:rsidP="00285B05">
            <w:pPr>
              <w:pStyle w:val="EMEANormal"/>
              <w:rPr>
                <w:rFonts w:cs="Arial"/>
              </w:rPr>
            </w:pPr>
            <w:r w:rsidRPr="00FF64FE">
              <w:rPr>
                <w:rFonts w:cs="Arial"/>
              </w:rPr>
              <w:t>Rivaroxaban</w:t>
            </w:r>
          </w:p>
          <w:p w14:paraId="352CDFA7" w14:textId="77777777" w:rsidR="00BE1421" w:rsidRDefault="00BE1421" w:rsidP="00285B05">
            <w:pPr>
              <w:pStyle w:val="EMEANormal"/>
              <w:rPr>
                <w:rFonts w:cs="Arial"/>
              </w:rPr>
            </w:pPr>
          </w:p>
          <w:p w14:paraId="158CD6EC" w14:textId="77777777" w:rsidR="00BE1421" w:rsidRPr="00FF64FE" w:rsidRDefault="00BE1421" w:rsidP="00720FEC">
            <w:pPr>
              <w:pStyle w:val="EMEANormal"/>
              <w:rPr>
                <w:lang w:val="en-GB"/>
              </w:rPr>
            </w:pPr>
            <w:r>
              <w:rPr>
                <w:rFonts w:cs="Arial"/>
              </w:rPr>
              <w:t>(Ritonavir 600 mg twice daily)</w:t>
            </w:r>
          </w:p>
        </w:tc>
        <w:tc>
          <w:tcPr>
            <w:tcW w:w="3270" w:type="dxa"/>
            <w:gridSpan w:val="7"/>
            <w:tcBorders>
              <w:top w:val="single" w:sz="4" w:space="0" w:color="auto"/>
              <w:left w:val="single" w:sz="4" w:space="0" w:color="auto"/>
              <w:bottom w:val="single" w:sz="4" w:space="0" w:color="auto"/>
              <w:right w:val="single" w:sz="4" w:space="0" w:color="auto"/>
            </w:tcBorders>
          </w:tcPr>
          <w:p w14:paraId="571DD9A0" w14:textId="77777777" w:rsidR="00BE1421" w:rsidRPr="00FF64FE" w:rsidRDefault="00BE1421" w:rsidP="00285B05">
            <w:pPr>
              <w:pStyle w:val="EMEANormal"/>
            </w:pPr>
            <w:r w:rsidRPr="00FF64FE">
              <w:t xml:space="preserve">Rivaroxaban:  </w:t>
            </w:r>
          </w:p>
          <w:p w14:paraId="2F32AA50" w14:textId="77777777" w:rsidR="00BE1421" w:rsidRPr="00FF64FE" w:rsidRDefault="00BE1421" w:rsidP="00285B05">
            <w:pPr>
              <w:pStyle w:val="EMEANormal"/>
            </w:pPr>
            <w:r w:rsidRPr="00FF64FE">
              <w:t xml:space="preserve">AUC: </w:t>
            </w:r>
            <w:r w:rsidRPr="00FF64FE">
              <w:rPr>
                <w:lang w:val="en-GB"/>
              </w:rPr>
              <w:t xml:space="preserve">↑ </w:t>
            </w:r>
            <w:r w:rsidRPr="00FF64FE">
              <w:t>15</w:t>
            </w:r>
            <w:r>
              <w:t>3</w:t>
            </w:r>
            <w:r w:rsidRPr="00FF64FE">
              <w:t xml:space="preserve">% </w:t>
            </w:r>
          </w:p>
          <w:p w14:paraId="45BC9B13" w14:textId="77777777" w:rsidR="00BE1421" w:rsidRDefault="00BE1421" w:rsidP="00285B05">
            <w:pPr>
              <w:pStyle w:val="EMEANormal"/>
            </w:pPr>
            <w:r w:rsidRPr="00FF64FE">
              <w:t>C</w:t>
            </w:r>
            <w:r w:rsidRPr="00FF64FE">
              <w:rPr>
                <w:vertAlign w:val="subscript"/>
              </w:rPr>
              <w:t>max</w:t>
            </w:r>
            <w:r w:rsidRPr="00FF64FE">
              <w:t xml:space="preserve">: </w:t>
            </w:r>
            <w:r w:rsidRPr="00FF64FE">
              <w:rPr>
                <w:lang w:val="en-GB"/>
              </w:rPr>
              <w:t xml:space="preserve">↑ </w:t>
            </w:r>
            <w:r>
              <w:rPr>
                <w:lang w:val="en-GB"/>
              </w:rPr>
              <w:t>55</w:t>
            </w:r>
            <w:r w:rsidRPr="00FF64FE">
              <w:t>%</w:t>
            </w:r>
          </w:p>
          <w:p w14:paraId="6F9603D6" w14:textId="77777777" w:rsidR="00BE1421" w:rsidRPr="00FF64FE" w:rsidRDefault="00BE1421" w:rsidP="00285B05">
            <w:pPr>
              <w:pStyle w:val="EMEANormal"/>
              <w:rPr>
                <w:lang w:val="en-GB"/>
              </w:rPr>
            </w:pPr>
            <w:r>
              <w:t>Due to CYP3A and P-gp inhibition by lopinavir/ritonavir.</w:t>
            </w:r>
          </w:p>
        </w:tc>
        <w:tc>
          <w:tcPr>
            <w:tcW w:w="3261" w:type="dxa"/>
            <w:gridSpan w:val="3"/>
            <w:tcBorders>
              <w:top w:val="single" w:sz="4" w:space="0" w:color="auto"/>
              <w:left w:val="single" w:sz="4" w:space="0" w:color="auto"/>
              <w:bottom w:val="single" w:sz="4" w:space="0" w:color="auto"/>
              <w:right w:val="single" w:sz="4" w:space="0" w:color="auto"/>
            </w:tcBorders>
          </w:tcPr>
          <w:p w14:paraId="691E2412" w14:textId="77777777" w:rsidR="00BE1421" w:rsidRDefault="00BE1421" w:rsidP="00285B05">
            <w:pPr>
              <w:pStyle w:val="EMEANormal"/>
              <w:rPr>
                <w:lang w:val="en-GB"/>
              </w:rPr>
            </w:pPr>
            <w:r w:rsidRPr="00FF64FE">
              <w:rPr>
                <w:lang w:val="en-GB"/>
              </w:rPr>
              <w:t>Co</w:t>
            </w:r>
            <w:r>
              <w:rPr>
                <w:lang w:val="en-GB"/>
              </w:rPr>
              <w:noBreakHyphen/>
            </w:r>
            <w:r w:rsidRPr="00FF64FE">
              <w:rPr>
                <w:lang w:val="en-GB"/>
              </w:rPr>
              <w:t>admin</w:t>
            </w:r>
            <w:r>
              <w:rPr>
                <w:lang w:val="en-GB"/>
              </w:rPr>
              <w:t>i</w:t>
            </w:r>
            <w:r w:rsidRPr="00FF64FE">
              <w:rPr>
                <w:lang w:val="en-GB"/>
              </w:rPr>
              <w:t>stration of rivaroxaban and Kaletra may increase rivaroxaban exposure which may increase the risk of bleeding.</w:t>
            </w:r>
          </w:p>
          <w:p w14:paraId="445AC624" w14:textId="77777777" w:rsidR="00BE1421" w:rsidRPr="00FF64FE" w:rsidRDefault="00BE1421" w:rsidP="00285B05">
            <w:pPr>
              <w:pStyle w:val="EMEANormal"/>
            </w:pPr>
            <w:r>
              <w:rPr>
                <w:lang w:val="en-GB"/>
              </w:rPr>
              <w:t>The use of rivaroxaban is not recommended in patients receiving concomitant treatment with Kaletra (see section 4.4).</w:t>
            </w:r>
          </w:p>
        </w:tc>
      </w:tr>
      <w:tr w:rsidR="00BE1421" w:rsidRPr="00FF64FE" w14:paraId="5F4B63A6"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11638EEE" w14:textId="77777777" w:rsidR="00BE1421" w:rsidRPr="00FF64FE" w:rsidRDefault="00BE1421" w:rsidP="005A4A77">
            <w:pPr>
              <w:pStyle w:val="EMEANormal"/>
              <w:rPr>
                <w:rFonts w:cs="Arial"/>
              </w:rPr>
            </w:pPr>
            <w:r>
              <w:rPr>
                <w:rFonts w:cs="Arial"/>
              </w:rPr>
              <w:t>Vorapaxar</w:t>
            </w:r>
          </w:p>
        </w:tc>
        <w:tc>
          <w:tcPr>
            <w:tcW w:w="3270" w:type="dxa"/>
            <w:gridSpan w:val="7"/>
            <w:tcBorders>
              <w:top w:val="single" w:sz="4" w:space="0" w:color="auto"/>
              <w:left w:val="single" w:sz="4" w:space="0" w:color="auto"/>
              <w:bottom w:val="single" w:sz="4" w:space="0" w:color="auto"/>
              <w:right w:val="single" w:sz="4" w:space="0" w:color="auto"/>
            </w:tcBorders>
          </w:tcPr>
          <w:p w14:paraId="336F0BB1" w14:textId="77777777" w:rsidR="00BE1421" w:rsidRPr="00FF64FE" w:rsidRDefault="00BE1421" w:rsidP="005A4A77">
            <w:pPr>
              <w:pStyle w:val="EMEANormal"/>
            </w:pPr>
            <w:r>
              <w:t xml:space="preserve">Serum concentrations may be increased due to CYP3A inhibition by </w:t>
            </w:r>
            <w:r>
              <w:rPr>
                <w:lang w:val="en-GB"/>
              </w:rPr>
              <w:t>lopinavir/ritonavir</w:t>
            </w:r>
            <w:r>
              <w:t>.</w:t>
            </w:r>
          </w:p>
        </w:tc>
        <w:tc>
          <w:tcPr>
            <w:tcW w:w="3261" w:type="dxa"/>
            <w:gridSpan w:val="3"/>
            <w:tcBorders>
              <w:top w:val="single" w:sz="4" w:space="0" w:color="auto"/>
              <w:left w:val="single" w:sz="4" w:space="0" w:color="auto"/>
              <w:bottom w:val="single" w:sz="4" w:space="0" w:color="auto"/>
              <w:right w:val="single" w:sz="4" w:space="0" w:color="auto"/>
            </w:tcBorders>
          </w:tcPr>
          <w:p w14:paraId="462046DD" w14:textId="77777777" w:rsidR="00BE1421" w:rsidRPr="00FF64FE" w:rsidRDefault="00BE1421" w:rsidP="005A4A77">
            <w:pPr>
              <w:pStyle w:val="EMEANormal"/>
              <w:rPr>
                <w:lang w:val="en-GB"/>
              </w:rPr>
            </w:pPr>
            <w:r>
              <w:rPr>
                <w:lang w:val="en-GB"/>
              </w:rPr>
              <w:t>The co</w:t>
            </w:r>
            <w:r>
              <w:rPr>
                <w:lang w:val="en-GB"/>
              </w:rPr>
              <w:noBreakHyphen/>
              <w:t>administration of vorapaxar with Kaletra is not recommended (see section 4.4 and refer to the vorapaxar SmPC).</w:t>
            </w:r>
          </w:p>
        </w:tc>
      </w:tr>
      <w:tr w:rsidR="00BE1421" w:rsidRPr="00342F7C" w14:paraId="6D39B59B" w14:textId="77777777" w:rsidTr="008F531F">
        <w:trPr>
          <w:gridAfter w:val="1"/>
          <w:wAfter w:w="36" w:type="dxa"/>
        </w:trPr>
        <w:tc>
          <w:tcPr>
            <w:tcW w:w="9178" w:type="dxa"/>
            <w:gridSpan w:val="11"/>
            <w:tcBorders>
              <w:top w:val="single" w:sz="4" w:space="0" w:color="auto"/>
              <w:left w:val="single" w:sz="4" w:space="0" w:color="auto"/>
              <w:bottom w:val="single" w:sz="4" w:space="0" w:color="auto"/>
              <w:right w:val="single" w:sz="4" w:space="0" w:color="auto"/>
            </w:tcBorders>
          </w:tcPr>
          <w:p w14:paraId="6A3ACF90" w14:textId="77777777" w:rsidR="00BE1421" w:rsidRPr="00342F7C" w:rsidRDefault="00BE1421" w:rsidP="00B1213D">
            <w:pPr>
              <w:pStyle w:val="EMEANormal"/>
              <w:keepNext/>
              <w:rPr>
                <w:lang w:val="en-GB"/>
              </w:rPr>
            </w:pPr>
            <w:r w:rsidRPr="00342F7C">
              <w:rPr>
                <w:i/>
                <w:iCs/>
                <w:lang w:val="en-GB"/>
              </w:rPr>
              <w:t>Anticonvulsants</w:t>
            </w:r>
          </w:p>
        </w:tc>
      </w:tr>
      <w:tr w:rsidR="00BE1421" w:rsidRPr="00342F7C" w14:paraId="602D1474"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59F8E388" w14:textId="77777777" w:rsidR="00BE1421" w:rsidRPr="00342F7C" w:rsidRDefault="00BE1421" w:rsidP="00B1213D">
            <w:pPr>
              <w:pStyle w:val="EMEANormal"/>
              <w:keepNext/>
              <w:rPr>
                <w:lang w:val="en-GB"/>
              </w:rPr>
            </w:pPr>
            <w:r w:rsidRPr="00342F7C">
              <w:rPr>
                <w:lang w:val="en-GB"/>
              </w:rPr>
              <w:t>Phenytoin</w:t>
            </w:r>
          </w:p>
          <w:p w14:paraId="3C3DCBB9" w14:textId="77777777" w:rsidR="00BE1421" w:rsidRPr="00342F7C" w:rsidRDefault="00BE1421" w:rsidP="00B1213D">
            <w:pPr>
              <w:pStyle w:val="EMEANormal"/>
              <w:keepNext/>
              <w:rPr>
                <w:lang w:val="en-GB"/>
              </w:rPr>
            </w:pPr>
          </w:p>
        </w:tc>
        <w:tc>
          <w:tcPr>
            <w:tcW w:w="3240" w:type="dxa"/>
            <w:gridSpan w:val="5"/>
            <w:tcBorders>
              <w:top w:val="single" w:sz="4" w:space="0" w:color="auto"/>
              <w:left w:val="single" w:sz="4" w:space="0" w:color="auto"/>
              <w:bottom w:val="single" w:sz="4" w:space="0" w:color="auto"/>
              <w:right w:val="single" w:sz="4" w:space="0" w:color="auto"/>
            </w:tcBorders>
          </w:tcPr>
          <w:p w14:paraId="29BD4097" w14:textId="77777777" w:rsidR="00BE1421" w:rsidRPr="00342F7C" w:rsidRDefault="00BE1421" w:rsidP="00B1213D">
            <w:pPr>
              <w:pStyle w:val="EMEANormal"/>
              <w:keepNext/>
              <w:rPr>
                <w:lang w:val="en-GB"/>
              </w:rPr>
            </w:pPr>
            <w:r w:rsidRPr="00342F7C">
              <w:rPr>
                <w:lang w:val="en-GB"/>
              </w:rPr>
              <w:t>Phenytoin:</w:t>
            </w:r>
          </w:p>
          <w:p w14:paraId="5C63A62A" w14:textId="77777777" w:rsidR="00BE1421" w:rsidRPr="00342F7C" w:rsidRDefault="00BE1421" w:rsidP="00B1213D">
            <w:pPr>
              <w:pStyle w:val="EMEANormal"/>
              <w:keepNext/>
              <w:rPr>
                <w:lang w:val="en-GB"/>
              </w:rPr>
            </w:pPr>
            <w:r w:rsidRPr="00342F7C">
              <w:rPr>
                <w:lang w:val="en-GB"/>
              </w:rPr>
              <w:t>Steady-state concentrations w</w:t>
            </w:r>
            <w:r>
              <w:rPr>
                <w:lang w:val="en-GB"/>
              </w:rPr>
              <w:t>as</w:t>
            </w:r>
            <w:r w:rsidRPr="00342F7C">
              <w:rPr>
                <w:lang w:val="en-GB"/>
              </w:rPr>
              <w:t xml:space="preserve"> moderately decreased due to CYP2C9 and CYP2C19 induction by </w:t>
            </w:r>
            <w:r>
              <w:rPr>
                <w:lang w:val="en-GB"/>
              </w:rPr>
              <w:t>lopinavir/ritonavir</w:t>
            </w:r>
            <w:r w:rsidRPr="00342F7C">
              <w:rPr>
                <w:lang w:val="en-GB"/>
              </w:rPr>
              <w:t>.</w:t>
            </w:r>
          </w:p>
          <w:p w14:paraId="75EA73C5" w14:textId="77777777" w:rsidR="00BE1421" w:rsidRPr="00342F7C" w:rsidRDefault="00BE1421" w:rsidP="00B1213D">
            <w:pPr>
              <w:pStyle w:val="EMEANormal"/>
              <w:keepNext/>
              <w:rPr>
                <w:lang w:val="en-GB"/>
              </w:rPr>
            </w:pPr>
          </w:p>
          <w:p w14:paraId="3E683697" w14:textId="77777777" w:rsidR="00BE1421" w:rsidRPr="00342F7C" w:rsidRDefault="00BE1421" w:rsidP="00B1213D">
            <w:pPr>
              <w:pStyle w:val="EMEANormal"/>
              <w:keepNext/>
              <w:rPr>
                <w:lang w:val="en-GB"/>
              </w:rPr>
            </w:pPr>
            <w:r w:rsidRPr="00342F7C">
              <w:rPr>
                <w:lang w:val="en-GB"/>
              </w:rPr>
              <w:t xml:space="preserve">Lopinavir:  </w:t>
            </w:r>
          </w:p>
          <w:p w14:paraId="3F031998" w14:textId="77777777" w:rsidR="00BE1421" w:rsidRPr="00342F7C" w:rsidRDefault="00BE1421" w:rsidP="00B1213D">
            <w:pPr>
              <w:pStyle w:val="EMEANormal"/>
              <w:keepNext/>
              <w:rPr>
                <w:lang w:val="en-GB"/>
              </w:rPr>
            </w:pPr>
            <w:r w:rsidRPr="00342F7C">
              <w:rPr>
                <w:lang w:val="en-GB"/>
              </w:rPr>
              <w:t xml:space="preserve">Concentrations are decreased due to CYP3A induction by phenytoin.  </w:t>
            </w:r>
          </w:p>
          <w:p w14:paraId="74F9B4C8" w14:textId="77777777" w:rsidR="00BE1421" w:rsidRPr="00342F7C" w:rsidRDefault="00BE1421" w:rsidP="00B1213D">
            <w:pPr>
              <w:pStyle w:val="EMEANormal"/>
              <w:keepNext/>
              <w:rPr>
                <w:lang w:val="en-GB"/>
              </w:rPr>
            </w:pPr>
          </w:p>
        </w:tc>
        <w:tc>
          <w:tcPr>
            <w:tcW w:w="3291" w:type="dxa"/>
            <w:gridSpan w:val="5"/>
            <w:tcBorders>
              <w:top w:val="single" w:sz="4" w:space="0" w:color="auto"/>
              <w:left w:val="single" w:sz="4" w:space="0" w:color="auto"/>
              <w:bottom w:val="single" w:sz="4" w:space="0" w:color="auto"/>
              <w:right w:val="single" w:sz="4" w:space="0" w:color="auto"/>
            </w:tcBorders>
          </w:tcPr>
          <w:p w14:paraId="2A995152" w14:textId="77777777" w:rsidR="00BE1421" w:rsidRPr="00342F7C" w:rsidRDefault="00BE1421" w:rsidP="00B1213D">
            <w:pPr>
              <w:pStyle w:val="EMEANormal"/>
              <w:keepNext/>
              <w:rPr>
                <w:lang w:val="en-GB"/>
              </w:rPr>
            </w:pPr>
            <w:r w:rsidRPr="00342F7C">
              <w:rPr>
                <w:lang w:val="en-GB"/>
              </w:rPr>
              <w:t>Caution should be exercised in administering phenytoin with Kaletra.</w:t>
            </w:r>
          </w:p>
          <w:p w14:paraId="56D18995" w14:textId="77777777" w:rsidR="00BE1421" w:rsidRPr="00342F7C" w:rsidRDefault="00BE1421" w:rsidP="00B1213D">
            <w:pPr>
              <w:pStyle w:val="EMEANormal"/>
              <w:keepNext/>
              <w:rPr>
                <w:lang w:val="en-GB"/>
              </w:rPr>
            </w:pPr>
          </w:p>
          <w:p w14:paraId="3F980E51" w14:textId="77777777" w:rsidR="00BE1421" w:rsidRPr="00342F7C" w:rsidRDefault="00BE1421" w:rsidP="00B1213D">
            <w:pPr>
              <w:pStyle w:val="EMEANormal"/>
              <w:keepNext/>
              <w:rPr>
                <w:lang w:val="en-GB"/>
              </w:rPr>
            </w:pPr>
            <w:r w:rsidRPr="00342F7C">
              <w:rPr>
                <w:lang w:val="en-GB"/>
              </w:rPr>
              <w:t>Phenytoin levels should be monitored when co</w:t>
            </w:r>
            <w:r w:rsidRPr="00342F7C">
              <w:rPr>
                <w:lang w:val="en-GB"/>
              </w:rPr>
              <w:noBreakHyphen/>
              <w:t xml:space="preserve">administering with </w:t>
            </w:r>
            <w:r>
              <w:rPr>
                <w:lang w:val="en-GB"/>
              </w:rPr>
              <w:t>Kaletra</w:t>
            </w:r>
            <w:r w:rsidRPr="00342F7C">
              <w:rPr>
                <w:lang w:val="en-GB"/>
              </w:rPr>
              <w:t>.</w:t>
            </w:r>
          </w:p>
          <w:p w14:paraId="476A1690" w14:textId="77777777" w:rsidR="00BE1421" w:rsidRPr="00342F7C" w:rsidRDefault="00BE1421" w:rsidP="00B1213D">
            <w:pPr>
              <w:pStyle w:val="EMEANormal"/>
              <w:keepNext/>
              <w:rPr>
                <w:lang w:val="en-GB"/>
              </w:rPr>
            </w:pPr>
          </w:p>
          <w:p w14:paraId="4BF063AF" w14:textId="77777777" w:rsidR="00BE1421" w:rsidRPr="00342F7C" w:rsidRDefault="00BE1421" w:rsidP="00B1213D">
            <w:pPr>
              <w:pStyle w:val="EMEANormal"/>
              <w:keepNext/>
              <w:rPr>
                <w:lang w:val="en-GB"/>
              </w:rPr>
            </w:pPr>
            <w:r w:rsidRPr="00342F7C">
              <w:rPr>
                <w:lang w:val="en-GB"/>
              </w:rPr>
              <w:t>When co-administered with phenytoin, an increase of Kaletra dosage may be envisaged.  Dose adjustment has not been evaluated in clinical practice.</w:t>
            </w:r>
          </w:p>
        </w:tc>
      </w:tr>
      <w:tr w:rsidR="00BE1421" w:rsidRPr="00342F7C" w14:paraId="607EE079"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3C7684DA" w14:textId="77777777" w:rsidR="00BE1421" w:rsidRPr="00342F7C" w:rsidRDefault="00BE1421" w:rsidP="008831F2">
            <w:pPr>
              <w:pStyle w:val="EMEANormal"/>
              <w:rPr>
                <w:lang w:val="en-GB"/>
              </w:rPr>
            </w:pPr>
            <w:r w:rsidRPr="00342F7C">
              <w:rPr>
                <w:lang w:val="en-GB"/>
              </w:rPr>
              <w:t xml:space="preserve">Carbamazepine and Phenobarbital </w:t>
            </w:r>
          </w:p>
        </w:tc>
        <w:tc>
          <w:tcPr>
            <w:tcW w:w="3240" w:type="dxa"/>
            <w:gridSpan w:val="5"/>
            <w:tcBorders>
              <w:top w:val="single" w:sz="4" w:space="0" w:color="auto"/>
              <w:left w:val="single" w:sz="4" w:space="0" w:color="auto"/>
              <w:bottom w:val="single" w:sz="4" w:space="0" w:color="auto"/>
              <w:right w:val="single" w:sz="4" w:space="0" w:color="auto"/>
            </w:tcBorders>
          </w:tcPr>
          <w:p w14:paraId="29D36973" w14:textId="77777777" w:rsidR="00BE1421" w:rsidRPr="00342F7C" w:rsidRDefault="00BE1421" w:rsidP="008831F2">
            <w:pPr>
              <w:pStyle w:val="EMEANormal"/>
              <w:rPr>
                <w:lang w:val="en-GB"/>
              </w:rPr>
            </w:pPr>
            <w:r w:rsidRPr="00342F7C">
              <w:rPr>
                <w:lang w:val="en-GB"/>
              </w:rPr>
              <w:t>Carbamazepine:</w:t>
            </w:r>
          </w:p>
          <w:p w14:paraId="2E813AD8" w14:textId="77777777" w:rsidR="00BE1421" w:rsidRPr="00342F7C" w:rsidRDefault="00BE1421" w:rsidP="008831F2">
            <w:pPr>
              <w:pStyle w:val="EMEANormal"/>
              <w:rPr>
                <w:lang w:val="en-GB"/>
              </w:rPr>
            </w:pPr>
            <w:r w:rsidRPr="00342F7C">
              <w:rPr>
                <w:lang w:val="en-GB"/>
              </w:rPr>
              <w:t xml:space="preserve">Serum concentrations may be increased due to CYP3A inhibition by </w:t>
            </w:r>
            <w:r>
              <w:rPr>
                <w:lang w:val="en-GB"/>
              </w:rPr>
              <w:t>lopinavir/ritonavir</w:t>
            </w:r>
            <w:r w:rsidRPr="00342F7C">
              <w:rPr>
                <w:lang w:val="en-GB"/>
              </w:rPr>
              <w:t>.</w:t>
            </w:r>
          </w:p>
          <w:p w14:paraId="2EBB30AF" w14:textId="77777777" w:rsidR="00BE1421" w:rsidRPr="00342F7C" w:rsidRDefault="00BE1421" w:rsidP="008831F2">
            <w:pPr>
              <w:pStyle w:val="EMEANormal"/>
              <w:rPr>
                <w:lang w:val="en-GB"/>
              </w:rPr>
            </w:pPr>
          </w:p>
          <w:p w14:paraId="5E477699" w14:textId="77777777" w:rsidR="00BE1421" w:rsidRPr="00342F7C" w:rsidRDefault="00BE1421" w:rsidP="008831F2">
            <w:pPr>
              <w:pStyle w:val="EMEANormal"/>
              <w:rPr>
                <w:lang w:val="en-GB"/>
              </w:rPr>
            </w:pPr>
            <w:r w:rsidRPr="00342F7C">
              <w:rPr>
                <w:lang w:val="en-GB"/>
              </w:rPr>
              <w:t>Lopinavir:</w:t>
            </w:r>
          </w:p>
          <w:p w14:paraId="769DC14B" w14:textId="77777777" w:rsidR="00BE1421" w:rsidRPr="00342F7C" w:rsidRDefault="00BE1421" w:rsidP="008831F2">
            <w:pPr>
              <w:pStyle w:val="EMEANormal"/>
              <w:rPr>
                <w:lang w:val="en-GB"/>
              </w:rPr>
            </w:pPr>
            <w:r w:rsidRPr="00342F7C">
              <w:rPr>
                <w:lang w:val="en-GB"/>
              </w:rPr>
              <w:t xml:space="preserve">Concentrations may be decreased due to CYP3A induction by carbamazepine and phenobarbital.  </w:t>
            </w:r>
          </w:p>
          <w:p w14:paraId="1D0D41CD" w14:textId="77777777" w:rsidR="00BE1421" w:rsidRPr="00342F7C" w:rsidRDefault="00BE1421" w:rsidP="008831F2">
            <w:pPr>
              <w:pStyle w:val="EMEANormal"/>
              <w:rPr>
                <w:lang w:val="en-GB"/>
              </w:rPr>
            </w:pPr>
          </w:p>
        </w:tc>
        <w:tc>
          <w:tcPr>
            <w:tcW w:w="3291" w:type="dxa"/>
            <w:gridSpan w:val="5"/>
            <w:tcBorders>
              <w:top w:val="single" w:sz="4" w:space="0" w:color="auto"/>
              <w:left w:val="single" w:sz="4" w:space="0" w:color="auto"/>
              <w:bottom w:val="single" w:sz="4" w:space="0" w:color="auto"/>
              <w:right w:val="single" w:sz="4" w:space="0" w:color="auto"/>
            </w:tcBorders>
          </w:tcPr>
          <w:p w14:paraId="20A20A26" w14:textId="77777777" w:rsidR="00BE1421" w:rsidRPr="00342F7C" w:rsidRDefault="00BE1421" w:rsidP="008831F2">
            <w:pPr>
              <w:pStyle w:val="EMEANormal"/>
              <w:rPr>
                <w:lang w:val="en-GB"/>
              </w:rPr>
            </w:pPr>
            <w:r w:rsidRPr="00342F7C">
              <w:rPr>
                <w:lang w:val="en-GB"/>
              </w:rPr>
              <w:t>Caution should be exercised in administering carbamazepine or phenobarbital with Kaletra.</w:t>
            </w:r>
          </w:p>
          <w:p w14:paraId="036C21E2" w14:textId="77777777" w:rsidR="00BE1421" w:rsidRPr="00342F7C" w:rsidRDefault="00BE1421" w:rsidP="008831F2">
            <w:pPr>
              <w:pStyle w:val="EMEANormal"/>
              <w:rPr>
                <w:lang w:val="en-GB"/>
              </w:rPr>
            </w:pPr>
          </w:p>
          <w:p w14:paraId="665C98EA" w14:textId="77777777" w:rsidR="00BE1421" w:rsidRPr="00342F7C" w:rsidRDefault="00BE1421" w:rsidP="008831F2">
            <w:pPr>
              <w:pStyle w:val="EMEANormal"/>
              <w:rPr>
                <w:lang w:val="en-GB"/>
              </w:rPr>
            </w:pPr>
            <w:r w:rsidRPr="00342F7C">
              <w:rPr>
                <w:lang w:val="en-GB"/>
              </w:rPr>
              <w:t>Carbamazepine and phenobarbital levels should be monitored when co</w:t>
            </w:r>
            <w:r w:rsidRPr="00342F7C">
              <w:rPr>
                <w:lang w:val="en-GB"/>
              </w:rPr>
              <w:noBreakHyphen/>
              <w:t xml:space="preserve">administering with </w:t>
            </w:r>
            <w:r>
              <w:rPr>
                <w:lang w:val="en-GB"/>
              </w:rPr>
              <w:t>Kaletra</w:t>
            </w:r>
            <w:r w:rsidRPr="00342F7C">
              <w:rPr>
                <w:lang w:val="en-GB"/>
              </w:rPr>
              <w:t>.</w:t>
            </w:r>
          </w:p>
          <w:p w14:paraId="09634398" w14:textId="77777777" w:rsidR="00BE1421" w:rsidRPr="00342F7C" w:rsidRDefault="00BE1421" w:rsidP="008831F2">
            <w:pPr>
              <w:pStyle w:val="EMEANormal"/>
              <w:rPr>
                <w:lang w:val="en-GB"/>
              </w:rPr>
            </w:pPr>
          </w:p>
          <w:p w14:paraId="4024D7FD" w14:textId="77777777" w:rsidR="00BE1421" w:rsidRPr="00342F7C" w:rsidRDefault="00BE1421" w:rsidP="008831F2">
            <w:pPr>
              <w:pStyle w:val="EMEANormal"/>
              <w:rPr>
                <w:lang w:val="en-GB"/>
              </w:rPr>
            </w:pPr>
            <w:r w:rsidRPr="00342F7C">
              <w:rPr>
                <w:lang w:val="en-GB"/>
              </w:rPr>
              <w:t>When co-administered with carbamazepine or phenobarbital, an increase of Kaletra dosage may be envisaged.  Dose adjustment has not been evaluated in clinical practice</w:t>
            </w:r>
          </w:p>
        </w:tc>
      </w:tr>
      <w:tr w:rsidR="00BE1421" w:rsidRPr="00342F7C" w14:paraId="0F738940"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7E765A72" w14:textId="77777777" w:rsidR="00BE1421" w:rsidRPr="00342F7C" w:rsidRDefault="00BE1421" w:rsidP="00D11B95">
            <w:pPr>
              <w:pStyle w:val="EMEANormal"/>
              <w:keepNext/>
              <w:rPr>
                <w:lang w:val="en-GB"/>
              </w:rPr>
            </w:pPr>
            <w:r>
              <w:rPr>
                <w:lang w:val="en-GB"/>
              </w:rPr>
              <w:t>Lamotrigine and Valproate</w:t>
            </w:r>
          </w:p>
        </w:tc>
        <w:tc>
          <w:tcPr>
            <w:tcW w:w="3240" w:type="dxa"/>
            <w:gridSpan w:val="5"/>
            <w:tcBorders>
              <w:top w:val="single" w:sz="4" w:space="0" w:color="auto"/>
              <w:left w:val="single" w:sz="4" w:space="0" w:color="auto"/>
              <w:bottom w:val="single" w:sz="4" w:space="0" w:color="auto"/>
              <w:right w:val="single" w:sz="4" w:space="0" w:color="auto"/>
            </w:tcBorders>
          </w:tcPr>
          <w:p w14:paraId="1D78B51D" w14:textId="77777777" w:rsidR="00BE1421" w:rsidRPr="009D233A" w:rsidRDefault="00BE1421" w:rsidP="00D11B95">
            <w:pPr>
              <w:pStyle w:val="EMEANormal"/>
              <w:keepNext/>
              <w:rPr>
                <w:lang w:val="en-GB"/>
              </w:rPr>
            </w:pPr>
            <w:r w:rsidRPr="009D233A">
              <w:rPr>
                <w:lang w:val="en-GB"/>
              </w:rPr>
              <w:t xml:space="preserve">Lamotrigine: </w:t>
            </w:r>
          </w:p>
          <w:p w14:paraId="3AC8CA04" w14:textId="77777777" w:rsidR="00BE1421" w:rsidRPr="009D233A" w:rsidRDefault="00BE1421" w:rsidP="00D11B95">
            <w:pPr>
              <w:pStyle w:val="EMEANormal"/>
              <w:keepNext/>
            </w:pPr>
            <w:r w:rsidRPr="009D233A">
              <w:t>AUC: ↓ 50%</w:t>
            </w:r>
          </w:p>
          <w:p w14:paraId="43FAC2EF" w14:textId="77777777" w:rsidR="00BE1421" w:rsidRPr="009D233A" w:rsidRDefault="00BE1421" w:rsidP="00D11B95">
            <w:pPr>
              <w:pStyle w:val="EMEANormal"/>
              <w:keepNext/>
              <w:rPr>
                <w:lang w:eastAsia="en-GB"/>
              </w:rPr>
            </w:pPr>
            <w:r w:rsidRPr="009D233A">
              <w:rPr>
                <w:lang w:eastAsia="en-GB"/>
              </w:rPr>
              <w:t>C</w:t>
            </w:r>
            <w:r w:rsidRPr="009D233A">
              <w:rPr>
                <w:vertAlign w:val="subscript"/>
                <w:lang w:eastAsia="en-GB"/>
              </w:rPr>
              <w:t>max</w:t>
            </w:r>
            <w:r w:rsidRPr="009D233A">
              <w:rPr>
                <w:szCs w:val="22"/>
              </w:rPr>
              <w:t>:</w:t>
            </w:r>
            <w:r w:rsidRPr="009D233A">
              <w:rPr>
                <w:lang w:eastAsia="en-GB"/>
              </w:rPr>
              <w:t xml:space="preserve"> ↓ 46%</w:t>
            </w:r>
          </w:p>
          <w:p w14:paraId="06152F9B" w14:textId="77777777" w:rsidR="00BE1421" w:rsidRPr="009D233A" w:rsidRDefault="00BE1421" w:rsidP="00D11B95">
            <w:pPr>
              <w:pStyle w:val="EMEANormal"/>
              <w:keepNext/>
              <w:rPr>
                <w:lang w:eastAsia="en-GB"/>
              </w:rPr>
            </w:pPr>
            <w:r w:rsidRPr="009D233A">
              <w:rPr>
                <w:lang w:eastAsia="en-GB"/>
              </w:rPr>
              <w:t>C</w:t>
            </w:r>
            <w:r w:rsidRPr="009D233A">
              <w:rPr>
                <w:vertAlign w:val="subscript"/>
                <w:lang w:eastAsia="en-GB"/>
              </w:rPr>
              <w:t>min</w:t>
            </w:r>
            <w:r w:rsidRPr="009D233A">
              <w:rPr>
                <w:szCs w:val="22"/>
              </w:rPr>
              <w:t>:</w:t>
            </w:r>
            <w:r w:rsidRPr="009D233A">
              <w:rPr>
                <w:lang w:eastAsia="en-GB"/>
              </w:rPr>
              <w:t xml:space="preserve"> ↓ 56%</w:t>
            </w:r>
          </w:p>
          <w:p w14:paraId="75D00C8C" w14:textId="77777777" w:rsidR="00BE1421" w:rsidRPr="009D233A" w:rsidRDefault="00BE1421" w:rsidP="00D11B95">
            <w:pPr>
              <w:pStyle w:val="EMEANormal"/>
              <w:keepNext/>
              <w:rPr>
                <w:lang w:eastAsia="en-GB"/>
              </w:rPr>
            </w:pPr>
          </w:p>
          <w:p w14:paraId="497E3C63" w14:textId="77777777" w:rsidR="00BE1421" w:rsidRPr="009D233A" w:rsidRDefault="00BE1421" w:rsidP="00D11B95">
            <w:pPr>
              <w:pStyle w:val="EMEANormal"/>
              <w:keepNext/>
              <w:rPr>
                <w:lang w:val="en-GB"/>
              </w:rPr>
            </w:pPr>
            <w:r w:rsidRPr="009D233A">
              <w:rPr>
                <w:lang w:eastAsia="en-GB"/>
              </w:rPr>
              <w:t>Due to induction of lamotrigine glucuronidation</w:t>
            </w:r>
          </w:p>
          <w:p w14:paraId="0ADF809A" w14:textId="77777777" w:rsidR="00BE1421" w:rsidRPr="009D233A" w:rsidRDefault="00BE1421" w:rsidP="00D11B95">
            <w:pPr>
              <w:pStyle w:val="EMEANormal"/>
              <w:keepNext/>
              <w:rPr>
                <w:lang w:val="en-GB"/>
              </w:rPr>
            </w:pPr>
          </w:p>
          <w:p w14:paraId="3B55573B" w14:textId="77777777" w:rsidR="00BE1421" w:rsidRPr="00342F7C" w:rsidRDefault="00BE1421" w:rsidP="00D11B95">
            <w:pPr>
              <w:pStyle w:val="EMEANormal"/>
              <w:keepNext/>
              <w:rPr>
                <w:lang w:val="en-GB"/>
              </w:rPr>
            </w:pPr>
            <w:r>
              <w:rPr>
                <w:lang w:val="en-GB"/>
              </w:rPr>
              <w:t xml:space="preserve">Valproate: </w:t>
            </w:r>
            <w:r w:rsidRPr="00342F7C">
              <w:rPr>
                <w:lang w:val="en-GB"/>
              </w:rPr>
              <w:t>↓</w:t>
            </w:r>
          </w:p>
        </w:tc>
        <w:tc>
          <w:tcPr>
            <w:tcW w:w="3291" w:type="dxa"/>
            <w:gridSpan w:val="5"/>
            <w:tcBorders>
              <w:top w:val="single" w:sz="4" w:space="0" w:color="auto"/>
              <w:left w:val="single" w:sz="4" w:space="0" w:color="auto"/>
              <w:bottom w:val="single" w:sz="4" w:space="0" w:color="auto"/>
              <w:right w:val="single" w:sz="4" w:space="0" w:color="auto"/>
            </w:tcBorders>
          </w:tcPr>
          <w:p w14:paraId="5400509E" w14:textId="77777777" w:rsidR="00BE1421" w:rsidRPr="009D233A" w:rsidRDefault="00BE1421" w:rsidP="00D11B95">
            <w:pPr>
              <w:pStyle w:val="EMEANormal"/>
              <w:keepNext/>
              <w:rPr>
                <w:lang w:val="en-GB"/>
              </w:rPr>
            </w:pPr>
            <w:r w:rsidRPr="009D233A">
              <w:rPr>
                <w:lang w:val="en-GB"/>
              </w:rPr>
              <w:t>Patients should be monitored closely for a decreased VPA effect when Kaletra and valproic acid or valproate are given concomitantly.</w:t>
            </w:r>
          </w:p>
          <w:p w14:paraId="2B21A39A" w14:textId="77777777" w:rsidR="00BE1421" w:rsidRDefault="00BE1421" w:rsidP="00D11B95">
            <w:pPr>
              <w:pStyle w:val="EMEANormal"/>
              <w:keepNext/>
              <w:rPr>
                <w:u w:val="single"/>
                <w:lang w:val="en-GB"/>
              </w:rPr>
            </w:pPr>
          </w:p>
          <w:p w14:paraId="448E1B7E" w14:textId="77777777" w:rsidR="00BE1421" w:rsidRDefault="00BE1421" w:rsidP="00D11B95">
            <w:pPr>
              <w:pStyle w:val="EMEANormal"/>
              <w:keepNext/>
              <w:rPr>
                <w:lang w:val="en-GB"/>
              </w:rPr>
            </w:pPr>
            <w:r w:rsidRPr="00B2319F">
              <w:rPr>
                <w:u w:val="single"/>
                <w:lang w:val="en-GB"/>
              </w:rPr>
              <w:t>In patients starting or stopping Kaletra while currently taking maintenance dose of lamotrigine</w:t>
            </w:r>
            <w:r>
              <w:rPr>
                <w:lang w:val="en-GB"/>
              </w:rPr>
              <w:t>:</w:t>
            </w:r>
            <w:r w:rsidRPr="00342F7C">
              <w:rPr>
                <w:lang w:val="en-GB"/>
              </w:rPr>
              <w:t xml:space="preserve"> </w:t>
            </w:r>
            <w:r>
              <w:rPr>
                <w:lang w:val="en-GB"/>
              </w:rPr>
              <w:t>lamotrigine dose may need to be increased if Kaletra is added, or decreased if Kaletra is discontinued; therefore plasma lamotrigine monitoring should be conducted, particularly before and during 2 weeks after starting or stopping Kaletra, in order to see if lamotrigine dose adjustment is needed.</w:t>
            </w:r>
          </w:p>
          <w:p w14:paraId="1AC194BB" w14:textId="77777777" w:rsidR="00BE1421" w:rsidRPr="00342F7C" w:rsidRDefault="00BE1421" w:rsidP="00D11B95">
            <w:pPr>
              <w:pStyle w:val="EMEANormal"/>
              <w:keepNext/>
              <w:rPr>
                <w:lang w:val="en-GB"/>
              </w:rPr>
            </w:pPr>
            <w:r w:rsidRPr="00B2319F">
              <w:rPr>
                <w:u w:val="single"/>
                <w:lang w:val="en-GB"/>
              </w:rPr>
              <w:t>In patients currently taking Kaletra and</w:t>
            </w:r>
            <w:r>
              <w:rPr>
                <w:u w:val="single"/>
                <w:lang w:val="en-GB"/>
              </w:rPr>
              <w:t xml:space="preserve"> </w:t>
            </w:r>
            <w:r w:rsidRPr="00B2319F">
              <w:rPr>
                <w:u w:val="single"/>
                <w:lang w:val="en-GB"/>
              </w:rPr>
              <w:t>starting lamotrigine</w:t>
            </w:r>
            <w:r>
              <w:rPr>
                <w:lang w:val="en-GB"/>
              </w:rPr>
              <w:t>: no dose adjustments to the recommended dose escalation of lamotrigine should be necessary.</w:t>
            </w:r>
          </w:p>
        </w:tc>
      </w:tr>
      <w:tr w:rsidR="00BE1421" w:rsidRPr="00342F7C" w14:paraId="68E4E40A" w14:textId="77777777" w:rsidTr="008F531F">
        <w:trPr>
          <w:gridAfter w:val="1"/>
          <w:wAfter w:w="36" w:type="dxa"/>
          <w:trHeight w:val="349"/>
        </w:trPr>
        <w:tc>
          <w:tcPr>
            <w:tcW w:w="9178" w:type="dxa"/>
            <w:gridSpan w:val="11"/>
            <w:tcBorders>
              <w:top w:val="single" w:sz="4" w:space="0" w:color="auto"/>
              <w:left w:val="single" w:sz="4" w:space="0" w:color="auto"/>
              <w:bottom w:val="single" w:sz="4" w:space="0" w:color="auto"/>
              <w:right w:val="single" w:sz="4" w:space="0" w:color="auto"/>
            </w:tcBorders>
          </w:tcPr>
          <w:p w14:paraId="5E652262" w14:textId="77777777" w:rsidR="00BE1421" w:rsidRPr="00342F7C" w:rsidRDefault="00BE1421" w:rsidP="002A75DB">
            <w:pPr>
              <w:keepNext/>
              <w:rPr>
                <w:sz w:val="22"/>
              </w:rPr>
            </w:pPr>
            <w:r w:rsidRPr="00342F7C">
              <w:rPr>
                <w:i/>
                <w:iCs/>
                <w:sz w:val="22"/>
              </w:rPr>
              <w:t>Antidepressants and Anxiolytics</w:t>
            </w:r>
          </w:p>
        </w:tc>
      </w:tr>
      <w:tr w:rsidR="00BE1421" w:rsidRPr="00342F7C" w14:paraId="68B8904B"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300D36B0" w14:textId="77777777" w:rsidR="00BE1421" w:rsidRPr="00342F7C" w:rsidRDefault="00BE1421" w:rsidP="002A75DB">
            <w:pPr>
              <w:pStyle w:val="EMEANormal"/>
              <w:keepNext/>
              <w:rPr>
                <w:lang w:val="en-GB"/>
              </w:rPr>
            </w:pPr>
            <w:r w:rsidRPr="00342F7C">
              <w:rPr>
                <w:lang w:val="en-GB"/>
              </w:rPr>
              <w:t>Trazodone single dose</w:t>
            </w:r>
          </w:p>
          <w:p w14:paraId="05F7DCBA" w14:textId="77777777" w:rsidR="00BE1421" w:rsidRPr="00342F7C" w:rsidRDefault="00BE1421" w:rsidP="002A75DB">
            <w:pPr>
              <w:pStyle w:val="EMEANormal"/>
              <w:keepNext/>
              <w:rPr>
                <w:lang w:val="en-GB"/>
              </w:rPr>
            </w:pPr>
          </w:p>
          <w:p w14:paraId="10DB766F" w14:textId="77777777" w:rsidR="00BE1421" w:rsidRPr="00342F7C" w:rsidRDefault="00BE1421" w:rsidP="002A75DB">
            <w:pPr>
              <w:pStyle w:val="EMEANormal"/>
              <w:keepNext/>
              <w:rPr>
                <w:lang w:val="en-GB"/>
              </w:rPr>
            </w:pPr>
            <w:r w:rsidRPr="00342F7C">
              <w:rPr>
                <w:lang w:val="en-GB"/>
              </w:rPr>
              <w:t>(Ritonavir, 200 mg BID)</w:t>
            </w:r>
          </w:p>
          <w:p w14:paraId="4E5B2FE7" w14:textId="77777777" w:rsidR="00BE1421" w:rsidRPr="00342F7C" w:rsidRDefault="00BE1421" w:rsidP="002A75DB">
            <w:pPr>
              <w:pStyle w:val="EMEANormal"/>
              <w:keepNext/>
              <w:rPr>
                <w:i/>
                <w:iCs/>
                <w:lang w:val="en-GB"/>
              </w:rPr>
            </w:pPr>
          </w:p>
        </w:tc>
        <w:tc>
          <w:tcPr>
            <w:tcW w:w="3240" w:type="dxa"/>
            <w:gridSpan w:val="5"/>
            <w:tcBorders>
              <w:top w:val="single" w:sz="4" w:space="0" w:color="auto"/>
              <w:left w:val="single" w:sz="4" w:space="0" w:color="auto"/>
              <w:bottom w:val="single" w:sz="4" w:space="0" w:color="auto"/>
              <w:right w:val="single" w:sz="4" w:space="0" w:color="auto"/>
            </w:tcBorders>
          </w:tcPr>
          <w:p w14:paraId="1B4997DF" w14:textId="77777777" w:rsidR="00BE1421" w:rsidRPr="00342F7C" w:rsidRDefault="00BE1421" w:rsidP="002A75DB">
            <w:pPr>
              <w:pStyle w:val="EMEANormal"/>
              <w:keepNext/>
              <w:rPr>
                <w:szCs w:val="22"/>
                <w:lang w:val="en-GB"/>
              </w:rPr>
            </w:pPr>
            <w:r w:rsidRPr="00342F7C">
              <w:rPr>
                <w:szCs w:val="22"/>
                <w:lang w:val="en-GB"/>
              </w:rPr>
              <w:t>Trazodone:</w:t>
            </w:r>
          </w:p>
          <w:p w14:paraId="71540F84" w14:textId="77777777" w:rsidR="00BE1421" w:rsidRPr="00342F7C" w:rsidRDefault="00BE1421" w:rsidP="002A75DB">
            <w:pPr>
              <w:pStyle w:val="EMEANormal"/>
              <w:keepNext/>
              <w:rPr>
                <w:lang w:val="en-GB"/>
              </w:rPr>
            </w:pPr>
            <w:r w:rsidRPr="00342F7C">
              <w:rPr>
                <w:szCs w:val="22"/>
                <w:lang w:val="en-GB"/>
              </w:rPr>
              <w:t xml:space="preserve">AUC: </w:t>
            </w:r>
            <w:r w:rsidRPr="00342F7C">
              <w:rPr>
                <w:lang w:val="en-GB"/>
              </w:rPr>
              <w:t>↑ 2.4-fold</w:t>
            </w:r>
          </w:p>
          <w:p w14:paraId="40E41C0F" w14:textId="77777777" w:rsidR="00BE1421" w:rsidRPr="00342F7C" w:rsidRDefault="00BE1421" w:rsidP="002A75DB">
            <w:pPr>
              <w:pStyle w:val="EMEANormal"/>
              <w:keepNext/>
              <w:rPr>
                <w:lang w:val="en-GB"/>
              </w:rPr>
            </w:pPr>
          </w:p>
          <w:p w14:paraId="0A1554E0" w14:textId="77777777" w:rsidR="00BE1421" w:rsidRPr="00342F7C" w:rsidRDefault="00BE1421" w:rsidP="002A75DB">
            <w:pPr>
              <w:pStyle w:val="EMEANormal"/>
              <w:keepNext/>
              <w:rPr>
                <w:lang w:val="en-GB"/>
              </w:rPr>
            </w:pPr>
            <w:r w:rsidRPr="00342F7C">
              <w:rPr>
                <w:szCs w:val="22"/>
                <w:lang w:val="en-GB"/>
              </w:rPr>
              <w:t xml:space="preserve">Adverse events of nausea, dizziness, hypotension and syncope were observed following co-administration of trazodone and ritonavir.  </w:t>
            </w:r>
          </w:p>
        </w:tc>
        <w:tc>
          <w:tcPr>
            <w:tcW w:w="3291" w:type="dxa"/>
            <w:gridSpan w:val="5"/>
            <w:tcBorders>
              <w:top w:val="single" w:sz="4" w:space="0" w:color="auto"/>
              <w:left w:val="single" w:sz="4" w:space="0" w:color="auto"/>
              <w:bottom w:val="single" w:sz="4" w:space="0" w:color="auto"/>
              <w:right w:val="single" w:sz="4" w:space="0" w:color="auto"/>
            </w:tcBorders>
          </w:tcPr>
          <w:p w14:paraId="6F65DEA7" w14:textId="77777777" w:rsidR="00BE1421" w:rsidRPr="00342F7C" w:rsidRDefault="00BE1421" w:rsidP="002A75DB">
            <w:pPr>
              <w:pStyle w:val="EMEANormal"/>
              <w:keepNext/>
              <w:rPr>
                <w:lang w:val="en-GB"/>
              </w:rPr>
            </w:pPr>
            <w:r w:rsidRPr="00342F7C">
              <w:rPr>
                <w:szCs w:val="22"/>
                <w:lang w:val="en-GB"/>
              </w:rPr>
              <w:t xml:space="preserve">It is unknown whether the combination of </w:t>
            </w:r>
            <w:r>
              <w:rPr>
                <w:szCs w:val="22"/>
                <w:lang w:val="en-GB"/>
              </w:rPr>
              <w:t>Kaletra</w:t>
            </w:r>
            <w:r w:rsidRPr="00342F7C">
              <w:rPr>
                <w:szCs w:val="22"/>
                <w:lang w:val="en-GB"/>
              </w:rPr>
              <w:t xml:space="preserve"> causes a similar increase in trazodone exposure.  The combination should be used with caution and a lower dose of trazodone should be considered</w:t>
            </w:r>
            <w:r w:rsidRPr="00342F7C">
              <w:rPr>
                <w:lang w:val="en-GB"/>
              </w:rPr>
              <w:t>.</w:t>
            </w:r>
          </w:p>
          <w:p w14:paraId="321B9F3C" w14:textId="77777777" w:rsidR="00BE1421" w:rsidRPr="00342F7C" w:rsidRDefault="00BE1421" w:rsidP="002A75DB">
            <w:pPr>
              <w:pStyle w:val="EMEANormal"/>
              <w:keepNext/>
              <w:rPr>
                <w:lang w:val="en-GB"/>
              </w:rPr>
            </w:pPr>
          </w:p>
        </w:tc>
      </w:tr>
      <w:tr w:rsidR="00BE1421" w:rsidRPr="00342F7C" w14:paraId="759838F1" w14:textId="77777777" w:rsidTr="008F531F">
        <w:trPr>
          <w:gridAfter w:val="1"/>
          <w:wAfter w:w="36" w:type="dxa"/>
        </w:trPr>
        <w:tc>
          <w:tcPr>
            <w:tcW w:w="9178" w:type="dxa"/>
            <w:gridSpan w:val="11"/>
            <w:tcBorders>
              <w:top w:val="single" w:sz="4" w:space="0" w:color="auto"/>
              <w:left w:val="single" w:sz="4" w:space="0" w:color="auto"/>
              <w:bottom w:val="single" w:sz="4" w:space="0" w:color="auto"/>
              <w:right w:val="single" w:sz="4" w:space="0" w:color="auto"/>
            </w:tcBorders>
          </w:tcPr>
          <w:p w14:paraId="0B8482BD" w14:textId="77777777" w:rsidR="00BE1421" w:rsidRPr="00342F7C" w:rsidRDefault="00BE1421" w:rsidP="008831F2">
            <w:pPr>
              <w:pStyle w:val="EMEANormal"/>
              <w:rPr>
                <w:i/>
                <w:iCs/>
                <w:lang w:val="en-GB"/>
              </w:rPr>
            </w:pPr>
            <w:r w:rsidRPr="00342F7C">
              <w:rPr>
                <w:i/>
                <w:iCs/>
                <w:lang w:val="en-GB"/>
              </w:rPr>
              <w:t>Antifungals</w:t>
            </w:r>
          </w:p>
        </w:tc>
      </w:tr>
      <w:tr w:rsidR="00BE1421" w:rsidRPr="00342F7C" w14:paraId="218DB081"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6BCD5CCD" w14:textId="77777777" w:rsidR="00BE1421" w:rsidRPr="00342F7C" w:rsidRDefault="00BE1421" w:rsidP="008831F2">
            <w:pPr>
              <w:pStyle w:val="EMEANormal"/>
              <w:rPr>
                <w:lang w:val="en-GB"/>
              </w:rPr>
            </w:pPr>
            <w:r w:rsidRPr="00342F7C">
              <w:rPr>
                <w:bCs/>
                <w:iCs/>
                <w:lang w:val="en-GB"/>
              </w:rPr>
              <w:t>Ketoconazole and Itraconazole</w:t>
            </w:r>
          </w:p>
        </w:tc>
        <w:tc>
          <w:tcPr>
            <w:tcW w:w="3240" w:type="dxa"/>
            <w:gridSpan w:val="5"/>
            <w:tcBorders>
              <w:top w:val="single" w:sz="4" w:space="0" w:color="auto"/>
              <w:left w:val="single" w:sz="4" w:space="0" w:color="auto"/>
              <w:bottom w:val="single" w:sz="4" w:space="0" w:color="auto"/>
              <w:right w:val="single" w:sz="4" w:space="0" w:color="auto"/>
            </w:tcBorders>
          </w:tcPr>
          <w:p w14:paraId="406E0A00" w14:textId="77777777" w:rsidR="00BE1421" w:rsidRPr="00342F7C" w:rsidRDefault="00BE1421" w:rsidP="00CA009F">
            <w:pPr>
              <w:pStyle w:val="EMEANormal"/>
              <w:rPr>
                <w:lang w:val="en-GB"/>
              </w:rPr>
            </w:pPr>
            <w:r w:rsidRPr="00342F7C">
              <w:rPr>
                <w:bCs/>
                <w:iCs/>
                <w:lang w:val="en-GB"/>
              </w:rPr>
              <w:t>Ketoconazole, Itraconazole:</w:t>
            </w:r>
            <w:r w:rsidRPr="00342F7C">
              <w:rPr>
                <w:i/>
                <w:lang w:val="en-GB"/>
              </w:rPr>
              <w:t xml:space="preserve"> </w:t>
            </w:r>
            <w:r w:rsidRPr="00342F7C">
              <w:rPr>
                <w:lang w:val="en-GB"/>
              </w:rPr>
              <w:t xml:space="preserve">Serum concentrations may be increased due to CYP3A inhibition by </w:t>
            </w:r>
            <w:r>
              <w:rPr>
                <w:lang w:val="en-GB"/>
              </w:rPr>
              <w:t>lopinavir/ritonavir</w:t>
            </w:r>
            <w:r w:rsidRPr="00342F7C">
              <w:rPr>
                <w:lang w:val="en-GB"/>
              </w:rPr>
              <w:t xml:space="preserve">. </w:t>
            </w:r>
          </w:p>
        </w:tc>
        <w:tc>
          <w:tcPr>
            <w:tcW w:w="3291" w:type="dxa"/>
            <w:gridSpan w:val="5"/>
            <w:tcBorders>
              <w:top w:val="single" w:sz="4" w:space="0" w:color="auto"/>
              <w:left w:val="single" w:sz="4" w:space="0" w:color="auto"/>
              <w:bottom w:val="single" w:sz="4" w:space="0" w:color="auto"/>
              <w:right w:val="single" w:sz="4" w:space="0" w:color="auto"/>
            </w:tcBorders>
          </w:tcPr>
          <w:p w14:paraId="588280A2" w14:textId="77777777" w:rsidR="00BE1421" w:rsidRPr="00342F7C" w:rsidRDefault="00BE1421" w:rsidP="008831F2">
            <w:pPr>
              <w:pStyle w:val="EMEANormal"/>
              <w:rPr>
                <w:lang w:val="en-GB"/>
              </w:rPr>
            </w:pPr>
            <w:r w:rsidRPr="00342F7C">
              <w:rPr>
                <w:lang w:val="en-GB"/>
              </w:rPr>
              <w:t>High doses of ketoconazole and itraconazole (&gt; 200 mg/day) are not recommended.</w:t>
            </w:r>
          </w:p>
        </w:tc>
      </w:tr>
      <w:tr w:rsidR="00BE1421" w:rsidRPr="00342F7C" w14:paraId="6D8D5429"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53B8FCAF" w14:textId="77777777" w:rsidR="00BE1421" w:rsidRPr="00342F7C" w:rsidRDefault="00BE1421" w:rsidP="008831F2">
            <w:pPr>
              <w:pStyle w:val="EMEANormal"/>
              <w:rPr>
                <w:i/>
                <w:iCs/>
                <w:lang w:val="en-GB"/>
              </w:rPr>
            </w:pPr>
            <w:r w:rsidRPr="00342F7C">
              <w:rPr>
                <w:lang w:val="en-GB"/>
              </w:rPr>
              <w:t>Voriconazole</w:t>
            </w:r>
          </w:p>
        </w:tc>
        <w:tc>
          <w:tcPr>
            <w:tcW w:w="3240" w:type="dxa"/>
            <w:gridSpan w:val="5"/>
            <w:tcBorders>
              <w:top w:val="single" w:sz="4" w:space="0" w:color="auto"/>
              <w:left w:val="single" w:sz="4" w:space="0" w:color="auto"/>
              <w:bottom w:val="single" w:sz="4" w:space="0" w:color="auto"/>
              <w:right w:val="single" w:sz="4" w:space="0" w:color="auto"/>
            </w:tcBorders>
          </w:tcPr>
          <w:p w14:paraId="7AC2ABC6" w14:textId="77777777" w:rsidR="00BE1421" w:rsidRPr="00342F7C" w:rsidRDefault="00BE1421" w:rsidP="008831F2">
            <w:pPr>
              <w:pStyle w:val="EMEANormal"/>
              <w:rPr>
                <w:lang w:val="en-GB"/>
              </w:rPr>
            </w:pPr>
            <w:r w:rsidRPr="00342F7C">
              <w:rPr>
                <w:lang w:val="en-GB"/>
              </w:rPr>
              <w:t xml:space="preserve">Voriconazole: </w:t>
            </w:r>
          </w:p>
          <w:p w14:paraId="1944C1D8" w14:textId="77777777" w:rsidR="00BE1421" w:rsidRPr="00342F7C" w:rsidRDefault="00BE1421" w:rsidP="008831F2">
            <w:pPr>
              <w:pStyle w:val="EMEANormal"/>
              <w:rPr>
                <w:lang w:val="en-GB"/>
              </w:rPr>
            </w:pPr>
            <w:r w:rsidRPr="00342F7C">
              <w:rPr>
                <w:lang w:val="en-GB"/>
              </w:rPr>
              <w:t>Concentrations may be decreased.</w:t>
            </w:r>
          </w:p>
          <w:p w14:paraId="7DCD3922" w14:textId="77777777" w:rsidR="00BE1421" w:rsidRPr="00342F7C" w:rsidRDefault="00BE1421" w:rsidP="008831F2">
            <w:pPr>
              <w:pStyle w:val="EMEANormal"/>
              <w:rPr>
                <w:lang w:val="en-GB"/>
              </w:rPr>
            </w:pPr>
          </w:p>
        </w:tc>
        <w:tc>
          <w:tcPr>
            <w:tcW w:w="3291" w:type="dxa"/>
            <w:gridSpan w:val="5"/>
            <w:tcBorders>
              <w:top w:val="single" w:sz="4" w:space="0" w:color="auto"/>
              <w:left w:val="single" w:sz="4" w:space="0" w:color="auto"/>
              <w:bottom w:val="single" w:sz="4" w:space="0" w:color="auto"/>
              <w:right w:val="single" w:sz="4" w:space="0" w:color="auto"/>
            </w:tcBorders>
          </w:tcPr>
          <w:p w14:paraId="4515B9FF" w14:textId="77777777" w:rsidR="00BE1421" w:rsidRPr="00342F7C" w:rsidRDefault="00BE1421" w:rsidP="008831F2">
            <w:pPr>
              <w:pStyle w:val="EMEANormal"/>
              <w:rPr>
                <w:lang w:val="en-GB"/>
              </w:rPr>
            </w:pPr>
            <w:r w:rsidRPr="00342F7C">
              <w:rPr>
                <w:lang w:val="en-GB"/>
              </w:rPr>
              <w:t>Co</w:t>
            </w:r>
            <w:r w:rsidRPr="00342F7C">
              <w:rPr>
                <w:lang w:val="en-GB"/>
              </w:rPr>
              <w:noBreakHyphen/>
              <w:t>administration of voriconazole and low dose ritonavir (100 mg BID) as contained in Kaletra should be avoided unless an assessment of the benefit/risk to patient justifies the use of voriconazole.</w:t>
            </w:r>
          </w:p>
        </w:tc>
      </w:tr>
      <w:tr w:rsidR="00BE1421" w:rsidRPr="00342F7C" w14:paraId="4BFA3E62" w14:textId="77777777" w:rsidTr="008F531F">
        <w:trPr>
          <w:gridAfter w:val="1"/>
          <w:wAfter w:w="36" w:type="dxa"/>
        </w:trPr>
        <w:tc>
          <w:tcPr>
            <w:tcW w:w="9178" w:type="dxa"/>
            <w:gridSpan w:val="11"/>
            <w:tcBorders>
              <w:top w:val="single" w:sz="4" w:space="0" w:color="auto"/>
              <w:left w:val="single" w:sz="4" w:space="0" w:color="auto"/>
              <w:bottom w:val="single" w:sz="4" w:space="0" w:color="auto"/>
              <w:right w:val="single" w:sz="4" w:space="0" w:color="auto"/>
            </w:tcBorders>
          </w:tcPr>
          <w:p w14:paraId="61E291A4" w14:textId="77777777" w:rsidR="00BE1421" w:rsidRPr="00342F7C" w:rsidRDefault="00BE1421" w:rsidP="00D11B95">
            <w:pPr>
              <w:pStyle w:val="EMEANormal"/>
              <w:keepNext/>
              <w:rPr>
                <w:lang w:val="en-GB"/>
              </w:rPr>
            </w:pPr>
            <w:r w:rsidRPr="00342F7C">
              <w:rPr>
                <w:i/>
                <w:iCs/>
                <w:lang w:val="en-GB"/>
              </w:rPr>
              <w:t>Ant</w:t>
            </w:r>
            <w:r>
              <w:rPr>
                <w:i/>
                <w:iCs/>
                <w:lang w:val="en-GB"/>
              </w:rPr>
              <w:t>i</w:t>
            </w:r>
            <w:r>
              <w:rPr>
                <w:i/>
                <w:iCs/>
                <w:lang w:val="en-GB"/>
              </w:rPr>
              <w:noBreakHyphen/>
              <w:t>gout agents</w:t>
            </w:r>
          </w:p>
        </w:tc>
      </w:tr>
      <w:tr w:rsidR="00BE1421" w:rsidRPr="00342F7C" w14:paraId="1A1A94AD" w14:textId="77777777" w:rsidTr="008F531F">
        <w:trPr>
          <w:gridAfter w:val="1"/>
          <w:wAfter w:w="36" w:type="dxa"/>
        </w:trPr>
        <w:tc>
          <w:tcPr>
            <w:tcW w:w="2647" w:type="dxa"/>
            <w:tcBorders>
              <w:top w:val="single" w:sz="4" w:space="0" w:color="auto"/>
              <w:left w:val="single" w:sz="4" w:space="0" w:color="auto"/>
              <w:bottom w:val="single" w:sz="4" w:space="0" w:color="auto"/>
              <w:right w:val="single" w:sz="4" w:space="0" w:color="auto"/>
            </w:tcBorders>
          </w:tcPr>
          <w:p w14:paraId="5A380E77" w14:textId="77777777" w:rsidR="00BE1421" w:rsidRPr="00A95936" w:rsidRDefault="00BE1421" w:rsidP="00D11B95">
            <w:pPr>
              <w:pStyle w:val="EMEANormal"/>
              <w:keepNext/>
              <w:rPr>
                <w:lang w:val="en-GB"/>
              </w:rPr>
            </w:pPr>
            <w:r w:rsidRPr="00A95936">
              <w:rPr>
                <w:lang w:val="en-GB"/>
              </w:rPr>
              <w:t>Colchicine single dose</w:t>
            </w:r>
          </w:p>
          <w:p w14:paraId="338FD568" w14:textId="77777777" w:rsidR="00BE1421" w:rsidRPr="00A95936" w:rsidRDefault="00BE1421" w:rsidP="00D11B95">
            <w:pPr>
              <w:pStyle w:val="EMEANormal"/>
              <w:keepNext/>
              <w:rPr>
                <w:lang w:val="en-GB"/>
              </w:rPr>
            </w:pPr>
          </w:p>
          <w:p w14:paraId="2FFAB905" w14:textId="77777777" w:rsidR="00BE1421" w:rsidRPr="00342F7C" w:rsidRDefault="00BE1421" w:rsidP="00D11B95">
            <w:pPr>
              <w:pStyle w:val="EMEANormal"/>
              <w:keepNext/>
              <w:rPr>
                <w:lang w:val="en-GB"/>
              </w:rPr>
            </w:pPr>
            <w:r>
              <w:rPr>
                <w:lang w:val="en-GB"/>
              </w:rPr>
              <w:t>(Ritonavir 200 </w:t>
            </w:r>
            <w:r w:rsidRPr="00A95936">
              <w:rPr>
                <w:lang w:val="en-GB"/>
              </w:rPr>
              <w:t>mg twice daily)</w:t>
            </w:r>
          </w:p>
        </w:tc>
        <w:tc>
          <w:tcPr>
            <w:tcW w:w="3240" w:type="dxa"/>
            <w:gridSpan w:val="5"/>
            <w:tcBorders>
              <w:top w:val="single" w:sz="4" w:space="0" w:color="auto"/>
              <w:left w:val="single" w:sz="4" w:space="0" w:color="auto"/>
              <w:bottom w:val="single" w:sz="4" w:space="0" w:color="auto"/>
              <w:right w:val="single" w:sz="4" w:space="0" w:color="auto"/>
            </w:tcBorders>
          </w:tcPr>
          <w:p w14:paraId="4098BE2C" w14:textId="77777777" w:rsidR="00BE1421" w:rsidRPr="00A95936" w:rsidRDefault="00BE1421" w:rsidP="00D11B95">
            <w:pPr>
              <w:pStyle w:val="EMEANormal"/>
              <w:keepNext/>
              <w:rPr>
                <w:lang w:val="en-GB"/>
              </w:rPr>
            </w:pPr>
            <w:r w:rsidRPr="00A95936">
              <w:rPr>
                <w:lang w:val="en-GB"/>
              </w:rPr>
              <w:t>Colchicine:</w:t>
            </w:r>
          </w:p>
          <w:p w14:paraId="3EC47128" w14:textId="77777777" w:rsidR="00BE1421" w:rsidRPr="00A95936" w:rsidRDefault="00BE1421" w:rsidP="00D11B95">
            <w:pPr>
              <w:keepNext/>
              <w:autoSpaceDE w:val="0"/>
              <w:autoSpaceDN w:val="0"/>
              <w:adjustRightInd w:val="0"/>
              <w:rPr>
                <w:bCs/>
                <w:sz w:val="22"/>
                <w:szCs w:val="22"/>
              </w:rPr>
            </w:pPr>
            <w:r w:rsidRPr="00A95936">
              <w:rPr>
                <w:bCs/>
                <w:sz w:val="22"/>
                <w:szCs w:val="22"/>
              </w:rPr>
              <w:t>AUC: ↑ 3-fold</w:t>
            </w:r>
          </w:p>
          <w:p w14:paraId="1135D6D6" w14:textId="77777777" w:rsidR="00BE1421" w:rsidRPr="00A95936" w:rsidRDefault="00BE1421" w:rsidP="00D11B95">
            <w:pPr>
              <w:keepNext/>
              <w:autoSpaceDE w:val="0"/>
              <w:autoSpaceDN w:val="0"/>
              <w:adjustRightInd w:val="0"/>
              <w:rPr>
                <w:bCs/>
                <w:sz w:val="22"/>
                <w:szCs w:val="22"/>
              </w:rPr>
            </w:pPr>
            <w:r w:rsidRPr="00A95936">
              <w:rPr>
                <w:bCs/>
                <w:sz w:val="22"/>
                <w:szCs w:val="22"/>
              </w:rPr>
              <w:t>C</w:t>
            </w:r>
            <w:r w:rsidRPr="00A95936">
              <w:rPr>
                <w:bCs/>
                <w:sz w:val="22"/>
                <w:szCs w:val="22"/>
                <w:vertAlign w:val="subscript"/>
              </w:rPr>
              <w:t>max</w:t>
            </w:r>
            <w:r w:rsidRPr="00A95936">
              <w:rPr>
                <w:bCs/>
                <w:sz w:val="22"/>
                <w:szCs w:val="22"/>
              </w:rPr>
              <w:t>: ↑ 1.</w:t>
            </w:r>
            <w:r>
              <w:rPr>
                <w:bCs/>
                <w:sz w:val="22"/>
                <w:szCs w:val="22"/>
              </w:rPr>
              <w:t>8</w:t>
            </w:r>
            <w:r w:rsidRPr="00A95936">
              <w:rPr>
                <w:bCs/>
                <w:sz w:val="22"/>
                <w:szCs w:val="22"/>
              </w:rPr>
              <w:t>-fold</w:t>
            </w:r>
          </w:p>
          <w:p w14:paraId="597F9846" w14:textId="77777777" w:rsidR="00BE1421" w:rsidRPr="00A95936" w:rsidRDefault="00BE1421" w:rsidP="00D11B95">
            <w:pPr>
              <w:keepNext/>
              <w:autoSpaceDE w:val="0"/>
              <w:autoSpaceDN w:val="0"/>
              <w:adjustRightInd w:val="0"/>
              <w:rPr>
                <w:bCs/>
                <w:sz w:val="22"/>
                <w:szCs w:val="22"/>
              </w:rPr>
            </w:pPr>
            <w:r w:rsidRPr="00A95936">
              <w:rPr>
                <w:bCs/>
                <w:sz w:val="22"/>
                <w:szCs w:val="22"/>
              </w:rPr>
              <w:t>Due to P-gp and/or CYP3A4 inhibition by</w:t>
            </w:r>
            <w:r w:rsidRPr="00A95936">
              <w:rPr>
                <w:sz w:val="22"/>
                <w:szCs w:val="22"/>
              </w:rPr>
              <w:t xml:space="preserve"> </w:t>
            </w:r>
            <w:r w:rsidRPr="00A95936">
              <w:rPr>
                <w:bCs/>
                <w:sz w:val="22"/>
                <w:szCs w:val="22"/>
              </w:rPr>
              <w:t>ritonavir.</w:t>
            </w:r>
          </w:p>
          <w:p w14:paraId="0F0188AE" w14:textId="77777777" w:rsidR="00BE1421" w:rsidRPr="00342F7C" w:rsidRDefault="00BE1421" w:rsidP="00D11B95">
            <w:pPr>
              <w:pStyle w:val="EMEANormal"/>
              <w:keepNext/>
              <w:rPr>
                <w:lang w:val="en-GB"/>
              </w:rPr>
            </w:pPr>
          </w:p>
        </w:tc>
        <w:tc>
          <w:tcPr>
            <w:tcW w:w="3291" w:type="dxa"/>
            <w:gridSpan w:val="5"/>
            <w:tcBorders>
              <w:top w:val="single" w:sz="4" w:space="0" w:color="auto"/>
              <w:left w:val="single" w:sz="4" w:space="0" w:color="auto"/>
              <w:bottom w:val="single" w:sz="4" w:space="0" w:color="auto"/>
              <w:right w:val="single" w:sz="4" w:space="0" w:color="auto"/>
            </w:tcBorders>
          </w:tcPr>
          <w:p w14:paraId="48E5271E" w14:textId="77777777" w:rsidR="00BE1421" w:rsidRPr="00342F7C" w:rsidRDefault="00BE1421" w:rsidP="00D11B95">
            <w:pPr>
              <w:pStyle w:val="EMEANormal"/>
              <w:keepNext/>
              <w:rPr>
                <w:lang w:val="en-GB"/>
              </w:rPr>
            </w:pPr>
            <w:r>
              <w:rPr>
                <w:lang w:val="en-GB"/>
              </w:rPr>
              <w:t>C</w:t>
            </w:r>
            <w:r w:rsidRPr="00A95936">
              <w:rPr>
                <w:bCs/>
              </w:rPr>
              <w:t xml:space="preserve">oncomitant </w:t>
            </w:r>
            <w:r>
              <w:rPr>
                <w:bCs/>
              </w:rPr>
              <w:t xml:space="preserve">administration of </w:t>
            </w:r>
            <w:r w:rsidRPr="00A95936">
              <w:rPr>
                <w:bCs/>
              </w:rPr>
              <w:t xml:space="preserve">Kaletra </w:t>
            </w:r>
            <w:r>
              <w:rPr>
                <w:bCs/>
              </w:rPr>
              <w:t>with colchicine in patients with renal and/or hepatic impairment is contraindicated due to a potential increase of colchicine-related serious and/or life</w:t>
            </w:r>
            <w:r>
              <w:rPr>
                <w:bCs/>
              </w:rPr>
              <w:noBreakHyphen/>
              <w:t xml:space="preserve">threatening reactions such as neuromuscular toxicity (including </w:t>
            </w:r>
            <w:r w:rsidRPr="00A95936">
              <w:rPr>
                <w:szCs w:val="22"/>
                <w:lang w:eastAsia="de-DE"/>
              </w:rPr>
              <w:t>rhabdomyolysis</w:t>
            </w:r>
            <w:r>
              <w:rPr>
                <w:szCs w:val="22"/>
                <w:lang w:eastAsia="de-DE"/>
              </w:rPr>
              <w:t>)</w:t>
            </w:r>
            <w:r w:rsidRPr="00A95936">
              <w:rPr>
                <w:bCs/>
              </w:rPr>
              <w:t xml:space="preserve"> (see section</w:t>
            </w:r>
            <w:r>
              <w:rPr>
                <w:bCs/>
              </w:rPr>
              <w:t>s 4.3 and</w:t>
            </w:r>
            <w:r w:rsidRPr="00A95936">
              <w:rPr>
                <w:bCs/>
              </w:rPr>
              <w:t xml:space="preserve"> 4.4).</w:t>
            </w:r>
            <w:r>
              <w:rPr>
                <w:bCs/>
              </w:rPr>
              <w:t xml:space="preserve">  A reduction in colchicine dosage or an interruption of colchicine treatment is recommended in patients with normal renal or hepatic function if treatment with Kaletra is required.  Refer to colchicine prescribing information.</w:t>
            </w:r>
          </w:p>
        </w:tc>
      </w:tr>
      <w:tr w:rsidR="00BE1421" w:rsidRPr="00342F7C" w14:paraId="3D15008F" w14:textId="77777777" w:rsidTr="008F531F">
        <w:trPr>
          <w:gridAfter w:val="1"/>
          <w:wAfter w:w="36" w:type="dxa"/>
        </w:trPr>
        <w:tc>
          <w:tcPr>
            <w:tcW w:w="9178" w:type="dxa"/>
            <w:gridSpan w:val="11"/>
            <w:tcBorders>
              <w:top w:val="single" w:sz="4" w:space="0" w:color="auto"/>
              <w:left w:val="single" w:sz="4" w:space="0" w:color="auto"/>
              <w:bottom w:val="single" w:sz="4" w:space="0" w:color="auto"/>
              <w:right w:val="single" w:sz="4" w:space="0" w:color="auto"/>
            </w:tcBorders>
          </w:tcPr>
          <w:p w14:paraId="08C65E1C" w14:textId="77777777" w:rsidR="00BE1421" w:rsidRPr="00342F7C" w:rsidRDefault="00BE1421" w:rsidP="005766B5">
            <w:pPr>
              <w:pStyle w:val="EMEANormal"/>
              <w:rPr>
                <w:lang w:val="en-GB"/>
              </w:rPr>
            </w:pPr>
            <w:r>
              <w:rPr>
                <w:i/>
                <w:iCs/>
                <w:lang w:val="en-GB"/>
              </w:rPr>
              <w:t>Antihistamines</w:t>
            </w:r>
          </w:p>
        </w:tc>
      </w:tr>
      <w:tr w:rsidR="00BE1421" w:rsidRPr="00342F7C" w14:paraId="141B0E89" w14:textId="77777777" w:rsidTr="008F531F">
        <w:trPr>
          <w:gridAfter w:val="2"/>
          <w:wAfter w:w="46" w:type="dxa"/>
        </w:trPr>
        <w:tc>
          <w:tcPr>
            <w:tcW w:w="2647" w:type="dxa"/>
            <w:tcBorders>
              <w:top w:val="single" w:sz="4" w:space="0" w:color="auto"/>
              <w:left w:val="single" w:sz="4" w:space="0" w:color="auto"/>
              <w:bottom w:val="single" w:sz="4" w:space="0" w:color="auto"/>
              <w:right w:val="single" w:sz="4" w:space="0" w:color="auto"/>
            </w:tcBorders>
          </w:tcPr>
          <w:p w14:paraId="69C3441D" w14:textId="77777777" w:rsidR="00BE1421" w:rsidRDefault="00BE1421" w:rsidP="005766B5">
            <w:pPr>
              <w:pStyle w:val="EMEANormal"/>
              <w:rPr>
                <w:lang w:val="en-GB"/>
              </w:rPr>
            </w:pPr>
            <w:r>
              <w:rPr>
                <w:lang w:val="en-GB"/>
              </w:rPr>
              <w:t>Astemizole</w:t>
            </w:r>
          </w:p>
          <w:p w14:paraId="03190865" w14:textId="77777777" w:rsidR="00BE1421" w:rsidRPr="00342F7C" w:rsidRDefault="00BE1421" w:rsidP="005766B5">
            <w:pPr>
              <w:pStyle w:val="EMEANormal"/>
              <w:rPr>
                <w:lang w:val="en-GB"/>
              </w:rPr>
            </w:pPr>
            <w:r>
              <w:rPr>
                <w:lang w:val="en-GB"/>
              </w:rPr>
              <w:t>Terfenadine</w:t>
            </w:r>
          </w:p>
        </w:tc>
        <w:tc>
          <w:tcPr>
            <w:tcW w:w="3260" w:type="dxa"/>
            <w:gridSpan w:val="6"/>
            <w:tcBorders>
              <w:top w:val="single" w:sz="4" w:space="0" w:color="auto"/>
              <w:left w:val="single" w:sz="4" w:space="0" w:color="auto"/>
              <w:bottom w:val="single" w:sz="4" w:space="0" w:color="auto"/>
              <w:right w:val="single" w:sz="4" w:space="0" w:color="auto"/>
            </w:tcBorders>
          </w:tcPr>
          <w:p w14:paraId="7263C7D5" w14:textId="77777777" w:rsidR="00BE1421" w:rsidRPr="00342F7C" w:rsidRDefault="00BE1421" w:rsidP="005766B5">
            <w:pPr>
              <w:pStyle w:val="EMEANormal"/>
              <w:rPr>
                <w:lang w:val="en-GB"/>
              </w:rPr>
            </w:pPr>
            <w:r>
              <w:rPr>
                <w:lang w:val="en-GB"/>
              </w:rPr>
              <w:t>Serum concentrations may be increased due to CYP3A inhibition by lopinavir/ritonavir.</w:t>
            </w:r>
          </w:p>
        </w:tc>
        <w:tc>
          <w:tcPr>
            <w:tcW w:w="3261" w:type="dxa"/>
            <w:gridSpan w:val="3"/>
            <w:tcBorders>
              <w:top w:val="single" w:sz="4" w:space="0" w:color="auto"/>
              <w:left w:val="single" w:sz="4" w:space="0" w:color="auto"/>
              <w:bottom w:val="single" w:sz="4" w:space="0" w:color="auto"/>
              <w:right w:val="single" w:sz="4" w:space="0" w:color="auto"/>
            </w:tcBorders>
          </w:tcPr>
          <w:p w14:paraId="78F6189C" w14:textId="77777777" w:rsidR="00BE1421" w:rsidRPr="00342F7C" w:rsidRDefault="00BE1421" w:rsidP="00955281">
            <w:pPr>
              <w:pStyle w:val="EMEANormal"/>
              <w:rPr>
                <w:lang w:val="en-GB"/>
              </w:rPr>
            </w:pPr>
            <w:r>
              <w:rPr>
                <w:lang w:val="en-GB"/>
              </w:rPr>
              <w:t>Concomitant administration of Kaletra and astemizole and terfenadine is contraindicated as it may increase the risk of serious arrhythmias from these agents (see section 4.3).</w:t>
            </w:r>
          </w:p>
        </w:tc>
      </w:tr>
      <w:tr w:rsidR="00BE1421" w:rsidRPr="00342F7C" w14:paraId="1DA63FB6" w14:textId="77777777" w:rsidTr="008F531F">
        <w:tc>
          <w:tcPr>
            <w:tcW w:w="9214" w:type="dxa"/>
            <w:gridSpan w:val="12"/>
            <w:tcBorders>
              <w:top w:val="single" w:sz="4" w:space="0" w:color="auto"/>
              <w:left w:val="single" w:sz="4" w:space="0" w:color="auto"/>
              <w:bottom w:val="single" w:sz="4" w:space="0" w:color="auto"/>
              <w:right w:val="single" w:sz="4" w:space="0" w:color="auto"/>
            </w:tcBorders>
          </w:tcPr>
          <w:p w14:paraId="6D096CF7" w14:textId="77777777" w:rsidR="00BE1421" w:rsidRPr="00342F7C" w:rsidRDefault="00BE1421" w:rsidP="001453C3">
            <w:pPr>
              <w:pStyle w:val="EMEANormal"/>
              <w:rPr>
                <w:lang w:val="en-GB"/>
              </w:rPr>
            </w:pPr>
            <w:r>
              <w:rPr>
                <w:i/>
                <w:iCs/>
                <w:lang w:val="en-GB"/>
              </w:rPr>
              <w:t>Anti-infectives</w:t>
            </w:r>
          </w:p>
        </w:tc>
      </w:tr>
      <w:tr w:rsidR="00BE1421" w:rsidRPr="00342F7C" w14:paraId="317AC06B" w14:textId="77777777" w:rsidTr="008F531F">
        <w:tc>
          <w:tcPr>
            <w:tcW w:w="2647" w:type="dxa"/>
            <w:tcBorders>
              <w:top w:val="single" w:sz="4" w:space="0" w:color="auto"/>
              <w:left w:val="single" w:sz="4" w:space="0" w:color="auto"/>
              <w:bottom w:val="single" w:sz="4" w:space="0" w:color="auto"/>
              <w:right w:val="single" w:sz="4" w:space="0" w:color="auto"/>
            </w:tcBorders>
          </w:tcPr>
          <w:p w14:paraId="0DE6E5E3" w14:textId="77777777" w:rsidR="00BE1421" w:rsidRPr="00342F7C" w:rsidRDefault="00BE1421" w:rsidP="001453C3">
            <w:pPr>
              <w:pStyle w:val="EMEANormal"/>
              <w:rPr>
                <w:lang w:val="en-GB"/>
              </w:rPr>
            </w:pPr>
            <w:r>
              <w:rPr>
                <w:lang w:val="en-GB"/>
              </w:rPr>
              <w:t>Fusidic acid</w:t>
            </w:r>
          </w:p>
        </w:tc>
        <w:tc>
          <w:tcPr>
            <w:tcW w:w="3240" w:type="dxa"/>
            <w:gridSpan w:val="5"/>
            <w:tcBorders>
              <w:top w:val="single" w:sz="4" w:space="0" w:color="auto"/>
              <w:left w:val="single" w:sz="4" w:space="0" w:color="auto"/>
              <w:bottom w:val="single" w:sz="4" w:space="0" w:color="auto"/>
              <w:right w:val="single" w:sz="4" w:space="0" w:color="auto"/>
            </w:tcBorders>
          </w:tcPr>
          <w:p w14:paraId="6E0DF4DA" w14:textId="77777777" w:rsidR="00BE1421" w:rsidRDefault="00BE1421" w:rsidP="005762AB">
            <w:pPr>
              <w:pStyle w:val="EMEANormal"/>
              <w:rPr>
                <w:lang w:val="en-GB"/>
              </w:rPr>
            </w:pPr>
            <w:r>
              <w:rPr>
                <w:lang w:val="en-GB"/>
              </w:rPr>
              <w:t>Fusidic acid:</w:t>
            </w:r>
          </w:p>
          <w:p w14:paraId="287742A9" w14:textId="77777777" w:rsidR="00BE1421" w:rsidRPr="00342F7C" w:rsidRDefault="00BE1421" w:rsidP="001453C3">
            <w:pPr>
              <w:pStyle w:val="EMEANormal"/>
              <w:rPr>
                <w:lang w:val="en-GB"/>
              </w:rPr>
            </w:pPr>
            <w:r>
              <w:rPr>
                <w:lang w:val="en-GB"/>
              </w:rPr>
              <w:t>Concentrations may be increased due to CYP3A inhibition by lopinavir/ritonavir.</w:t>
            </w:r>
          </w:p>
        </w:tc>
        <w:tc>
          <w:tcPr>
            <w:tcW w:w="3327" w:type="dxa"/>
            <w:gridSpan w:val="6"/>
            <w:tcBorders>
              <w:top w:val="single" w:sz="4" w:space="0" w:color="auto"/>
              <w:left w:val="single" w:sz="4" w:space="0" w:color="auto"/>
              <w:bottom w:val="single" w:sz="4" w:space="0" w:color="auto"/>
              <w:right w:val="single" w:sz="4" w:space="0" w:color="auto"/>
            </w:tcBorders>
          </w:tcPr>
          <w:p w14:paraId="024523CA" w14:textId="77777777" w:rsidR="00BE1421" w:rsidRPr="00342F7C" w:rsidRDefault="00BE1421" w:rsidP="001453C3">
            <w:pPr>
              <w:pStyle w:val="EMEANormal"/>
              <w:rPr>
                <w:lang w:val="en-GB"/>
              </w:rPr>
            </w:pPr>
            <w:r>
              <w:rPr>
                <w:szCs w:val="22"/>
                <w:lang w:eastAsia="de-DE"/>
              </w:rPr>
              <w:t xml:space="preserve">Concomitant administration of Kaletra with fusidic acid is contra-indicated in dermatological indications due to </w:t>
            </w:r>
            <w:r w:rsidRPr="00A95936">
              <w:rPr>
                <w:szCs w:val="22"/>
                <w:lang w:eastAsia="de-DE"/>
              </w:rPr>
              <w:t>the increased risk of adverse events related to fusidic acid, notably rhabdomyolysis</w:t>
            </w:r>
            <w:r>
              <w:rPr>
                <w:szCs w:val="22"/>
                <w:lang w:eastAsia="de-DE"/>
              </w:rPr>
              <w:t xml:space="preserve"> (see section 4.3).  When used for osteo-articular infections, where the co-administration is unavoidable, close clinical monitoring for muscular adverse events is strongly recommended (see section 4.4). </w:t>
            </w:r>
          </w:p>
        </w:tc>
      </w:tr>
      <w:tr w:rsidR="00BE1421" w:rsidRPr="00342F7C" w14:paraId="76EB8D72" w14:textId="77777777" w:rsidTr="008F531F">
        <w:tc>
          <w:tcPr>
            <w:tcW w:w="9214" w:type="dxa"/>
            <w:gridSpan w:val="12"/>
            <w:tcBorders>
              <w:top w:val="single" w:sz="4" w:space="0" w:color="auto"/>
              <w:left w:val="single" w:sz="4" w:space="0" w:color="auto"/>
              <w:bottom w:val="single" w:sz="4" w:space="0" w:color="auto"/>
              <w:right w:val="single" w:sz="4" w:space="0" w:color="auto"/>
            </w:tcBorders>
          </w:tcPr>
          <w:p w14:paraId="4D34A004" w14:textId="77777777" w:rsidR="00BE1421" w:rsidRPr="00342F7C" w:rsidRDefault="00BE1421" w:rsidP="00D11B95">
            <w:pPr>
              <w:pStyle w:val="EMEANormal"/>
              <w:rPr>
                <w:bCs/>
                <w:iCs/>
                <w:lang w:val="en-GB"/>
              </w:rPr>
            </w:pPr>
            <w:r w:rsidRPr="00342F7C">
              <w:rPr>
                <w:bCs/>
                <w:i/>
                <w:lang w:val="en-GB"/>
              </w:rPr>
              <w:t>Antimycobacterials</w:t>
            </w:r>
          </w:p>
        </w:tc>
      </w:tr>
      <w:tr w:rsidR="00BE1421" w:rsidRPr="00797BFA" w14:paraId="5EE9DBCC" w14:textId="77777777" w:rsidTr="008F531F">
        <w:tc>
          <w:tcPr>
            <w:tcW w:w="2647" w:type="dxa"/>
            <w:tcBorders>
              <w:top w:val="single" w:sz="4" w:space="0" w:color="auto"/>
              <w:left w:val="single" w:sz="4" w:space="0" w:color="auto"/>
              <w:bottom w:val="single" w:sz="4" w:space="0" w:color="auto"/>
              <w:right w:val="single" w:sz="4" w:space="0" w:color="auto"/>
            </w:tcBorders>
          </w:tcPr>
          <w:p w14:paraId="459E4001" w14:textId="77777777" w:rsidR="00BE1421" w:rsidRDefault="00BE1421" w:rsidP="00D11B95">
            <w:pPr>
              <w:pStyle w:val="EMEANormal"/>
              <w:rPr>
                <w:bCs/>
                <w:iCs/>
                <w:lang w:val="en-GB"/>
              </w:rPr>
            </w:pPr>
            <w:r>
              <w:rPr>
                <w:bCs/>
                <w:iCs/>
                <w:lang w:val="en-GB"/>
              </w:rPr>
              <w:t>Bedaquiline</w:t>
            </w:r>
          </w:p>
          <w:p w14:paraId="630A4E49" w14:textId="77777777" w:rsidR="00BE1421" w:rsidRDefault="00BE1421" w:rsidP="00D11B95">
            <w:pPr>
              <w:pStyle w:val="EMEANormal"/>
              <w:rPr>
                <w:bCs/>
                <w:iCs/>
                <w:lang w:val="en-GB"/>
              </w:rPr>
            </w:pPr>
            <w:r>
              <w:rPr>
                <w:bCs/>
                <w:iCs/>
                <w:lang w:val="en-GB"/>
              </w:rPr>
              <w:t>(single dose)</w:t>
            </w:r>
          </w:p>
          <w:p w14:paraId="1D6A4440" w14:textId="77777777" w:rsidR="00BE1421" w:rsidRDefault="00BE1421" w:rsidP="00D11B95">
            <w:pPr>
              <w:pStyle w:val="EMEANormal"/>
              <w:rPr>
                <w:bCs/>
                <w:iCs/>
                <w:lang w:val="en-GB"/>
              </w:rPr>
            </w:pPr>
          </w:p>
          <w:p w14:paraId="10C91D26" w14:textId="77777777" w:rsidR="00BE1421" w:rsidRPr="00797BFA" w:rsidRDefault="00BE1421" w:rsidP="00D11B95">
            <w:pPr>
              <w:pStyle w:val="EMEANormal"/>
              <w:rPr>
                <w:bCs/>
                <w:iCs/>
                <w:lang w:val="en-GB"/>
              </w:rPr>
            </w:pPr>
            <w:r>
              <w:rPr>
                <w:bCs/>
                <w:iCs/>
                <w:lang w:val="en-GB"/>
              </w:rPr>
              <w:t>(Lopinavir/ritonavir 400/100 mg BID, multiple dose)</w:t>
            </w:r>
          </w:p>
        </w:tc>
        <w:tc>
          <w:tcPr>
            <w:tcW w:w="3165" w:type="dxa"/>
            <w:gridSpan w:val="4"/>
            <w:tcBorders>
              <w:top w:val="single" w:sz="4" w:space="0" w:color="auto"/>
              <w:left w:val="single" w:sz="4" w:space="0" w:color="auto"/>
              <w:bottom w:val="single" w:sz="4" w:space="0" w:color="auto"/>
              <w:right w:val="single" w:sz="4" w:space="0" w:color="auto"/>
            </w:tcBorders>
          </w:tcPr>
          <w:p w14:paraId="0E7002BD" w14:textId="77777777" w:rsidR="00BE1421" w:rsidRDefault="00BE1421" w:rsidP="00D11B95">
            <w:pPr>
              <w:pStyle w:val="EMEANormal"/>
              <w:rPr>
                <w:lang w:val="en-GB"/>
              </w:rPr>
            </w:pPr>
            <w:r>
              <w:rPr>
                <w:lang w:val="en-GB"/>
              </w:rPr>
              <w:t>Bedaquiline:</w:t>
            </w:r>
          </w:p>
          <w:p w14:paraId="7A25CE85" w14:textId="77777777" w:rsidR="00BE1421" w:rsidRPr="00961BBD" w:rsidRDefault="00BE1421" w:rsidP="00D11B95">
            <w:pPr>
              <w:pStyle w:val="EMEANormal"/>
              <w:rPr>
                <w:color w:val="000000"/>
                <w:lang w:eastAsia="en-GB"/>
              </w:rPr>
            </w:pPr>
            <w:r w:rsidRPr="00961BBD">
              <w:rPr>
                <w:color w:val="000000"/>
                <w:lang w:eastAsia="en-GB"/>
              </w:rPr>
              <w:t>AUC</w:t>
            </w:r>
            <w:r>
              <w:rPr>
                <w:color w:val="000000"/>
                <w:lang w:eastAsia="en-GB"/>
              </w:rPr>
              <w:t>:</w:t>
            </w:r>
            <w:r w:rsidRPr="00961BBD">
              <w:rPr>
                <w:color w:val="000000"/>
                <w:lang w:eastAsia="en-GB"/>
              </w:rPr>
              <w:t xml:space="preserve"> </w:t>
            </w:r>
            <w:r w:rsidRPr="00342F7C">
              <w:rPr>
                <w:iCs/>
                <w:lang w:val="en-GB"/>
              </w:rPr>
              <w:t>↑</w:t>
            </w:r>
            <w:r>
              <w:rPr>
                <w:color w:val="000000"/>
                <w:lang w:eastAsia="en-GB"/>
              </w:rPr>
              <w:t xml:space="preserve"> 22</w:t>
            </w:r>
            <w:r w:rsidRPr="00961BBD">
              <w:rPr>
                <w:color w:val="000000"/>
                <w:lang w:eastAsia="en-GB"/>
              </w:rPr>
              <w:t>%</w:t>
            </w:r>
          </w:p>
          <w:p w14:paraId="1770B78F" w14:textId="77777777" w:rsidR="00BE1421" w:rsidRDefault="00BE1421" w:rsidP="00D11B95">
            <w:pPr>
              <w:pStyle w:val="EMEANormal"/>
              <w:rPr>
                <w:szCs w:val="22"/>
                <w:lang w:val="en-GB"/>
              </w:rPr>
            </w:pPr>
            <w:r w:rsidRPr="00961BBD">
              <w:rPr>
                <w:color w:val="000000"/>
                <w:lang w:eastAsia="en-GB"/>
              </w:rPr>
              <w:t>C</w:t>
            </w:r>
            <w:r w:rsidRPr="00961BBD">
              <w:rPr>
                <w:color w:val="000000"/>
                <w:vertAlign w:val="subscript"/>
                <w:lang w:eastAsia="en-GB"/>
              </w:rPr>
              <w:t>max</w:t>
            </w:r>
            <w:r>
              <w:rPr>
                <w:color w:val="000000"/>
                <w:lang w:eastAsia="en-GB"/>
              </w:rPr>
              <w:t xml:space="preserve">: </w:t>
            </w:r>
            <w:r w:rsidRPr="00342F7C">
              <w:rPr>
                <w:szCs w:val="22"/>
                <w:lang w:val="en-GB"/>
              </w:rPr>
              <w:t>↔</w:t>
            </w:r>
          </w:p>
          <w:p w14:paraId="5A3EAA83" w14:textId="77777777" w:rsidR="00BE1421" w:rsidRDefault="00BE1421" w:rsidP="00D11B95">
            <w:pPr>
              <w:pStyle w:val="EMEANormal"/>
              <w:rPr>
                <w:szCs w:val="22"/>
                <w:lang w:val="en-GB"/>
              </w:rPr>
            </w:pPr>
          </w:p>
          <w:p w14:paraId="31203AF5" w14:textId="77777777" w:rsidR="00BE1421" w:rsidRDefault="00BE1421" w:rsidP="00D11B95">
            <w:pPr>
              <w:pStyle w:val="EMEANormal"/>
              <w:rPr>
                <w:szCs w:val="22"/>
                <w:lang w:val="en-GB"/>
              </w:rPr>
            </w:pPr>
            <w:r>
              <w:rPr>
                <w:szCs w:val="22"/>
                <w:lang w:val="en-GB"/>
              </w:rPr>
              <w:t>A more pronounced effect on bedaquiline plasma exposures may be observed during prolonged co</w:t>
            </w:r>
            <w:r>
              <w:rPr>
                <w:szCs w:val="22"/>
                <w:lang w:val="en-GB"/>
              </w:rPr>
              <w:noBreakHyphen/>
              <w:t>administration with lopinavir/ritonavir.</w:t>
            </w:r>
          </w:p>
          <w:p w14:paraId="3C829AE7" w14:textId="77777777" w:rsidR="00BE1421" w:rsidRDefault="00BE1421" w:rsidP="00D11B95">
            <w:pPr>
              <w:pStyle w:val="EMEANormal"/>
              <w:rPr>
                <w:szCs w:val="22"/>
                <w:lang w:val="en-GB"/>
              </w:rPr>
            </w:pPr>
          </w:p>
          <w:p w14:paraId="797D57D9" w14:textId="77777777" w:rsidR="00BE1421" w:rsidRPr="00961BBD" w:rsidRDefault="00BE1421" w:rsidP="00D11B95">
            <w:pPr>
              <w:pStyle w:val="EMEANormal"/>
              <w:rPr>
                <w:color w:val="000000"/>
                <w:lang w:eastAsia="en-GB"/>
              </w:rPr>
            </w:pPr>
            <w:r>
              <w:rPr>
                <w:szCs w:val="22"/>
                <w:lang w:val="en-GB"/>
              </w:rPr>
              <w:t>CYP3A4 inhibition likely due to lopinavir/ritonavir.</w:t>
            </w:r>
          </w:p>
          <w:p w14:paraId="58A0080E" w14:textId="77777777" w:rsidR="00BE1421" w:rsidRPr="00797BFA" w:rsidRDefault="00BE1421" w:rsidP="00D11B95">
            <w:pPr>
              <w:pStyle w:val="EMEANormal"/>
              <w:rPr>
                <w:lang w:val="en-GB"/>
              </w:rPr>
            </w:pPr>
          </w:p>
        </w:tc>
        <w:tc>
          <w:tcPr>
            <w:tcW w:w="3402" w:type="dxa"/>
            <w:gridSpan w:val="7"/>
            <w:tcBorders>
              <w:top w:val="single" w:sz="4" w:space="0" w:color="auto"/>
              <w:left w:val="single" w:sz="4" w:space="0" w:color="auto"/>
              <w:bottom w:val="single" w:sz="4" w:space="0" w:color="auto"/>
              <w:right w:val="single" w:sz="4" w:space="0" w:color="auto"/>
            </w:tcBorders>
          </w:tcPr>
          <w:p w14:paraId="0E61F467" w14:textId="77777777" w:rsidR="00BE1421" w:rsidRPr="00797BFA" w:rsidRDefault="00BE1421" w:rsidP="00D11B95">
            <w:pPr>
              <w:pStyle w:val="EMEANormal"/>
              <w:rPr>
                <w:iCs/>
                <w:lang w:val="en-GB"/>
              </w:rPr>
            </w:pPr>
            <w:r>
              <w:rPr>
                <w:iCs/>
                <w:lang w:val="en-GB"/>
              </w:rPr>
              <w:t>Due to the risk of bedaquiline related adverse events, the combination of bedaquiline and Kaletra should be avoided.  If the benefit outweighs the risk, co</w:t>
            </w:r>
            <w:r>
              <w:rPr>
                <w:iCs/>
                <w:lang w:val="en-GB"/>
              </w:rPr>
              <w:noBreakHyphen/>
              <w:t>administration of bedaquiline with Kaletra must be done with caution.  More frequent electrocardiogram monitoring and monitoring of transaminases is recommended (see section 4.4 and refer to the bedaquiline SmPC).</w:t>
            </w:r>
          </w:p>
        </w:tc>
      </w:tr>
      <w:tr w:rsidR="00BE1421" w:rsidRPr="00342F7C" w14:paraId="3624F0C8" w14:textId="77777777" w:rsidTr="008F531F">
        <w:tc>
          <w:tcPr>
            <w:tcW w:w="2647" w:type="dxa"/>
            <w:tcBorders>
              <w:top w:val="single" w:sz="4" w:space="0" w:color="auto"/>
              <w:left w:val="single" w:sz="4" w:space="0" w:color="auto"/>
              <w:bottom w:val="single" w:sz="4" w:space="0" w:color="auto"/>
              <w:right w:val="single" w:sz="4" w:space="0" w:color="auto"/>
            </w:tcBorders>
          </w:tcPr>
          <w:p w14:paraId="4CA20CC8" w14:textId="77777777" w:rsidR="00BE1421" w:rsidRDefault="00BE1421" w:rsidP="00D11B95">
            <w:pPr>
              <w:pStyle w:val="EMEANormal1"/>
              <w:keepNext/>
              <w:rPr>
                <w:bCs/>
                <w:iCs/>
                <w:lang w:val="en-GB"/>
              </w:rPr>
            </w:pPr>
            <w:r>
              <w:rPr>
                <w:bCs/>
                <w:iCs/>
                <w:lang w:val="en-GB"/>
              </w:rPr>
              <w:t>Delamanid (100 mg BID)</w:t>
            </w:r>
          </w:p>
          <w:p w14:paraId="7FD12F2B" w14:textId="77777777" w:rsidR="00BE1421" w:rsidRDefault="00BE1421" w:rsidP="00D11B95">
            <w:pPr>
              <w:pStyle w:val="EMEANormal1"/>
              <w:keepNext/>
              <w:rPr>
                <w:bCs/>
                <w:iCs/>
                <w:lang w:val="en-GB"/>
              </w:rPr>
            </w:pPr>
          </w:p>
          <w:p w14:paraId="170B6EA6" w14:textId="77777777" w:rsidR="00BE1421" w:rsidRPr="00342F7C" w:rsidRDefault="00BE1421" w:rsidP="00D11B95">
            <w:pPr>
              <w:pStyle w:val="EMEANormal"/>
              <w:keepNext/>
              <w:rPr>
                <w:bCs/>
                <w:iCs/>
                <w:lang w:val="en-GB"/>
              </w:rPr>
            </w:pPr>
            <w:r>
              <w:rPr>
                <w:bCs/>
                <w:iCs/>
                <w:lang w:val="en-GB"/>
              </w:rPr>
              <w:t>(Lopinavir/ritonavir 400/100 mg BID)</w:t>
            </w:r>
          </w:p>
        </w:tc>
        <w:tc>
          <w:tcPr>
            <w:tcW w:w="3165" w:type="dxa"/>
            <w:gridSpan w:val="4"/>
            <w:tcBorders>
              <w:top w:val="single" w:sz="4" w:space="0" w:color="auto"/>
              <w:left w:val="single" w:sz="4" w:space="0" w:color="auto"/>
              <w:bottom w:val="single" w:sz="4" w:space="0" w:color="auto"/>
              <w:right w:val="single" w:sz="4" w:space="0" w:color="auto"/>
            </w:tcBorders>
          </w:tcPr>
          <w:p w14:paraId="2CA08AAE" w14:textId="77777777" w:rsidR="00BE1421" w:rsidRPr="009979C3" w:rsidRDefault="00BE1421" w:rsidP="00D11B95">
            <w:pPr>
              <w:pStyle w:val="EMEANormal"/>
              <w:keepNext/>
              <w:rPr>
                <w:lang w:val="de-DE"/>
              </w:rPr>
            </w:pPr>
            <w:r w:rsidRPr="009979C3">
              <w:rPr>
                <w:lang w:val="de-DE"/>
              </w:rPr>
              <w:t>Delamanid:</w:t>
            </w:r>
          </w:p>
          <w:p w14:paraId="25F50DC7" w14:textId="77777777" w:rsidR="00BE1421" w:rsidRPr="009979C3" w:rsidRDefault="00BE1421" w:rsidP="00D11B95">
            <w:pPr>
              <w:pStyle w:val="TableParagraph"/>
              <w:keepNext/>
              <w:spacing w:before="1"/>
              <w:ind w:right="172"/>
              <w:rPr>
                <w:rFonts w:ascii="Times New Roman" w:hAnsi="Times New Roman" w:cs="Times New Roman"/>
                <w:lang w:val="de-DE"/>
              </w:rPr>
            </w:pPr>
            <w:r w:rsidRPr="009979C3">
              <w:rPr>
                <w:rFonts w:ascii="Times New Roman" w:hAnsi="Times New Roman" w:cs="Times New Roman"/>
                <w:lang w:val="de-DE"/>
              </w:rPr>
              <w:t>AUC:</w:t>
            </w:r>
            <w:r>
              <w:rPr>
                <w:rFonts w:ascii="Times New Roman" w:hAnsi="Times New Roman" w:cs="Times New Roman"/>
                <w:lang w:val="de-DE"/>
              </w:rPr>
              <w:t xml:space="preserve"> </w:t>
            </w:r>
            <w:r w:rsidRPr="009979C3">
              <w:rPr>
                <w:rFonts w:ascii="Times New Roman" w:hAnsi="Times New Roman" w:cs="Times New Roman"/>
                <w:lang w:val="de-DE"/>
              </w:rPr>
              <w:t>↑</w:t>
            </w:r>
            <w:r>
              <w:rPr>
                <w:rFonts w:ascii="Times New Roman" w:hAnsi="Times New Roman" w:cs="Times New Roman"/>
                <w:lang w:val="de-DE"/>
              </w:rPr>
              <w:t xml:space="preserve"> </w:t>
            </w:r>
            <w:r w:rsidRPr="009979C3">
              <w:rPr>
                <w:rFonts w:ascii="Times New Roman" w:hAnsi="Times New Roman" w:cs="Times New Roman"/>
                <w:lang w:val="de-DE"/>
              </w:rPr>
              <w:t>22%</w:t>
            </w:r>
          </w:p>
          <w:p w14:paraId="451E5998" w14:textId="77777777" w:rsidR="00BE1421" w:rsidRPr="009979C3" w:rsidRDefault="00BE1421" w:rsidP="00D11B95">
            <w:pPr>
              <w:pStyle w:val="TableParagraph"/>
              <w:keepNext/>
              <w:spacing w:before="1"/>
              <w:ind w:right="172"/>
              <w:rPr>
                <w:rFonts w:ascii="Times New Roman" w:hAnsi="Times New Roman" w:cs="Times New Roman"/>
                <w:lang w:val="de-DE"/>
              </w:rPr>
            </w:pPr>
          </w:p>
          <w:p w14:paraId="385FEEF1" w14:textId="77777777" w:rsidR="00BE1421" w:rsidRPr="009979C3" w:rsidRDefault="00BE1421" w:rsidP="00D11B95">
            <w:pPr>
              <w:pStyle w:val="TableParagraph"/>
              <w:keepNext/>
              <w:spacing w:before="1"/>
              <w:ind w:right="172"/>
              <w:rPr>
                <w:rFonts w:ascii="Times New Roman" w:hAnsi="Times New Roman" w:cs="Times New Roman"/>
                <w:lang w:val="de-DE"/>
              </w:rPr>
            </w:pPr>
            <w:r w:rsidRPr="009979C3">
              <w:rPr>
                <w:rFonts w:ascii="Times New Roman" w:hAnsi="Times New Roman" w:cs="Times New Roman"/>
                <w:lang w:val="de-DE"/>
              </w:rPr>
              <w:t>DM-6705 (delamanid active metabolite):</w:t>
            </w:r>
          </w:p>
          <w:p w14:paraId="535E5B68" w14:textId="77777777" w:rsidR="00BE1421" w:rsidRPr="009979C3" w:rsidRDefault="00BE1421" w:rsidP="00D11B95">
            <w:pPr>
              <w:pStyle w:val="TableParagraph"/>
              <w:keepNext/>
              <w:spacing w:before="1"/>
              <w:ind w:right="172"/>
              <w:rPr>
                <w:rFonts w:ascii="Times New Roman" w:hAnsi="Times New Roman" w:cs="Times New Roman"/>
                <w:lang w:val="de-DE"/>
              </w:rPr>
            </w:pPr>
            <w:r w:rsidRPr="009979C3">
              <w:rPr>
                <w:rFonts w:ascii="Times New Roman" w:hAnsi="Times New Roman" w:cs="Times New Roman"/>
                <w:lang w:val="de-DE"/>
              </w:rPr>
              <w:t>AUC:</w:t>
            </w:r>
            <w:r>
              <w:rPr>
                <w:rFonts w:ascii="Times New Roman" w:hAnsi="Times New Roman" w:cs="Times New Roman"/>
                <w:lang w:val="de-DE"/>
              </w:rPr>
              <w:t xml:space="preserve"> </w:t>
            </w:r>
            <w:r w:rsidRPr="009979C3">
              <w:rPr>
                <w:rFonts w:ascii="Times New Roman" w:hAnsi="Times New Roman" w:cs="Times New Roman"/>
                <w:lang w:val="de-DE"/>
              </w:rPr>
              <w:t>↑</w:t>
            </w:r>
            <w:r>
              <w:rPr>
                <w:rFonts w:ascii="Times New Roman" w:hAnsi="Times New Roman" w:cs="Times New Roman"/>
                <w:lang w:val="de-DE"/>
              </w:rPr>
              <w:t xml:space="preserve"> </w:t>
            </w:r>
            <w:r w:rsidRPr="009979C3">
              <w:rPr>
                <w:rFonts w:ascii="Times New Roman" w:hAnsi="Times New Roman" w:cs="Times New Roman"/>
                <w:lang w:val="de-DE"/>
              </w:rPr>
              <w:t>30%</w:t>
            </w:r>
          </w:p>
          <w:p w14:paraId="65E58609" w14:textId="77777777" w:rsidR="00BE1421" w:rsidRPr="009979C3" w:rsidRDefault="00BE1421" w:rsidP="00D11B95">
            <w:pPr>
              <w:pStyle w:val="TableParagraph"/>
              <w:keepNext/>
              <w:spacing w:before="1"/>
              <w:ind w:right="172"/>
              <w:rPr>
                <w:rFonts w:ascii="Times New Roman" w:hAnsi="Times New Roman" w:cs="Times New Roman"/>
                <w:lang w:val="de-DE"/>
              </w:rPr>
            </w:pPr>
          </w:p>
          <w:p w14:paraId="3153FEA2" w14:textId="77777777" w:rsidR="00BE1421" w:rsidRPr="00342F7C" w:rsidRDefault="00BE1421" w:rsidP="00D11B95">
            <w:pPr>
              <w:pStyle w:val="EMEANormal"/>
              <w:keepNext/>
              <w:rPr>
                <w:bCs/>
                <w:iCs/>
                <w:lang w:val="en-GB"/>
              </w:rPr>
            </w:pPr>
            <w:r w:rsidRPr="009979C3">
              <w:t>A more pronounced effect on DM-6705 exposure may be observed during prolonged co-administration with lopinavir/ritonavir.</w:t>
            </w:r>
          </w:p>
        </w:tc>
        <w:tc>
          <w:tcPr>
            <w:tcW w:w="3402" w:type="dxa"/>
            <w:gridSpan w:val="7"/>
            <w:tcBorders>
              <w:top w:val="single" w:sz="4" w:space="0" w:color="auto"/>
              <w:left w:val="single" w:sz="4" w:space="0" w:color="auto"/>
              <w:bottom w:val="single" w:sz="4" w:space="0" w:color="auto"/>
              <w:right w:val="single" w:sz="4" w:space="0" w:color="auto"/>
            </w:tcBorders>
          </w:tcPr>
          <w:p w14:paraId="7E5C4DE3" w14:textId="77777777" w:rsidR="00BE1421" w:rsidRPr="00342F7C" w:rsidRDefault="00BE1421" w:rsidP="00D11B95">
            <w:pPr>
              <w:pStyle w:val="EMEANormal"/>
              <w:keepNext/>
              <w:rPr>
                <w:lang w:val="en-GB"/>
              </w:rPr>
            </w:pPr>
            <w:r>
              <w:t>Due to the risk of QTc prolongation associated with DM</w:t>
            </w:r>
            <w:r>
              <w:noBreakHyphen/>
              <w:t>6705, if co</w:t>
            </w:r>
            <w:r>
              <w:noBreakHyphen/>
              <w:t xml:space="preserve">administration of delamanid with Kaletra is considered necessary, </w:t>
            </w:r>
            <w:r w:rsidRPr="0056654E">
              <w:t>very</w:t>
            </w:r>
            <w:r>
              <w:t xml:space="preserve"> frequent ECG monitoring throughout the full delamanid treatment period is recommended (see section 4.4 and refer to the delamanid SmPC).</w:t>
            </w:r>
          </w:p>
        </w:tc>
      </w:tr>
      <w:tr w:rsidR="00BE1421" w:rsidRPr="00342F7C" w14:paraId="4F143D33" w14:textId="77777777" w:rsidTr="008F531F">
        <w:tc>
          <w:tcPr>
            <w:tcW w:w="2647" w:type="dxa"/>
            <w:tcBorders>
              <w:top w:val="single" w:sz="4" w:space="0" w:color="auto"/>
              <w:left w:val="single" w:sz="4" w:space="0" w:color="auto"/>
              <w:bottom w:val="single" w:sz="4" w:space="0" w:color="auto"/>
              <w:right w:val="single" w:sz="4" w:space="0" w:color="auto"/>
            </w:tcBorders>
          </w:tcPr>
          <w:p w14:paraId="4235F11D" w14:textId="77777777" w:rsidR="00BE1421" w:rsidRPr="00342F7C" w:rsidRDefault="00BE1421" w:rsidP="008831F2">
            <w:pPr>
              <w:pStyle w:val="EMEANormal"/>
              <w:rPr>
                <w:bCs/>
                <w:iCs/>
                <w:lang w:val="en-GB"/>
              </w:rPr>
            </w:pPr>
            <w:r w:rsidRPr="00342F7C">
              <w:rPr>
                <w:bCs/>
                <w:iCs/>
                <w:lang w:val="en-GB"/>
              </w:rPr>
              <w:t>Rifabutin, 150 mg QD</w:t>
            </w:r>
          </w:p>
          <w:p w14:paraId="2A6FB1D0" w14:textId="77777777" w:rsidR="00BE1421" w:rsidRPr="00342F7C" w:rsidRDefault="00BE1421" w:rsidP="008831F2">
            <w:pPr>
              <w:pStyle w:val="EMEANormal"/>
              <w:rPr>
                <w:iCs/>
                <w:lang w:val="en-GB"/>
              </w:rPr>
            </w:pPr>
          </w:p>
        </w:tc>
        <w:tc>
          <w:tcPr>
            <w:tcW w:w="3165" w:type="dxa"/>
            <w:gridSpan w:val="4"/>
            <w:tcBorders>
              <w:top w:val="single" w:sz="4" w:space="0" w:color="auto"/>
              <w:left w:val="single" w:sz="4" w:space="0" w:color="auto"/>
              <w:bottom w:val="single" w:sz="4" w:space="0" w:color="auto"/>
              <w:right w:val="single" w:sz="4" w:space="0" w:color="auto"/>
            </w:tcBorders>
          </w:tcPr>
          <w:p w14:paraId="1A054EF5" w14:textId="77777777" w:rsidR="00BE1421" w:rsidRPr="00342F7C" w:rsidRDefault="00BE1421" w:rsidP="008831F2">
            <w:pPr>
              <w:pStyle w:val="EMEANormal"/>
              <w:rPr>
                <w:i/>
                <w:lang w:val="en-GB"/>
              </w:rPr>
            </w:pPr>
            <w:r w:rsidRPr="00342F7C">
              <w:rPr>
                <w:bCs/>
                <w:iCs/>
                <w:lang w:val="en-GB"/>
              </w:rPr>
              <w:t xml:space="preserve">Rifabutin (parent drug and active </w:t>
            </w:r>
            <w:r w:rsidRPr="00342F7C">
              <w:rPr>
                <w:lang w:val="en-GB"/>
              </w:rPr>
              <w:t>25-O-desacetyl metabolite)</w:t>
            </w:r>
            <w:r w:rsidRPr="00342F7C">
              <w:rPr>
                <w:bCs/>
                <w:iCs/>
                <w:lang w:val="en-GB"/>
              </w:rPr>
              <w:t>:</w:t>
            </w:r>
            <w:r w:rsidRPr="00342F7C">
              <w:rPr>
                <w:i/>
                <w:lang w:val="en-GB"/>
              </w:rPr>
              <w:t xml:space="preserve"> </w:t>
            </w:r>
          </w:p>
          <w:p w14:paraId="58B2D10A" w14:textId="77777777" w:rsidR="00BE1421" w:rsidRPr="00342F7C" w:rsidRDefault="00BE1421" w:rsidP="008831F2">
            <w:pPr>
              <w:pStyle w:val="EMEANormal"/>
              <w:rPr>
                <w:lang w:val="en-GB"/>
              </w:rPr>
            </w:pPr>
            <w:r w:rsidRPr="00342F7C">
              <w:rPr>
                <w:lang w:val="en-GB"/>
              </w:rPr>
              <w:t>AUC: ↑ 5.7-fold</w:t>
            </w:r>
          </w:p>
          <w:p w14:paraId="5F0A43C6" w14:textId="77777777" w:rsidR="00BE1421" w:rsidRPr="00342F7C" w:rsidRDefault="00BE1421" w:rsidP="008831F2">
            <w:pPr>
              <w:pStyle w:val="EMEANormal"/>
              <w:rPr>
                <w:lang w:val="en-GB"/>
              </w:rPr>
            </w:pPr>
            <w:r w:rsidRPr="00342F7C">
              <w:rPr>
                <w:lang w:val="en-GB"/>
              </w:rPr>
              <w:t>C</w:t>
            </w:r>
            <w:r w:rsidRPr="00342F7C">
              <w:rPr>
                <w:vertAlign w:val="subscript"/>
                <w:lang w:val="en-GB"/>
              </w:rPr>
              <w:t>max</w:t>
            </w:r>
            <w:r w:rsidRPr="00342F7C">
              <w:rPr>
                <w:lang w:val="en-GB"/>
              </w:rPr>
              <w:t xml:space="preserve">: ↑ 3.5-fold </w:t>
            </w:r>
          </w:p>
          <w:p w14:paraId="27D6E649" w14:textId="77777777" w:rsidR="00BE1421" w:rsidRPr="00342F7C" w:rsidRDefault="00BE1421" w:rsidP="008831F2">
            <w:pPr>
              <w:pStyle w:val="EMEANormal"/>
              <w:rPr>
                <w:lang w:val="en-GB"/>
              </w:rPr>
            </w:pPr>
          </w:p>
          <w:p w14:paraId="7A4D52D0" w14:textId="77777777" w:rsidR="00BE1421" w:rsidRPr="00342F7C" w:rsidRDefault="00BE1421" w:rsidP="008831F2">
            <w:pPr>
              <w:pStyle w:val="EMEANormal"/>
              <w:rPr>
                <w:lang w:val="en-GB"/>
              </w:rPr>
            </w:pPr>
          </w:p>
        </w:tc>
        <w:tc>
          <w:tcPr>
            <w:tcW w:w="3402" w:type="dxa"/>
            <w:gridSpan w:val="7"/>
            <w:tcBorders>
              <w:top w:val="single" w:sz="4" w:space="0" w:color="auto"/>
              <w:left w:val="single" w:sz="4" w:space="0" w:color="auto"/>
              <w:bottom w:val="single" w:sz="4" w:space="0" w:color="auto"/>
              <w:right w:val="single" w:sz="4" w:space="0" w:color="auto"/>
            </w:tcBorders>
          </w:tcPr>
          <w:p w14:paraId="036EDCAB" w14:textId="77777777" w:rsidR="00BE1421" w:rsidRPr="00342F7C" w:rsidRDefault="00BE1421" w:rsidP="008831F2">
            <w:pPr>
              <w:pStyle w:val="EMEANormal"/>
              <w:rPr>
                <w:lang w:val="en-GB"/>
              </w:rPr>
            </w:pPr>
            <w:r w:rsidRPr="00342F7C">
              <w:rPr>
                <w:lang w:val="en-GB"/>
              </w:rPr>
              <w:t xml:space="preserve">When given with Kaletra the recommended dose of rifabutin is 150 mg 3 times per week on set days (for example Monday-Wednesday-Friday).  Increased monitoring for rifabutin-associated adverse reactions including neutropenia and uveitis is warranted due to an expected increase in exposure to rifabutin.  Further dosage reduction of rifabutin to 150 mg twice weekly on set days is recommended for patients in whom the 150 mg dose 3 times per week is not tolerated.  It should be kept in mind that the twice weekly dosage of 150 mg may not provide an optimal exposure to rifabutin thus leading to a risk of rifamycin resistance and a treatment failure.  No dose adjustment is needed for Kaletra. </w:t>
            </w:r>
          </w:p>
        </w:tc>
      </w:tr>
      <w:tr w:rsidR="00BE1421" w:rsidRPr="00342F7C" w14:paraId="01C3FE7F" w14:textId="77777777" w:rsidTr="008F531F">
        <w:tc>
          <w:tcPr>
            <w:tcW w:w="2647" w:type="dxa"/>
            <w:tcBorders>
              <w:top w:val="single" w:sz="4" w:space="0" w:color="auto"/>
              <w:left w:val="single" w:sz="4" w:space="0" w:color="auto"/>
              <w:bottom w:val="single" w:sz="4" w:space="0" w:color="auto"/>
              <w:right w:val="single" w:sz="4" w:space="0" w:color="auto"/>
            </w:tcBorders>
          </w:tcPr>
          <w:p w14:paraId="567CA664" w14:textId="77777777" w:rsidR="00BE1421" w:rsidRPr="00342F7C" w:rsidRDefault="00BE1421" w:rsidP="002A75DB">
            <w:pPr>
              <w:pStyle w:val="EMEANormal"/>
              <w:keepNext/>
              <w:rPr>
                <w:iCs/>
                <w:lang w:val="en-GB"/>
              </w:rPr>
            </w:pPr>
            <w:r w:rsidRPr="00342F7C">
              <w:rPr>
                <w:bCs/>
                <w:iCs/>
                <w:lang w:val="en-GB"/>
              </w:rPr>
              <w:t>Rifampicin</w:t>
            </w:r>
          </w:p>
        </w:tc>
        <w:tc>
          <w:tcPr>
            <w:tcW w:w="3129" w:type="dxa"/>
            <w:gridSpan w:val="3"/>
            <w:tcBorders>
              <w:top w:val="single" w:sz="4" w:space="0" w:color="auto"/>
              <w:left w:val="single" w:sz="4" w:space="0" w:color="auto"/>
              <w:bottom w:val="single" w:sz="4" w:space="0" w:color="auto"/>
              <w:right w:val="single" w:sz="4" w:space="0" w:color="auto"/>
            </w:tcBorders>
          </w:tcPr>
          <w:p w14:paraId="07083481" w14:textId="77777777" w:rsidR="00BE1421" w:rsidRPr="00342F7C" w:rsidRDefault="00BE1421" w:rsidP="002A75DB">
            <w:pPr>
              <w:pStyle w:val="EMEANormal"/>
              <w:keepNext/>
              <w:rPr>
                <w:lang w:val="en-GB"/>
              </w:rPr>
            </w:pPr>
            <w:r w:rsidRPr="00342F7C">
              <w:rPr>
                <w:lang w:val="en-GB"/>
              </w:rPr>
              <w:t>Lopinavir:</w:t>
            </w:r>
          </w:p>
          <w:p w14:paraId="60D2FB19" w14:textId="77777777" w:rsidR="00BE1421" w:rsidRPr="00342F7C" w:rsidRDefault="00BE1421" w:rsidP="002A75DB">
            <w:pPr>
              <w:pStyle w:val="EMEANormal"/>
              <w:keepNext/>
              <w:rPr>
                <w:lang w:val="en-GB"/>
              </w:rPr>
            </w:pPr>
            <w:r w:rsidRPr="00342F7C">
              <w:rPr>
                <w:lang w:val="en-GB"/>
              </w:rPr>
              <w:t>Large decreases in lopinavir concentrations may be observed due to CYP3A induction by rifampicin.</w:t>
            </w:r>
          </w:p>
          <w:p w14:paraId="18F7DDCE" w14:textId="77777777" w:rsidR="00BE1421" w:rsidRPr="00342F7C" w:rsidRDefault="00BE1421" w:rsidP="002A75DB">
            <w:pPr>
              <w:pStyle w:val="EMEANormal"/>
              <w:keepNext/>
              <w:rPr>
                <w:lang w:val="en-GB"/>
              </w:rPr>
            </w:pPr>
          </w:p>
          <w:p w14:paraId="7804D4A4" w14:textId="77777777" w:rsidR="00BE1421" w:rsidRPr="00342F7C" w:rsidRDefault="00BE1421" w:rsidP="002A75DB">
            <w:pPr>
              <w:pStyle w:val="EMEANormal"/>
              <w:keepNext/>
              <w:rPr>
                <w:lang w:val="en-GB"/>
              </w:rPr>
            </w:pPr>
          </w:p>
        </w:tc>
        <w:tc>
          <w:tcPr>
            <w:tcW w:w="3438" w:type="dxa"/>
            <w:gridSpan w:val="8"/>
            <w:tcBorders>
              <w:top w:val="single" w:sz="4" w:space="0" w:color="auto"/>
              <w:left w:val="single" w:sz="4" w:space="0" w:color="auto"/>
              <w:bottom w:val="single" w:sz="4" w:space="0" w:color="auto"/>
              <w:right w:val="single" w:sz="4" w:space="0" w:color="auto"/>
            </w:tcBorders>
          </w:tcPr>
          <w:p w14:paraId="6C5E893E" w14:textId="77777777" w:rsidR="00BE1421" w:rsidRPr="00342F7C" w:rsidRDefault="00BE1421" w:rsidP="002A75DB">
            <w:pPr>
              <w:pStyle w:val="EMEANormal"/>
              <w:keepNext/>
              <w:rPr>
                <w:lang w:val="en-GB"/>
              </w:rPr>
            </w:pPr>
            <w:r w:rsidRPr="00342F7C">
              <w:rPr>
                <w:iCs/>
                <w:lang w:val="en-GB"/>
              </w:rPr>
              <w:t>Co</w:t>
            </w:r>
            <w:r w:rsidRPr="00342F7C">
              <w:rPr>
                <w:iCs/>
                <w:lang w:val="en-GB"/>
              </w:rPr>
              <w:noBreakHyphen/>
              <w:t xml:space="preserve">administration of Kaletra with rifampicin is not recommended as </w:t>
            </w:r>
            <w:r w:rsidRPr="00342F7C">
              <w:rPr>
                <w:lang w:val="en-GB"/>
              </w:rPr>
              <w:t>the decrease in lopinavir concentrations may in turn significantly decrease the lopinavir therapeutic effect</w:t>
            </w:r>
            <w:r>
              <w:rPr>
                <w:iCs/>
                <w:lang w:val="en-GB"/>
              </w:rPr>
              <w:t>.</w:t>
            </w:r>
            <w:r w:rsidRPr="00342F7C">
              <w:rPr>
                <w:iCs/>
                <w:lang w:val="en-GB"/>
              </w:rPr>
              <w:t xml:space="preserve">  </w:t>
            </w:r>
            <w:r w:rsidRPr="00342F7C">
              <w:rPr>
                <w:lang w:val="en-GB"/>
              </w:rPr>
              <w:t>A dose adjustment of Kaletra 400 mg/400 mg (i.e. Kaletra 400/100 mg + ritonavir 300 mg) twice daily has allowed compensating for the CYP 3A4 inducer effect of rifampicin.  However, such a dose adjustment might be associated with ALT/AST elevations and with increase in gastrointestinal disorders.  Therefore, this co</w:t>
            </w:r>
            <w:r w:rsidRPr="00342F7C">
              <w:rPr>
                <w:lang w:val="en-GB"/>
              </w:rPr>
              <w:noBreakHyphen/>
              <w:t>administration should be avoided unless judged strictly necessary.  If this co</w:t>
            </w:r>
            <w:r w:rsidRPr="00342F7C">
              <w:rPr>
                <w:lang w:val="en-GB"/>
              </w:rPr>
              <w:noBreakHyphen/>
              <w:t>administration is judged unavoidable, increased dose of Kaletra at 400 mg/400 mg twice daily may be administered with rifampicin under close safety and therapeutic drug monitoring.  The Kaletra dose should be titrated upward only after rifampicin has been initiated (see section 4.4).</w:t>
            </w:r>
          </w:p>
        </w:tc>
      </w:tr>
      <w:tr w:rsidR="00BE1421" w:rsidRPr="00B8664C" w14:paraId="42E6F4EF" w14:textId="77777777" w:rsidTr="008F531F">
        <w:tc>
          <w:tcPr>
            <w:tcW w:w="9214" w:type="dxa"/>
            <w:gridSpan w:val="12"/>
            <w:tcBorders>
              <w:top w:val="single" w:sz="4" w:space="0" w:color="auto"/>
              <w:left w:val="single" w:sz="4" w:space="0" w:color="auto"/>
              <w:bottom w:val="single" w:sz="4" w:space="0" w:color="auto"/>
              <w:right w:val="single" w:sz="4" w:space="0" w:color="auto"/>
            </w:tcBorders>
          </w:tcPr>
          <w:p w14:paraId="57070210" w14:textId="77777777" w:rsidR="00BE1421" w:rsidRPr="00B8664C" w:rsidRDefault="00BE1421" w:rsidP="008831F2">
            <w:pPr>
              <w:pStyle w:val="EMEANormal"/>
              <w:rPr>
                <w:i/>
                <w:iCs/>
                <w:lang w:val="en-GB"/>
              </w:rPr>
            </w:pPr>
            <w:r w:rsidRPr="00B8664C">
              <w:rPr>
                <w:i/>
                <w:iCs/>
                <w:lang w:val="en-GB"/>
              </w:rPr>
              <w:t>Antipsychotics</w:t>
            </w:r>
          </w:p>
        </w:tc>
      </w:tr>
      <w:tr w:rsidR="00BE1421" w:rsidRPr="00B8664C" w14:paraId="30A77F0B" w14:textId="77777777" w:rsidTr="008F531F">
        <w:tc>
          <w:tcPr>
            <w:tcW w:w="2647" w:type="dxa"/>
            <w:tcBorders>
              <w:top w:val="single" w:sz="4" w:space="0" w:color="auto"/>
              <w:left w:val="single" w:sz="4" w:space="0" w:color="auto"/>
              <w:bottom w:val="single" w:sz="4" w:space="0" w:color="auto"/>
              <w:right w:val="single" w:sz="4" w:space="0" w:color="auto"/>
            </w:tcBorders>
          </w:tcPr>
          <w:p w14:paraId="314F4C7E" w14:textId="77777777" w:rsidR="00BE1421" w:rsidRPr="00B8664C" w:rsidRDefault="00BE1421" w:rsidP="008831F2">
            <w:pPr>
              <w:pStyle w:val="EMEANormal"/>
              <w:rPr>
                <w:bCs/>
                <w:iCs/>
                <w:lang w:val="en-GB"/>
              </w:rPr>
            </w:pPr>
            <w:r>
              <w:rPr>
                <w:bCs/>
                <w:iCs/>
                <w:lang w:val="en-GB"/>
              </w:rPr>
              <w:t>Lurasidone</w:t>
            </w:r>
          </w:p>
        </w:tc>
        <w:tc>
          <w:tcPr>
            <w:tcW w:w="3129" w:type="dxa"/>
            <w:gridSpan w:val="3"/>
            <w:tcBorders>
              <w:top w:val="single" w:sz="4" w:space="0" w:color="auto"/>
              <w:left w:val="single" w:sz="4" w:space="0" w:color="auto"/>
              <w:bottom w:val="single" w:sz="4" w:space="0" w:color="auto"/>
              <w:right w:val="single" w:sz="4" w:space="0" w:color="auto"/>
            </w:tcBorders>
          </w:tcPr>
          <w:p w14:paraId="4A36452E" w14:textId="77777777" w:rsidR="00BE1421" w:rsidRPr="00B8664C" w:rsidRDefault="00BE1421" w:rsidP="008831F2">
            <w:pPr>
              <w:pStyle w:val="EMEANormal"/>
              <w:rPr>
                <w:lang w:val="en-GB"/>
              </w:rPr>
            </w:pPr>
            <w:r>
              <w:rPr>
                <w:lang w:val="en-GB"/>
              </w:rPr>
              <w:t>Due to CYP3A inhibition by lopinavir/ritonavir, concentrations of lurasidone are expected to increase.</w:t>
            </w:r>
          </w:p>
        </w:tc>
        <w:tc>
          <w:tcPr>
            <w:tcW w:w="3438" w:type="dxa"/>
            <w:gridSpan w:val="8"/>
            <w:tcBorders>
              <w:top w:val="single" w:sz="4" w:space="0" w:color="auto"/>
              <w:left w:val="single" w:sz="4" w:space="0" w:color="auto"/>
              <w:bottom w:val="single" w:sz="4" w:space="0" w:color="auto"/>
              <w:right w:val="single" w:sz="4" w:space="0" w:color="auto"/>
            </w:tcBorders>
          </w:tcPr>
          <w:p w14:paraId="1F08D386" w14:textId="77777777" w:rsidR="00BE1421" w:rsidRPr="00B8664C" w:rsidRDefault="00BE1421" w:rsidP="008831F2">
            <w:pPr>
              <w:pStyle w:val="EMEANormal"/>
              <w:rPr>
                <w:iCs/>
                <w:lang w:val="en-GB"/>
              </w:rPr>
            </w:pPr>
            <w:r>
              <w:rPr>
                <w:iCs/>
                <w:lang w:val="en-GB"/>
              </w:rPr>
              <w:t>The concomitant administration with lurasidone is contraindicated (see section 4.3).</w:t>
            </w:r>
          </w:p>
        </w:tc>
      </w:tr>
      <w:tr w:rsidR="00BE1421" w:rsidRPr="00B8664C" w14:paraId="6CF18094" w14:textId="77777777" w:rsidTr="008F531F">
        <w:tc>
          <w:tcPr>
            <w:tcW w:w="2647" w:type="dxa"/>
            <w:tcBorders>
              <w:top w:val="single" w:sz="4" w:space="0" w:color="auto"/>
              <w:left w:val="single" w:sz="4" w:space="0" w:color="auto"/>
              <w:bottom w:val="single" w:sz="4" w:space="0" w:color="auto"/>
              <w:right w:val="single" w:sz="4" w:space="0" w:color="auto"/>
            </w:tcBorders>
          </w:tcPr>
          <w:p w14:paraId="24C187CA" w14:textId="77777777" w:rsidR="00BE1421" w:rsidRDefault="00BE1421" w:rsidP="005766B5">
            <w:pPr>
              <w:pStyle w:val="EMEANormal"/>
              <w:rPr>
                <w:bCs/>
                <w:iCs/>
                <w:lang w:val="en-GB"/>
              </w:rPr>
            </w:pPr>
            <w:r>
              <w:rPr>
                <w:bCs/>
                <w:iCs/>
                <w:lang w:val="en-GB"/>
              </w:rPr>
              <w:t>Pimozide</w:t>
            </w:r>
          </w:p>
        </w:tc>
        <w:tc>
          <w:tcPr>
            <w:tcW w:w="3119" w:type="dxa"/>
            <w:gridSpan w:val="2"/>
            <w:tcBorders>
              <w:top w:val="single" w:sz="4" w:space="0" w:color="auto"/>
              <w:left w:val="single" w:sz="4" w:space="0" w:color="auto"/>
              <w:bottom w:val="single" w:sz="4" w:space="0" w:color="auto"/>
              <w:right w:val="single" w:sz="4" w:space="0" w:color="auto"/>
            </w:tcBorders>
          </w:tcPr>
          <w:p w14:paraId="2F830C1A" w14:textId="77777777" w:rsidR="00BE1421" w:rsidRDefault="00BE1421" w:rsidP="005766B5">
            <w:pPr>
              <w:pStyle w:val="EMEANormal"/>
              <w:rPr>
                <w:lang w:val="en-GB"/>
              </w:rPr>
            </w:pPr>
            <w:r>
              <w:rPr>
                <w:lang w:val="en-GB"/>
              </w:rPr>
              <w:t>Due to CYP3A inhibition by lopinavir/ritonavir, concentrations of pimozide are expected to increase.</w:t>
            </w:r>
          </w:p>
        </w:tc>
        <w:tc>
          <w:tcPr>
            <w:tcW w:w="3448" w:type="dxa"/>
            <w:gridSpan w:val="9"/>
            <w:tcBorders>
              <w:top w:val="single" w:sz="4" w:space="0" w:color="auto"/>
              <w:left w:val="single" w:sz="4" w:space="0" w:color="auto"/>
              <w:bottom w:val="single" w:sz="4" w:space="0" w:color="auto"/>
              <w:right w:val="single" w:sz="4" w:space="0" w:color="auto"/>
            </w:tcBorders>
          </w:tcPr>
          <w:p w14:paraId="5174125E" w14:textId="77777777" w:rsidR="00BE1421" w:rsidRDefault="00BE1421" w:rsidP="005766B5">
            <w:pPr>
              <w:pStyle w:val="EMEANormal"/>
              <w:rPr>
                <w:iCs/>
                <w:lang w:val="en-GB"/>
              </w:rPr>
            </w:pPr>
            <w:r w:rsidRPr="00B8664C">
              <w:rPr>
                <w:iCs/>
                <w:lang w:val="en-GB"/>
              </w:rPr>
              <w:t xml:space="preserve">Concomitant administration of Kaletra and </w:t>
            </w:r>
            <w:r>
              <w:rPr>
                <w:iCs/>
                <w:lang w:val="en-GB"/>
              </w:rPr>
              <w:t>pimozide</w:t>
            </w:r>
            <w:r w:rsidRPr="00B8664C">
              <w:rPr>
                <w:iCs/>
                <w:lang w:val="en-GB"/>
              </w:rPr>
              <w:t xml:space="preserve"> is contraindicated as it may increase</w:t>
            </w:r>
            <w:r>
              <w:rPr>
                <w:iCs/>
                <w:lang w:val="en-GB"/>
              </w:rPr>
              <w:t xml:space="preserve"> the risk of serious haematologic abnormalities or other serious adverse effects from this agent (see section 4.3)</w:t>
            </w:r>
          </w:p>
        </w:tc>
      </w:tr>
      <w:tr w:rsidR="00BE1421" w:rsidRPr="00B8664C" w14:paraId="53848D80" w14:textId="77777777" w:rsidTr="008F531F">
        <w:tc>
          <w:tcPr>
            <w:tcW w:w="2647" w:type="dxa"/>
            <w:tcBorders>
              <w:top w:val="single" w:sz="4" w:space="0" w:color="auto"/>
              <w:left w:val="single" w:sz="4" w:space="0" w:color="auto"/>
              <w:bottom w:val="single" w:sz="4" w:space="0" w:color="auto"/>
              <w:right w:val="single" w:sz="4" w:space="0" w:color="auto"/>
            </w:tcBorders>
          </w:tcPr>
          <w:p w14:paraId="07DEA535" w14:textId="77777777" w:rsidR="00BE1421" w:rsidRPr="00B8664C" w:rsidRDefault="00BE1421" w:rsidP="008831F2">
            <w:pPr>
              <w:pStyle w:val="EMEANormal"/>
              <w:rPr>
                <w:bCs/>
                <w:iCs/>
                <w:lang w:val="en-GB"/>
              </w:rPr>
            </w:pPr>
            <w:r w:rsidRPr="00B8664C">
              <w:rPr>
                <w:bCs/>
                <w:iCs/>
                <w:lang w:val="en-GB"/>
              </w:rPr>
              <w:t>Quetiapine</w:t>
            </w:r>
          </w:p>
        </w:tc>
        <w:tc>
          <w:tcPr>
            <w:tcW w:w="3129" w:type="dxa"/>
            <w:gridSpan w:val="3"/>
            <w:tcBorders>
              <w:top w:val="single" w:sz="4" w:space="0" w:color="auto"/>
              <w:left w:val="single" w:sz="4" w:space="0" w:color="auto"/>
              <w:bottom w:val="single" w:sz="4" w:space="0" w:color="auto"/>
              <w:right w:val="single" w:sz="4" w:space="0" w:color="auto"/>
            </w:tcBorders>
          </w:tcPr>
          <w:p w14:paraId="0374840D" w14:textId="77777777" w:rsidR="00BE1421" w:rsidRPr="00B8664C" w:rsidRDefault="00BE1421" w:rsidP="008831F2">
            <w:pPr>
              <w:pStyle w:val="EMEANormal"/>
              <w:rPr>
                <w:lang w:val="en-GB"/>
              </w:rPr>
            </w:pPr>
            <w:r w:rsidRPr="00B8664C">
              <w:rPr>
                <w:lang w:val="en-GB"/>
              </w:rPr>
              <w:t>Due to CYP3A inhibition by lopinavir/ritonavir, concentrations of quetiapine are expected to increase.</w:t>
            </w:r>
          </w:p>
        </w:tc>
        <w:tc>
          <w:tcPr>
            <w:tcW w:w="3438" w:type="dxa"/>
            <w:gridSpan w:val="8"/>
            <w:tcBorders>
              <w:top w:val="single" w:sz="4" w:space="0" w:color="auto"/>
              <w:left w:val="single" w:sz="4" w:space="0" w:color="auto"/>
              <w:bottom w:val="single" w:sz="4" w:space="0" w:color="auto"/>
              <w:right w:val="single" w:sz="4" w:space="0" w:color="auto"/>
            </w:tcBorders>
          </w:tcPr>
          <w:p w14:paraId="27FA9721" w14:textId="77777777" w:rsidR="00BE1421" w:rsidRPr="00B8664C" w:rsidRDefault="00BE1421" w:rsidP="008831F2">
            <w:pPr>
              <w:pStyle w:val="EMEANormal"/>
              <w:rPr>
                <w:iCs/>
                <w:lang w:val="en-GB"/>
              </w:rPr>
            </w:pPr>
            <w:r w:rsidRPr="00B8664C">
              <w:rPr>
                <w:iCs/>
                <w:lang w:val="en-GB"/>
              </w:rPr>
              <w:t>Concomitant administration of Kaletra and quetiapine is contraindicated as it may increase quetiapine-related toxicity.</w:t>
            </w:r>
          </w:p>
        </w:tc>
      </w:tr>
      <w:tr w:rsidR="00BE1421" w:rsidRPr="00342F7C" w14:paraId="5B5A3E48" w14:textId="77777777" w:rsidTr="008F531F">
        <w:tc>
          <w:tcPr>
            <w:tcW w:w="9214" w:type="dxa"/>
            <w:gridSpan w:val="12"/>
            <w:tcBorders>
              <w:top w:val="single" w:sz="4" w:space="0" w:color="auto"/>
              <w:left w:val="single" w:sz="4" w:space="0" w:color="auto"/>
              <w:bottom w:val="single" w:sz="4" w:space="0" w:color="auto"/>
              <w:right w:val="single" w:sz="4" w:space="0" w:color="auto"/>
            </w:tcBorders>
          </w:tcPr>
          <w:p w14:paraId="1F355067" w14:textId="77777777" w:rsidR="00BE1421" w:rsidRPr="00342F7C" w:rsidRDefault="00BE1421" w:rsidP="00D11B95">
            <w:pPr>
              <w:pStyle w:val="EMEANormal"/>
              <w:keepNext/>
              <w:rPr>
                <w:i/>
                <w:lang w:val="en-GB"/>
              </w:rPr>
            </w:pPr>
            <w:r w:rsidRPr="00342F7C">
              <w:rPr>
                <w:i/>
                <w:lang w:val="en-GB"/>
              </w:rPr>
              <w:t>Benzodiazepines</w:t>
            </w:r>
          </w:p>
        </w:tc>
      </w:tr>
      <w:tr w:rsidR="00BE1421" w:rsidRPr="00342F7C" w14:paraId="06E525C0" w14:textId="77777777" w:rsidTr="008F531F">
        <w:tc>
          <w:tcPr>
            <w:tcW w:w="2647" w:type="dxa"/>
            <w:tcBorders>
              <w:top w:val="single" w:sz="4" w:space="0" w:color="auto"/>
              <w:left w:val="single" w:sz="4" w:space="0" w:color="auto"/>
              <w:bottom w:val="single" w:sz="4" w:space="0" w:color="auto"/>
              <w:right w:val="single" w:sz="4" w:space="0" w:color="auto"/>
            </w:tcBorders>
          </w:tcPr>
          <w:p w14:paraId="30143935" w14:textId="77777777" w:rsidR="00BE1421" w:rsidRPr="00342F7C" w:rsidRDefault="00BE1421" w:rsidP="00D11B95">
            <w:pPr>
              <w:pStyle w:val="EMEANormal"/>
              <w:keepNext/>
              <w:rPr>
                <w:iCs/>
                <w:lang w:val="en-GB"/>
              </w:rPr>
            </w:pPr>
            <w:r w:rsidRPr="00342F7C">
              <w:rPr>
                <w:iCs/>
                <w:lang w:val="en-GB"/>
              </w:rPr>
              <w:t>Midazolam</w:t>
            </w:r>
          </w:p>
          <w:p w14:paraId="12E3730F" w14:textId="77777777" w:rsidR="00BE1421" w:rsidRPr="00342F7C" w:rsidRDefault="00BE1421" w:rsidP="00D11B95">
            <w:pPr>
              <w:pStyle w:val="EMEANormal"/>
              <w:keepNext/>
              <w:rPr>
                <w:i/>
                <w:lang w:val="en-GB"/>
              </w:rPr>
            </w:pPr>
          </w:p>
        </w:tc>
        <w:tc>
          <w:tcPr>
            <w:tcW w:w="3129" w:type="dxa"/>
            <w:gridSpan w:val="3"/>
            <w:tcBorders>
              <w:top w:val="single" w:sz="4" w:space="0" w:color="auto"/>
              <w:left w:val="single" w:sz="4" w:space="0" w:color="auto"/>
              <w:bottom w:val="single" w:sz="4" w:space="0" w:color="auto"/>
              <w:right w:val="single" w:sz="4" w:space="0" w:color="auto"/>
            </w:tcBorders>
          </w:tcPr>
          <w:p w14:paraId="3AC1C0E5" w14:textId="77777777" w:rsidR="00BE1421" w:rsidRPr="00342F7C" w:rsidRDefault="00BE1421" w:rsidP="00D11B95">
            <w:pPr>
              <w:pStyle w:val="EMEANormal"/>
              <w:keepNext/>
              <w:rPr>
                <w:i/>
                <w:lang w:val="en-GB"/>
              </w:rPr>
            </w:pPr>
            <w:r w:rsidRPr="00342F7C">
              <w:rPr>
                <w:iCs/>
                <w:lang w:val="en-GB"/>
              </w:rPr>
              <w:t xml:space="preserve">Oral Midazolam: </w:t>
            </w:r>
          </w:p>
          <w:p w14:paraId="3611DEBE" w14:textId="77777777" w:rsidR="00BE1421" w:rsidRPr="00342F7C" w:rsidRDefault="00BE1421" w:rsidP="00D11B95">
            <w:pPr>
              <w:pStyle w:val="EMEANormal"/>
              <w:keepNext/>
              <w:rPr>
                <w:iCs/>
                <w:lang w:val="en-GB"/>
              </w:rPr>
            </w:pPr>
            <w:r w:rsidRPr="00342F7C">
              <w:rPr>
                <w:iCs/>
                <w:lang w:val="en-GB"/>
              </w:rPr>
              <w:t xml:space="preserve">AUC: ↑ 13-fold </w:t>
            </w:r>
          </w:p>
          <w:p w14:paraId="669AF8C9" w14:textId="77777777" w:rsidR="00BE1421" w:rsidRPr="00342F7C" w:rsidRDefault="00BE1421" w:rsidP="00D11B95">
            <w:pPr>
              <w:pStyle w:val="EMEANormal"/>
              <w:keepNext/>
              <w:rPr>
                <w:iCs/>
                <w:lang w:val="en-GB"/>
              </w:rPr>
            </w:pPr>
            <w:r w:rsidRPr="00342F7C">
              <w:rPr>
                <w:iCs/>
                <w:lang w:val="en-GB"/>
              </w:rPr>
              <w:t>Parenteral Midazolam:</w:t>
            </w:r>
          </w:p>
          <w:p w14:paraId="62472816" w14:textId="77777777" w:rsidR="00BE1421" w:rsidRPr="00342F7C" w:rsidRDefault="00BE1421" w:rsidP="00D11B95">
            <w:pPr>
              <w:pStyle w:val="EMEANormal"/>
              <w:keepNext/>
              <w:rPr>
                <w:iCs/>
                <w:lang w:val="en-GB"/>
              </w:rPr>
            </w:pPr>
            <w:r w:rsidRPr="00342F7C">
              <w:rPr>
                <w:iCs/>
                <w:lang w:val="en-GB"/>
              </w:rPr>
              <w:t>AUC: ↑ 4-fold</w:t>
            </w:r>
          </w:p>
          <w:p w14:paraId="5ED9B180" w14:textId="77777777" w:rsidR="00BE1421" w:rsidRPr="00342F7C" w:rsidRDefault="00BE1421" w:rsidP="00D11B95">
            <w:pPr>
              <w:pStyle w:val="EMEANormal"/>
              <w:keepNext/>
              <w:rPr>
                <w:lang w:val="en-GB"/>
              </w:rPr>
            </w:pPr>
            <w:r w:rsidRPr="00342F7C">
              <w:rPr>
                <w:lang w:val="en-GB"/>
              </w:rPr>
              <w:t xml:space="preserve">Due to CYP3A inhibition by </w:t>
            </w:r>
            <w:r>
              <w:rPr>
                <w:lang w:val="en-GB"/>
              </w:rPr>
              <w:t>lopinavir/ritonavir</w:t>
            </w:r>
          </w:p>
          <w:p w14:paraId="607B6FB6" w14:textId="77777777" w:rsidR="00BE1421" w:rsidRPr="00342F7C" w:rsidRDefault="00BE1421" w:rsidP="00D11B95">
            <w:pPr>
              <w:pStyle w:val="EMEANormal"/>
              <w:keepNext/>
              <w:rPr>
                <w:iCs/>
                <w:lang w:val="en-GB"/>
              </w:rPr>
            </w:pPr>
          </w:p>
          <w:p w14:paraId="7A798EC0" w14:textId="77777777" w:rsidR="00BE1421" w:rsidRPr="00342F7C" w:rsidRDefault="00BE1421" w:rsidP="00D11B95">
            <w:pPr>
              <w:pStyle w:val="EMEANormal"/>
              <w:keepNext/>
              <w:rPr>
                <w:iCs/>
                <w:lang w:val="en-GB"/>
              </w:rPr>
            </w:pPr>
          </w:p>
        </w:tc>
        <w:tc>
          <w:tcPr>
            <w:tcW w:w="3438" w:type="dxa"/>
            <w:gridSpan w:val="8"/>
            <w:tcBorders>
              <w:top w:val="single" w:sz="4" w:space="0" w:color="auto"/>
              <w:left w:val="single" w:sz="4" w:space="0" w:color="auto"/>
              <w:bottom w:val="single" w:sz="4" w:space="0" w:color="auto"/>
              <w:right w:val="single" w:sz="4" w:space="0" w:color="auto"/>
            </w:tcBorders>
          </w:tcPr>
          <w:p w14:paraId="246662B3" w14:textId="77777777" w:rsidR="00BE1421" w:rsidRPr="00342F7C" w:rsidRDefault="00BE1421" w:rsidP="00D11B95">
            <w:pPr>
              <w:pStyle w:val="EMEANormal"/>
              <w:keepNext/>
              <w:rPr>
                <w:lang w:val="en-GB"/>
              </w:rPr>
            </w:pPr>
            <w:r w:rsidRPr="00342F7C">
              <w:rPr>
                <w:iCs/>
                <w:lang w:val="en-GB"/>
              </w:rPr>
              <w:t>Kaletra must not be co</w:t>
            </w:r>
            <w:r w:rsidRPr="00342F7C">
              <w:rPr>
                <w:iCs/>
                <w:lang w:val="en-GB"/>
              </w:rPr>
              <w:noBreakHyphen/>
              <w:t>administered with oral midazolam (see section 4.3), whereas caution should be used with co</w:t>
            </w:r>
            <w:r w:rsidRPr="00342F7C">
              <w:rPr>
                <w:iCs/>
                <w:lang w:val="en-GB"/>
              </w:rPr>
              <w:noBreakHyphen/>
              <w:t>administration of Kaletra and parenteral midazolam.  If Kaletra is co</w:t>
            </w:r>
            <w:r w:rsidRPr="00342F7C">
              <w:rPr>
                <w:iCs/>
                <w:lang w:val="en-GB"/>
              </w:rPr>
              <w:noBreakHyphen/>
              <w:t>administered with parenteral midazolam, it should be done in an intensive care unit (ICU) or similar setting which ensures close clinical monitoring and appropriate medical management in case of respiratory depression and/or prolonged sedation.  Dosage adjustment for midazolam should be considered especially if more than a single dose of midazolam is administered.</w:t>
            </w:r>
          </w:p>
        </w:tc>
      </w:tr>
      <w:tr w:rsidR="00BE1421" w:rsidRPr="00DC2361" w14:paraId="553A4381" w14:textId="77777777" w:rsidTr="008F531F">
        <w:tc>
          <w:tcPr>
            <w:tcW w:w="9214" w:type="dxa"/>
            <w:gridSpan w:val="12"/>
            <w:tcBorders>
              <w:top w:val="single" w:sz="4" w:space="0" w:color="auto"/>
              <w:left w:val="single" w:sz="4" w:space="0" w:color="auto"/>
              <w:bottom w:val="single" w:sz="4" w:space="0" w:color="auto"/>
              <w:right w:val="single" w:sz="4" w:space="0" w:color="auto"/>
            </w:tcBorders>
          </w:tcPr>
          <w:p w14:paraId="1FE5FD7C" w14:textId="77777777" w:rsidR="00BE1421" w:rsidRPr="00DC2361" w:rsidRDefault="00BE1421" w:rsidP="002A75DB">
            <w:pPr>
              <w:pStyle w:val="EMEANormal"/>
              <w:keepNext/>
              <w:rPr>
                <w:bCs/>
                <w:i/>
                <w:lang w:val="en-GB"/>
              </w:rPr>
            </w:pPr>
            <w:r w:rsidRPr="00DC2361">
              <w:rPr>
                <w:i/>
                <w:szCs w:val="22"/>
              </w:rPr>
              <w:t>Beta</w:t>
            </w:r>
            <w:r w:rsidRPr="00DC2361">
              <w:rPr>
                <w:i/>
                <w:szCs w:val="22"/>
                <w:vertAlign w:val="subscript"/>
              </w:rPr>
              <w:t>2</w:t>
            </w:r>
            <w:r w:rsidRPr="00DC2361">
              <w:rPr>
                <w:i/>
                <w:szCs w:val="22"/>
              </w:rPr>
              <w:t>-adrenoceptor agonist (long acting)</w:t>
            </w:r>
          </w:p>
        </w:tc>
      </w:tr>
      <w:tr w:rsidR="00BE1421" w:rsidRPr="00342F7C" w14:paraId="2CD0E367" w14:textId="77777777" w:rsidTr="008F531F">
        <w:tc>
          <w:tcPr>
            <w:tcW w:w="2647" w:type="dxa"/>
            <w:tcBorders>
              <w:top w:val="single" w:sz="4" w:space="0" w:color="auto"/>
              <w:left w:val="single" w:sz="4" w:space="0" w:color="auto"/>
              <w:bottom w:val="single" w:sz="4" w:space="0" w:color="auto"/>
              <w:right w:val="single" w:sz="4" w:space="0" w:color="auto"/>
            </w:tcBorders>
          </w:tcPr>
          <w:p w14:paraId="373C9450" w14:textId="77777777" w:rsidR="00BE1421" w:rsidRPr="00342F7C" w:rsidRDefault="00BE1421" w:rsidP="002A75DB">
            <w:pPr>
              <w:pStyle w:val="EMEANormal"/>
              <w:keepNext/>
              <w:rPr>
                <w:lang w:val="en-GB"/>
              </w:rPr>
            </w:pPr>
            <w:r>
              <w:rPr>
                <w:lang w:val="en-GB"/>
              </w:rPr>
              <w:t>Salmeterol</w:t>
            </w:r>
          </w:p>
        </w:tc>
        <w:tc>
          <w:tcPr>
            <w:tcW w:w="3240" w:type="dxa"/>
            <w:gridSpan w:val="5"/>
            <w:tcBorders>
              <w:top w:val="single" w:sz="4" w:space="0" w:color="auto"/>
              <w:left w:val="single" w:sz="4" w:space="0" w:color="auto"/>
              <w:bottom w:val="single" w:sz="4" w:space="0" w:color="auto"/>
              <w:right w:val="single" w:sz="4" w:space="0" w:color="auto"/>
            </w:tcBorders>
          </w:tcPr>
          <w:p w14:paraId="2A12A2D8" w14:textId="77777777" w:rsidR="00BE1421" w:rsidRDefault="00BE1421" w:rsidP="002A75DB">
            <w:pPr>
              <w:pStyle w:val="EMEANormal"/>
              <w:keepNext/>
              <w:rPr>
                <w:lang w:val="en-GB"/>
              </w:rPr>
            </w:pPr>
            <w:r>
              <w:rPr>
                <w:lang w:val="en-GB"/>
              </w:rPr>
              <w:t>Salmeterol:</w:t>
            </w:r>
          </w:p>
          <w:p w14:paraId="27FE13E2" w14:textId="77777777" w:rsidR="00BE1421" w:rsidRPr="00342F7C" w:rsidRDefault="00BE1421" w:rsidP="002A75DB">
            <w:pPr>
              <w:pStyle w:val="EMEANormal"/>
              <w:keepNext/>
              <w:rPr>
                <w:lang w:val="en-GB"/>
              </w:rPr>
            </w:pPr>
            <w:r>
              <w:rPr>
                <w:lang w:val="en-GB"/>
              </w:rPr>
              <w:t>Concentrations are expected to increase due to CYP3A inhibition by lopinavir/ritonavir.</w:t>
            </w:r>
          </w:p>
        </w:tc>
        <w:tc>
          <w:tcPr>
            <w:tcW w:w="3327" w:type="dxa"/>
            <w:gridSpan w:val="6"/>
            <w:tcBorders>
              <w:top w:val="single" w:sz="4" w:space="0" w:color="auto"/>
              <w:left w:val="single" w:sz="4" w:space="0" w:color="auto"/>
              <w:bottom w:val="single" w:sz="4" w:space="0" w:color="auto"/>
              <w:right w:val="single" w:sz="4" w:space="0" w:color="auto"/>
            </w:tcBorders>
          </w:tcPr>
          <w:p w14:paraId="594D8FA7" w14:textId="77777777" w:rsidR="00BE1421" w:rsidRPr="0071232B" w:rsidRDefault="00BE1421" w:rsidP="002A75DB">
            <w:pPr>
              <w:keepNext/>
              <w:autoSpaceDE w:val="0"/>
              <w:autoSpaceDN w:val="0"/>
              <w:adjustRightInd w:val="0"/>
              <w:rPr>
                <w:sz w:val="22"/>
                <w:szCs w:val="22"/>
                <w:lang w:eastAsia="de-DE"/>
              </w:rPr>
            </w:pPr>
            <w:r w:rsidRPr="0071232B">
              <w:rPr>
                <w:sz w:val="22"/>
                <w:szCs w:val="22"/>
                <w:lang w:eastAsia="de-DE"/>
              </w:rPr>
              <w:t>The combination may result in increased risk of cardiovascular adverse events associated with salmeterol, including QT prolongation, palpitations and sinus tachycardia.</w:t>
            </w:r>
          </w:p>
          <w:p w14:paraId="0F8CEF9C" w14:textId="77777777" w:rsidR="00BE1421" w:rsidRPr="00342F7C" w:rsidRDefault="00BE1421" w:rsidP="002A75DB">
            <w:pPr>
              <w:pStyle w:val="EMEANormal"/>
              <w:keepNext/>
              <w:rPr>
                <w:lang w:val="en-GB"/>
              </w:rPr>
            </w:pPr>
            <w:r w:rsidRPr="0071232B">
              <w:rPr>
                <w:szCs w:val="22"/>
                <w:lang w:eastAsia="de-DE"/>
              </w:rPr>
              <w:t xml:space="preserve">Therefore, concomitant administration of </w:t>
            </w:r>
            <w:r>
              <w:rPr>
                <w:szCs w:val="22"/>
                <w:lang w:eastAsia="de-DE"/>
              </w:rPr>
              <w:t>Kaletra</w:t>
            </w:r>
            <w:r w:rsidRPr="0071232B">
              <w:rPr>
                <w:szCs w:val="22"/>
                <w:lang w:eastAsia="de-DE"/>
              </w:rPr>
              <w:t xml:space="preserve"> with </w:t>
            </w:r>
            <w:r w:rsidRPr="00AC3B88">
              <w:rPr>
                <w:iCs/>
                <w:szCs w:val="22"/>
                <w:lang w:eastAsia="fr-FR"/>
              </w:rPr>
              <w:t>salmeterol</w:t>
            </w:r>
            <w:r w:rsidRPr="0071232B">
              <w:rPr>
                <w:szCs w:val="22"/>
                <w:lang w:eastAsia="de-DE"/>
              </w:rPr>
              <w:t xml:space="preserve"> is not recommended (see section 4.4).</w:t>
            </w:r>
          </w:p>
        </w:tc>
      </w:tr>
      <w:tr w:rsidR="00BE1421" w:rsidRPr="00342F7C" w14:paraId="6A1A692D" w14:textId="77777777" w:rsidTr="008F531F">
        <w:tc>
          <w:tcPr>
            <w:tcW w:w="9214" w:type="dxa"/>
            <w:gridSpan w:val="12"/>
            <w:tcBorders>
              <w:top w:val="single" w:sz="4" w:space="0" w:color="auto"/>
              <w:left w:val="single" w:sz="4" w:space="0" w:color="auto"/>
              <w:bottom w:val="single" w:sz="4" w:space="0" w:color="auto"/>
              <w:right w:val="single" w:sz="4" w:space="0" w:color="auto"/>
            </w:tcBorders>
          </w:tcPr>
          <w:p w14:paraId="64B0B4F1" w14:textId="77777777" w:rsidR="00BE1421" w:rsidRPr="00342F7C" w:rsidRDefault="00BE1421" w:rsidP="008831F2">
            <w:pPr>
              <w:pStyle w:val="EMEANormal"/>
              <w:rPr>
                <w:i/>
                <w:lang w:val="en-GB"/>
              </w:rPr>
            </w:pPr>
            <w:r w:rsidRPr="00342F7C">
              <w:rPr>
                <w:bCs/>
                <w:i/>
                <w:lang w:val="en-GB"/>
              </w:rPr>
              <w:t>Calcium channel blockers</w:t>
            </w:r>
          </w:p>
        </w:tc>
      </w:tr>
      <w:tr w:rsidR="00BE1421" w:rsidRPr="00342F7C" w14:paraId="7E5825C0" w14:textId="77777777" w:rsidTr="008F531F">
        <w:tc>
          <w:tcPr>
            <w:tcW w:w="2647" w:type="dxa"/>
            <w:tcBorders>
              <w:top w:val="single" w:sz="4" w:space="0" w:color="auto"/>
              <w:left w:val="single" w:sz="4" w:space="0" w:color="auto"/>
              <w:bottom w:val="single" w:sz="4" w:space="0" w:color="auto"/>
              <w:right w:val="single" w:sz="4" w:space="0" w:color="auto"/>
            </w:tcBorders>
          </w:tcPr>
          <w:p w14:paraId="1241C535" w14:textId="77777777" w:rsidR="00BE1421" w:rsidRPr="00342F7C" w:rsidRDefault="00BE1421" w:rsidP="008831F2">
            <w:pPr>
              <w:pStyle w:val="EMEANormal"/>
              <w:rPr>
                <w:lang w:val="en-GB"/>
              </w:rPr>
            </w:pPr>
            <w:r w:rsidRPr="00342F7C">
              <w:rPr>
                <w:lang w:val="en-GB"/>
              </w:rPr>
              <w:t>Felodipine, Nifedipine, and Nicardipine</w:t>
            </w:r>
          </w:p>
        </w:tc>
        <w:tc>
          <w:tcPr>
            <w:tcW w:w="3240" w:type="dxa"/>
            <w:gridSpan w:val="5"/>
            <w:tcBorders>
              <w:top w:val="single" w:sz="4" w:space="0" w:color="auto"/>
              <w:left w:val="single" w:sz="4" w:space="0" w:color="auto"/>
              <w:bottom w:val="single" w:sz="4" w:space="0" w:color="auto"/>
              <w:right w:val="single" w:sz="4" w:space="0" w:color="auto"/>
            </w:tcBorders>
          </w:tcPr>
          <w:p w14:paraId="00373E47" w14:textId="77777777" w:rsidR="00BE1421" w:rsidRPr="00342F7C" w:rsidRDefault="00BE1421" w:rsidP="008831F2">
            <w:pPr>
              <w:pStyle w:val="EMEANormal"/>
              <w:rPr>
                <w:lang w:val="en-GB"/>
              </w:rPr>
            </w:pPr>
            <w:r w:rsidRPr="00342F7C">
              <w:rPr>
                <w:lang w:val="en-GB"/>
              </w:rPr>
              <w:t>Felodipine, Nifedipine, Nicardipine:</w:t>
            </w:r>
          </w:p>
          <w:p w14:paraId="625CC9DC" w14:textId="77777777" w:rsidR="00BE1421" w:rsidRPr="00342F7C" w:rsidRDefault="00BE1421" w:rsidP="005766B5">
            <w:pPr>
              <w:pStyle w:val="EMEANormal"/>
              <w:rPr>
                <w:lang w:val="en-GB"/>
              </w:rPr>
            </w:pPr>
            <w:r w:rsidRPr="00342F7C">
              <w:rPr>
                <w:lang w:val="en-GB"/>
              </w:rPr>
              <w:t xml:space="preserve">Concentrations may be increased due to CYP3A inhibition by </w:t>
            </w:r>
            <w:r>
              <w:rPr>
                <w:lang w:val="en-GB"/>
              </w:rPr>
              <w:t>lopinavir/ritonavir</w:t>
            </w:r>
            <w:r w:rsidRPr="00342F7C">
              <w:rPr>
                <w:lang w:val="en-GB"/>
              </w:rPr>
              <w:t>.</w:t>
            </w:r>
          </w:p>
        </w:tc>
        <w:tc>
          <w:tcPr>
            <w:tcW w:w="3327" w:type="dxa"/>
            <w:gridSpan w:val="6"/>
            <w:tcBorders>
              <w:top w:val="single" w:sz="4" w:space="0" w:color="auto"/>
              <w:left w:val="single" w:sz="4" w:space="0" w:color="auto"/>
              <w:bottom w:val="single" w:sz="4" w:space="0" w:color="auto"/>
              <w:right w:val="single" w:sz="4" w:space="0" w:color="auto"/>
            </w:tcBorders>
          </w:tcPr>
          <w:p w14:paraId="1CB8F33D" w14:textId="77777777" w:rsidR="00BE1421" w:rsidRPr="00342F7C" w:rsidRDefault="00BE1421" w:rsidP="008831F2">
            <w:pPr>
              <w:pStyle w:val="EMEANormal"/>
              <w:rPr>
                <w:lang w:val="en-GB"/>
              </w:rPr>
            </w:pPr>
            <w:r w:rsidRPr="00342F7C">
              <w:rPr>
                <w:szCs w:val="22"/>
                <w:lang w:val="en-GB"/>
              </w:rPr>
              <w:t>Clinical monitoring of therapeutic and adverse effects is recommended when these medicines are concomitantly administered with Kaletra.</w:t>
            </w:r>
          </w:p>
        </w:tc>
      </w:tr>
      <w:tr w:rsidR="00BE1421" w:rsidRPr="00342F7C" w14:paraId="0E613D8C" w14:textId="77777777" w:rsidTr="008F531F">
        <w:tc>
          <w:tcPr>
            <w:tcW w:w="9214" w:type="dxa"/>
            <w:gridSpan w:val="12"/>
            <w:tcBorders>
              <w:top w:val="single" w:sz="4" w:space="0" w:color="auto"/>
              <w:left w:val="single" w:sz="4" w:space="0" w:color="auto"/>
              <w:bottom w:val="single" w:sz="4" w:space="0" w:color="auto"/>
              <w:right w:val="single" w:sz="4" w:space="0" w:color="auto"/>
            </w:tcBorders>
          </w:tcPr>
          <w:p w14:paraId="16AD389B" w14:textId="77777777" w:rsidR="00BE1421" w:rsidRPr="00342F7C" w:rsidRDefault="00BE1421" w:rsidP="008831F2">
            <w:pPr>
              <w:pStyle w:val="EMEANormal"/>
              <w:rPr>
                <w:i/>
                <w:lang w:val="en-GB"/>
              </w:rPr>
            </w:pPr>
            <w:r w:rsidRPr="00342F7C">
              <w:rPr>
                <w:i/>
                <w:lang w:val="en-GB"/>
              </w:rPr>
              <w:t>Corticosteroids</w:t>
            </w:r>
          </w:p>
        </w:tc>
      </w:tr>
      <w:tr w:rsidR="00BE1421" w:rsidRPr="00342F7C" w14:paraId="268897E3" w14:textId="77777777" w:rsidTr="008F531F">
        <w:tc>
          <w:tcPr>
            <w:tcW w:w="2647" w:type="dxa"/>
            <w:tcBorders>
              <w:top w:val="single" w:sz="4" w:space="0" w:color="auto"/>
              <w:left w:val="single" w:sz="4" w:space="0" w:color="auto"/>
              <w:bottom w:val="single" w:sz="4" w:space="0" w:color="auto"/>
              <w:right w:val="single" w:sz="4" w:space="0" w:color="auto"/>
            </w:tcBorders>
          </w:tcPr>
          <w:p w14:paraId="4382CFEB" w14:textId="77777777" w:rsidR="00BE1421" w:rsidRPr="00342F7C" w:rsidRDefault="00BE1421" w:rsidP="008831F2">
            <w:pPr>
              <w:pStyle w:val="EMEANormal"/>
              <w:rPr>
                <w:lang w:val="en-GB"/>
              </w:rPr>
            </w:pPr>
            <w:r w:rsidRPr="00342F7C">
              <w:rPr>
                <w:bCs/>
                <w:iCs/>
                <w:lang w:val="en-GB"/>
              </w:rPr>
              <w:t>Dexamethasone</w:t>
            </w:r>
          </w:p>
        </w:tc>
        <w:tc>
          <w:tcPr>
            <w:tcW w:w="3240" w:type="dxa"/>
            <w:gridSpan w:val="5"/>
            <w:tcBorders>
              <w:top w:val="single" w:sz="4" w:space="0" w:color="auto"/>
              <w:left w:val="single" w:sz="4" w:space="0" w:color="auto"/>
              <w:bottom w:val="single" w:sz="4" w:space="0" w:color="auto"/>
              <w:right w:val="single" w:sz="4" w:space="0" w:color="auto"/>
            </w:tcBorders>
          </w:tcPr>
          <w:p w14:paraId="0C6F3CB9" w14:textId="77777777" w:rsidR="00BE1421" w:rsidRPr="00342F7C" w:rsidRDefault="00BE1421" w:rsidP="008831F2">
            <w:pPr>
              <w:pStyle w:val="EMEANormal"/>
              <w:rPr>
                <w:lang w:val="en-GB"/>
              </w:rPr>
            </w:pPr>
            <w:r w:rsidRPr="00342F7C">
              <w:rPr>
                <w:lang w:val="en-GB"/>
              </w:rPr>
              <w:t>Lopinavir:</w:t>
            </w:r>
          </w:p>
          <w:p w14:paraId="22792A39" w14:textId="77777777" w:rsidR="00BE1421" w:rsidRPr="00342F7C" w:rsidRDefault="00BE1421" w:rsidP="008831F2">
            <w:pPr>
              <w:pStyle w:val="EMEANormal"/>
              <w:rPr>
                <w:lang w:val="en-GB"/>
              </w:rPr>
            </w:pPr>
            <w:r w:rsidRPr="00342F7C">
              <w:rPr>
                <w:lang w:val="en-GB"/>
              </w:rPr>
              <w:t>Concentrations may be decreased due to CYP3A induction by dexamethasone.</w:t>
            </w:r>
          </w:p>
          <w:p w14:paraId="1D559C35" w14:textId="77777777" w:rsidR="00BE1421" w:rsidRPr="00342F7C" w:rsidRDefault="00BE1421" w:rsidP="008831F2">
            <w:pPr>
              <w:pStyle w:val="EMEANormal"/>
              <w:rPr>
                <w:lang w:val="en-GB"/>
              </w:rPr>
            </w:pPr>
          </w:p>
        </w:tc>
        <w:tc>
          <w:tcPr>
            <w:tcW w:w="3327" w:type="dxa"/>
            <w:gridSpan w:val="6"/>
            <w:tcBorders>
              <w:top w:val="single" w:sz="4" w:space="0" w:color="auto"/>
              <w:left w:val="single" w:sz="4" w:space="0" w:color="auto"/>
              <w:bottom w:val="single" w:sz="4" w:space="0" w:color="auto"/>
              <w:right w:val="single" w:sz="4" w:space="0" w:color="auto"/>
            </w:tcBorders>
          </w:tcPr>
          <w:p w14:paraId="78566C60" w14:textId="77777777" w:rsidR="00BE1421" w:rsidRPr="00342F7C" w:rsidRDefault="00BE1421" w:rsidP="008831F2">
            <w:pPr>
              <w:pStyle w:val="EMEANormal"/>
              <w:rPr>
                <w:lang w:val="en-GB"/>
              </w:rPr>
            </w:pPr>
            <w:r w:rsidRPr="00342F7C">
              <w:rPr>
                <w:szCs w:val="22"/>
                <w:lang w:val="en-GB"/>
              </w:rPr>
              <w:t>Clinical monitoring of antiviral efficacy is recommended when these medicines are concomitantly administered with Kaletra.</w:t>
            </w:r>
          </w:p>
        </w:tc>
      </w:tr>
      <w:tr w:rsidR="00BE1421" w:rsidRPr="00342F7C" w14:paraId="3F704DBC" w14:textId="77777777" w:rsidTr="008F531F">
        <w:tc>
          <w:tcPr>
            <w:tcW w:w="2647" w:type="dxa"/>
            <w:tcBorders>
              <w:top w:val="single" w:sz="4" w:space="0" w:color="auto"/>
              <w:left w:val="single" w:sz="4" w:space="0" w:color="auto"/>
              <w:bottom w:val="single" w:sz="4" w:space="0" w:color="auto"/>
              <w:right w:val="single" w:sz="4" w:space="0" w:color="auto"/>
            </w:tcBorders>
          </w:tcPr>
          <w:p w14:paraId="6137A06D" w14:textId="77777777" w:rsidR="00BE1421" w:rsidRPr="00342F7C" w:rsidRDefault="00BE1421" w:rsidP="00D11B95">
            <w:pPr>
              <w:pStyle w:val="EMEANormal"/>
              <w:keepNext/>
              <w:rPr>
                <w:lang w:val="en-GB"/>
              </w:rPr>
            </w:pPr>
            <w:r>
              <w:rPr>
                <w:iCs/>
                <w:lang w:val="en-GB"/>
              </w:rPr>
              <w:t>Inhaled, injectable or intranasal fluticasone propionate, budesonide, triamcinolone</w:t>
            </w:r>
          </w:p>
        </w:tc>
        <w:tc>
          <w:tcPr>
            <w:tcW w:w="3240" w:type="dxa"/>
            <w:gridSpan w:val="5"/>
            <w:tcBorders>
              <w:top w:val="single" w:sz="4" w:space="0" w:color="auto"/>
              <w:left w:val="single" w:sz="4" w:space="0" w:color="auto"/>
              <w:bottom w:val="single" w:sz="4" w:space="0" w:color="auto"/>
              <w:right w:val="single" w:sz="4" w:space="0" w:color="auto"/>
            </w:tcBorders>
          </w:tcPr>
          <w:p w14:paraId="2E1261F2" w14:textId="77777777" w:rsidR="00BE1421" w:rsidRPr="00342F7C" w:rsidRDefault="00BE1421" w:rsidP="00D11B95">
            <w:pPr>
              <w:pStyle w:val="EMEANormal"/>
              <w:keepNext/>
              <w:rPr>
                <w:iCs/>
                <w:lang w:val="en-GB"/>
              </w:rPr>
            </w:pPr>
            <w:r w:rsidRPr="00342F7C">
              <w:rPr>
                <w:iCs/>
                <w:lang w:val="en-GB"/>
              </w:rPr>
              <w:t>Fluticasone propionate</w:t>
            </w:r>
            <w:r>
              <w:rPr>
                <w:iCs/>
                <w:lang w:val="en-GB"/>
              </w:rPr>
              <w:t xml:space="preserve">, </w:t>
            </w:r>
            <w:r w:rsidRPr="00C15E8E">
              <w:rPr>
                <w:iCs/>
                <w:lang w:val="en-GB"/>
              </w:rPr>
              <w:t>50 </w:t>
            </w:r>
            <w:r w:rsidRPr="00C15E8E">
              <w:rPr>
                <w:iCs/>
                <w:lang w:val="en-GB"/>
              </w:rPr>
              <w:sym w:font="Symbol" w:char="006D"/>
            </w:r>
            <w:r w:rsidRPr="00C15E8E">
              <w:rPr>
                <w:iCs/>
                <w:lang w:val="en-GB"/>
              </w:rPr>
              <w:t>g intranasal 4 times daily</w:t>
            </w:r>
            <w:r w:rsidRPr="00342F7C">
              <w:rPr>
                <w:iCs/>
                <w:lang w:val="en-GB"/>
              </w:rPr>
              <w:t>:</w:t>
            </w:r>
          </w:p>
          <w:p w14:paraId="12444D6B" w14:textId="77777777" w:rsidR="00BE1421" w:rsidRPr="00342F7C" w:rsidRDefault="00BE1421" w:rsidP="00D11B95">
            <w:pPr>
              <w:pStyle w:val="EMEANormal"/>
              <w:keepNext/>
              <w:rPr>
                <w:lang w:val="en-GB"/>
              </w:rPr>
            </w:pPr>
            <w:r w:rsidRPr="00342F7C">
              <w:rPr>
                <w:lang w:val="en-GB"/>
              </w:rPr>
              <w:t xml:space="preserve">Plasma concentrations </w:t>
            </w:r>
            <w:r w:rsidRPr="00342F7C">
              <w:rPr>
                <w:iCs/>
                <w:lang w:val="en-GB"/>
              </w:rPr>
              <w:t>↑</w:t>
            </w:r>
          </w:p>
          <w:p w14:paraId="615AC6CE" w14:textId="77777777" w:rsidR="00BE1421" w:rsidRPr="00342F7C" w:rsidRDefault="00BE1421" w:rsidP="00D11B95">
            <w:pPr>
              <w:pStyle w:val="EMEANormal"/>
              <w:keepNext/>
              <w:rPr>
                <w:iCs/>
                <w:lang w:val="en-GB"/>
              </w:rPr>
            </w:pPr>
            <w:r w:rsidRPr="00342F7C">
              <w:rPr>
                <w:lang w:val="en-GB"/>
              </w:rPr>
              <w:t xml:space="preserve">Cortisol levels ↓ 86% </w:t>
            </w:r>
          </w:p>
          <w:p w14:paraId="7289AADE" w14:textId="77777777" w:rsidR="00BE1421" w:rsidRPr="00342F7C" w:rsidRDefault="00BE1421" w:rsidP="00D11B95">
            <w:pPr>
              <w:pStyle w:val="EMEANormal"/>
              <w:keepNext/>
              <w:rPr>
                <w:lang w:val="en-GB"/>
              </w:rPr>
            </w:pPr>
          </w:p>
        </w:tc>
        <w:tc>
          <w:tcPr>
            <w:tcW w:w="3327" w:type="dxa"/>
            <w:gridSpan w:val="6"/>
            <w:tcBorders>
              <w:top w:val="single" w:sz="4" w:space="0" w:color="auto"/>
              <w:left w:val="single" w:sz="4" w:space="0" w:color="auto"/>
              <w:bottom w:val="single" w:sz="4" w:space="0" w:color="auto"/>
              <w:right w:val="single" w:sz="4" w:space="0" w:color="auto"/>
            </w:tcBorders>
          </w:tcPr>
          <w:p w14:paraId="266D0547" w14:textId="77777777" w:rsidR="00BE1421" w:rsidRPr="00342F7C" w:rsidRDefault="00BE1421" w:rsidP="00D11B95">
            <w:pPr>
              <w:pStyle w:val="EMEANormal"/>
              <w:keepNext/>
              <w:rPr>
                <w:lang w:val="en-GB"/>
              </w:rPr>
            </w:pPr>
            <w:r w:rsidRPr="00342F7C">
              <w:rPr>
                <w:iCs/>
                <w:lang w:val="en-GB"/>
              </w:rPr>
              <w:t>Greater effects may be expected when fluticasone propionate is inhaled.  Systemic corticosteroid effects including Cushing's syndrome and adrenal suppression have been reported in patients receiving ritonavir and inhaled or intranasally administered fluticasone propionate; this could also occur with other corticosteroids metabolised via the P450 3A pathway e.g. budesonide</w:t>
            </w:r>
            <w:r>
              <w:rPr>
                <w:iCs/>
                <w:lang w:val="en-GB"/>
              </w:rPr>
              <w:t xml:space="preserve"> and triamcinolone</w:t>
            </w:r>
            <w:r w:rsidRPr="00342F7C">
              <w:rPr>
                <w:iCs/>
                <w:lang w:val="en-GB"/>
              </w:rPr>
              <w:t xml:space="preserve">.  Consequently, concomitant administration of Kaletra and these glucocorticoids is not recommended unless the potential benefit of treatment outweighs the risk of systemic corticosteroid effects (see section 4.4).  A dose reduction of the glucocorticoid should be considered with close monitoring of local and systemic effects or a switch to a glucocorticoid, which is not a substrate for CYP3A4 (e.g. beclomethasone).  Moreover, in case of withdrawal of glucocorticoids progressive dose reduction may have to be performed over a longer period.  </w:t>
            </w:r>
          </w:p>
        </w:tc>
      </w:tr>
      <w:tr w:rsidR="00BE1421" w:rsidRPr="00342F7C" w14:paraId="38A0ED62" w14:textId="77777777" w:rsidTr="008F531F">
        <w:tc>
          <w:tcPr>
            <w:tcW w:w="9214" w:type="dxa"/>
            <w:gridSpan w:val="12"/>
            <w:tcBorders>
              <w:top w:val="single" w:sz="4" w:space="0" w:color="auto"/>
              <w:left w:val="single" w:sz="4" w:space="0" w:color="auto"/>
              <w:bottom w:val="single" w:sz="4" w:space="0" w:color="auto"/>
              <w:right w:val="single" w:sz="4" w:space="0" w:color="auto"/>
            </w:tcBorders>
          </w:tcPr>
          <w:p w14:paraId="5262F013" w14:textId="77777777" w:rsidR="00BE1421" w:rsidRPr="00342F7C" w:rsidRDefault="00BE1421" w:rsidP="00D11B95">
            <w:pPr>
              <w:pStyle w:val="EMEANormal"/>
              <w:rPr>
                <w:i/>
                <w:iCs/>
                <w:lang w:val="en-GB"/>
              </w:rPr>
            </w:pPr>
            <w:r w:rsidRPr="00342F7C">
              <w:rPr>
                <w:i/>
                <w:iCs/>
                <w:lang w:val="en-GB"/>
              </w:rPr>
              <w:t>Phosphodiesterase(PDE5) inhibitors</w:t>
            </w:r>
          </w:p>
        </w:tc>
      </w:tr>
      <w:tr w:rsidR="00BE1421" w:rsidRPr="00342F7C" w14:paraId="24220515" w14:textId="77777777" w:rsidTr="008F531F">
        <w:trPr>
          <w:cantSplit/>
        </w:trPr>
        <w:tc>
          <w:tcPr>
            <w:tcW w:w="2647" w:type="dxa"/>
            <w:tcBorders>
              <w:top w:val="single" w:sz="4" w:space="0" w:color="auto"/>
              <w:left w:val="single" w:sz="4" w:space="0" w:color="auto"/>
              <w:bottom w:val="single" w:sz="4" w:space="0" w:color="auto"/>
              <w:right w:val="single" w:sz="4" w:space="0" w:color="auto"/>
            </w:tcBorders>
          </w:tcPr>
          <w:p w14:paraId="10BF9256" w14:textId="77777777" w:rsidR="00BE1421" w:rsidRDefault="00BE1421" w:rsidP="00D11B95">
            <w:pPr>
              <w:pStyle w:val="EMEANormal"/>
              <w:rPr>
                <w:lang w:val="en-GB"/>
              </w:rPr>
            </w:pPr>
            <w:r>
              <w:rPr>
                <w:lang w:val="en-GB"/>
              </w:rPr>
              <w:t>Avanafil</w:t>
            </w:r>
          </w:p>
          <w:p w14:paraId="205D9688" w14:textId="77777777" w:rsidR="00BE1421" w:rsidRPr="00342F7C" w:rsidRDefault="00BE1421" w:rsidP="00D11B95">
            <w:pPr>
              <w:pStyle w:val="EMEANormal"/>
              <w:rPr>
                <w:lang w:val="en-GB"/>
              </w:rPr>
            </w:pPr>
            <w:r>
              <w:rPr>
                <w:lang w:val="en-GB"/>
              </w:rPr>
              <w:t xml:space="preserve">(ritonavir 600 mg BID) </w:t>
            </w:r>
          </w:p>
        </w:tc>
        <w:tc>
          <w:tcPr>
            <w:tcW w:w="3240" w:type="dxa"/>
            <w:gridSpan w:val="5"/>
            <w:tcBorders>
              <w:top w:val="single" w:sz="4" w:space="0" w:color="auto"/>
              <w:left w:val="single" w:sz="4" w:space="0" w:color="auto"/>
              <w:bottom w:val="single" w:sz="4" w:space="0" w:color="auto"/>
              <w:right w:val="single" w:sz="4" w:space="0" w:color="auto"/>
            </w:tcBorders>
          </w:tcPr>
          <w:p w14:paraId="4164961B" w14:textId="77777777" w:rsidR="00BE1421" w:rsidRDefault="00BE1421" w:rsidP="00D11B95">
            <w:pPr>
              <w:pStyle w:val="EMEANormal"/>
              <w:rPr>
                <w:lang w:val="en-GB"/>
              </w:rPr>
            </w:pPr>
            <w:r>
              <w:rPr>
                <w:lang w:val="en-GB"/>
              </w:rPr>
              <w:t>Avanafil:</w:t>
            </w:r>
          </w:p>
          <w:p w14:paraId="4ADF5436" w14:textId="77777777" w:rsidR="00BE1421" w:rsidRDefault="00BE1421" w:rsidP="00D11B95">
            <w:pPr>
              <w:pStyle w:val="EMEANormal"/>
              <w:rPr>
                <w:lang w:val="en-GB"/>
              </w:rPr>
            </w:pPr>
            <w:r>
              <w:rPr>
                <w:lang w:val="en-GB"/>
              </w:rPr>
              <w:t xml:space="preserve">AUC: </w:t>
            </w:r>
            <w:r w:rsidRPr="00342F7C">
              <w:rPr>
                <w:lang w:val="en-GB"/>
              </w:rPr>
              <w:t>↑</w:t>
            </w:r>
            <w:r>
              <w:rPr>
                <w:lang w:val="en-GB"/>
              </w:rPr>
              <w:t xml:space="preserve"> 13-fold</w:t>
            </w:r>
          </w:p>
          <w:p w14:paraId="74AE839D" w14:textId="77777777" w:rsidR="00BE1421" w:rsidRPr="00342F7C" w:rsidRDefault="00BE1421" w:rsidP="00D11B95">
            <w:pPr>
              <w:pStyle w:val="EMEANormal"/>
              <w:rPr>
                <w:lang w:val="en-GB"/>
              </w:rPr>
            </w:pPr>
            <w:r w:rsidRPr="00342F7C">
              <w:rPr>
                <w:lang w:val="en-GB"/>
              </w:rPr>
              <w:t xml:space="preserve">Due to CYP3A inhibition by </w:t>
            </w:r>
            <w:r>
              <w:rPr>
                <w:lang w:val="en-GB"/>
              </w:rPr>
              <w:t>lopinavir/ritonavir</w:t>
            </w:r>
            <w:r w:rsidRPr="00342F7C">
              <w:rPr>
                <w:lang w:val="en-GB"/>
              </w:rPr>
              <w:t>.</w:t>
            </w:r>
          </w:p>
          <w:p w14:paraId="65FC22BB" w14:textId="77777777" w:rsidR="00BE1421" w:rsidRPr="00342F7C" w:rsidRDefault="00BE1421" w:rsidP="00D11B95">
            <w:pPr>
              <w:pStyle w:val="EMEANormal"/>
              <w:rPr>
                <w:lang w:val="en-GB"/>
              </w:rPr>
            </w:pPr>
          </w:p>
        </w:tc>
        <w:tc>
          <w:tcPr>
            <w:tcW w:w="3327" w:type="dxa"/>
            <w:gridSpan w:val="6"/>
            <w:tcBorders>
              <w:top w:val="single" w:sz="4" w:space="0" w:color="auto"/>
              <w:left w:val="single" w:sz="4" w:space="0" w:color="auto"/>
              <w:bottom w:val="single" w:sz="4" w:space="0" w:color="auto"/>
              <w:right w:val="single" w:sz="4" w:space="0" w:color="auto"/>
            </w:tcBorders>
          </w:tcPr>
          <w:p w14:paraId="14CD5426" w14:textId="77777777" w:rsidR="00BE1421" w:rsidRPr="00BD5486" w:rsidRDefault="00BE1421" w:rsidP="00D11B95">
            <w:pPr>
              <w:pStyle w:val="EMEANormal"/>
              <w:rPr>
                <w:lang w:val="en-GB"/>
              </w:rPr>
            </w:pPr>
            <w:r w:rsidRPr="00BD5486">
              <w:rPr>
                <w:lang w:val="en-GB"/>
              </w:rPr>
              <w:t>The use of avanafil with Kaletra is contraindicated (see section 4.3).</w:t>
            </w:r>
          </w:p>
        </w:tc>
      </w:tr>
      <w:tr w:rsidR="00BE1421" w:rsidRPr="00342F7C" w14:paraId="53449181" w14:textId="77777777" w:rsidTr="008F531F">
        <w:trPr>
          <w:cantSplit/>
        </w:trPr>
        <w:tc>
          <w:tcPr>
            <w:tcW w:w="2647" w:type="dxa"/>
            <w:tcBorders>
              <w:top w:val="single" w:sz="4" w:space="0" w:color="auto"/>
              <w:left w:val="single" w:sz="4" w:space="0" w:color="auto"/>
              <w:bottom w:val="single" w:sz="4" w:space="0" w:color="auto"/>
              <w:right w:val="single" w:sz="4" w:space="0" w:color="auto"/>
            </w:tcBorders>
          </w:tcPr>
          <w:p w14:paraId="4829B0D9" w14:textId="77777777" w:rsidR="00BE1421" w:rsidRPr="00342F7C" w:rsidRDefault="00BE1421" w:rsidP="00D11B95">
            <w:pPr>
              <w:pStyle w:val="EMEANormal"/>
              <w:keepNext/>
              <w:rPr>
                <w:lang w:val="en-GB"/>
              </w:rPr>
            </w:pPr>
            <w:r w:rsidRPr="00342F7C">
              <w:rPr>
                <w:lang w:val="en-GB"/>
              </w:rPr>
              <w:t xml:space="preserve">Tadalafil </w:t>
            </w:r>
          </w:p>
          <w:p w14:paraId="027253D8" w14:textId="77777777" w:rsidR="00BE1421" w:rsidRPr="00342F7C" w:rsidRDefault="00BE1421" w:rsidP="00D11B95">
            <w:pPr>
              <w:pStyle w:val="EMEANormal"/>
              <w:keepNext/>
              <w:rPr>
                <w:lang w:val="en-GB"/>
              </w:rPr>
            </w:pPr>
          </w:p>
          <w:p w14:paraId="7707453B" w14:textId="77777777" w:rsidR="00BE1421" w:rsidRPr="00342F7C" w:rsidRDefault="00BE1421" w:rsidP="00D11B95">
            <w:pPr>
              <w:pStyle w:val="EMEANormal"/>
              <w:keepNext/>
              <w:rPr>
                <w:i/>
                <w:iCs/>
                <w:lang w:val="en-GB"/>
              </w:rPr>
            </w:pPr>
          </w:p>
        </w:tc>
        <w:tc>
          <w:tcPr>
            <w:tcW w:w="3240" w:type="dxa"/>
            <w:gridSpan w:val="5"/>
            <w:tcBorders>
              <w:top w:val="single" w:sz="4" w:space="0" w:color="auto"/>
              <w:left w:val="single" w:sz="4" w:space="0" w:color="auto"/>
              <w:bottom w:val="single" w:sz="4" w:space="0" w:color="auto"/>
              <w:right w:val="single" w:sz="4" w:space="0" w:color="auto"/>
            </w:tcBorders>
          </w:tcPr>
          <w:p w14:paraId="6CF7D860" w14:textId="77777777" w:rsidR="00BE1421" w:rsidRPr="00342F7C" w:rsidRDefault="00BE1421" w:rsidP="00D11B95">
            <w:pPr>
              <w:pStyle w:val="EMEANormal"/>
              <w:keepNext/>
              <w:rPr>
                <w:lang w:val="en-GB"/>
              </w:rPr>
            </w:pPr>
            <w:r w:rsidRPr="00342F7C">
              <w:rPr>
                <w:lang w:val="en-GB"/>
              </w:rPr>
              <w:t>Tadalafil:</w:t>
            </w:r>
          </w:p>
          <w:p w14:paraId="7B34DA06" w14:textId="77777777" w:rsidR="00BE1421" w:rsidRPr="00342F7C" w:rsidRDefault="00BE1421" w:rsidP="00D11B95">
            <w:pPr>
              <w:pStyle w:val="EMEANormal"/>
              <w:keepNext/>
              <w:rPr>
                <w:lang w:val="en-GB"/>
              </w:rPr>
            </w:pPr>
            <w:r w:rsidRPr="00342F7C">
              <w:rPr>
                <w:lang w:val="en-GB"/>
              </w:rPr>
              <w:t>AUC: ↑ 2-fold</w:t>
            </w:r>
          </w:p>
          <w:p w14:paraId="359D21D3" w14:textId="77777777" w:rsidR="00BE1421" w:rsidRPr="00342F7C" w:rsidRDefault="00BE1421" w:rsidP="00D11B95">
            <w:pPr>
              <w:pStyle w:val="EMEANormal"/>
              <w:keepNext/>
              <w:rPr>
                <w:lang w:val="en-GB"/>
              </w:rPr>
            </w:pPr>
            <w:r w:rsidRPr="00342F7C">
              <w:rPr>
                <w:lang w:val="en-GB"/>
              </w:rPr>
              <w:t>Due to CYP3A</w:t>
            </w:r>
            <w:r>
              <w:rPr>
                <w:lang w:val="en-GB"/>
              </w:rPr>
              <w:t>4</w:t>
            </w:r>
            <w:r w:rsidRPr="00342F7C">
              <w:rPr>
                <w:lang w:val="en-GB"/>
              </w:rPr>
              <w:t xml:space="preserve"> inhibition by </w:t>
            </w:r>
            <w:r>
              <w:rPr>
                <w:lang w:val="en-GB"/>
              </w:rPr>
              <w:t>lopinavir/ritonavir</w:t>
            </w:r>
            <w:r w:rsidRPr="00342F7C">
              <w:rPr>
                <w:lang w:val="en-GB"/>
              </w:rPr>
              <w:t>.</w:t>
            </w:r>
          </w:p>
          <w:p w14:paraId="6827690D" w14:textId="77777777" w:rsidR="00BE1421" w:rsidRPr="00342F7C" w:rsidRDefault="00BE1421" w:rsidP="00D11B95">
            <w:pPr>
              <w:pStyle w:val="EMEANormal"/>
              <w:keepNext/>
              <w:rPr>
                <w:lang w:val="en-GB"/>
              </w:rPr>
            </w:pPr>
          </w:p>
        </w:tc>
        <w:tc>
          <w:tcPr>
            <w:tcW w:w="3327" w:type="dxa"/>
            <w:gridSpan w:val="6"/>
            <w:vMerge w:val="restart"/>
            <w:tcBorders>
              <w:top w:val="single" w:sz="4" w:space="0" w:color="auto"/>
              <w:left w:val="single" w:sz="4" w:space="0" w:color="auto"/>
              <w:bottom w:val="single" w:sz="4" w:space="0" w:color="auto"/>
              <w:right w:val="single" w:sz="4" w:space="0" w:color="auto"/>
            </w:tcBorders>
          </w:tcPr>
          <w:p w14:paraId="4AF609EA" w14:textId="77777777" w:rsidR="00BE1421" w:rsidRPr="0071232B" w:rsidRDefault="00BE1421" w:rsidP="00D11B95">
            <w:pPr>
              <w:pStyle w:val="EMEANormal"/>
              <w:keepNext/>
              <w:rPr>
                <w:lang w:val="en-GB"/>
              </w:rPr>
            </w:pPr>
            <w:r w:rsidRPr="0071232B">
              <w:rPr>
                <w:u w:val="single"/>
                <w:lang w:val="en-GB"/>
              </w:rPr>
              <w:t>For the treatment of pulmonary arterial hypertension</w:t>
            </w:r>
            <w:r w:rsidRPr="0071232B">
              <w:rPr>
                <w:lang w:val="en-GB"/>
              </w:rPr>
              <w:t>: Co</w:t>
            </w:r>
            <w:r w:rsidRPr="0071232B">
              <w:rPr>
                <w:lang w:val="en-GB"/>
              </w:rPr>
              <w:noBreakHyphen/>
              <w:t xml:space="preserve">administration of Kaletra with sildenafil is contraindicated (see section 4.3).  </w:t>
            </w:r>
            <w:r>
              <w:rPr>
                <w:lang w:val="en-GB"/>
              </w:rPr>
              <w:t>Co-administration of Kaletra w</w:t>
            </w:r>
            <w:r w:rsidRPr="0071232B">
              <w:rPr>
                <w:lang w:val="en-GB"/>
              </w:rPr>
              <w:t>ith tadalafil is not recommended.</w:t>
            </w:r>
          </w:p>
          <w:p w14:paraId="5BE728F4" w14:textId="77777777" w:rsidR="00BE1421" w:rsidRPr="0071232B" w:rsidRDefault="00BE1421" w:rsidP="00D11B95">
            <w:pPr>
              <w:pStyle w:val="EMEANormal"/>
              <w:keepNext/>
              <w:rPr>
                <w:lang w:val="en-GB"/>
              </w:rPr>
            </w:pPr>
          </w:p>
          <w:p w14:paraId="4E1AF567" w14:textId="77777777" w:rsidR="00BE1421" w:rsidRDefault="00BE1421" w:rsidP="00D11B95">
            <w:pPr>
              <w:pStyle w:val="EMEANormal"/>
              <w:keepNext/>
              <w:rPr>
                <w:lang w:val="en-GB"/>
              </w:rPr>
            </w:pPr>
            <w:r w:rsidRPr="0071232B">
              <w:rPr>
                <w:u w:val="single"/>
                <w:lang w:val="en-GB"/>
              </w:rPr>
              <w:t>For erectile dysfunction</w:t>
            </w:r>
            <w:r w:rsidRPr="0071232B">
              <w:rPr>
                <w:lang w:val="en-GB"/>
              </w:rPr>
              <w:t>:</w:t>
            </w:r>
          </w:p>
          <w:p w14:paraId="7B45454F" w14:textId="77777777" w:rsidR="00BE1421" w:rsidRPr="00342F7C" w:rsidRDefault="00BE1421" w:rsidP="00D11B95">
            <w:pPr>
              <w:pStyle w:val="EMEANormal"/>
              <w:keepNext/>
              <w:rPr>
                <w:lang w:val="en-GB"/>
              </w:rPr>
            </w:pPr>
            <w:r w:rsidRPr="00342F7C">
              <w:rPr>
                <w:lang w:val="en-GB"/>
              </w:rPr>
              <w:t xml:space="preserve">Particular caution must be used when prescribing sildenafil or tadalafil in patients receiving Kaletra with increased monitoring for adverse events including hypotension, syncope, visual changes and prolonged erection (see section 4.4).  </w:t>
            </w:r>
          </w:p>
          <w:p w14:paraId="2B80E02F" w14:textId="77777777" w:rsidR="00BE1421" w:rsidRPr="00342F7C" w:rsidRDefault="00BE1421" w:rsidP="00D11B95">
            <w:pPr>
              <w:pStyle w:val="EMEANormal"/>
              <w:keepNext/>
              <w:rPr>
                <w:lang w:val="en-GB"/>
              </w:rPr>
            </w:pPr>
            <w:r w:rsidRPr="00342F7C">
              <w:rPr>
                <w:lang w:val="en-GB"/>
              </w:rPr>
              <w:t>When co</w:t>
            </w:r>
            <w:r w:rsidRPr="00342F7C">
              <w:rPr>
                <w:lang w:val="en-GB"/>
              </w:rPr>
              <w:noBreakHyphen/>
              <w:t>administered with Kaletra, sildenafil doses must not exceed 25 mg in 48 hours and tadalafil doses must not exceed 10 mg every 72 hours</w:t>
            </w:r>
          </w:p>
          <w:p w14:paraId="0A2547EA" w14:textId="77777777" w:rsidR="00BE1421" w:rsidRPr="00342F7C" w:rsidRDefault="00BE1421" w:rsidP="00D11B95">
            <w:pPr>
              <w:pStyle w:val="EMEANormal"/>
              <w:keepNext/>
              <w:rPr>
                <w:lang w:val="en-GB"/>
              </w:rPr>
            </w:pPr>
          </w:p>
        </w:tc>
      </w:tr>
      <w:tr w:rsidR="00BE1421" w:rsidRPr="00342F7C" w14:paraId="62E0831D" w14:textId="77777777" w:rsidTr="008F531F">
        <w:trPr>
          <w:cantSplit/>
        </w:trPr>
        <w:tc>
          <w:tcPr>
            <w:tcW w:w="2647" w:type="dxa"/>
            <w:tcBorders>
              <w:top w:val="single" w:sz="4" w:space="0" w:color="auto"/>
              <w:left w:val="single" w:sz="4" w:space="0" w:color="auto"/>
              <w:bottom w:val="single" w:sz="4" w:space="0" w:color="auto"/>
              <w:right w:val="single" w:sz="4" w:space="0" w:color="auto"/>
            </w:tcBorders>
          </w:tcPr>
          <w:p w14:paraId="088EF63B" w14:textId="77777777" w:rsidR="00BE1421" w:rsidRPr="00342F7C" w:rsidRDefault="00BE1421" w:rsidP="008831F2">
            <w:pPr>
              <w:pStyle w:val="EMEANormal"/>
              <w:rPr>
                <w:lang w:val="en-GB"/>
              </w:rPr>
            </w:pPr>
            <w:r w:rsidRPr="00342F7C">
              <w:rPr>
                <w:lang w:val="en-GB"/>
              </w:rPr>
              <w:t>Sildenafil</w:t>
            </w:r>
          </w:p>
          <w:p w14:paraId="6F88EC47" w14:textId="77777777" w:rsidR="00BE1421" w:rsidRPr="00342F7C" w:rsidRDefault="00BE1421" w:rsidP="008831F2">
            <w:pPr>
              <w:pStyle w:val="EMEANormal"/>
              <w:rPr>
                <w:lang w:val="en-GB"/>
              </w:rPr>
            </w:pPr>
          </w:p>
          <w:p w14:paraId="72DD5E7E" w14:textId="77777777" w:rsidR="00BE1421" w:rsidRPr="00342F7C" w:rsidRDefault="00BE1421" w:rsidP="008831F2">
            <w:pPr>
              <w:pStyle w:val="EMEANormal"/>
              <w:rPr>
                <w:i/>
                <w:iCs/>
                <w:lang w:val="en-GB"/>
              </w:rPr>
            </w:pPr>
          </w:p>
        </w:tc>
        <w:tc>
          <w:tcPr>
            <w:tcW w:w="3240" w:type="dxa"/>
            <w:gridSpan w:val="5"/>
            <w:tcBorders>
              <w:top w:val="single" w:sz="4" w:space="0" w:color="auto"/>
              <w:left w:val="single" w:sz="4" w:space="0" w:color="auto"/>
              <w:bottom w:val="single" w:sz="4" w:space="0" w:color="auto"/>
              <w:right w:val="single" w:sz="4" w:space="0" w:color="auto"/>
            </w:tcBorders>
          </w:tcPr>
          <w:p w14:paraId="317F0DF9" w14:textId="77777777" w:rsidR="00BE1421" w:rsidRPr="00342F7C" w:rsidRDefault="00BE1421" w:rsidP="008831F2">
            <w:pPr>
              <w:pStyle w:val="EMEANormal"/>
              <w:rPr>
                <w:lang w:val="en-GB"/>
              </w:rPr>
            </w:pPr>
            <w:r w:rsidRPr="00342F7C">
              <w:rPr>
                <w:lang w:val="en-GB"/>
              </w:rPr>
              <w:t>Sildenafil:</w:t>
            </w:r>
            <w:r w:rsidRPr="00342F7C">
              <w:rPr>
                <w:u w:val="single"/>
                <w:lang w:val="en-GB"/>
              </w:rPr>
              <w:t xml:space="preserve"> </w:t>
            </w:r>
          </w:p>
          <w:p w14:paraId="7247C938" w14:textId="77777777" w:rsidR="00BE1421" w:rsidRPr="00342F7C" w:rsidRDefault="00BE1421" w:rsidP="008831F2">
            <w:pPr>
              <w:pStyle w:val="EMEANormal"/>
              <w:rPr>
                <w:lang w:val="en-GB"/>
              </w:rPr>
            </w:pPr>
            <w:r w:rsidRPr="00342F7C">
              <w:rPr>
                <w:lang w:val="en-GB"/>
              </w:rPr>
              <w:t>AUC: ↑ 11-fold</w:t>
            </w:r>
          </w:p>
          <w:p w14:paraId="46FF5949" w14:textId="77777777" w:rsidR="00BE1421" w:rsidRPr="00342F7C" w:rsidRDefault="00BE1421" w:rsidP="008831F2">
            <w:pPr>
              <w:pStyle w:val="EMEANormal"/>
              <w:rPr>
                <w:lang w:val="en-GB"/>
              </w:rPr>
            </w:pPr>
            <w:r w:rsidRPr="00342F7C">
              <w:rPr>
                <w:lang w:val="en-GB"/>
              </w:rPr>
              <w:t xml:space="preserve">Due to CYP3A inhibition by </w:t>
            </w:r>
            <w:r>
              <w:rPr>
                <w:lang w:val="en-GB"/>
              </w:rPr>
              <w:t>lopinavir/ritonavir</w:t>
            </w:r>
            <w:r w:rsidRPr="00342F7C">
              <w:rPr>
                <w:lang w:val="en-GB"/>
              </w:rPr>
              <w:t>.</w:t>
            </w:r>
          </w:p>
          <w:p w14:paraId="4D112DBF" w14:textId="77777777" w:rsidR="00BE1421" w:rsidRPr="00342F7C" w:rsidRDefault="00BE1421" w:rsidP="008831F2">
            <w:pPr>
              <w:pStyle w:val="EMEANormal"/>
              <w:rPr>
                <w:lang w:val="en-GB"/>
              </w:rPr>
            </w:pPr>
          </w:p>
        </w:tc>
        <w:tc>
          <w:tcPr>
            <w:tcW w:w="3327" w:type="dxa"/>
            <w:gridSpan w:val="6"/>
            <w:vMerge/>
            <w:tcBorders>
              <w:top w:val="single" w:sz="4" w:space="0" w:color="auto"/>
              <w:left w:val="single" w:sz="4" w:space="0" w:color="auto"/>
              <w:bottom w:val="single" w:sz="4" w:space="0" w:color="auto"/>
              <w:right w:val="single" w:sz="4" w:space="0" w:color="auto"/>
            </w:tcBorders>
            <w:vAlign w:val="center"/>
          </w:tcPr>
          <w:p w14:paraId="2714C544" w14:textId="77777777" w:rsidR="00BE1421" w:rsidRPr="00342F7C" w:rsidRDefault="00BE1421" w:rsidP="008831F2">
            <w:pPr>
              <w:rPr>
                <w:sz w:val="22"/>
                <w:szCs w:val="20"/>
              </w:rPr>
            </w:pPr>
          </w:p>
        </w:tc>
      </w:tr>
      <w:tr w:rsidR="00BE1421" w:rsidRPr="00342F7C" w14:paraId="72776C8F" w14:textId="77777777" w:rsidTr="008F531F">
        <w:tc>
          <w:tcPr>
            <w:tcW w:w="2647" w:type="dxa"/>
            <w:tcBorders>
              <w:top w:val="single" w:sz="4" w:space="0" w:color="auto"/>
              <w:left w:val="single" w:sz="4" w:space="0" w:color="auto"/>
              <w:bottom w:val="single" w:sz="4" w:space="0" w:color="auto"/>
              <w:right w:val="single" w:sz="4" w:space="0" w:color="auto"/>
            </w:tcBorders>
          </w:tcPr>
          <w:p w14:paraId="5A12DF54" w14:textId="77777777" w:rsidR="00BE1421" w:rsidRPr="00342F7C" w:rsidRDefault="00BE1421" w:rsidP="008831F2">
            <w:pPr>
              <w:pStyle w:val="EMEANormal"/>
              <w:rPr>
                <w:lang w:val="en-GB"/>
              </w:rPr>
            </w:pPr>
            <w:r w:rsidRPr="00342F7C">
              <w:rPr>
                <w:lang w:val="en-GB"/>
              </w:rPr>
              <w:t xml:space="preserve">Vardenafil </w:t>
            </w:r>
          </w:p>
          <w:p w14:paraId="210E73A8" w14:textId="77777777" w:rsidR="00BE1421" w:rsidRPr="00342F7C" w:rsidRDefault="00BE1421" w:rsidP="008831F2">
            <w:pPr>
              <w:pStyle w:val="EMEANormal"/>
              <w:rPr>
                <w:lang w:val="en-GB"/>
              </w:rPr>
            </w:pPr>
          </w:p>
          <w:p w14:paraId="4277BB37" w14:textId="77777777" w:rsidR="00BE1421" w:rsidRPr="00342F7C" w:rsidRDefault="00BE1421" w:rsidP="008831F2">
            <w:pPr>
              <w:pStyle w:val="EMEANormal"/>
              <w:rPr>
                <w:lang w:val="en-GB"/>
              </w:rPr>
            </w:pPr>
          </w:p>
        </w:tc>
        <w:tc>
          <w:tcPr>
            <w:tcW w:w="3240" w:type="dxa"/>
            <w:gridSpan w:val="5"/>
            <w:tcBorders>
              <w:top w:val="single" w:sz="4" w:space="0" w:color="auto"/>
              <w:left w:val="single" w:sz="4" w:space="0" w:color="auto"/>
              <w:bottom w:val="single" w:sz="4" w:space="0" w:color="auto"/>
              <w:right w:val="single" w:sz="4" w:space="0" w:color="auto"/>
            </w:tcBorders>
          </w:tcPr>
          <w:p w14:paraId="0655F5E4" w14:textId="77777777" w:rsidR="00BE1421" w:rsidRPr="00342F7C" w:rsidRDefault="00BE1421" w:rsidP="008831F2">
            <w:pPr>
              <w:pStyle w:val="EMEANormal"/>
              <w:rPr>
                <w:lang w:val="en-GB"/>
              </w:rPr>
            </w:pPr>
            <w:r w:rsidRPr="00342F7C">
              <w:rPr>
                <w:lang w:val="en-GB"/>
              </w:rPr>
              <w:t>Vardenafil:</w:t>
            </w:r>
          </w:p>
          <w:p w14:paraId="2AC6D531" w14:textId="77777777" w:rsidR="00BE1421" w:rsidRPr="00342F7C" w:rsidRDefault="00BE1421" w:rsidP="008831F2">
            <w:pPr>
              <w:pStyle w:val="EMEANormal"/>
              <w:rPr>
                <w:lang w:val="en-GB"/>
              </w:rPr>
            </w:pPr>
            <w:r w:rsidRPr="00342F7C">
              <w:rPr>
                <w:lang w:val="en-GB"/>
              </w:rPr>
              <w:t xml:space="preserve">AUC: ↑ 49-fold </w:t>
            </w:r>
          </w:p>
          <w:p w14:paraId="28ED7678" w14:textId="77777777" w:rsidR="00BE1421" w:rsidRPr="00342F7C" w:rsidRDefault="00BE1421" w:rsidP="008831F2">
            <w:pPr>
              <w:pStyle w:val="EMEANormal"/>
              <w:rPr>
                <w:lang w:val="en-GB"/>
              </w:rPr>
            </w:pPr>
            <w:r w:rsidRPr="00342F7C">
              <w:rPr>
                <w:lang w:val="en-GB"/>
              </w:rPr>
              <w:t xml:space="preserve">Due to CYP3A inhibition by </w:t>
            </w:r>
            <w:r>
              <w:rPr>
                <w:lang w:val="en-GB"/>
              </w:rPr>
              <w:t>lopinavir/ritonavir</w:t>
            </w:r>
            <w:r w:rsidRPr="00342F7C">
              <w:rPr>
                <w:lang w:val="en-GB"/>
              </w:rPr>
              <w:t>.</w:t>
            </w:r>
          </w:p>
        </w:tc>
        <w:tc>
          <w:tcPr>
            <w:tcW w:w="3327" w:type="dxa"/>
            <w:gridSpan w:val="6"/>
            <w:tcBorders>
              <w:top w:val="single" w:sz="4" w:space="0" w:color="auto"/>
              <w:left w:val="single" w:sz="4" w:space="0" w:color="auto"/>
              <w:bottom w:val="single" w:sz="4" w:space="0" w:color="auto"/>
              <w:right w:val="single" w:sz="4" w:space="0" w:color="auto"/>
            </w:tcBorders>
          </w:tcPr>
          <w:p w14:paraId="38E69FE1" w14:textId="77777777" w:rsidR="00BE1421" w:rsidRPr="00342F7C" w:rsidRDefault="00BE1421" w:rsidP="008831F2">
            <w:pPr>
              <w:pStyle w:val="EMEANormal"/>
              <w:rPr>
                <w:lang w:val="en-GB"/>
              </w:rPr>
            </w:pPr>
            <w:r w:rsidRPr="00342F7C">
              <w:rPr>
                <w:lang w:val="en-GB"/>
              </w:rPr>
              <w:t xml:space="preserve">The use of vardenafil with Kaletra is contraindicated (see section 4.3).  </w:t>
            </w:r>
          </w:p>
          <w:p w14:paraId="02903CC1" w14:textId="77777777" w:rsidR="00BE1421" w:rsidRPr="00342F7C" w:rsidRDefault="00BE1421" w:rsidP="008831F2">
            <w:pPr>
              <w:pStyle w:val="EMEANormal"/>
              <w:rPr>
                <w:lang w:val="en-GB"/>
              </w:rPr>
            </w:pPr>
          </w:p>
        </w:tc>
      </w:tr>
      <w:tr w:rsidR="00BE1421" w:rsidRPr="00342F7C" w14:paraId="3242F904" w14:textId="77777777" w:rsidTr="008F531F">
        <w:tc>
          <w:tcPr>
            <w:tcW w:w="9214" w:type="dxa"/>
            <w:gridSpan w:val="12"/>
            <w:tcBorders>
              <w:top w:val="single" w:sz="4" w:space="0" w:color="auto"/>
              <w:left w:val="single" w:sz="4" w:space="0" w:color="auto"/>
              <w:bottom w:val="single" w:sz="4" w:space="0" w:color="auto"/>
              <w:right w:val="single" w:sz="4" w:space="0" w:color="auto"/>
            </w:tcBorders>
          </w:tcPr>
          <w:p w14:paraId="6A8CAFD9" w14:textId="77777777" w:rsidR="00BE1421" w:rsidRPr="00342F7C" w:rsidRDefault="00BE1421" w:rsidP="005766B5">
            <w:pPr>
              <w:pStyle w:val="EMEANormal"/>
              <w:rPr>
                <w:i/>
                <w:lang w:val="en-GB"/>
              </w:rPr>
            </w:pPr>
            <w:r>
              <w:rPr>
                <w:i/>
                <w:lang w:val="en-GB"/>
              </w:rPr>
              <w:t>Ergot alkaloids</w:t>
            </w:r>
          </w:p>
        </w:tc>
      </w:tr>
      <w:tr w:rsidR="00BE1421" w:rsidRPr="00342F7C" w14:paraId="4D4A4248" w14:textId="77777777" w:rsidTr="008F531F">
        <w:tc>
          <w:tcPr>
            <w:tcW w:w="2694" w:type="dxa"/>
            <w:gridSpan w:val="2"/>
            <w:tcBorders>
              <w:top w:val="single" w:sz="4" w:space="0" w:color="auto"/>
              <w:left w:val="single" w:sz="4" w:space="0" w:color="auto"/>
              <w:bottom w:val="single" w:sz="4" w:space="0" w:color="auto"/>
              <w:right w:val="single" w:sz="4" w:space="0" w:color="auto"/>
            </w:tcBorders>
          </w:tcPr>
          <w:p w14:paraId="4E57D87B" w14:textId="77777777" w:rsidR="00BE1421" w:rsidRPr="00961BBD" w:rsidRDefault="00BE1421" w:rsidP="005766B5">
            <w:pPr>
              <w:pStyle w:val="EMEANormal"/>
              <w:rPr>
                <w:color w:val="000000"/>
              </w:rPr>
            </w:pPr>
            <w:r>
              <w:rPr>
                <w:color w:val="000000"/>
              </w:rPr>
              <w:t>Dihydroergotamine, ergonovine, ergotamine, methylergonovine</w:t>
            </w:r>
          </w:p>
        </w:tc>
        <w:tc>
          <w:tcPr>
            <w:tcW w:w="3260" w:type="dxa"/>
            <w:gridSpan w:val="7"/>
            <w:tcBorders>
              <w:top w:val="single" w:sz="4" w:space="0" w:color="auto"/>
              <w:left w:val="single" w:sz="4" w:space="0" w:color="auto"/>
              <w:bottom w:val="single" w:sz="4" w:space="0" w:color="auto"/>
              <w:right w:val="single" w:sz="4" w:space="0" w:color="auto"/>
            </w:tcBorders>
          </w:tcPr>
          <w:p w14:paraId="1B18D235" w14:textId="77777777" w:rsidR="00BE1421" w:rsidRPr="00961BBD" w:rsidRDefault="00BE1421" w:rsidP="005766B5">
            <w:pPr>
              <w:pStyle w:val="EMEANormal"/>
              <w:rPr>
                <w:color w:val="000000"/>
              </w:rPr>
            </w:pPr>
            <w:r>
              <w:rPr>
                <w:color w:val="000000"/>
              </w:rPr>
              <w:t xml:space="preserve">Serum concentrations may be increased due to CYP3A inhibition by </w:t>
            </w:r>
            <w:r>
              <w:rPr>
                <w:lang w:val="en-GB"/>
              </w:rPr>
              <w:t>lopinavir/ritonavir</w:t>
            </w:r>
            <w:r>
              <w:rPr>
                <w:color w:val="000000"/>
              </w:rPr>
              <w:t>.</w:t>
            </w:r>
          </w:p>
        </w:tc>
        <w:tc>
          <w:tcPr>
            <w:tcW w:w="3260" w:type="dxa"/>
            <w:gridSpan w:val="3"/>
            <w:tcBorders>
              <w:top w:val="single" w:sz="4" w:space="0" w:color="auto"/>
              <w:left w:val="single" w:sz="4" w:space="0" w:color="auto"/>
              <w:bottom w:val="single" w:sz="4" w:space="0" w:color="auto"/>
              <w:right w:val="single" w:sz="4" w:space="0" w:color="auto"/>
            </w:tcBorders>
          </w:tcPr>
          <w:p w14:paraId="224507D5" w14:textId="77777777" w:rsidR="00BE1421" w:rsidRPr="00961BBD" w:rsidRDefault="00BE1421" w:rsidP="005766B5">
            <w:pPr>
              <w:pStyle w:val="EMEANormal"/>
              <w:rPr>
                <w:color w:val="000000"/>
              </w:rPr>
            </w:pPr>
            <w:r>
              <w:rPr>
                <w:color w:val="000000"/>
              </w:rPr>
              <w:t>Concomitant administration of Kaletra and ergot alkaloids are contraindicated as it may lead to acute ergot toxicity, including vasospasm and ischaemia (see section 4.3).</w:t>
            </w:r>
          </w:p>
        </w:tc>
      </w:tr>
      <w:tr w:rsidR="00BE1421" w:rsidRPr="00342F7C" w14:paraId="3505F12E" w14:textId="77777777" w:rsidTr="008F531F">
        <w:tc>
          <w:tcPr>
            <w:tcW w:w="9214" w:type="dxa"/>
            <w:gridSpan w:val="12"/>
            <w:tcBorders>
              <w:top w:val="single" w:sz="4" w:space="0" w:color="auto"/>
              <w:left w:val="single" w:sz="4" w:space="0" w:color="auto"/>
              <w:bottom w:val="single" w:sz="4" w:space="0" w:color="auto"/>
              <w:right w:val="single" w:sz="4" w:space="0" w:color="auto"/>
            </w:tcBorders>
          </w:tcPr>
          <w:p w14:paraId="34DD9E12" w14:textId="77777777" w:rsidR="00BE1421" w:rsidRPr="00220601" w:rsidRDefault="00BE1421" w:rsidP="005766B5">
            <w:pPr>
              <w:pStyle w:val="EMEANormal"/>
              <w:rPr>
                <w:i/>
                <w:color w:val="000000"/>
              </w:rPr>
            </w:pPr>
            <w:r w:rsidRPr="00220601">
              <w:rPr>
                <w:i/>
                <w:color w:val="000000"/>
              </w:rPr>
              <w:t>GI motility agent</w:t>
            </w:r>
          </w:p>
        </w:tc>
      </w:tr>
      <w:tr w:rsidR="00BE1421" w:rsidRPr="00342F7C" w14:paraId="7946C0FB" w14:textId="77777777" w:rsidTr="008F531F">
        <w:tc>
          <w:tcPr>
            <w:tcW w:w="2694" w:type="dxa"/>
            <w:gridSpan w:val="2"/>
            <w:tcBorders>
              <w:top w:val="single" w:sz="4" w:space="0" w:color="auto"/>
              <w:left w:val="single" w:sz="4" w:space="0" w:color="auto"/>
              <w:bottom w:val="single" w:sz="4" w:space="0" w:color="auto"/>
              <w:right w:val="single" w:sz="4" w:space="0" w:color="auto"/>
            </w:tcBorders>
          </w:tcPr>
          <w:p w14:paraId="400246FB" w14:textId="77777777" w:rsidR="00BE1421" w:rsidRDefault="00BE1421" w:rsidP="005766B5">
            <w:pPr>
              <w:pStyle w:val="EMEANormal"/>
              <w:rPr>
                <w:color w:val="000000"/>
              </w:rPr>
            </w:pPr>
            <w:r>
              <w:rPr>
                <w:color w:val="000000"/>
              </w:rPr>
              <w:t>Cisapride</w:t>
            </w:r>
          </w:p>
        </w:tc>
        <w:tc>
          <w:tcPr>
            <w:tcW w:w="3260" w:type="dxa"/>
            <w:gridSpan w:val="7"/>
            <w:tcBorders>
              <w:top w:val="single" w:sz="4" w:space="0" w:color="auto"/>
              <w:left w:val="single" w:sz="4" w:space="0" w:color="auto"/>
              <w:bottom w:val="single" w:sz="4" w:space="0" w:color="auto"/>
              <w:right w:val="single" w:sz="4" w:space="0" w:color="auto"/>
            </w:tcBorders>
          </w:tcPr>
          <w:p w14:paraId="3269D9C9" w14:textId="77777777" w:rsidR="00BE1421" w:rsidRDefault="00BE1421" w:rsidP="005766B5">
            <w:pPr>
              <w:pStyle w:val="EMEANormal"/>
              <w:rPr>
                <w:color w:val="000000"/>
              </w:rPr>
            </w:pPr>
            <w:r>
              <w:rPr>
                <w:color w:val="000000"/>
              </w:rPr>
              <w:t xml:space="preserve">Serum concentrations may be increased due to CYP3A inhibition by </w:t>
            </w:r>
            <w:r>
              <w:rPr>
                <w:lang w:val="en-GB"/>
              </w:rPr>
              <w:t>lopinavir/ritonavir</w:t>
            </w:r>
            <w:r>
              <w:rPr>
                <w:color w:val="000000"/>
              </w:rPr>
              <w:t>.</w:t>
            </w:r>
          </w:p>
        </w:tc>
        <w:tc>
          <w:tcPr>
            <w:tcW w:w="3260" w:type="dxa"/>
            <w:gridSpan w:val="3"/>
            <w:tcBorders>
              <w:top w:val="single" w:sz="4" w:space="0" w:color="auto"/>
              <w:left w:val="single" w:sz="4" w:space="0" w:color="auto"/>
              <w:bottom w:val="single" w:sz="4" w:space="0" w:color="auto"/>
              <w:right w:val="single" w:sz="4" w:space="0" w:color="auto"/>
            </w:tcBorders>
          </w:tcPr>
          <w:p w14:paraId="21D4BC41" w14:textId="77777777" w:rsidR="00BE1421" w:rsidRDefault="00BE1421" w:rsidP="005766B5">
            <w:pPr>
              <w:pStyle w:val="EMEANormal"/>
              <w:rPr>
                <w:color w:val="000000"/>
              </w:rPr>
            </w:pPr>
            <w:r>
              <w:rPr>
                <w:color w:val="000000"/>
              </w:rPr>
              <w:t>Concomitant administration of Kaletra and cisapride is contraindicated as it may increase the risk of serious arrhythmias from this agent (see section 4.3).</w:t>
            </w:r>
          </w:p>
        </w:tc>
      </w:tr>
      <w:tr w:rsidR="00BE1421" w:rsidRPr="00342F7C" w14:paraId="356F8166" w14:textId="77777777" w:rsidTr="008F531F">
        <w:tc>
          <w:tcPr>
            <w:tcW w:w="9214" w:type="dxa"/>
            <w:gridSpan w:val="12"/>
            <w:tcBorders>
              <w:top w:val="single" w:sz="4" w:space="0" w:color="auto"/>
              <w:left w:val="single" w:sz="4" w:space="0" w:color="auto"/>
              <w:bottom w:val="single" w:sz="4" w:space="0" w:color="auto"/>
              <w:right w:val="single" w:sz="4" w:space="0" w:color="auto"/>
            </w:tcBorders>
          </w:tcPr>
          <w:p w14:paraId="2A66664E" w14:textId="77777777" w:rsidR="00BE1421" w:rsidRPr="00220601" w:rsidRDefault="00BE1421" w:rsidP="005766B5">
            <w:pPr>
              <w:pStyle w:val="EMEANormal"/>
              <w:rPr>
                <w:i/>
                <w:color w:val="000000"/>
              </w:rPr>
            </w:pPr>
            <w:r>
              <w:rPr>
                <w:i/>
                <w:color w:val="000000"/>
              </w:rPr>
              <w:t>HCV direct acting antivirals</w:t>
            </w:r>
          </w:p>
        </w:tc>
      </w:tr>
      <w:tr w:rsidR="00BE1421" w:rsidRPr="00922746" w14:paraId="589491EA" w14:textId="77777777" w:rsidTr="008F531F">
        <w:tc>
          <w:tcPr>
            <w:tcW w:w="2694" w:type="dxa"/>
            <w:gridSpan w:val="2"/>
            <w:tcBorders>
              <w:top w:val="single" w:sz="4" w:space="0" w:color="auto"/>
              <w:left w:val="single" w:sz="4" w:space="0" w:color="auto"/>
              <w:bottom w:val="single" w:sz="4" w:space="0" w:color="auto"/>
              <w:right w:val="single" w:sz="4" w:space="0" w:color="auto"/>
            </w:tcBorders>
          </w:tcPr>
          <w:p w14:paraId="11C3EF56" w14:textId="77777777" w:rsidR="00BE1421" w:rsidRPr="0029146F" w:rsidRDefault="00BE1421" w:rsidP="005766B5">
            <w:pPr>
              <w:pStyle w:val="EMEANormal"/>
              <w:rPr>
                <w:color w:val="000000"/>
              </w:rPr>
            </w:pPr>
            <w:r w:rsidRPr="0029146F">
              <w:rPr>
                <w:color w:val="000000"/>
              </w:rPr>
              <w:t>Elbasvir/grazoprevir</w:t>
            </w:r>
          </w:p>
          <w:p w14:paraId="24C18272" w14:textId="77777777" w:rsidR="00BE1421" w:rsidRPr="0029146F" w:rsidRDefault="00BE1421" w:rsidP="005766B5">
            <w:pPr>
              <w:pStyle w:val="EMEANormal"/>
              <w:rPr>
                <w:color w:val="000000"/>
              </w:rPr>
            </w:pPr>
            <w:r w:rsidRPr="0029146F">
              <w:rPr>
                <w:color w:val="000000"/>
              </w:rPr>
              <w:t>(50/200 mg QD)</w:t>
            </w:r>
          </w:p>
        </w:tc>
        <w:tc>
          <w:tcPr>
            <w:tcW w:w="3260" w:type="dxa"/>
            <w:gridSpan w:val="7"/>
            <w:tcBorders>
              <w:top w:val="single" w:sz="4" w:space="0" w:color="auto"/>
              <w:left w:val="single" w:sz="4" w:space="0" w:color="auto"/>
              <w:bottom w:val="single" w:sz="4" w:space="0" w:color="auto"/>
              <w:right w:val="single" w:sz="4" w:space="0" w:color="auto"/>
            </w:tcBorders>
          </w:tcPr>
          <w:p w14:paraId="2EB61ED7" w14:textId="77777777" w:rsidR="00BE1421" w:rsidRPr="0029146F" w:rsidRDefault="00BE1421" w:rsidP="0012388C">
            <w:pPr>
              <w:pStyle w:val="EMEANormal"/>
              <w:rPr>
                <w:color w:val="000000"/>
              </w:rPr>
            </w:pPr>
            <w:r w:rsidRPr="0029146F">
              <w:rPr>
                <w:color w:val="000000"/>
              </w:rPr>
              <w:t xml:space="preserve"> Elbasvir:</w:t>
            </w:r>
          </w:p>
          <w:p w14:paraId="1BC9E644" w14:textId="77777777" w:rsidR="00BE1421" w:rsidRPr="0029146F" w:rsidRDefault="00BE1421" w:rsidP="0012388C">
            <w:pPr>
              <w:pStyle w:val="EMEANormal"/>
              <w:rPr>
                <w:color w:val="000000"/>
                <w:lang w:eastAsia="en-GB"/>
              </w:rPr>
            </w:pPr>
            <w:r w:rsidRPr="0029146F">
              <w:rPr>
                <w:color w:val="000000"/>
                <w:lang w:eastAsia="en-GB"/>
              </w:rPr>
              <w:t xml:space="preserve">AUC: </w:t>
            </w:r>
            <w:r w:rsidRPr="0029146F">
              <w:rPr>
                <w:lang w:val="en-GB"/>
              </w:rPr>
              <w:t>↑</w:t>
            </w:r>
            <w:r w:rsidRPr="0029146F">
              <w:rPr>
                <w:color w:val="000000"/>
                <w:lang w:eastAsia="en-GB"/>
              </w:rPr>
              <w:t xml:space="preserve"> 2.71-fold</w:t>
            </w:r>
          </w:p>
          <w:p w14:paraId="2B936F1C" w14:textId="77777777" w:rsidR="00BE1421" w:rsidRPr="0029146F" w:rsidRDefault="00BE1421" w:rsidP="0012388C">
            <w:pPr>
              <w:pStyle w:val="EMEANormal"/>
              <w:rPr>
                <w:color w:val="000000"/>
                <w:lang w:eastAsia="en-GB"/>
              </w:rPr>
            </w:pPr>
            <w:r w:rsidRPr="0029146F">
              <w:rPr>
                <w:color w:val="000000"/>
                <w:lang w:eastAsia="en-GB"/>
              </w:rPr>
              <w:t>C</w:t>
            </w:r>
            <w:r w:rsidRPr="0029146F">
              <w:rPr>
                <w:color w:val="000000"/>
                <w:vertAlign w:val="subscript"/>
                <w:lang w:eastAsia="en-GB"/>
              </w:rPr>
              <w:t>max</w:t>
            </w:r>
            <w:r w:rsidRPr="0029146F">
              <w:rPr>
                <w:color w:val="000000"/>
                <w:lang w:eastAsia="en-GB"/>
              </w:rPr>
              <w:t xml:space="preserve">: </w:t>
            </w:r>
            <w:r w:rsidRPr="0029146F">
              <w:rPr>
                <w:lang w:val="en-GB"/>
              </w:rPr>
              <w:t>↑</w:t>
            </w:r>
            <w:r w:rsidRPr="0029146F">
              <w:rPr>
                <w:color w:val="000000"/>
                <w:lang w:eastAsia="en-GB"/>
              </w:rPr>
              <w:t xml:space="preserve"> 1.87-fold</w:t>
            </w:r>
          </w:p>
          <w:p w14:paraId="521A45AF" w14:textId="77777777" w:rsidR="00BE1421" w:rsidRPr="0029146F" w:rsidRDefault="00BE1421" w:rsidP="0012388C">
            <w:pPr>
              <w:pStyle w:val="EMEANormal"/>
              <w:rPr>
                <w:color w:val="000000"/>
              </w:rPr>
            </w:pPr>
            <w:r w:rsidRPr="0029146F">
              <w:rPr>
                <w:color w:val="000000"/>
                <w:lang w:eastAsia="en-GB"/>
              </w:rPr>
              <w:t>C</w:t>
            </w:r>
            <w:r w:rsidRPr="0029146F">
              <w:rPr>
                <w:color w:val="000000"/>
                <w:vertAlign w:val="subscript"/>
                <w:lang w:eastAsia="en-GB"/>
              </w:rPr>
              <w:t>24</w:t>
            </w:r>
            <w:r w:rsidRPr="0029146F">
              <w:rPr>
                <w:color w:val="000000"/>
                <w:lang w:eastAsia="en-GB"/>
              </w:rPr>
              <w:t xml:space="preserve">: </w:t>
            </w:r>
            <w:r w:rsidRPr="0029146F">
              <w:rPr>
                <w:lang w:val="en-GB"/>
              </w:rPr>
              <w:t>↑</w:t>
            </w:r>
            <w:r w:rsidRPr="0029146F">
              <w:rPr>
                <w:color w:val="000000"/>
                <w:lang w:eastAsia="en-GB"/>
              </w:rPr>
              <w:t xml:space="preserve"> 3.58-fold</w:t>
            </w:r>
          </w:p>
          <w:p w14:paraId="54F03379" w14:textId="77777777" w:rsidR="00BE1421" w:rsidRPr="0029146F" w:rsidRDefault="00BE1421" w:rsidP="0012388C">
            <w:pPr>
              <w:pStyle w:val="EMEANormal"/>
              <w:rPr>
                <w:color w:val="000000"/>
              </w:rPr>
            </w:pPr>
          </w:p>
          <w:p w14:paraId="1DF38E30" w14:textId="77777777" w:rsidR="00BE1421" w:rsidRPr="0029146F" w:rsidRDefault="00BE1421" w:rsidP="0012388C">
            <w:pPr>
              <w:pStyle w:val="EMEANormal"/>
              <w:rPr>
                <w:color w:val="000000"/>
              </w:rPr>
            </w:pPr>
            <w:r w:rsidRPr="0029146F">
              <w:rPr>
                <w:color w:val="000000"/>
              </w:rPr>
              <w:t>Grazoprevir:</w:t>
            </w:r>
          </w:p>
          <w:p w14:paraId="23A28A20" w14:textId="77777777" w:rsidR="00BE1421" w:rsidRPr="0029146F" w:rsidRDefault="00BE1421" w:rsidP="0012388C">
            <w:pPr>
              <w:pStyle w:val="EMEANormal"/>
              <w:rPr>
                <w:color w:val="000000"/>
                <w:lang w:eastAsia="en-GB"/>
              </w:rPr>
            </w:pPr>
            <w:r w:rsidRPr="0029146F">
              <w:rPr>
                <w:color w:val="000000"/>
                <w:lang w:eastAsia="en-GB"/>
              </w:rPr>
              <w:t xml:space="preserve">AUC: </w:t>
            </w:r>
            <w:r w:rsidRPr="0029146F">
              <w:rPr>
                <w:lang w:val="en-GB"/>
              </w:rPr>
              <w:t>↑</w:t>
            </w:r>
            <w:r w:rsidRPr="0029146F">
              <w:rPr>
                <w:color w:val="000000"/>
                <w:lang w:eastAsia="en-GB"/>
              </w:rPr>
              <w:t xml:space="preserve"> 11.86-fold</w:t>
            </w:r>
          </w:p>
          <w:p w14:paraId="2D99BA6E" w14:textId="77777777" w:rsidR="00BE1421" w:rsidRPr="0029146F" w:rsidRDefault="00BE1421" w:rsidP="0012388C">
            <w:pPr>
              <w:pStyle w:val="EMEANormal"/>
              <w:rPr>
                <w:color w:val="000000"/>
                <w:lang w:eastAsia="en-GB"/>
              </w:rPr>
            </w:pPr>
            <w:r w:rsidRPr="0029146F">
              <w:rPr>
                <w:color w:val="000000"/>
                <w:lang w:eastAsia="en-GB"/>
              </w:rPr>
              <w:t>C</w:t>
            </w:r>
            <w:r w:rsidRPr="0029146F">
              <w:rPr>
                <w:color w:val="000000"/>
                <w:vertAlign w:val="subscript"/>
                <w:lang w:eastAsia="en-GB"/>
              </w:rPr>
              <w:t>max</w:t>
            </w:r>
            <w:r w:rsidRPr="0029146F">
              <w:rPr>
                <w:color w:val="000000"/>
                <w:lang w:eastAsia="en-GB"/>
              </w:rPr>
              <w:t xml:space="preserve">: </w:t>
            </w:r>
            <w:r w:rsidRPr="0029146F">
              <w:rPr>
                <w:lang w:val="en-GB"/>
              </w:rPr>
              <w:t>↑</w:t>
            </w:r>
            <w:r w:rsidRPr="0029146F">
              <w:rPr>
                <w:color w:val="000000"/>
                <w:lang w:eastAsia="en-GB"/>
              </w:rPr>
              <w:t xml:space="preserve"> 6.31-fold</w:t>
            </w:r>
          </w:p>
          <w:p w14:paraId="7D91C867" w14:textId="77777777" w:rsidR="00BE1421" w:rsidRPr="0029146F" w:rsidRDefault="00BE1421" w:rsidP="0012388C">
            <w:pPr>
              <w:pStyle w:val="EMEANormal"/>
              <w:rPr>
                <w:lang w:val="en-GB"/>
              </w:rPr>
            </w:pPr>
            <w:r w:rsidRPr="0029146F">
              <w:rPr>
                <w:color w:val="000000"/>
                <w:lang w:eastAsia="en-GB"/>
              </w:rPr>
              <w:t>C</w:t>
            </w:r>
            <w:r w:rsidRPr="0029146F">
              <w:rPr>
                <w:color w:val="000000"/>
                <w:vertAlign w:val="subscript"/>
                <w:lang w:eastAsia="en-GB"/>
              </w:rPr>
              <w:t>24</w:t>
            </w:r>
            <w:r w:rsidRPr="0029146F">
              <w:rPr>
                <w:color w:val="000000"/>
                <w:lang w:eastAsia="en-GB"/>
              </w:rPr>
              <w:t xml:space="preserve">: </w:t>
            </w:r>
            <w:r w:rsidRPr="0029146F">
              <w:rPr>
                <w:lang w:val="en-GB"/>
              </w:rPr>
              <w:t>↑ 20.70-fold</w:t>
            </w:r>
          </w:p>
          <w:p w14:paraId="5CC20B55" w14:textId="77777777" w:rsidR="00BE1421" w:rsidRPr="0029146F" w:rsidRDefault="00BE1421" w:rsidP="0012388C">
            <w:pPr>
              <w:pStyle w:val="EMEANormal"/>
              <w:rPr>
                <w:lang w:val="en-GB"/>
              </w:rPr>
            </w:pPr>
          </w:p>
          <w:p w14:paraId="1B3995B8" w14:textId="77777777" w:rsidR="00BE1421" w:rsidRPr="0029146F" w:rsidRDefault="00BE1421" w:rsidP="0012388C">
            <w:pPr>
              <w:pStyle w:val="EMEANormal"/>
              <w:rPr>
                <w:lang w:val="en-GB"/>
              </w:rPr>
            </w:pPr>
            <w:r w:rsidRPr="0029146F">
              <w:rPr>
                <w:lang w:val="en-GB"/>
              </w:rPr>
              <w:t>(combinations of mechanisms including CYP3A inhibition)</w:t>
            </w:r>
          </w:p>
          <w:p w14:paraId="0B318585" w14:textId="77777777" w:rsidR="00BE1421" w:rsidRPr="0029146F" w:rsidRDefault="00BE1421" w:rsidP="0012388C">
            <w:pPr>
              <w:pStyle w:val="EMEANormal"/>
              <w:rPr>
                <w:lang w:val="en-GB"/>
              </w:rPr>
            </w:pPr>
          </w:p>
          <w:p w14:paraId="05DBF259" w14:textId="77777777" w:rsidR="00BE1421" w:rsidRPr="0029146F" w:rsidRDefault="00BE1421" w:rsidP="005766B5">
            <w:pPr>
              <w:pStyle w:val="EMEANormal"/>
              <w:rPr>
                <w:lang w:val="en-GB"/>
              </w:rPr>
            </w:pPr>
            <w:r w:rsidRPr="0029146F">
              <w:rPr>
                <w:lang w:val="en-GB"/>
              </w:rPr>
              <w:t xml:space="preserve">Lopinavir: </w:t>
            </w:r>
            <w:r w:rsidRPr="0029146F">
              <w:rPr>
                <w:szCs w:val="22"/>
                <w:lang w:val="en-GB"/>
              </w:rPr>
              <w:t>↔</w:t>
            </w:r>
          </w:p>
        </w:tc>
        <w:tc>
          <w:tcPr>
            <w:tcW w:w="3260" w:type="dxa"/>
            <w:gridSpan w:val="3"/>
            <w:tcBorders>
              <w:top w:val="single" w:sz="4" w:space="0" w:color="auto"/>
              <w:left w:val="single" w:sz="4" w:space="0" w:color="auto"/>
              <w:bottom w:val="single" w:sz="4" w:space="0" w:color="auto"/>
              <w:right w:val="single" w:sz="4" w:space="0" w:color="auto"/>
            </w:tcBorders>
          </w:tcPr>
          <w:p w14:paraId="61ECE831" w14:textId="77777777" w:rsidR="00BE1421" w:rsidRPr="006E0E58" w:rsidRDefault="00BE1421" w:rsidP="005766B5">
            <w:pPr>
              <w:pStyle w:val="EMEANormal"/>
              <w:rPr>
                <w:color w:val="000000"/>
              </w:rPr>
            </w:pPr>
            <w:r w:rsidRPr="0029146F">
              <w:rPr>
                <w:color w:val="000000"/>
              </w:rPr>
              <w:t>Concomitant administration of elbasvir/grazoprevir with Kaletra is con</w:t>
            </w:r>
            <w:r w:rsidRPr="006E0E58">
              <w:rPr>
                <w:color w:val="000000"/>
              </w:rPr>
              <w:t>traindicated (see section 4.3).</w:t>
            </w:r>
          </w:p>
        </w:tc>
      </w:tr>
      <w:tr w:rsidR="00BE1421" w:rsidRPr="00922746" w14:paraId="788D2D24" w14:textId="77777777" w:rsidTr="008F531F">
        <w:tc>
          <w:tcPr>
            <w:tcW w:w="2694" w:type="dxa"/>
            <w:gridSpan w:val="2"/>
            <w:tcBorders>
              <w:top w:val="single" w:sz="4" w:space="0" w:color="auto"/>
              <w:left w:val="single" w:sz="4" w:space="0" w:color="auto"/>
              <w:bottom w:val="single" w:sz="4" w:space="0" w:color="auto"/>
              <w:right w:val="single" w:sz="4" w:space="0" w:color="auto"/>
            </w:tcBorders>
          </w:tcPr>
          <w:p w14:paraId="56AEB059" w14:textId="77777777" w:rsidR="00BE1421" w:rsidRPr="0029146F" w:rsidRDefault="00BE1421" w:rsidP="005F7244">
            <w:pPr>
              <w:pStyle w:val="EMEANormal"/>
              <w:keepNext/>
              <w:rPr>
                <w:color w:val="000000"/>
              </w:rPr>
            </w:pPr>
            <w:r>
              <w:rPr>
                <w:color w:val="000000"/>
              </w:rPr>
              <w:t>Glecaprevir/pibrentasvir</w:t>
            </w:r>
          </w:p>
        </w:tc>
        <w:tc>
          <w:tcPr>
            <w:tcW w:w="3260" w:type="dxa"/>
            <w:gridSpan w:val="7"/>
            <w:tcBorders>
              <w:top w:val="single" w:sz="4" w:space="0" w:color="auto"/>
              <w:left w:val="single" w:sz="4" w:space="0" w:color="auto"/>
              <w:bottom w:val="single" w:sz="4" w:space="0" w:color="auto"/>
              <w:right w:val="single" w:sz="4" w:space="0" w:color="auto"/>
            </w:tcBorders>
          </w:tcPr>
          <w:p w14:paraId="06B02738" w14:textId="77777777" w:rsidR="00BE1421" w:rsidRPr="0029146F" w:rsidRDefault="00BE1421" w:rsidP="00A03DBE">
            <w:pPr>
              <w:pStyle w:val="EMEANormal"/>
              <w:keepNext/>
              <w:rPr>
                <w:color w:val="000000"/>
              </w:rPr>
            </w:pPr>
            <w:r>
              <w:rPr>
                <w:color w:val="000000"/>
              </w:rPr>
              <w:t>Serum concentrations may be increased due to P-glycoprotein, BCRP and OATP1B inhibition by lopinavir/ritonavir.</w:t>
            </w:r>
          </w:p>
        </w:tc>
        <w:tc>
          <w:tcPr>
            <w:tcW w:w="3260" w:type="dxa"/>
            <w:gridSpan w:val="3"/>
            <w:tcBorders>
              <w:top w:val="single" w:sz="4" w:space="0" w:color="auto"/>
              <w:left w:val="single" w:sz="4" w:space="0" w:color="auto"/>
              <w:bottom w:val="single" w:sz="4" w:space="0" w:color="auto"/>
              <w:right w:val="single" w:sz="4" w:space="0" w:color="auto"/>
            </w:tcBorders>
          </w:tcPr>
          <w:p w14:paraId="2EDD3D80" w14:textId="77777777" w:rsidR="00BE1421" w:rsidRPr="0029146F" w:rsidRDefault="00BE1421" w:rsidP="005F7244">
            <w:pPr>
              <w:pStyle w:val="EMEANormal"/>
              <w:keepNext/>
              <w:rPr>
                <w:color w:val="000000"/>
              </w:rPr>
            </w:pPr>
            <w:r>
              <w:rPr>
                <w:color w:val="000000"/>
              </w:rPr>
              <w:t>Concomitant administration of glecaprevir/pibrentasvir and Kaletra is not recommended due to an increased risk of ALT elevations associated with increased glecaprevir exposure.</w:t>
            </w:r>
          </w:p>
        </w:tc>
      </w:tr>
      <w:tr w:rsidR="00BE1421" w:rsidRPr="00342F7C" w14:paraId="692F87A7" w14:textId="77777777" w:rsidTr="008F531F">
        <w:tc>
          <w:tcPr>
            <w:tcW w:w="2694" w:type="dxa"/>
            <w:gridSpan w:val="2"/>
            <w:tcBorders>
              <w:top w:val="single" w:sz="4" w:space="0" w:color="auto"/>
              <w:left w:val="single" w:sz="4" w:space="0" w:color="auto"/>
              <w:bottom w:val="single" w:sz="4" w:space="0" w:color="auto"/>
              <w:right w:val="single" w:sz="4" w:space="0" w:color="auto"/>
            </w:tcBorders>
          </w:tcPr>
          <w:p w14:paraId="5B09AF85" w14:textId="77777777" w:rsidR="00BE1421" w:rsidRPr="006E0E58" w:rsidRDefault="00BE1421" w:rsidP="00D11B95">
            <w:pPr>
              <w:pStyle w:val="EMEANormal"/>
              <w:keepNext/>
              <w:rPr>
                <w:color w:val="000000"/>
              </w:rPr>
            </w:pPr>
            <w:r w:rsidRPr="00922746">
              <w:rPr>
                <w:color w:val="000000"/>
              </w:rPr>
              <w:t>Ombitasvir/paritaprevir/rito</w:t>
            </w:r>
            <w:r w:rsidRPr="006E0E58">
              <w:rPr>
                <w:color w:val="000000"/>
              </w:rPr>
              <w:t xml:space="preserve">navir </w:t>
            </w:r>
            <w:r w:rsidRPr="0029146F">
              <w:rPr>
                <w:color w:val="000000"/>
              </w:rPr>
              <w:t xml:space="preserve">+ </w:t>
            </w:r>
            <w:r w:rsidRPr="006E0E58">
              <w:rPr>
                <w:color w:val="000000"/>
              </w:rPr>
              <w:t>dasabuvir</w:t>
            </w:r>
          </w:p>
          <w:p w14:paraId="1D9F5B75" w14:textId="77777777" w:rsidR="00BE1421" w:rsidRPr="006E0E58" w:rsidRDefault="00BE1421" w:rsidP="00D11B95">
            <w:pPr>
              <w:pStyle w:val="EMEANormal"/>
              <w:keepNext/>
              <w:rPr>
                <w:color w:val="000000"/>
              </w:rPr>
            </w:pPr>
          </w:p>
          <w:p w14:paraId="05845EB1" w14:textId="77777777" w:rsidR="00BE1421" w:rsidRPr="0029146F" w:rsidRDefault="00BE1421" w:rsidP="00D11B95">
            <w:pPr>
              <w:pStyle w:val="EMEANormal"/>
              <w:keepNext/>
              <w:rPr>
                <w:color w:val="000000"/>
              </w:rPr>
            </w:pPr>
            <w:r w:rsidRPr="0029146F">
              <w:rPr>
                <w:color w:val="000000"/>
              </w:rPr>
              <w:t xml:space="preserve">(25/150/100 mg QD + </w:t>
            </w:r>
            <w:r>
              <w:rPr>
                <w:color w:val="000000"/>
              </w:rPr>
              <w:t>40</w:t>
            </w:r>
            <w:r w:rsidRPr="0029146F">
              <w:rPr>
                <w:color w:val="000000"/>
              </w:rPr>
              <w:t>0 mg BID)</w:t>
            </w:r>
          </w:p>
          <w:p w14:paraId="42314ED8" w14:textId="77777777" w:rsidR="00BE1421" w:rsidRPr="0029146F" w:rsidRDefault="00BE1421" w:rsidP="00D11B95">
            <w:pPr>
              <w:pStyle w:val="EMEANormal"/>
              <w:keepNext/>
              <w:rPr>
                <w:color w:val="000000"/>
              </w:rPr>
            </w:pPr>
          </w:p>
          <w:p w14:paraId="78AA8430" w14:textId="77777777" w:rsidR="00BE1421" w:rsidRPr="0029146F" w:rsidRDefault="00BE1421" w:rsidP="00D11B95">
            <w:pPr>
              <w:pStyle w:val="EMEANormal"/>
              <w:keepNext/>
              <w:rPr>
                <w:color w:val="000000"/>
              </w:rPr>
            </w:pPr>
            <w:r w:rsidRPr="0029146F">
              <w:rPr>
                <w:color w:val="000000"/>
              </w:rPr>
              <w:t xml:space="preserve">Lopinavir/ritonavir </w:t>
            </w:r>
          </w:p>
          <w:p w14:paraId="409E2FD5" w14:textId="77777777" w:rsidR="00BE1421" w:rsidRPr="0029146F" w:rsidRDefault="00BE1421" w:rsidP="00D11B95">
            <w:pPr>
              <w:pStyle w:val="EMEANormal"/>
              <w:keepNext/>
              <w:rPr>
                <w:color w:val="000000"/>
              </w:rPr>
            </w:pPr>
            <w:r w:rsidRPr="0029146F">
              <w:rPr>
                <w:color w:val="000000"/>
              </w:rPr>
              <w:t>400/100 mg BID</w:t>
            </w:r>
          </w:p>
        </w:tc>
        <w:tc>
          <w:tcPr>
            <w:tcW w:w="3260" w:type="dxa"/>
            <w:gridSpan w:val="7"/>
            <w:tcBorders>
              <w:top w:val="single" w:sz="4" w:space="0" w:color="auto"/>
              <w:left w:val="single" w:sz="4" w:space="0" w:color="auto"/>
              <w:bottom w:val="single" w:sz="4" w:space="0" w:color="auto"/>
              <w:right w:val="single" w:sz="4" w:space="0" w:color="auto"/>
            </w:tcBorders>
          </w:tcPr>
          <w:p w14:paraId="0F9DC4BD" w14:textId="77777777" w:rsidR="00BE1421" w:rsidRPr="0029146F" w:rsidRDefault="00BE1421" w:rsidP="00D11B95">
            <w:pPr>
              <w:pStyle w:val="EMEANormal"/>
              <w:keepNext/>
              <w:rPr>
                <w:color w:val="000000"/>
              </w:rPr>
            </w:pPr>
            <w:r w:rsidRPr="0029146F">
              <w:rPr>
                <w:color w:val="000000"/>
              </w:rPr>
              <w:t xml:space="preserve">Ombitasvir: </w:t>
            </w:r>
            <w:r w:rsidRPr="0029146F">
              <w:rPr>
                <w:szCs w:val="22"/>
                <w:lang w:val="en-GB"/>
              </w:rPr>
              <w:t>↔</w:t>
            </w:r>
            <w:r w:rsidRPr="0029146F">
              <w:rPr>
                <w:color w:val="000000"/>
              </w:rPr>
              <w:t xml:space="preserve"> </w:t>
            </w:r>
          </w:p>
          <w:p w14:paraId="32914FA4" w14:textId="77777777" w:rsidR="00BE1421" w:rsidRPr="006E0E58" w:rsidRDefault="00BE1421" w:rsidP="00D11B95">
            <w:pPr>
              <w:pStyle w:val="EMEANormal"/>
              <w:keepNext/>
              <w:rPr>
                <w:color w:val="000000"/>
              </w:rPr>
            </w:pPr>
          </w:p>
          <w:p w14:paraId="0BA91D46" w14:textId="77777777" w:rsidR="00BE1421" w:rsidRPr="006E0E58" w:rsidRDefault="00BE1421" w:rsidP="00D11B95">
            <w:pPr>
              <w:pStyle w:val="EMEANormal"/>
              <w:keepNext/>
              <w:rPr>
                <w:color w:val="000000"/>
              </w:rPr>
            </w:pPr>
            <w:r w:rsidRPr="006E0E58">
              <w:rPr>
                <w:color w:val="000000"/>
              </w:rPr>
              <w:t>Paritaprevir:</w:t>
            </w:r>
          </w:p>
          <w:p w14:paraId="71D4BFF9" w14:textId="77777777" w:rsidR="00BE1421" w:rsidRPr="0029146F" w:rsidRDefault="00BE1421" w:rsidP="00D11B95">
            <w:pPr>
              <w:pStyle w:val="EMEANormal"/>
              <w:keepNext/>
              <w:rPr>
                <w:color w:val="000000"/>
                <w:lang w:eastAsia="en-GB"/>
              </w:rPr>
            </w:pPr>
            <w:r w:rsidRPr="00D11B95">
              <w:rPr>
                <w:color w:val="000000"/>
                <w:lang w:eastAsia="en-GB"/>
              </w:rPr>
              <w:t xml:space="preserve">AUC: </w:t>
            </w:r>
            <w:r w:rsidRPr="00D11B95">
              <w:rPr>
                <w:lang w:val="en-GB"/>
              </w:rPr>
              <w:t>↑</w:t>
            </w:r>
            <w:r w:rsidRPr="00D11B95">
              <w:rPr>
                <w:color w:val="000000"/>
                <w:lang w:eastAsia="en-GB"/>
              </w:rPr>
              <w:t xml:space="preserve"> </w:t>
            </w:r>
            <w:r>
              <w:rPr>
                <w:color w:val="000000"/>
                <w:lang w:eastAsia="en-GB"/>
              </w:rPr>
              <w:t>2.17</w:t>
            </w:r>
            <w:r w:rsidRPr="0029146F">
              <w:rPr>
                <w:color w:val="000000"/>
                <w:lang w:eastAsia="en-GB"/>
              </w:rPr>
              <w:t>-fold</w:t>
            </w:r>
          </w:p>
          <w:p w14:paraId="09D5A07B" w14:textId="77777777" w:rsidR="00BE1421" w:rsidRPr="0029146F" w:rsidRDefault="00BE1421" w:rsidP="00D11B95">
            <w:pPr>
              <w:pStyle w:val="EMEANormal"/>
              <w:keepNext/>
              <w:rPr>
                <w:color w:val="000000"/>
                <w:lang w:eastAsia="en-GB"/>
              </w:rPr>
            </w:pPr>
            <w:r w:rsidRPr="0029146F">
              <w:rPr>
                <w:color w:val="000000"/>
                <w:lang w:eastAsia="en-GB"/>
              </w:rPr>
              <w:t>C</w:t>
            </w:r>
            <w:r w:rsidRPr="0029146F">
              <w:rPr>
                <w:color w:val="000000"/>
                <w:vertAlign w:val="subscript"/>
                <w:lang w:eastAsia="en-GB"/>
              </w:rPr>
              <w:t>max</w:t>
            </w:r>
            <w:r w:rsidRPr="0029146F">
              <w:rPr>
                <w:color w:val="000000"/>
                <w:lang w:eastAsia="en-GB"/>
              </w:rPr>
              <w:t xml:space="preserve">: </w:t>
            </w:r>
            <w:r w:rsidRPr="0029146F">
              <w:rPr>
                <w:lang w:val="en-GB"/>
              </w:rPr>
              <w:t>↑</w:t>
            </w:r>
            <w:r w:rsidRPr="0029146F">
              <w:rPr>
                <w:color w:val="000000"/>
                <w:lang w:eastAsia="en-GB"/>
              </w:rPr>
              <w:t xml:space="preserve"> </w:t>
            </w:r>
            <w:r>
              <w:rPr>
                <w:color w:val="000000"/>
                <w:lang w:eastAsia="en-GB"/>
              </w:rPr>
              <w:t>2.04</w:t>
            </w:r>
            <w:r w:rsidRPr="0029146F">
              <w:rPr>
                <w:color w:val="000000"/>
                <w:lang w:eastAsia="en-GB"/>
              </w:rPr>
              <w:t>-fold</w:t>
            </w:r>
          </w:p>
          <w:p w14:paraId="637A4D3F" w14:textId="77777777" w:rsidR="00BE1421" w:rsidRPr="0029146F" w:rsidRDefault="00BE1421" w:rsidP="00D11B95">
            <w:pPr>
              <w:pStyle w:val="EMEANormal"/>
              <w:keepNext/>
              <w:rPr>
                <w:color w:val="000000"/>
                <w:lang w:eastAsia="en-GB"/>
              </w:rPr>
            </w:pPr>
            <w:r w:rsidRPr="0029146F">
              <w:rPr>
                <w:color w:val="000000"/>
                <w:lang w:eastAsia="en-GB"/>
              </w:rPr>
              <w:t>C</w:t>
            </w:r>
            <w:r w:rsidRPr="0029146F">
              <w:rPr>
                <w:color w:val="000000"/>
                <w:vertAlign w:val="subscript"/>
                <w:lang w:eastAsia="en-GB"/>
              </w:rPr>
              <w:t>trough</w:t>
            </w:r>
            <w:r w:rsidRPr="0029146F">
              <w:rPr>
                <w:color w:val="000000"/>
                <w:lang w:eastAsia="en-GB"/>
              </w:rPr>
              <w:t xml:space="preserve">: </w:t>
            </w:r>
            <w:r w:rsidRPr="0029146F">
              <w:rPr>
                <w:lang w:val="en-GB"/>
              </w:rPr>
              <w:t>↑</w:t>
            </w:r>
            <w:r w:rsidRPr="0029146F">
              <w:rPr>
                <w:color w:val="000000"/>
                <w:lang w:eastAsia="en-GB"/>
              </w:rPr>
              <w:t xml:space="preserve"> </w:t>
            </w:r>
            <w:r>
              <w:rPr>
                <w:color w:val="000000"/>
                <w:lang w:eastAsia="en-GB"/>
              </w:rPr>
              <w:t>2</w:t>
            </w:r>
            <w:r w:rsidRPr="0029146F">
              <w:rPr>
                <w:color w:val="000000"/>
                <w:lang w:eastAsia="en-GB"/>
              </w:rPr>
              <w:t>.36-fold</w:t>
            </w:r>
          </w:p>
          <w:p w14:paraId="65F25D6D" w14:textId="77777777" w:rsidR="00BE1421" w:rsidRPr="006E0E58" w:rsidRDefault="00BE1421" w:rsidP="00D11B95">
            <w:pPr>
              <w:pStyle w:val="EMEANormal"/>
              <w:keepNext/>
              <w:rPr>
                <w:color w:val="000000"/>
                <w:lang w:eastAsia="en-GB"/>
              </w:rPr>
            </w:pPr>
          </w:p>
          <w:p w14:paraId="1DF6FBE3" w14:textId="77777777" w:rsidR="00BE1421" w:rsidRPr="0029146F" w:rsidRDefault="00BE1421" w:rsidP="00D11B95">
            <w:pPr>
              <w:pStyle w:val="EMEANormal"/>
              <w:keepNext/>
              <w:rPr>
                <w:color w:val="000000"/>
                <w:lang w:eastAsia="en-GB"/>
              </w:rPr>
            </w:pPr>
            <w:r w:rsidRPr="0029146F">
              <w:rPr>
                <w:color w:val="000000"/>
                <w:lang w:eastAsia="en-GB"/>
              </w:rPr>
              <w:t>(inhibition of CYP3A/efflux transporters)</w:t>
            </w:r>
          </w:p>
          <w:p w14:paraId="2729EC6A" w14:textId="77777777" w:rsidR="00BE1421" w:rsidRPr="0029146F" w:rsidRDefault="00BE1421" w:rsidP="00D11B95">
            <w:pPr>
              <w:pStyle w:val="EMEANormal"/>
              <w:keepNext/>
              <w:rPr>
                <w:color w:val="000000"/>
                <w:lang w:eastAsia="en-GB"/>
              </w:rPr>
            </w:pPr>
          </w:p>
          <w:p w14:paraId="0E5F53C9" w14:textId="77777777" w:rsidR="00BE1421" w:rsidRPr="0029146F" w:rsidRDefault="00BE1421" w:rsidP="00D11B95">
            <w:pPr>
              <w:pStyle w:val="EMEANormal"/>
              <w:keepNext/>
              <w:rPr>
                <w:color w:val="000000"/>
                <w:lang w:eastAsia="en-GB"/>
              </w:rPr>
            </w:pPr>
            <w:r w:rsidRPr="0029146F">
              <w:rPr>
                <w:color w:val="000000"/>
                <w:lang w:eastAsia="en-GB"/>
              </w:rPr>
              <w:t xml:space="preserve">Dasabuvir: </w:t>
            </w:r>
            <w:r w:rsidRPr="0029146F">
              <w:rPr>
                <w:szCs w:val="22"/>
                <w:lang w:val="en-GB"/>
              </w:rPr>
              <w:t>↔</w:t>
            </w:r>
          </w:p>
          <w:p w14:paraId="7A1DFF1D" w14:textId="77777777" w:rsidR="00BE1421" w:rsidRPr="0029146F" w:rsidRDefault="00BE1421" w:rsidP="00D11B95">
            <w:pPr>
              <w:pStyle w:val="EMEANormal"/>
              <w:keepNext/>
              <w:rPr>
                <w:color w:val="000000"/>
                <w:lang w:eastAsia="en-GB"/>
              </w:rPr>
            </w:pPr>
          </w:p>
          <w:p w14:paraId="6BD0E51B" w14:textId="77777777" w:rsidR="00BE1421" w:rsidRPr="0029146F" w:rsidRDefault="00BE1421" w:rsidP="00D11B95">
            <w:pPr>
              <w:pStyle w:val="EMEANormal"/>
              <w:keepNext/>
              <w:rPr>
                <w:color w:val="000000"/>
              </w:rPr>
            </w:pPr>
            <w:r w:rsidRPr="0029146F">
              <w:rPr>
                <w:color w:val="000000"/>
                <w:lang w:eastAsia="en-GB"/>
              </w:rPr>
              <w:t xml:space="preserve">Lopinavir: </w:t>
            </w:r>
            <w:r w:rsidRPr="0029146F">
              <w:rPr>
                <w:szCs w:val="22"/>
                <w:lang w:val="en-GB"/>
              </w:rPr>
              <w:t>↔</w:t>
            </w:r>
          </w:p>
        </w:tc>
        <w:tc>
          <w:tcPr>
            <w:tcW w:w="3260" w:type="dxa"/>
            <w:gridSpan w:val="3"/>
            <w:vMerge w:val="restart"/>
            <w:tcBorders>
              <w:top w:val="single" w:sz="4" w:space="0" w:color="auto"/>
              <w:left w:val="single" w:sz="4" w:space="0" w:color="auto"/>
              <w:right w:val="single" w:sz="4" w:space="0" w:color="auto"/>
            </w:tcBorders>
          </w:tcPr>
          <w:p w14:paraId="47F23A77" w14:textId="77777777" w:rsidR="00BE1421" w:rsidRPr="0029146F" w:rsidRDefault="00BE1421" w:rsidP="00D11B95">
            <w:pPr>
              <w:pStyle w:val="EMEANormal"/>
              <w:keepNext/>
              <w:rPr>
                <w:color w:val="000000"/>
              </w:rPr>
            </w:pPr>
            <w:r w:rsidRPr="006E0E58">
              <w:rPr>
                <w:color w:val="000000"/>
              </w:rPr>
              <w:t>Co-administration is</w:t>
            </w:r>
            <w:r w:rsidRPr="00D11B95">
              <w:rPr>
                <w:color w:val="000000"/>
              </w:rPr>
              <w:t xml:space="preserve"> </w:t>
            </w:r>
            <w:r w:rsidRPr="0029146F">
              <w:rPr>
                <w:color w:val="000000"/>
              </w:rPr>
              <w:t>contraindicated.</w:t>
            </w:r>
          </w:p>
          <w:p w14:paraId="32B9B23C" w14:textId="77777777" w:rsidR="00BE1421" w:rsidRPr="006E0E58" w:rsidRDefault="00BE1421" w:rsidP="00D11B95">
            <w:pPr>
              <w:pStyle w:val="EMEANormal"/>
              <w:keepNext/>
              <w:rPr>
                <w:color w:val="000000"/>
              </w:rPr>
            </w:pPr>
          </w:p>
          <w:p w14:paraId="18F77AD2" w14:textId="77777777" w:rsidR="00BE1421" w:rsidRDefault="00BE1421" w:rsidP="00D11B95">
            <w:pPr>
              <w:pStyle w:val="EMEANormal"/>
              <w:keepNext/>
              <w:rPr>
                <w:color w:val="000000"/>
              </w:rPr>
            </w:pPr>
            <w:r w:rsidRPr="0029146F">
              <w:rPr>
                <w:color w:val="000000"/>
              </w:rPr>
              <w:t xml:space="preserve">Lopinavir/ritonavir 800/200 mg QD </w:t>
            </w:r>
            <w:r>
              <w:rPr>
                <w:color w:val="000000"/>
              </w:rPr>
              <w:t xml:space="preserve">was </w:t>
            </w:r>
            <w:r w:rsidRPr="0029146F">
              <w:rPr>
                <w:color w:val="000000"/>
              </w:rPr>
              <w:t>administered with ombitasvir/paritaprevir/ritonavir with or without dasabuvir.  The effect on DAAs and lopinavir was similar to that observed when lopinavir/ritonavir 400/100 mg BID was administered (see section 4.3).</w:t>
            </w:r>
          </w:p>
        </w:tc>
      </w:tr>
      <w:tr w:rsidR="00BE1421" w:rsidRPr="00342F7C" w14:paraId="4A40AF7B" w14:textId="77777777" w:rsidTr="008F531F">
        <w:tc>
          <w:tcPr>
            <w:tcW w:w="2694" w:type="dxa"/>
            <w:gridSpan w:val="2"/>
            <w:tcBorders>
              <w:top w:val="single" w:sz="4" w:space="0" w:color="auto"/>
              <w:left w:val="single" w:sz="4" w:space="0" w:color="auto"/>
              <w:bottom w:val="single" w:sz="4" w:space="0" w:color="auto"/>
              <w:right w:val="single" w:sz="4" w:space="0" w:color="auto"/>
            </w:tcBorders>
          </w:tcPr>
          <w:p w14:paraId="5F7408CD" w14:textId="77777777" w:rsidR="00BE1421" w:rsidRPr="0029146F" w:rsidRDefault="00BE1421" w:rsidP="009B5BD2">
            <w:pPr>
              <w:pStyle w:val="EMEANormal"/>
              <w:rPr>
                <w:color w:val="000000"/>
              </w:rPr>
            </w:pPr>
            <w:r w:rsidRPr="0029146F">
              <w:rPr>
                <w:color w:val="000000"/>
              </w:rPr>
              <w:t>Ombitasvir/paritaprevir/ ritonavir</w:t>
            </w:r>
          </w:p>
          <w:p w14:paraId="01829956" w14:textId="77777777" w:rsidR="00BE1421" w:rsidRPr="0029146F" w:rsidRDefault="00BE1421" w:rsidP="009B5BD2">
            <w:pPr>
              <w:pStyle w:val="EMEANormal"/>
              <w:rPr>
                <w:color w:val="000000"/>
              </w:rPr>
            </w:pPr>
          </w:p>
          <w:p w14:paraId="0A412B32" w14:textId="77777777" w:rsidR="00BE1421" w:rsidRPr="0029146F" w:rsidRDefault="00BE1421" w:rsidP="009B5BD2">
            <w:pPr>
              <w:pStyle w:val="EMEANormal"/>
              <w:rPr>
                <w:color w:val="000000"/>
              </w:rPr>
            </w:pPr>
            <w:r w:rsidRPr="0029146F">
              <w:rPr>
                <w:color w:val="000000"/>
              </w:rPr>
              <w:t>(25/150/100 m</w:t>
            </w:r>
            <w:r>
              <w:rPr>
                <w:color w:val="000000"/>
              </w:rPr>
              <w:t xml:space="preserve">g </w:t>
            </w:r>
            <w:r w:rsidRPr="0029146F">
              <w:rPr>
                <w:color w:val="000000"/>
              </w:rPr>
              <w:t>QD)</w:t>
            </w:r>
          </w:p>
          <w:p w14:paraId="0122E46D" w14:textId="77777777" w:rsidR="00BE1421" w:rsidRPr="0029146F" w:rsidRDefault="00BE1421" w:rsidP="009B5BD2">
            <w:pPr>
              <w:pStyle w:val="EMEANormal"/>
              <w:rPr>
                <w:color w:val="000000"/>
              </w:rPr>
            </w:pPr>
          </w:p>
          <w:p w14:paraId="32A1DE9C" w14:textId="77777777" w:rsidR="00BE1421" w:rsidRPr="0029146F" w:rsidRDefault="00BE1421" w:rsidP="009B5BD2">
            <w:pPr>
              <w:pStyle w:val="EMEANormal"/>
              <w:rPr>
                <w:color w:val="000000"/>
              </w:rPr>
            </w:pPr>
            <w:r w:rsidRPr="0029146F">
              <w:rPr>
                <w:color w:val="000000"/>
              </w:rPr>
              <w:t>Lopinavir/ritonavir</w:t>
            </w:r>
          </w:p>
          <w:p w14:paraId="06E5E0EE" w14:textId="77777777" w:rsidR="00BE1421" w:rsidRPr="0029146F" w:rsidRDefault="00BE1421" w:rsidP="009B5BD2">
            <w:pPr>
              <w:pStyle w:val="EMEANormal"/>
              <w:rPr>
                <w:color w:val="000000"/>
              </w:rPr>
            </w:pPr>
            <w:r w:rsidRPr="0029146F">
              <w:rPr>
                <w:color w:val="000000"/>
              </w:rPr>
              <w:t>400/100 mg BID</w:t>
            </w:r>
          </w:p>
        </w:tc>
        <w:tc>
          <w:tcPr>
            <w:tcW w:w="3260" w:type="dxa"/>
            <w:gridSpan w:val="7"/>
            <w:tcBorders>
              <w:top w:val="single" w:sz="4" w:space="0" w:color="auto"/>
              <w:left w:val="single" w:sz="4" w:space="0" w:color="auto"/>
              <w:bottom w:val="single" w:sz="4" w:space="0" w:color="auto"/>
              <w:right w:val="single" w:sz="4" w:space="0" w:color="auto"/>
            </w:tcBorders>
          </w:tcPr>
          <w:p w14:paraId="3BF2AE0D" w14:textId="77777777" w:rsidR="00BE1421" w:rsidRPr="0029146F" w:rsidRDefault="00BE1421" w:rsidP="007E69A6">
            <w:pPr>
              <w:pStyle w:val="EMEANormal"/>
              <w:rPr>
                <w:color w:val="000000"/>
              </w:rPr>
            </w:pPr>
            <w:r w:rsidRPr="0029146F">
              <w:rPr>
                <w:color w:val="000000"/>
              </w:rPr>
              <w:t>Ombitasvir:</w:t>
            </w:r>
            <w:r w:rsidRPr="0029146F">
              <w:rPr>
                <w:color w:val="000000"/>
                <w:lang w:eastAsia="en-GB"/>
              </w:rPr>
              <w:t xml:space="preserve"> </w:t>
            </w:r>
            <w:r w:rsidRPr="0029146F">
              <w:rPr>
                <w:szCs w:val="22"/>
                <w:lang w:val="en-GB"/>
              </w:rPr>
              <w:t>↔</w:t>
            </w:r>
          </w:p>
          <w:p w14:paraId="680C0D46" w14:textId="77777777" w:rsidR="00BE1421" w:rsidRPr="0029146F" w:rsidRDefault="00BE1421" w:rsidP="007E69A6">
            <w:pPr>
              <w:pStyle w:val="EMEANormal"/>
              <w:rPr>
                <w:color w:val="000000"/>
              </w:rPr>
            </w:pPr>
          </w:p>
          <w:p w14:paraId="31662D7E" w14:textId="77777777" w:rsidR="00BE1421" w:rsidRPr="0029146F" w:rsidRDefault="00BE1421" w:rsidP="007E69A6">
            <w:pPr>
              <w:pStyle w:val="EMEANormal"/>
              <w:rPr>
                <w:color w:val="000000"/>
              </w:rPr>
            </w:pPr>
            <w:r w:rsidRPr="0029146F">
              <w:rPr>
                <w:color w:val="000000"/>
              </w:rPr>
              <w:t>Paritaprevir:</w:t>
            </w:r>
          </w:p>
          <w:p w14:paraId="37EC064D" w14:textId="77777777" w:rsidR="00BE1421" w:rsidRPr="0029146F" w:rsidRDefault="00BE1421" w:rsidP="007E69A6">
            <w:pPr>
              <w:pStyle w:val="EMEANormal"/>
              <w:rPr>
                <w:color w:val="000000"/>
                <w:lang w:eastAsia="en-GB"/>
              </w:rPr>
            </w:pPr>
            <w:r w:rsidRPr="0029146F">
              <w:rPr>
                <w:color w:val="000000"/>
                <w:lang w:eastAsia="en-GB"/>
              </w:rPr>
              <w:t xml:space="preserve">AUC: </w:t>
            </w:r>
            <w:r w:rsidRPr="0029146F">
              <w:rPr>
                <w:lang w:val="en-GB"/>
              </w:rPr>
              <w:t>↑</w:t>
            </w:r>
            <w:r>
              <w:rPr>
                <w:color w:val="000000"/>
                <w:lang w:eastAsia="en-GB"/>
              </w:rPr>
              <w:t xml:space="preserve"> 6</w:t>
            </w:r>
            <w:r w:rsidRPr="0029146F">
              <w:rPr>
                <w:color w:val="000000"/>
                <w:lang w:eastAsia="en-GB"/>
              </w:rPr>
              <w:t>.10-fold</w:t>
            </w:r>
          </w:p>
          <w:p w14:paraId="74BA9568" w14:textId="77777777" w:rsidR="00BE1421" w:rsidRPr="0029146F" w:rsidRDefault="00BE1421" w:rsidP="007E69A6">
            <w:pPr>
              <w:pStyle w:val="EMEANormal"/>
              <w:rPr>
                <w:color w:val="000000"/>
                <w:lang w:eastAsia="en-GB"/>
              </w:rPr>
            </w:pPr>
            <w:r w:rsidRPr="0029146F">
              <w:rPr>
                <w:color w:val="000000"/>
                <w:lang w:eastAsia="en-GB"/>
              </w:rPr>
              <w:t>C</w:t>
            </w:r>
            <w:r w:rsidRPr="0029146F">
              <w:rPr>
                <w:color w:val="000000"/>
                <w:vertAlign w:val="subscript"/>
                <w:lang w:eastAsia="en-GB"/>
              </w:rPr>
              <w:t>max</w:t>
            </w:r>
            <w:r w:rsidRPr="0029146F">
              <w:rPr>
                <w:color w:val="000000"/>
                <w:lang w:eastAsia="en-GB"/>
              </w:rPr>
              <w:t xml:space="preserve">: </w:t>
            </w:r>
            <w:r w:rsidRPr="0029146F">
              <w:rPr>
                <w:lang w:val="en-GB"/>
              </w:rPr>
              <w:t>↑</w:t>
            </w:r>
            <w:r>
              <w:rPr>
                <w:color w:val="000000"/>
                <w:lang w:eastAsia="en-GB"/>
              </w:rPr>
              <w:t xml:space="preserve"> 4</w:t>
            </w:r>
            <w:r w:rsidRPr="0029146F">
              <w:rPr>
                <w:color w:val="000000"/>
                <w:lang w:eastAsia="en-GB"/>
              </w:rPr>
              <w:t>.76-fold</w:t>
            </w:r>
          </w:p>
          <w:p w14:paraId="3502A407" w14:textId="77777777" w:rsidR="00BE1421" w:rsidRPr="0029146F" w:rsidRDefault="00BE1421" w:rsidP="007E69A6">
            <w:pPr>
              <w:pStyle w:val="EMEANormal"/>
              <w:rPr>
                <w:color w:val="000000"/>
                <w:lang w:eastAsia="en-GB"/>
              </w:rPr>
            </w:pPr>
            <w:r w:rsidRPr="0029146F">
              <w:rPr>
                <w:color w:val="000000"/>
                <w:lang w:eastAsia="en-GB"/>
              </w:rPr>
              <w:t>C</w:t>
            </w:r>
            <w:r w:rsidRPr="0029146F">
              <w:rPr>
                <w:color w:val="000000"/>
                <w:vertAlign w:val="subscript"/>
                <w:lang w:eastAsia="en-GB"/>
              </w:rPr>
              <w:t>trough</w:t>
            </w:r>
            <w:r w:rsidRPr="0029146F">
              <w:rPr>
                <w:color w:val="000000"/>
                <w:lang w:eastAsia="en-GB"/>
              </w:rPr>
              <w:t xml:space="preserve">: </w:t>
            </w:r>
            <w:r w:rsidRPr="0029146F">
              <w:rPr>
                <w:lang w:val="en-GB"/>
              </w:rPr>
              <w:t>↑</w:t>
            </w:r>
            <w:r w:rsidRPr="0029146F">
              <w:rPr>
                <w:color w:val="000000"/>
                <w:lang w:eastAsia="en-GB"/>
              </w:rPr>
              <w:t xml:space="preserve"> 1</w:t>
            </w:r>
            <w:r>
              <w:rPr>
                <w:color w:val="000000"/>
                <w:lang w:eastAsia="en-GB"/>
              </w:rPr>
              <w:t>2</w:t>
            </w:r>
            <w:r w:rsidRPr="0029146F">
              <w:rPr>
                <w:color w:val="000000"/>
                <w:lang w:eastAsia="en-GB"/>
              </w:rPr>
              <w:t>.33-fold</w:t>
            </w:r>
          </w:p>
          <w:p w14:paraId="415B7417" w14:textId="77777777" w:rsidR="00BE1421" w:rsidRPr="0029146F" w:rsidRDefault="00BE1421" w:rsidP="007E69A6">
            <w:pPr>
              <w:pStyle w:val="EMEANormal"/>
              <w:rPr>
                <w:color w:val="000000"/>
                <w:lang w:eastAsia="en-GB"/>
              </w:rPr>
            </w:pPr>
          </w:p>
          <w:p w14:paraId="6C815E22" w14:textId="77777777" w:rsidR="00BE1421" w:rsidRPr="0029146F" w:rsidRDefault="00BE1421" w:rsidP="007E69A6">
            <w:pPr>
              <w:pStyle w:val="EMEANormal"/>
              <w:rPr>
                <w:color w:val="000000"/>
                <w:lang w:eastAsia="en-GB"/>
              </w:rPr>
            </w:pPr>
            <w:r w:rsidRPr="0029146F">
              <w:rPr>
                <w:szCs w:val="22"/>
                <w:lang w:val="en-GB"/>
              </w:rPr>
              <w:t>(inhibition of CYP3A/efflux transporters)</w:t>
            </w:r>
          </w:p>
          <w:p w14:paraId="3A053F01" w14:textId="77777777" w:rsidR="00BE1421" w:rsidRPr="0029146F" w:rsidRDefault="00BE1421" w:rsidP="007E69A6">
            <w:pPr>
              <w:pStyle w:val="EMEANormal"/>
              <w:rPr>
                <w:color w:val="000000"/>
                <w:lang w:eastAsia="en-GB"/>
              </w:rPr>
            </w:pPr>
          </w:p>
          <w:p w14:paraId="764EDE8E" w14:textId="77777777" w:rsidR="00BE1421" w:rsidRPr="0029146F" w:rsidRDefault="00BE1421" w:rsidP="007E69A6">
            <w:pPr>
              <w:pStyle w:val="EMEANormal"/>
              <w:rPr>
                <w:color w:val="000000"/>
              </w:rPr>
            </w:pPr>
            <w:r w:rsidRPr="0029146F">
              <w:rPr>
                <w:lang w:val="en-GB"/>
              </w:rPr>
              <w:t xml:space="preserve">Lopinavir: </w:t>
            </w:r>
            <w:r w:rsidRPr="0029146F">
              <w:rPr>
                <w:szCs w:val="22"/>
                <w:lang w:val="en-GB"/>
              </w:rPr>
              <w:t>↔</w:t>
            </w:r>
          </w:p>
        </w:tc>
        <w:tc>
          <w:tcPr>
            <w:tcW w:w="3260" w:type="dxa"/>
            <w:gridSpan w:val="3"/>
            <w:vMerge/>
            <w:tcBorders>
              <w:left w:val="single" w:sz="4" w:space="0" w:color="auto"/>
              <w:bottom w:val="single" w:sz="4" w:space="0" w:color="auto"/>
              <w:right w:val="single" w:sz="4" w:space="0" w:color="auto"/>
            </w:tcBorders>
          </w:tcPr>
          <w:p w14:paraId="4ABCDB95" w14:textId="77777777" w:rsidR="00BE1421" w:rsidDel="009B5BD2" w:rsidRDefault="00BE1421" w:rsidP="009B5BD2">
            <w:pPr>
              <w:pStyle w:val="EMEANormal"/>
              <w:rPr>
                <w:color w:val="000000"/>
              </w:rPr>
            </w:pPr>
          </w:p>
        </w:tc>
      </w:tr>
      <w:tr w:rsidR="00BE1421" w:rsidRPr="00342F7C" w14:paraId="7D1EEEBE" w14:textId="77777777" w:rsidTr="008F531F">
        <w:tc>
          <w:tcPr>
            <w:tcW w:w="2694" w:type="dxa"/>
            <w:gridSpan w:val="2"/>
            <w:tcBorders>
              <w:top w:val="single" w:sz="4" w:space="0" w:color="auto"/>
              <w:left w:val="single" w:sz="4" w:space="0" w:color="auto"/>
              <w:bottom w:val="single" w:sz="4" w:space="0" w:color="auto"/>
              <w:right w:val="single" w:sz="4" w:space="0" w:color="auto"/>
            </w:tcBorders>
          </w:tcPr>
          <w:p w14:paraId="2E98DF0C" w14:textId="77777777" w:rsidR="00BE1421" w:rsidRPr="0029146F" w:rsidRDefault="00BE1421" w:rsidP="009B5BD2">
            <w:pPr>
              <w:pStyle w:val="EMEANormal"/>
              <w:rPr>
                <w:color w:val="000000"/>
              </w:rPr>
            </w:pPr>
            <w:r>
              <w:rPr>
                <w:color w:val="000000"/>
              </w:rPr>
              <w:t>Sofosbuvir/velpatasvir/ voxilaprevir</w:t>
            </w:r>
          </w:p>
        </w:tc>
        <w:tc>
          <w:tcPr>
            <w:tcW w:w="3260" w:type="dxa"/>
            <w:gridSpan w:val="7"/>
            <w:tcBorders>
              <w:top w:val="single" w:sz="4" w:space="0" w:color="auto"/>
              <w:left w:val="single" w:sz="4" w:space="0" w:color="auto"/>
              <w:bottom w:val="single" w:sz="4" w:space="0" w:color="auto"/>
              <w:right w:val="single" w:sz="4" w:space="0" w:color="auto"/>
            </w:tcBorders>
          </w:tcPr>
          <w:p w14:paraId="39B18F46" w14:textId="77777777" w:rsidR="00BE1421" w:rsidRPr="0029146F" w:rsidRDefault="00BE1421" w:rsidP="00907733">
            <w:pPr>
              <w:pStyle w:val="EMEANormal"/>
              <w:rPr>
                <w:color w:val="000000"/>
              </w:rPr>
            </w:pPr>
            <w:r>
              <w:rPr>
                <w:color w:val="000000"/>
              </w:rPr>
              <w:t>Serum concentrations of sofosbuvir, velpatasvir and voxilaprevir may be increased due to P-glycoprotein, BCRP and OATP1B1/3 inhibition by lopinavir/ritonavir.  However, only the increase in voxilaprevir exposure is considered clinically relevant.</w:t>
            </w:r>
          </w:p>
        </w:tc>
        <w:tc>
          <w:tcPr>
            <w:tcW w:w="3260" w:type="dxa"/>
            <w:gridSpan w:val="3"/>
            <w:tcBorders>
              <w:left w:val="single" w:sz="4" w:space="0" w:color="auto"/>
              <w:bottom w:val="single" w:sz="4" w:space="0" w:color="auto"/>
              <w:right w:val="single" w:sz="4" w:space="0" w:color="auto"/>
            </w:tcBorders>
          </w:tcPr>
          <w:p w14:paraId="6BD247F2" w14:textId="77777777" w:rsidR="00BE1421" w:rsidDel="009B5BD2" w:rsidRDefault="00BE1421" w:rsidP="009B5BD2">
            <w:pPr>
              <w:pStyle w:val="EMEANormal"/>
              <w:rPr>
                <w:color w:val="000000"/>
              </w:rPr>
            </w:pPr>
            <w:r>
              <w:rPr>
                <w:color w:val="000000"/>
              </w:rPr>
              <w:t>It is not recommended to co</w:t>
            </w:r>
            <w:r>
              <w:rPr>
                <w:color w:val="000000"/>
              </w:rPr>
              <w:noBreakHyphen/>
              <w:t>administer Kaletra and sofosbuvir/velpatasvir/ voxilaprevir.</w:t>
            </w:r>
          </w:p>
        </w:tc>
      </w:tr>
      <w:tr w:rsidR="00BE1421" w:rsidRPr="00342F7C" w14:paraId="47F2C09C" w14:textId="77777777" w:rsidTr="008F531F">
        <w:tc>
          <w:tcPr>
            <w:tcW w:w="9214" w:type="dxa"/>
            <w:gridSpan w:val="12"/>
            <w:tcBorders>
              <w:top w:val="single" w:sz="4" w:space="0" w:color="auto"/>
              <w:left w:val="single" w:sz="4" w:space="0" w:color="auto"/>
              <w:bottom w:val="single" w:sz="4" w:space="0" w:color="auto"/>
              <w:right w:val="single" w:sz="4" w:space="0" w:color="auto"/>
            </w:tcBorders>
          </w:tcPr>
          <w:p w14:paraId="26B9FB84" w14:textId="77777777" w:rsidR="00BE1421" w:rsidRPr="00342F7C" w:rsidRDefault="00BE1421" w:rsidP="005766B5">
            <w:pPr>
              <w:pStyle w:val="EMEANormal"/>
              <w:rPr>
                <w:i/>
                <w:lang w:val="en-GB"/>
              </w:rPr>
            </w:pPr>
            <w:r>
              <w:rPr>
                <w:i/>
                <w:lang w:val="en-GB"/>
              </w:rPr>
              <w:t>HCV protease inhibitors</w:t>
            </w:r>
          </w:p>
        </w:tc>
      </w:tr>
      <w:tr w:rsidR="00BE1421" w:rsidRPr="00342F7C" w14:paraId="07A94B8C" w14:textId="77777777" w:rsidTr="008F531F">
        <w:tc>
          <w:tcPr>
            <w:tcW w:w="2647" w:type="dxa"/>
            <w:tcBorders>
              <w:top w:val="single" w:sz="4" w:space="0" w:color="auto"/>
              <w:left w:val="single" w:sz="4" w:space="0" w:color="auto"/>
              <w:bottom w:val="single" w:sz="4" w:space="0" w:color="auto"/>
              <w:right w:val="single" w:sz="4" w:space="0" w:color="auto"/>
            </w:tcBorders>
          </w:tcPr>
          <w:p w14:paraId="46D3E95A" w14:textId="77777777" w:rsidR="00BE1421" w:rsidRPr="003B5E4E" w:rsidRDefault="00BE1421" w:rsidP="00F72D01">
            <w:pPr>
              <w:rPr>
                <w:sz w:val="22"/>
                <w:szCs w:val="22"/>
              </w:rPr>
            </w:pPr>
            <w:r w:rsidRPr="003B5E4E">
              <w:rPr>
                <w:sz w:val="22"/>
                <w:szCs w:val="22"/>
                <w:lang w:val="fr-FR" w:eastAsia="fr-FR"/>
              </w:rPr>
              <w:t>Simeprevir 200</w:t>
            </w:r>
            <w:r>
              <w:rPr>
                <w:sz w:val="22"/>
                <w:szCs w:val="22"/>
                <w:lang w:val="fr-FR" w:eastAsia="fr-FR"/>
              </w:rPr>
              <w:t> </w:t>
            </w:r>
            <w:r w:rsidRPr="003B5E4E">
              <w:rPr>
                <w:sz w:val="22"/>
                <w:szCs w:val="22"/>
                <w:lang w:val="fr-FR" w:eastAsia="fr-FR"/>
              </w:rPr>
              <w:t>mg daily (</w:t>
            </w:r>
            <w:r w:rsidRPr="003B5E4E">
              <w:rPr>
                <w:sz w:val="22"/>
                <w:szCs w:val="22"/>
              </w:rPr>
              <w:t>ri</w:t>
            </w:r>
            <w:r w:rsidRPr="003B5E4E">
              <w:rPr>
                <w:spacing w:val="-1"/>
                <w:sz w:val="22"/>
                <w:szCs w:val="22"/>
              </w:rPr>
              <w:t>t</w:t>
            </w:r>
            <w:r w:rsidRPr="003B5E4E">
              <w:rPr>
                <w:sz w:val="22"/>
                <w:szCs w:val="22"/>
              </w:rPr>
              <w:t xml:space="preserve">onavir </w:t>
            </w:r>
            <w:r w:rsidRPr="003B5E4E">
              <w:rPr>
                <w:spacing w:val="-1"/>
                <w:sz w:val="22"/>
                <w:szCs w:val="22"/>
              </w:rPr>
              <w:t>1</w:t>
            </w:r>
            <w:r w:rsidRPr="003B5E4E">
              <w:rPr>
                <w:sz w:val="22"/>
                <w:szCs w:val="22"/>
              </w:rPr>
              <w:t>00</w:t>
            </w:r>
            <w:r>
              <w:rPr>
                <w:spacing w:val="-7"/>
                <w:sz w:val="22"/>
                <w:szCs w:val="22"/>
              </w:rPr>
              <w:t> </w:t>
            </w:r>
            <w:r w:rsidRPr="003B5E4E">
              <w:rPr>
                <w:spacing w:val="-2"/>
                <w:sz w:val="22"/>
                <w:szCs w:val="22"/>
              </w:rPr>
              <w:t>m</w:t>
            </w:r>
            <w:r w:rsidRPr="003B5E4E">
              <w:rPr>
                <w:sz w:val="22"/>
                <w:szCs w:val="22"/>
              </w:rPr>
              <w:t>g</w:t>
            </w:r>
            <w:r w:rsidRPr="003B5E4E">
              <w:rPr>
                <w:spacing w:val="-2"/>
                <w:sz w:val="22"/>
                <w:szCs w:val="22"/>
              </w:rPr>
              <w:t xml:space="preserve"> </w:t>
            </w:r>
            <w:r w:rsidRPr="003B5E4E">
              <w:rPr>
                <w:sz w:val="22"/>
                <w:szCs w:val="22"/>
              </w:rPr>
              <w:t>BID)</w:t>
            </w:r>
          </w:p>
          <w:p w14:paraId="4AAC02E1" w14:textId="77777777" w:rsidR="00BE1421" w:rsidRPr="003B5E4E" w:rsidRDefault="00BE1421" w:rsidP="00F72D01">
            <w:pPr>
              <w:pStyle w:val="NormalWeb"/>
              <w:spacing w:before="0" w:beforeAutospacing="0" w:after="0" w:afterAutospacing="0"/>
              <w:rPr>
                <w:rFonts w:ascii="Times New Roman" w:hAnsi="Times New Roman" w:cs="Times New Roman" w:hint="default"/>
                <w:sz w:val="22"/>
                <w:szCs w:val="22"/>
                <w:lang w:val="en-GB"/>
              </w:rPr>
            </w:pPr>
          </w:p>
        </w:tc>
        <w:tc>
          <w:tcPr>
            <w:tcW w:w="3240" w:type="dxa"/>
            <w:gridSpan w:val="5"/>
            <w:tcBorders>
              <w:top w:val="single" w:sz="4" w:space="0" w:color="auto"/>
              <w:left w:val="single" w:sz="4" w:space="0" w:color="auto"/>
              <w:bottom w:val="single" w:sz="4" w:space="0" w:color="auto"/>
              <w:right w:val="single" w:sz="4" w:space="0" w:color="auto"/>
            </w:tcBorders>
          </w:tcPr>
          <w:p w14:paraId="43F73BC4" w14:textId="77777777" w:rsidR="00BE1421" w:rsidRPr="003B5E4E" w:rsidRDefault="00BE1421" w:rsidP="00F72D01">
            <w:pPr>
              <w:pStyle w:val="EMEANormal"/>
              <w:rPr>
                <w:szCs w:val="22"/>
                <w:lang w:eastAsia="en-GB"/>
              </w:rPr>
            </w:pPr>
            <w:r w:rsidRPr="003B5E4E">
              <w:rPr>
                <w:szCs w:val="22"/>
                <w:lang w:eastAsia="en-GB"/>
              </w:rPr>
              <w:t>Simeprevir:</w:t>
            </w:r>
          </w:p>
          <w:p w14:paraId="7EBCB9B9" w14:textId="77777777" w:rsidR="00BE1421" w:rsidRPr="00B7410C" w:rsidRDefault="00BE1421" w:rsidP="00F72D01">
            <w:pPr>
              <w:pStyle w:val="EMEANormal"/>
              <w:rPr>
                <w:szCs w:val="22"/>
                <w:lang w:eastAsia="en-GB"/>
              </w:rPr>
            </w:pPr>
            <w:r w:rsidRPr="003B5E4E">
              <w:rPr>
                <w:szCs w:val="22"/>
                <w:lang w:eastAsia="en-GB"/>
              </w:rPr>
              <w:t>AUC</w:t>
            </w:r>
            <w:r w:rsidRPr="009670E5">
              <w:rPr>
                <w:szCs w:val="22"/>
                <w:lang w:val="en-GB"/>
              </w:rPr>
              <w:t>:</w:t>
            </w:r>
            <w:r w:rsidRPr="009670E5">
              <w:rPr>
                <w:szCs w:val="22"/>
                <w:lang w:eastAsia="en-GB"/>
              </w:rPr>
              <w:t xml:space="preserve"> </w:t>
            </w:r>
            <w:r w:rsidRPr="009670E5">
              <w:rPr>
                <w:szCs w:val="22"/>
                <w:lang w:val="fr-FR" w:eastAsia="fr-FR"/>
              </w:rPr>
              <w:t>↑</w:t>
            </w:r>
            <w:r w:rsidRPr="009670E5">
              <w:rPr>
                <w:spacing w:val="-4"/>
                <w:szCs w:val="22"/>
                <w:lang w:val="fr-FR" w:eastAsia="fr-FR"/>
              </w:rPr>
              <w:t xml:space="preserve"> </w:t>
            </w:r>
            <w:r w:rsidRPr="00B7410C">
              <w:rPr>
                <w:spacing w:val="1"/>
                <w:szCs w:val="22"/>
                <w:lang w:val="fr-FR" w:eastAsia="fr-FR"/>
              </w:rPr>
              <w:t>7.2-fold</w:t>
            </w:r>
          </w:p>
          <w:p w14:paraId="292DE126" w14:textId="77777777" w:rsidR="00BE1421" w:rsidRPr="00B7410C" w:rsidRDefault="00BE1421" w:rsidP="00F72D01">
            <w:pPr>
              <w:pStyle w:val="EMEANormal"/>
              <w:rPr>
                <w:szCs w:val="22"/>
                <w:lang w:eastAsia="en-GB"/>
              </w:rPr>
            </w:pPr>
            <w:r w:rsidRPr="00B7410C">
              <w:rPr>
                <w:szCs w:val="22"/>
                <w:lang w:eastAsia="en-GB"/>
              </w:rPr>
              <w:t>C</w:t>
            </w:r>
            <w:r w:rsidRPr="00B7410C">
              <w:rPr>
                <w:szCs w:val="22"/>
                <w:vertAlign w:val="subscript"/>
                <w:lang w:eastAsia="en-GB"/>
              </w:rPr>
              <w:t>max</w:t>
            </w:r>
            <w:r w:rsidRPr="00B7410C">
              <w:rPr>
                <w:szCs w:val="22"/>
                <w:lang w:val="en-GB"/>
              </w:rPr>
              <w:t>:</w:t>
            </w:r>
            <w:r w:rsidRPr="00B7410C">
              <w:rPr>
                <w:szCs w:val="22"/>
                <w:lang w:eastAsia="en-GB"/>
              </w:rPr>
              <w:t xml:space="preserve"> </w:t>
            </w:r>
            <w:r w:rsidRPr="00B7410C">
              <w:rPr>
                <w:szCs w:val="22"/>
                <w:lang w:val="fr-FR" w:eastAsia="fr-FR"/>
              </w:rPr>
              <w:t>↑ 4.7-fold</w:t>
            </w:r>
          </w:p>
          <w:p w14:paraId="60233ADB" w14:textId="77777777" w:rsidR="00BE1421" w:rsidRPr="00B7410C" w:rsidRDefault="00BE1421" w:rsidP="00F72D01">
            <w:pPr>
              <w:pStyle w:val="EMEANormal"/>
              <w:rPr>
                <w:szCs w:val="22"/>
                <w:lang w:val="en-GB"/>
              </w:rPr>
            </w:pPr>
            <w:r w:rsidRPr="00B7410C">
              <w:rPr>
                <w:szCs w:val="22"/>
                <w:lang w:eastAsia="en-GB"/>
              </w:rPr>
              <w:t>C</w:t>
            </w:r>
            <w:r w:rsidRPr="00B7410C">
              <w:rPr>
                <w:szCs w:val="22"/>
                <w:vertAlign w:val="subscript"/>
                <w:lang w:eastAsia="en-GB"/>
              </w:rPr>
              <w:t>min</w:t>
            </w:r>
            <w:r w:rsidRPr="00B7410C">
              <w:rPr>
                <w:szCs w:val="22"/>
                <w:lang w:val="en-GB"/>
              </w:rPr>
              <w:t>:</w:t>
            </w:r>
            <w:r w:rsidRPr="00B7410C">
              <w:rPr>
                <w:szCs w:val="22"/>
                <w:lang w:eastAsia="en-GB"/>
              </w:rPr>
              <w:t xml:space="preserve"> </w:t>
            </w:r>
            <w:r w:rsidRPr="00B7410C">
              <w:rPr>
                <w:szCs w:val="22"/>
                <w:lang w:val="fr-FR" w:eastAsia="fr-FR"/>
              </w:rPr>
              <w:t>↑ 14.4-fold</w:t>
            </w:r>
          </w:p>
        </w:tc>
        <w:tc>
          <w:tcPr>
            <w:tcW w:w="3327" w:type="dxa"/>
            <w:gridSpan w:val="6"/>
            <w:tcBorders>
              <w:top w:val="single" w:sz="4" w:space="0" w:color="auto"/>
              <w:left w:val="single" w:sz="4" w:space="0" w:color="auto"/>
              <w:bottom w:val="single" w:sz="4" w:space="0" w:color="auto"/>
              <w:right w:val="single" w:sz="4" w:space="0" w:color="auto"/>
            </w:tcBorders>
          </w:tcPr>
          <w:p w14:paraId="4295CB69" w14:textId="77777777" w:rsidR="00BE1421" w:rsidRPr="000F6FCC" w:rsidRDefault="00BE1421" w:rsidP="000F6FCC">
            <w:pPr>
              <w:pStyle w:val="NormalWeb"/>
              <w:rPr>
                <w:rFonts w:ascii="Times New Roman" w:hAnsi="Times New Roman" w:cs="Times New Roman" w:hint="default"/>
                <w:sz w:val="22"/>
                <w:szCs w:val="22"/>
                <w:lang w:val="en-GB"/>
              </w:rPr>
            </w:pPr>
            <w:r w:rsidRPr="000F6FCC">
              <w:rPr>
                <w:rFonts w:ascii="Times New Roman" w:hAnsi="Times New Roman" w:cs="Times New Roman" w:hint="default"/>
                <w:color w:val="000000"/>
                <w:sz w:val="22"/>
                <w:szCs w:val="22"/>
              </w:rPr>
              <w:t>It is not recommended to co</w:t>
            </w:r>
            <w:r w:rsidRPr="000F6FCC">
              <w:rPr>
                <w:rFonts w:ascii="Times New Roman" w:hAnsi="Times New Roman" w:cs="Times New Roman" w:hint="default"/>
                <w:color w:val="000000"/>
                <w:sz w:val="22"/>
                <w:szCs w:val="22"/>
              </w:rPr>
              <w:noBreakHyphen/>
              <w:t xml:space="preserve">administer Kaletra and </w:t>
            </w:r>
            <w:r>
              <w:rPr>
                <w:rFonts w:ascii="Times New Roman" w:hAnsi="Times New Roman" w:cs="Times New Roman" w:hint="default"/>
                <w:color w:val="000000"/>
                <w:sz w:val="22"/>
                <w:szCs w:val="22"/>
              </w:rPr>
              <w:t>simeprevir</w:t>
            </w:r>
            <w:r w:rsidRPr="000F6FCC">
              <w:rPr>
                <w:rFonts w:ascii="Times New Roman" w:hAnsi="Times New Roman" w:cs="Times New Roman" w:hint="default"/>
                <w:color w:val="000000"/>
                <w:sz w:val="22"/>
                <w:szCs w:val="22"/>
              </w:rPr>
              <w:t>.</w:t>
            </w:r>
          </w:p>
        </w:tc>
      </w:tr>
      <w:tr w:rsidR="00BE1421" w:rsidRPr="00342F7C" w14:paraId="6AE23482" w14:textId="77777777" w:rsidTr="008F531F">
        <w:tc>
          <w:tcPr>
            <w:tcW w:w="9214" w:type="dxa"/>
            <w:gridSpan w:val="12"/>
            <w:tcBorders>
              <w:top w:val="single" w:sz="4" w:space="0" w:color="auto"/>
              <w:left w:val="single" w:sz="4" w:space="0" w:color="auto"/>
              <w:bottom w:val="single" w:sz="4" w:space="0" w:color="auto"/>
              <w:right w:val="single" w:sz="4" w:space="0" w:color="auto"/>
            </w:tcBorders>
          </w:tcPr>
          <w:p w14:paraId="04C3E985" w14:textId="77777777" w:rsidR="00BE1421" w:rsidRPr="00342F7C" w:rsidRDefault="00BE1421" w:rsidP="003F4A82">
            <w:pPr>
              <w:pStyle w:val="EMEANormal"/>
              <w:keepNext/>
              <w:rPr>
                <w:i/>
                <w:lang w:val="en-GB"/>
              </w:rPr>
            </w:pPr>
            <w:r w:rsidRPr="00342F7C">
              <w:rPr>
                <w:i/>
                <w:lang w:val="en-GB"/>
              </w:rPr>
              <w:t>Herbal products</w:t>
            </w:r>
          </w:p>
        </w:tc>
      </w:tr>
      <w:tr w:rsidR="00BE1421" w:rsidRPr="00342F7C" w14:paraId="6B1CB150" w14:textId="77777777" w:rsidTr="008F531F">
        <w:tc>
          <w:tcPr>
            <w:tcW w:w="2647" w:type="dxa"/>
            <w:tcBorders>
              <w:top w:val="single" w:sz="4" w:space="0" w:color="auto"/>
              <w:left w:val="single" w:sz="4" w:space="0" w:color="auto"/>
              <w:bottom w:val="single" w:sz="4" w:space="0" w:color="auto"/>
              <w:right w:val="single" w:sz="4" w:space="0" w:color="auto"/>
            </w:tcBorders>
          </w:tcPr>
          <w:p w14:paraId="03054AFA" w14:textId="77777777" w:rsidR="00BE1421" w:rsidRPr="00342F7C" w:rsidRDefault="00BE1421" w:rsidP="003F4A82">
            <w:pPr>
              <w:pStyle w:val="EMEANormal"/>
              <w:keepNext/>
              <w:rPr>
                <w:i/>
                <w:lang w:val="en-GB"/>
              </w:rPr>
            </w:pPr>
            <w:smartTag w:uri="urn:schemas-microsoft-com:office:smarttags" w:element="City">
              <w:smartTag w:uri="urn:schemas-microsoft-com:office:smarttags" w:element="place">
                <w:r w:rsidRPr="00342F7C">
                  <w:rPr>
                    <w:bCs/>
                    <w:iCs/>
                    <w:lang w:val="en-GB"/>
                  </w:rPr>
                  <w:t>St John’s</w:t>
                </w:r>
              </w:smartTag>
            </w:smartTag>
            <w:r w:rsidRPr="00342F7C">
              <w:rPr>
                <w:bCs/>
                <w:iCs/>
                <w:lang w:val="en-GB"/>
              </w:rPr>
              <w:t xml:space="preserve"> wort</w:t>
            </w:r>
            <w:r w:rsidRPr="00342F7C">
              <w:rPr>
                <w:bCs/>
                <w:i/>
                <w:lang w:val="en-GB"/>
              </w:rPr>
              <w:t xml:space="preserve"> </w:t>
            </w:r>
            <w:r w:rsidRPr="00342F7C">
              <w:rPr>
                <w:lang w:val="en-GB"/>
              </w:rPr>
              <w:t>(</w:t>
            </w:r>
            <w:r w:rsidRPr="00342F7C">
              <w:rPr>
                <w:i/>
                <w:lang w:val="en-GB"/>
              </w:rPr>
              <w:t>Hypericum perforatum)</w:t>
            </w:r>
          </w:p>
        </w:tc>
        <w:tc>
          <w:tcPr>
            <w:tcW w:w="3240" w:type="dxa"/>
            <w:gridSpan w:val="5"/>
            <w:tcBorders>
              <w:top w:val="single" w:sz="4" w:space="0" w:color="auto"/>
              <w:left w:val="single" w:sz="4" w:space="0" w:color="auto"/>
              <w:bottom w:val="single" w:sz="4" w:space="0" w:color="auto"/>
              <w:right w:val="single" w:sz="4" w:space="0" w:color="auto"/>
            </w:tcBorders>
          </w:tcPr>
          <w:p w14:paraId="7D1A1416" w14:textId="77777777" w:rsidR="00BE1421" w:rsidRPr="00342F7C" w:rsidRDefault="00BE1421" w:rsidP="003F4A82">
            <w:pPr>
              <w:pStyle w:val="EMEANormal"/>
              <w:keepNext/>
              <w:rPr>
                <w:lang w:val="en-GB"/>
              </w:rPr>
            </w:pPr>
            <w:r w:rsidRPr="00342F7C">
              <w:rPr>
                <w:lang w:val="en-GB"/>
              </w:rPr>
              <w:t>Lopinavir:</w:t>
            </w:r>
          </w:p>
          <w:p w14:paraId="6C8183D5" w14:textId="77777777" w:rsidR="00BE1421" w:rsidRPr="00342F7C" w:rsidRDefault="00BE1421" w:rsidP="003F4A82">
            <w:pPr>
              <w:pStyle w:val="EMEANormal"/>
              <w:keepNext/>
              <w:rPr>
                <w:lang w:val="en-GB"/>
              </w:rPr>
            </w:pPr>
            <w:r w:rsidRPr="00342F7C">
              <w:rPr>
                <w:lang w:val="en-GB"/>
              </w:rPr>
              <w:t xml:space="preserve">Concentrations may be reduced due to induction of CYP3A by the herbal preparation </w:t>
            </w:r>
            <w:smartTag w:uri="urn:schemas-microsoft-com:office:smarttags" w:element="City">
              <w:smartTag w:uri="urn:schemas-microsoft-com:office:smarttags" w:element="place">
                <w:r w:rsidRPr="00342F7C">
                  <w:rPr>
                    <w:lang w:val="en-GB"/>
                  </w:rPr>
                  <w:t>St John’s</w:t>
                </w:r>
              </w:smartTag>
            </w:smartTag>
            <w:r w:rsidRPr="00342F7C">
              <w:rPr>
                <w:lang w:val="en-GB"/>
              </w:rPr>
              <w:t xml:space="preserve"> wort.  </w:t>
            </w:r>
          </w:p>
          <w:p w14:paraId="3FAB6C41" w14:textId="77777777" w:rsidR="00BE1421" w:rsidRPr="00342F7C" w:rsidRDefault="00BE1421" w:rsidP="003F4A82">
            <w:pPr>
              <w:pStyle w:val="EMEANormal"/>
              <w:keepNext/>
              <w:rPr>
                <w:lang w:val="en-GB"/>
              </w:rPr>
            </w:pPr>
          </w:p>
        </w:tc>
        <w:tc>
          <w:tcPr>
            <w:tcW w:w="3327" w:type="dxa"/>
            <w:gridSpan w:val="6"/>
            <w:tcBorders>
              <w:top w:val="single" w:sz="4" w:space="0" w:color="auto"/>
              <w:left w:val="single" w:sz="4" w:space="0" w:color="auto"/>
              <w:bottom w:val="single" w:sz="4" w:space="0" w:color="auto"/>
              <w:right w:val="single" w:sz="4" w:space="0" w:color="auto"/>
            </w:tcBorders>
          </w:tcPr>
          <w:p w14:paraId="2E64C66B" w14:textId="77777777" w:rsidR="00BE1421" w:rsidRPr="00342F7C" w:rsidRDefault="00BE1421" w:rsidP="003F4A82">
            <w:pPr>
              <w:pStyle w:val="EMEANormal"/>
              <w:keepNext/>
              <w:rPr>
                <w:lang w:val="en-GB"/>
              </w:rPr>
            </w:pPr>
            <w:r w:rsidRPr="00342F7C">
              <w:rPr>
                <w:lang w:val="en-GB"/>
              </w:rPr>
              <w:t xml:space="preserve">Herbal preparations containing </w:t>
            </w:r>
            <w:smartTag w:uri="urn:schemas-microsoft-com:office:smarttags" w:element="City">
              <w:smartTag w:uri="urn:schemas-microsoft-com:office:smarttags" w:element="place">
                <w:r w:rsidRPr="00342F7C">
                  <w:rPr>
                    <w:lang w:val="en-GB"/>
                  </w:rPr>
                  <w:t>St John’s</w:t>
                </w:r>
              </w:smartTag>
            </w:smartTag>
            <w:r w:rsidRPr="00342F7C">
              <w:rPr>
                <w:lang w:val="en-GB"/>
              </w:rPr>
              <w:t xml:space="preserve"> wort must not be combined with lopinavir and ritonavir.  If a patient is already taking </w:t>
            </w:r>
            <w:smartTag w:uri="urn:schemas-microsoft-com:office:smarttags" w:element="City">
              <w:r w:rsidRPr="00342F7C">
                <w:rPr>
                  <w:lang w:val="en-GB"/>
                </w:rPr>
                <w:t>St John’s</w:t>
              </w:r>
            </w:smartTag>
            <w:r w:rsidRPr="00342F7C">
              <w:rPr>
                <w:lang w:val="en-GB"/>
              </w:rPr>
              <w:t xml:space="preserve"> wort, stop </w:t>
            </w:r>
            <w:smartTag w:uri="urn:schemas-microsoft-com:office:smarttags" w:element="City">
              <w:smartTag w:uri="urn:schemas-microsoft-com:office:smarttags" w:element="place">
                <w:r w:rsidRPr="00342F7C">
                  <w:rPr>
                    <w:lang w:val="en-GB"/>
                  </w:rPr>
                  <w:t>St John’s</w:t>
                </w:r>
              </w:smartTag>
            </w:smartTag>
            <w:r w:rsidRPr="00342F7C">
              <w:rPr>
                <w:lang w:val="en-GB"/>
              </w:rPr>
              <w:t xml:space="preserve"> wort and if possible check viral levels.  Lopinavir and ritonavir levels may increase on stopping </w:t>
            </w:r>
            <w:smartTag w:uri="urn:schemas-microsoft-com:office:smarttags" w:element="City">
              <w:smartTag w:uri="urn:schemas-microsoft-com:office:smarttags" w:element="place">
                <w:r w:rsidRPr="00342F7C">
                  <w:rPr>
                    <w:lang w:val="en-GB"/>
                  </w:rPr>
                  <w:t>St John’s</w:t>
                </w:r>
              </w:smartTag>
            </w:smartTag>
            <w:r w:rsidRPr="00342F7C">
              <w:rPr>
                <w:lang w:val="en-GB"/>
              </w:rPr>
              <w:t xml:space="preserve"> wort.  The dose of Kaletra may need adjusting.  The inducing effect may persist for at least 2 weeks after cessation of treatment with </w:t>
            </w:r>
            <w:smartTag w:uri="urn:schemas-microsoft-com:office:smarttags" w:element="City">
              <w:smartTag w:uri="urn:schemas-microsoft-com:office:smarttags" w:element="place">
                <w:r w:rsidRPr="00342F7C">
                  <w:rPr>
                    <w:lang w:val="en-GB"/>
                  </w:rPr>
                  <w:t>St John’s</w:t>
                </w:r>
              </w:smartTag>
            </w:smartTag>
            <w:r w:rsidRPr="00342F7C">
              <w:rPr>
                <w:lang w:val="en-GB"/>
              </w:rPr>
              <w:t xml:space="preserve"> wort (see section 4.3).  Therefore, Kaletra can be started safely 2 weeks after cessation of </w:t>
            </w:r>
            <w:smartTag w:uri="urn:schemas-microsoft-com:office:smarttags" w:element="City">
              <w:smartTag w:uri="urn:schemas-microsoft-com:office:smarttags" w:element="place">
                <w:r w:rsidRPr="00342F7C">
                  <w:rPr>
                    <w:lang w:val="en-GB"/>
                  </w:rPr>
                  <w:t>St John's</w:t>
                </w:r>
              </w:smartTag>
            </w:smartTag>
            <w:r w:rsidRPr="00342F7C">
              <w:rPr>
                <w:lang w:val="en-GB"/>
              </w:rPr>
              <w:t xml:space="preserve"> wort. </w:t>
            </w:r>
            <w:r w:rsidRPr="00342F7C">
              <w:rPr>
                <w:i/>
                <w:lang w:val="en-GB"/>
              </w:rPr>
              <w:t xml:space="preserve"> </w:t>
            </w:r>
          </w:p>
        </w:tc>
      </w:tr>
      <w:tr w:rsidR="00BE1421" w:rsidRPr="00342F7C" w14:paraId="7E1579A8" w14:textId="77777777" w:rsidTr="008F531F">
        <w:tc>
          <w:tcPr>
            <w:tcW w:w="9214" w:type="dxa"/>
            <w:gridSpan w:val="12"/>
            <w:tcBorders>
              <w:top w:val="single" w:sz="4" w:space="0" w:color="auto"/>
              <w:left w:val="single" w:sz="4" w:space="0" w:color="auto"/>
              <w:bottom w:val="single" w:sz="4" w:space="0" w:color="auto"/>
              <w:right w:val="single" w:sz="4" w:space="0" w:color="auto"/>
            </w:tcBorders>
          </w:tcPr>
          <w:p w14:paraId="46CB3DFA" w14:textId="77777777" w:rsidR="00BE1421" w:rsidRPr="00342F7C" w:rsidRDefault="00BE1421" w:rsidP="008831F2">
            <w:pPr>
              <w:pStyle w:val="EMEANormal"/>
              <w:rPr>
                <w:i/>
                <w:iCs/>
                <w:lang w:val="en-GB"/>
              </w:rPr>
            </w:pPr>
            <w:r w:rsidRPr="00342F7C">
              <w:rPr>
                <w:i/>
                <w:iCs/>
                <w:lang w:val="en-GB"/>
              </w:rPr>
              <w:t>Immunosuppressants</w:t>
            </w:r>
          </w:p>
        </w:tc>
      </w:tr>
      <w:tr w:rsidR="00BE1421" w:rsidRPr="00342F7C" w14:paraId="7D0C52DD" w14:textId="77777777" w:rsidTr="008F531F">
        <w:tc>
          <w:tcPr>
            <w:tcW w:w="2647" w:type="dxa"/>
            <w:tcBorders>
              <w:top w:val="single" w:sz="4" w:space="0" w:color="auto"/>
              <w:left w:val="single" w:sz="4" w:space="0" w:color="auto"/>
              <w:bottom w:val="single" w:sz="4" w:space="0" w:color="auto"/>
              <w:right w:val="single" w:sz="4" w:space="0" w:color="auto"/>
            </w:tcBorders>
          </w:tcPr>
          <w:p w14:paraId="18E91A12" w14:textId="77777777" w:rsidR="00BE1421" w:rsidRPr="00342F7C" w:rsidRDefault="00BE1421" w:rsidP="008831F2">
            <w:pPr>
              <w:pStyle w:val="EMEANormal"/>
              <w:rPr>
                <w:lang w:val="en-GB"/>
              </w:rPr>
            </w:pPr>
            <w:r w:rsidRPr="00342F7C">
              <w:rPr>
                <w:bCs/>
                <w:iCs/>
                <w:lang w:val="en-GB"/>
              </w:rPr>
              <w:t>Cyclosporin, Sirolimus (rapamycin), and Tacrolimus</w:t>
            </w:r>
          </w:p>
        </w:tc>
        <w:tc>
          <w:tcPr>
            <w:tcW w:w="3240" w:type="dxa"/>
            <w:gridSpan w:val="5"/>
            <w:tcBorders>
              <w:top w:val="single" w:sz="4" w:space="0" w:color="auto"/>
              <w:left w:val="single" w:sz="4" w:space="0" w:color="auto"/>
              <w:bottom w:val="single" w:sz="4" w:space="0" w:color="auto"/>
              <w:right w:val="single" w:sz="4" w:space="0" w:color="auto"/>
            </w:tcBorders>
          </w:tcPr>
          <w:p w14:paraId="4199D7B7" w14:textId="77777777" w:rsidR="00BE1421" w:rsidRPr="00342F7C" w:rsidRDefault="00BE1421" w:rsidP="008831F2">
            <w:pPr>
              <w:pStyle w:val="EMEANormal"/>
              <w:rPr>
                <w:lang w:val="en-GB"/>
              </w:rPr>
            </w:pPr>
            <w:r w:rsidRPr="00342F7C">
              <w:rPr>
                <w:bCs/>
                <w:iCs/>
                <w:lang w:val="en-GB"/>
              </w:rPr>
              <w:t>Cyclosporin, Sirolimus (rapamycin), Tacrolimus:</w:t>
            </w:r>
            <w:r w:rsidRPr="00342F7C">
              <w:rPr>
                <w:lang w:val="en-GB"/>
              </w:rPr>
              <w:t xml:space="preserve"> </w:t>
            </w:r>
          </w:p>
          <w:p w14:paraId="45F563A4" w14:textId="77777777" w:rsidR="00BE1421" w:rsidRPr="00342F7C" w:rsidRDefault="00BE1421" w:rsidP="008831F2">
            <w:pPr>
              <w:pStyle w:val="EMEANormal"/>
              <w:rPr>
                <w:lang w:val="en-GB"/>
              </w:rPr>
            </w:pPr>
            <w:r w:rsidRPr="00342F7C">
              <w:rPr>
                <w:lang w:val="en-GB"/>
              </w:rPr>
              <w:t xml:space="preserve">Concentrations may be increased due to CYP3A inhibition by </w:t>
            </w:r>
            <w:r>
              <w:rPr>
                <w:lang w:val="en-GB"/>
              </w:rPr>
              <w:t>lopinavir/ritonavir</w:t>
            </w:r>
            <w:r w:rsidRPr="00342F7C">
              <w:rPr>
                <w:lang w:val="en-GB"/>
              </w:rPr>
              <w:t>.</w:t>
            </w:r>
          </w:p>
        </w:tc>
        <w:tc>
          <w:tcPr>
            <w:tcW w:w="3327" w:type="dxa"/>
            <w:gridSpan w:val="6"/>
            <w:tcBorders>
              <w:top w:val="single" w:sz="4" w:space="0" w:color="auto"/>
              <w:left w:val="single" w:sz="4" w:space="0" w:color="auto"/>
              <w:bottom w:val="single" w:sz="4" w:space="0" w:color="auto"/>
              <w:right w:val="single" w:sz="4" w:space="0" w:color="auto"/>
            </w:tcBorders>
          </w:tcPr>
          <w:p w14:paraId="71FC7473" w14:textId="77777777" w:rsidR="00BE1421" w:rsidRPr="00342F7C" w:rsidRDefault="00BE1421" w:rsidP="008831F2">
            <w:pPr>
              <w:pStyle w:val="EMEANormal"/>
              <w:rPr>
                <w:lang w:val="en-GB"/>
              </w:rPr>
            </w:pPr>
            <w:r w:rsidRPr="00342F7C">
              <w:rPr>
                <w:lang w:val="en-GB"/>
              </w:rPr>
              <w:t>More frequent therapeutic concentration monitoring is recommended until plasma levels of these products have been stabilised.</w:t>
            </w:r>
          </w:p>
        </w:tc>
      </w:tr>
      <w:tr w:rsidR="00BE1421" w:rsidRPr="00342F7C" w14:paraId="488AD528" w14:textId="77777777" w:rsidTr="008F531F">
        <w:tc>
          <w:tcPr>
            <w:tcW w:w="9214" w:type="dxa"/>
            <w:gridSpan w:val="12"/>
            <w:tcBorders>
              <w:top w:val="single" w:sz="4" w:space="0" w:color="auto"/>
              <w:left w:val="single" w:sz="4" w:space="0" w:color="auto"/>
              <w:bottom w:val="single" w:sz="4" w:space="0" w:color="auto"/>
              <w:right w:val="single" w:sz="4" w:space="0" w:color="auto"/>
            </w:tcBorders>
          </w:tcPr>
          <w:p w14:paraId="5CD3E87C" w14:textId="77777777" w:rsidR="00BE1421" w:rsidRPr="00342F7C" w:rsidRDefault="00BE1421" w:rsidP="008831F2">
            <w:pPr>
              <w:pStyle w:val="EMEANormal"/>
              <w:rPr>
                <w:i/>
                <w:lang w:val="en-GB"/>
              </w:rPr>
            </w:pPr>
            <w:r w:rsidRPr="00342F7C">
              <w:rPr>
                <w:bCs/>
                <w:i/>
                <w:lang w:val="en-GB"/>
              </w:rPr>
              <w:t>Lipid lowering agents</w:t>
            </w:r>
          </w:p>
        </w:tc>
      </w:tr>
      <w:tr w:rsidR="00BE1421" w:rsidRPr="00342F7C" w14:paraId="16C18F5D" w14:textId="77777777" w:rsidTr="008F531F">
        <w:tc>
          <w:tcPr>
            <w:tcW w:w="2647" w:type="dxa"/>
            <w:tcBorders>
              <w:top w:val="single" w:sz="4" w:space="0" w:color="auto"/>
              <w:left w:val="single" w:sz="4" w:space="0" w:color="auto"/>
              <w:bottom w:val="single" w:sz="4" w:space="0" w:color="auto"/>
              <w:right w:val="single" w:sz="4" w:space="0" w:color="auto"/>
            </w:tcBorders>
          </w:tcPr>
          <w:p w14:paraId="11203FE4" w14:textId="77777777" w:rsidR="00BE1421" w:rsidRPr="00342F7C" w:rsidRDefault="00BE1421" w:rsidP="008831F2">
            <w:pPr>
              <w:pStyle w:val="EMEANormal"/>
              <w:rPr>
                <w:lang w:val="en-GB"/>
              </w:rPr>
            </w:pPr>
            <w:r w:rsidRPr="00342F7C">
              <w:rPr>
                <w:lang w:val="en-GB"/>
              </w:rPr>
              <w:t>Lovastatin and Simvastatin</w:t>
            </w:r>
          </w:p>
        </w:tc>
        <w:tc>
          <w:tcPr>
            <w:tcW w:w="3240" w:type="dxa"/>
            <w:gridSpan w:val="5"/>
            <w:tcBorders>
              <w:top w:val="single" w:sz="4" w:space="0" w:color="auto"/>
              <w:left w:val="single" w:sz="4" w:space="0" w:color="auto"/>
              <w:bottom w:val="single" w:sz="4" w:space="0" w:color="auto"/>
              <w:right w:val="single" w:sz="4" w:space="0" w:color="auto"/>
            </w:tcBorders>
          </w:tcPr>
          <w:p w14:paraId="1D3FD7EF" w14:textId="77777777" w:rsidR="00BE1421" w:rsidRPr="00342F7C" w:rsidRDefault="00BE1421" w:rsidP="008831F2">
            <w:pPr>
              <w:pStyle w:val="EMEANormal"/>
              <w:rPr>
                <w:lang w:val="en-GB"/>
              </w:rPr>
            </w:pPr>
            <w:r w:rsidRPr="00342F7C">
              <w:rPr>
                <w:lang w:val="en-GB"/>
              </w:rPr>
              <w:t>Lovastatin, Simvastatin:</w:t>
            </w:r>
          </w:p>
          <w:p w14:paraId="354BB7F4" w14:textId="77777777" w:rsidR="00BE1421" w:rsidRPr="00342F7C" w:rsidRDefault="00BE1421" w:rsidP="008831F2">
            <w:pPr>
              <w:pStyle w:val="EMEANormal"/>
              <w:rPr>
                <w:lang w:val="en-GB"/>
              </w:rPr>
            </w:pPr>
            <w:r w:rsidRPr="00342F7C">
              <w:rPr>
                <w:lang w:val="en-GB"/>
              </w:rPr>
              <w:t xml:space="preserve">Markedly increased plasma concentrations due to CYP3A inhibition by </w:t>
            </w:r>
            <w:r>
              <w:rPr>
                <w:lang w:val="en-GB"/>
              </w:rPr>
              <w:t>lopinavir/ritonavir</w:t>
            </w:r>
            <w:r w:rsidRPr="00342F7C">
              <w:rPr>
                <w:lang w:val="en-GB"/>
              </w:rPr>
              <w:t>.</w:t>
            </w:r>
          </w:p>
        </w:tc>
        <w:tc>
          <w:tcPr>
            <w:tcW w:w="3327" w:type="dxa"/>
            <w:gridSpan w:val="6"/>
            <w:tcBorders>
              <w:top w:val="single" w:sz="4" w:space="0" w:color="auto"/>
              <w:left w:val="single" w:sz="4" w:space="0" w:color="auto"/>
              <w:bottom w:val="single" w:sz="4" w:space="0" w:color="auto"/>
              <w:right w:val="single" w:sz="4" w:space="0" w:color="auto"/>
            </w:tcBorders>
          </w:tcPr>
          <w:p w14:paraId="34DCD419" w14:textId="77777777" w:rsidR="00BE1421" w:rsidRPr="00342F7C" w:rsidRDefault="00BE1421" w:rsidP="008831F2">
            <w:pPr>
              <w:pStyle w:val="EMEANormal"/>
              <w:rPr>
                <w:lang w:val="en-GB"/>
              </w:rPr>
            </w:pPr>
            <w:r w:rsidRPr="00342F7C">
              <w:rPr>
                <w:lang w:val="en-GB"/>
              </w:rPr>
              <w:t>Since increased concentrations of HMG-CoA reductase inhibitors may cause myopathy, including rhabdomyolysis, the combination of these agents with Kaletra is contraindicated (see section 4.3).</w:t>
            </w:r>
          </w:p>
        </w:tc>
      </w:tr>
      <w:tr w:rsidR="00BE1421" w:rsidRPr="00C15E8E" w14:paraId="5CFE1FF6" w14:textId="77777777" w:rsidTr="002279CA">
        <w:tc>
          <w:tcPr>
            <w:tcW w:w="9214" w:type="dxa"/>
            <w:gridSpan w:val="12"/>
            <w:tcBorders>
              <w:top w:val="single" w:sz="4" w:space="0" w:color="auto"/>
              <w:left w:val="single" w:sz="4" w:space="0" w:color="auto"/>
              <w:bottom w:val="single" w:sz="4" w:space="0" w:color="auto"/>
              <w:right w:val="single" w:sz="4" w:space="0" w:color="auto"/>
            </w:tcBorders>
          </w:tcPr>
          <w:p w14:paraId="1AA592D1" w14:textId="77777777" w:rsidR="00BE1421" w:rsidRPr="00113667" w:rsidRDefault="00BE1421" w:rsidP="006D2C49">
            <w:pPr>
              <w:pStyle w:val="EMEANormal1"/>
              <w:keepNext/>
              <w:rPr>
                <w:i/>
                <w:lang w:val="en-GB"/>
              </w:rPr>
            </w:pPr>
            <w:r w:rsidRPr="00113667">
              <w:rPr>
                <w:i/>
                <w:lang w:val="en-GB"/>
              </w:rPr>
              <w:t>Lipid-modifying agents</w:t>
            </w:r>
          </w:p>
        </w:tc>
      </w:tr>
      <w:tr w:rsidR="00BE1421" w:rsidRPr="00342F7C" w14:paraId="452B3F56" w14:textId="77777777" w:rsidTr="00214829">
        <w:tc>
          <w:tcPr>
            <w:tcW w:w="2647" w:type="dxa"/>
            <w:tcBorders>
              <w:top w:val="single" w:sz="4" w:space="0" w:color="auto"/>
              <w:left w:val="single" w:sz="4" w:space="0" w:color="auto"/>
              <w:bottom w:val="single" w:sz="4" w:space="0" w:color="auto"/>
              <w:right w:val="single" w:sz="4" w:space="0" w:color="auto"/>
            </w:tcBorders>
          </w:tcPr>
          <w:p w14:paraId="1C1CF783" w14:textId="77777777" w:rsidR="00BE1421" w:rsidRPr="00342F7C" w:rsidRDefault="00BE1421" w:rsidP="008831F2">
            <w:pPr>
              <w:pStyle w:val="EMEANormal"/>
              <w:rPr>
                <w:lang w:val="en-GB"/>
              </w:rPr>
            </w:pPr>
            <w:r>
              <w:rPr>
                <w:lang w:val="en-GB"/>
              </w:rPr>
              <w:t>Lomitapide</w:t>
            </w:r>
          </w:p>
        </w:tc>
        <w:tc>
          <w:tcPr>
            <w:tcW w:w="3240" w:type="dxa"/>
            <w:gridSpan w:val="5"/>
            <w:tcBorders>
              <w:top w:val="single" w:sz="4" w:space="0" w:color="auto"/>
              <w:left w:val="single" w:sz="4" w:space="0" w:color="auto"/>
              <w:bottom w:val="single" w:sz="4" w:space="0" w:color="auto"/>
              <w:right w:val="single" w:sz="4" w:space="0" w:color="auto"/>
            </w:tcBorders>
          </w:tcPr>
          <w:p w14:paraId="1E501995" w14:textId="77777777" w:rsidR="00BE1421" w:rsidRPr="00342F7C" w:rsidRDefault="00BE1421" w:rsidP="008831F2">
            <w:pPr>
              <w:pStyle w:val="EMEANormal"/>
              <w:rPr>
                <w:lang w:val="en-GB"/>
              </w:rPr>
            </w:pPr>
            <w:r>
              <w:rPr>
                <w:szCs w:val="22"/>
              </w:rPr>
              <w:t>CYP3A4 inhibitors increase the exposure of lomitapide, with strong inhibitors increasing exposure approximately 27</w:t>
            </w:r>
            <w:r>
              <w:rPr>
                <w:szCs w:val="22"/>
              </w:rPr>
              <w:noBreakHyphen/>
              <w:t>fold.  Due to CYP3A inhibition by lopinavir/ritonavir, concentrations of lomitapide are expected to increase.</w:t>
            </w:r>
          </w:p>
        </w:tc>
        <w:tc>
          <w:tcPr>
            <w:tcW w:w="3327" w:type="dxa"/>
            <w:gridSpan w:val="6"/>
            <w:tcBorders>
              <w:top w:val="single" w:sz="4" w:space="0" w:color="auto"/>
              <w:left w:val="single" w:sz="4" w:space="0" w:color="auto"/>
              <w:bottom w:val="single" w:sz="4" w:space="0" w:color="auto"/>
              <w:right w:val="single" w:sz="4" w:space="0" w:color="auto"/>
            </w:tcBorders>
          </w:tcPr>
          <w:p w14:paraId="01F23D6D" w14:textId="77777777" w:rsidR="00BE1421" w:rsidRPr="00342F7C" w:rsidRDefault="00BE1421" w:rsidP="00ED4FFA">
            <w:pPr>
              <w:pStyle w:val="EMEANormal"/>
              <w:rPr>
                <w:lang w:val="en-GB"/>
              </w:rPr>
            </w:pPr>
            <w:r>
              <w:rPr>
                <w:szCs w:val="22"/>
              </w:rPr>
              <w:t>Concomitant use of Kaletra with lomitapide is contraindicated (see prescribing information for lomitapide) (see section 4.3).</w:t>
            </w:r>
          </w:p>
        </w:tc>
      </w:tr>
      <w:tr w:rsidR="00BE1421" w:rsidRPr="00342F7C" w14:paraId="6658EE10" w14:textId="77777777" w:rsidTr="008F531F">
        <w:tc>
          <w:tcPr>
            <w:tcW w:w="2647" w:type="dxa"/>
            <w:tcBorders>
              <w:top w:val="single" w:sz="4" w:space="0" w:color="auto"/>
              <w:left w:val="single" w:sz="4" w:space="0" w:color="auto"/>
              <w:bottom w:val="single" w:sz="4" w:space="0" w:color="auto"/>
              <w:right w:val="single" w:sz="4" w:space="0" w:color="auto"/>
            </w:tcBorders>
          </w:tcPr>
          <w:p w14:paraId="27299DB0" w14:textId="77777777" w:rsidR="00BE1421" w:rsidRPr="00342F7C" w:rsidRDefault="00BE1421" w:rsidP="008831F2">
            <w:pPr>
              <w:pStyle w:val="EMEANormal"/>
              <w:rPr>
                <w:lang w:val="en-GB"/>
              </w:rPr>
            </w:pPr>
            <w:r w:rsidRPr="00342F7C">
              <w:rPr>
                <w:lang w:val="en-GB"/>
              </w:rPr>
              <w:t>Atorvastatin</w:t>
            </w:r>
          </w:p>
        </w:tc>
        <w:tc>
          <w:tcPr>
            <w:tcW w:w="3240" w:type="dxa"/>
            <w:gridSpan w:val="5"/>
            <w:tcBorders>
              <w:top w:val="single" w:sz="4" w:space="0" w:color="auto"/>
              <w:left w:val="single" w:sz="4" w:space="0" w:color="auto"/>
              <w:bottom w:val="single" w:sz="4" w:space="0" w:color="auto"/>
              <w:right w:val="single" w:sz="4" w:space="0" w:color="auto"/>
            </w:tcBorders>
          </w:tcPr>
          <w:p w14:paraId="02933272" w14:textId="77777777" w:rsidR="00BE1421" w:rsidRPr="00342F7C" w:rsidRDefault="00BE1421" w:rsidP="008831F2">
            <w:pPr>
              <w:pStyle w:val="EMEANormal"/>
              <w:rPr>
                <w:lang w:val="en-GB"/>
              </w:rPr>
            </w:pPr>
            <w:r w:rsidRPr="00342F7C">
              <w:rPr>
                <w:lang w:val="en-GB"/>
              </w:rPr>
              <w:t>Atorvastatin:</w:t>
            </w:r>
          </w:p>
          <w:p w14:paraId="6402FA28" w14:textId="77777777" w:rsidR="00BE1421" w:rsidRPr="00342F7C" w:rsidRDefault="00BE1421" w:rsidP="008831F2">
            <w:pPr>
              <w:pStyle w:val="EMEANormal"/>
              <w:rPr>
                <w:lang w:val="en-GB"/>
              </w:rPr>
            </w:pPr>
            <w:r w:rsidRPr="00342F7C">
              <w:rPr>
                <w:lang w:val="en-GB"/>
              </w:rPr>
              <w:t xml:space="preserve">AUC: ↑ 5.9-fold </w:t>
            </w:r>
          </w:p>
          <w:p w14:paraId="6143B9F5" w14:textId="77777777" w:rsidR="00BE1421" w:rsidRPr="00342F7C" w:rsidRDefault="00BE1421" w:rsidP="008831F2">
            <w:pPr>
              <w:pStyle w:val="EMEANormal"/>
              <w:rPr>
                <w:lang w:val="en-GB"/>
              </w:rPr>
            </w:pPr>
            <w:r w:rsidRPr="00342F7C">
              <w:rPr>
                <w:lang w:val="en-GB"/>
              </w:rPr>
              <w:t>C</w:t>
            </w:r>
            <w:r w:rsidRPr="00342F7C">
              <w:rPr>
                <w:vertAlign w:val="subscript"/>
                <w:lang w:val="en-GB"/>
              </w:rPr>
              <w:t>max</w:t>
            </w:r>
            <w:r w:rsidRPr="00342F7C">
              <w:rPr>
                <w:lang w:val="en-GB"/>
              </w:rPr>
              <w:t>:</w:t>
            </w:r>
            <w:r>
              <w:rPr>
                <w:lang w:val="en-GB"/>
              </w:rPr>
              <w:t xml:space="preserve"> </w:t>
            </w:r>
            <w:r w:rsidRPr="00342F7C">
              <w:rPr>
                <w:lang w:val="en-GB"/>
              </w:rPr>
              <w:t>↑ 4.7-fold</w:t>
            </w:r>
          </w:p>
          <w:p w14:paraId="7E41CC49" w14:textId="77777777" w:rsidR="00BE1421" w:rsidRPr="00342F7C" w:rsidRDefault="00BE1421" w:rsidP="008831F2">
            <w:pPr>
              <w:pStyle w:val="EMEANormal"/>
              <w:rPr>
                <w:lang w:val="en-GB"/>
              </w:rPr>
            </w:pPr>
            <w:r w:rsidRPr="00342F7C">
              <w:rPr>
                <w:lang w:val="en-GB"/>
              </w:rPr>
              <w:t xml:space="preserve">Due to CYP3A inhibition by </w:t>
            </w:r>
            <w:r>
              <w:rPr>
                <w:lang w:val="en-GB"/>
              </w:rPr>
              <w:t>lopinavir/ritonavir</w:t>
            </w:r>
            <w:r w:rsidRPr="00342F7C">
              <w:rPr>
                <w:lang w:val="en-GB"/>
              </w:rPr>
              <w:t>.</w:t>
            </w:r>
          </w:p>
        </w:tc>
        <w:tc>
          <w:tcPr>
            <w:tcW w:w="3327" w:type="dxa"/>
            <w:gridSpan w:val="6"/>
            <w:tcBorders>
              <w:top w:val="single" w:sz="4" w:space="0" w:color="auto"/>
              <w:left w:val="single" w:sz="4" w:space="0" w:color="auto"/>
              <w:bottom w:val="single" w:sz="4" w:space="0" w:color="auto"/>
              <w:right w:val="single" w:sz="4" w:space="0" w:color="auto"/>
            </w:tcBorders>
          </w:tcPr>
          <w:p w14:paraId="3D46F605" w14:textId="77777777" w:rsidR="00BE1421" w:rsidRPr="00342F7C" w:rsidRDefault="00BE1421" w:rsidP="008831F2">
            <w:pPr>
              <w:pStyle w:val="EMEANormal"/>
              <w:rPr>
                <w:lang w:val="en-GB"/>
              </w:rPr>
            </w:pPr>
            <w:r w:rsidRPr="00342F7C">
              <w:rPr>
                <w:lang w:val="en-GB"/>
              </w:rPr>
              <w:t xml:space="preserve">The combination of Kaletra with atorvastatin is not recommended.  If the use of atorvastatin is considered strictly necessary, the lowest possible dose of atorvastatin should be administered with careful safety monitoring (see section 4.4).  </w:t>
            </w:r>
          </w:p>
        </w:tc>
      </w:tr>
      <w:tr w:rsidR="00BE1421" w:rsidRPr="00342F7C" w14:paraId="684FA1F0" w14:textId="77777777" w:rsidTr="008F531F">
        <w:tc>
          <w:tcPr>
            <w:tcW w:w="2647" w:type="dxa"/>
            <w:tcBorders>
              <w:top w:val="single" w:sz="4" w:space="0" w:color="auto"/>
              <w:left w:val="single" w:sz="4" w:space="0" w:color="auto"/>
              <w:bottom w:val="single" w:sz="4" w:space="0" w:color="auto"/>
              <w:right w:val="single" w:sz="4" w:space="0" w:color="auto"/>
            </w:tcBorders>
          </w:tcPr>
          <w:p w14:paraId="7CB1CA41" w14:textId="77777777" w:rsidR="00BE1421" w:rsidRPr="00342F7C" w:rsidRDefault="00BE1421" w:rsidP="008831F2">
            <w:pPr>
              <w:pStyle w:val="EMEANormal"/>
              <w:rPr>
                <w:lang w:val="en-GB"/>
              </w:rPr>
            </w:pPr>
            <w:r w:rsidRPr="00342F7C">
              <w:rPr>
                <w:lang w:val="en-GB"/>
              </w:rPr>
              <w:t>Rosuvastatin, 20 mg QD</w:t>
            </w:r>
          </w:p>
          <w:p w14:paraId="4BA915C6" w14:textId="77777777" w:rsidR="00BE1421" w:rsidRPr="00342F7C" w:rsidRDefault="00BE1421" w:rsidP="008831F2">
            <w:pPr>
              <w:pStyle w:val="EMEANormal"/>
              <w:rPr>
                <w:iCs/>
                <w:lang w:val="en-GB"/>
              </w:rPr>
            </w:pPr>
          </w:p>
        </w:tc>
        <w:tc>
          <w:tcPr>
            <w:tcW w:w="3240" w:type="dxa"/>
            <w:gridSpan w:val="5"/>
            <w:tcBorders>
              <w:top w:val="single" w:sz="4" w:space="0" w:color="auto"/>
              <w:left w:val="single" w:sz="4" w:space="0" w:color="auto"/>
              <w:bottom w:val="single" w:sz="4" w:space="0" w:color="auto"/>
              <w:right w:val="single" w:sz="4" w:space="0" w:color="auto"/>
            </w:tcBorders>
          </w:tcPr>
          <w:p w14:paraId="30B53801" w14:textId="77777777" w:rsidR="00BE1421" w:rsidRPr="00342F7C" w:rsidRDefault="00BE1421" w:rsidP="008831F2">
            <w:pPr>
              <w:pStyle w:val="EMEANormal"/>
              <w:rPr>
                <w:lang w:val="en-GB"/>
              </w:rPr>
            </w:pPr>
            <w:r w:rsidRPr="00342F7C">
              <w:rPr>
                <w:lang w:val="en-GB"/>
              </w:rPr>
              <w:t>Rosuvastatin:</w:t>
            </w:r>
          </w:p>
          <w:p w14:paraId="3332477F" w14:textId="77777777" w:rsidR="00BE1421" w:rsidRPr="00342F7C" w:rsidRDefault="00BE1421" w:rsidP="008831F2">
            <w:pPr>
              <w:pStyle w:val="EMEANormal"/>
              <w:rPr>
                <w:lang w:val="en-GB"/>
              </w:rPr>
            </w:pPr>
            <w:r w:rsidRPr="00342F7C">
              <w:rPr>
                <w:lang w:val="en-GB"/>
              </w:rPr>
              <w:t xml:space="preserve">AUC: ↑ 2-fold </w:t>
            </w:r>
          </w:p>
          <w:p w14:paraId="2AED9167" w14:textId="77777777" w:rsidR="00BE1421" w:rsidRPr="00342F7C" w:rsidRDefault="00BE1421" w:rsidP="008831F2">
            <w:pPr>
              <w:pStyle w:val="EMEANormal"/>
              <w:rPr>
                <w:lang w:val="en-GB"/>
              </w:rPr>
            </w:pPr>
            <w:r w:rsidRPr="00342F7C">
              <w:rPr>
                <w:lang w:val="en-GB"/>
              </w:rPr>
              <w:t>C</w:t>
            </w:r>
            <w:r w:rsidRPr="00342F7C">
              <w:rPr>
                <w:vertAlign w:val="subscript"/>
                <w:lang w:val="en-GB"/>
              </w:rPr>
              <w:t>max</w:t>
            </w:r>
            <w:r w:rsidRPr="00342F7C">
              <w:rPr>
                <w:lang w:val="en-GB"/>
              </w:rPr>
              <w:t>: ↑ 5-fold</w:t>
            </w:r>
          </w:p>
          <w:p w14:paraId="76EFF415" w14:textId="77777777" w:rsidR="00BE1421" w:rsidRPr="00342F7C" w:rsidRDefault="00BE1421" w:rsidP="008831F2">
            <w:pPr>
              <w:pStyle w:val="EMEANormal"/>
              <w:rPr>
                <w:lang w:val="en-GB"/>
              </w:rPr>
            </w:pPr>
            <w:r w:rsidRPr="00342F7C">
              <w:rPr>
                <w:lang w:val="en-GB"/>
              </w:rPr>
              <w:t>While rosuvastatin is poorly metabolised by CYP3A4, an increase of its plasma concentrations was observed.  The mechanism of this interaction may result from inhibition of transport proteins.</w:t>
            </w:r>
          </w:p>
        </w:tc>
        <w:tc>
          <w:tcPr>
            <w:tcW w:w="3327" w:type="dxa"/>
            <w:gridSpan w:val="6"/>
            <w:tcBorders>
              <w:top w:val="single" w:sz="4" w:space="0" w:color="auto"/>
              <w:left w:val="single" w:sz="4" w:space="0" w:color="auto"/>
              <w:bottom w:val="single" w:sz="4" w:space="0" w:color="auto"/>
              <w:right w:val="single" w:sz="4" w:space="0" w:color="auto"/>
            </w:tcBorders>
          </w:tcPr>
          <w:p w14:paraId="6E73B765" w14:textId="77777777" w:rsidR="00BE1421" w:rsidRPr="00342F7C" w:rsidRDefault="00BE1421" w:rsidP="008831F2">
            <w:pPr>
              <w:pStyle w:val="EMEANormal"/>
              <w:rPr>
                <w:lang w:val="en-GB"/>
              </w:rPr>
            </w:pPr>
            <w:r w:rsidRPr="00342F7C">
              <w:rPr>
                <w:lang w:val="en-GB"/>
              </w:rPr>
              <w:t>Caution should be exercised and reduced doses should be considered when Kaletra is co</w:t>
            </w:r>
            <w:r w:rsidRPr="00342F7C">
              <w:rPr>
                <w:lang w:val="en-GB"/>
              </w:rPr>
              <w:noBreakHyphen/>
              <w:t>administered with rosuvastatin (see section 4.4).</w:t>
            </w:r>
          </w:p>
        </w:tc>
      </w:tr>
      <w:tr w:rsidR="00BE1421" w:rsidRPr="00342F7C" w14:paraId="6A150631" w14:textId="77777777" w:rsidTr="008F531F">
        <w:tc>
          <w:tcPr>
            <w:tcW w:w="2647" w:type="dxa"/>
            <w:tcBorders>
              <w:top w:val="single" w:sz="4" w:space="0" w:color="auto"/>
              <w:left w:val="single" w:sz="4" w:space="0" w:color="auto"/>
              <w:bottom w:val="single" w:sz="4" w:space="0" w:color="auto"/>
              <w:right w:val="single" w:sz="4" w:space="0" w:color="auto"/>
            </w:tcBorders>
          </w:tcPr>
          <w:p w14:paraId="520464F4" w14:textId="77777777" w:rsidR="00BE1421" w:rsidRPr="00342F7C" w:rsidRDefault="00BE1421" w:rsidP="008831F2">
            <w:pPr>
              <w:pStyle w:val="EMEANormal"/>
              <w:rPr>
                <w:lang w:val="en-GB"/>
              </w:rPr>
            </w:pPr>
            <w:r w:rsidRPr="00342F7C">
              <w:rPr>
                <w:lang w:val="en-GB"/>
              </w:rPr>
              <w:t>Fluvastatin or Pravastatin</w:t>
            </w:r>
          </w:p>
        </w:tc>
        <w:tc>
          <w:tcPr>
            <w:tcW w:w="3240" w:type="dxa"/>
            <w:gridSpan w:val="5"/>
            <w:tcBorders>
              <w:top w:val="single" w:sz="4" w:space="0" w:color="auto"/>
              <w:left w:val="single" w:sz="4" w:space="0" w:color="auto"/>
              <w:bottom w:val="single" w:sz="4" w:space="0" w:color="auto"/>
              <w:right w:val="single" w:sz="4" w:space="0" w:color="auto"/>
            </w:tcBorders>
          </w:tcPr>
          <w:p w14:paraId="0DA1CCA5" w14:textId="77777777" w:rsidR="00BE1421" w:rsidRPr="00342F7C" w:rsidRDefault="00BE1421" w:rsidP="008831F2">
            <w:pPr>
              <w:pStyle w:val="EMEANormal"/>
              <w:rPr>
                <w:lang w:val="en-GB"/>
              </w:rPr>
            </w:pPr>
            <w:r w:rsidRPr="00342F7C">
              <w:rPr>
                <w:lang w:val="en-GB"/>
              </w:rPr>
              <w:t xml:space="preserve">Fluvastatin, Pravastatin: </w:t>
            </w:r>
          </w:p>
          <w:p w14:paraId="13348DEA" w14:textId="77777777" w:rsidR="00BE1421" w:rsidRPr="00342F7C" w:rsidRDefault="00BE1421" w:rsidP="008831F2">
            <w:pPr>
              <w:pStyle w:val="EMEANormal"/>
              <w:rPr>
                <w:lang w:val="en-GB"/>
              </w:rPr>
            </w:pPr>
            <w:r w:rsidRPr="00342F7C">
              <w:rPr>
                <w:lang w:val="en-GB"/>
              </w:rPr>
              <w:t>No clinical relevant interaction expected.</w:t>
            </w:r>
          </w:p>
          <w:p w14:paraId="623517C8" w14:textId="77777777" w:rsidR="00BE1421" w:rsidRPr="00342F7C" w:rsidRDefault="00BE1421" w:rsidP="008831F2">
            <w:pPr>
              <w:pStyle w:val="EMEANormal"/>
              <w:rPr>
                <w:lang w:val="en-GB"/>
              </w:rPr>
            </w:pPr>
            <w:r w:rsidRPr="00342F7C">
              <w:rPr>
                <w:lang w:val="en-GB"/>
              </w:rPr>
              <w:t>Pravastatin is not metabolised by CYP450.</w:t>
            </w:r>
          </w:p>
          <w:p w14:paraId="29DE4254" w14:textId="77777777" w:rsidR="00BE1421" w:rsidRPr="00342F7C" w:rsidRDefault="00BE1421" w:rsidP="008831F2">
            <w:pPr>
              <w:pStyle w:val="EMEANormal"/>
              <w:rPr>
                <w:lang w:val="en-GB"/>
              </w:rPr>
            </w:pPr>
            <w:r w:rsidRPr="00342F7C">
              <w:rPr>
                <w:lang w:val="en-GB"/>
              </w:rPr>
              <w:t>Fluvastatin is partially metabolised by CYP2C9.</w:t>
            </w:r>
          </w:p>
        </w:tc>
        <w:tc>
          <w:tcPr>
            <w:tcW w:w="3327" w:type="dxa"/>
            <w:gridSpan w:val="6"/>
            <w:tcBorders>
              <w:top w:val="single" w:sz="4" w:space="0" w:color="auto"/>
              <w:left w:val="single" w:sz="4" w:space="0" w:color="auto"/>
              <w:bottom w:val="single" w:sz="4" w:space="0" w:color="auto"/>
              <w:right w:val="single" w:sz="4" w:space="0" w:color="auto"/>
            </w:tcBorders>
          </w:tcPr>
          <w:p w14:paraId="4EA34EDB" w14:textId="77777777" w:rsidR="00BE1421" w:rsidRPr="00342F7C" w:rsidRDefault="00BE1421" w:rsidP="008831F2">
            <w:pPr>
              <w:pStyle w:val="EMEANormal"/>
              <w:rPr>
                <w:lang w:val="en-GB"/>
              </w:rPr>
            </w:pPr>
            <w:r w:rsidRPr="00342F7C">
              <w:rPr>
                <w:lang w:val="en-GB"/>
              </w:rPr>
              <w:t>If treatment with an HMG-CoA reductase inhibitor is indicated, fluvastatin or pravastatin is recommended.</w:t>
            </w:r>
          </w:p>
        </w:tc>
      </w:tr>
      <w:tr w:rsidR="00BE1421" w:rsidRPr="00342F7C" w14:paraId="3D0F6CF6" w14:textId="77777777" w:rsidTr="008F531F">
        <w:tc>
          <w:tcPr>
            <w:tcW w:w="9214" w:type="dxa"/>
            <w:gridSpan w:val="12"/>
            <w:tcBorders>
              <w:top w:val="single" w:sz="4" w:space="0" w:color="auto"/>
              <w:left w:val="single" w:sz="4" w:space="0" w:color="auto"/>
              <w:bottom w:val="single" w:sz="4" w:space="0" w:color="auto"/>
              <w:right w:val="single" w:sz="4" w:space="0" w:color="auto"/>
            </w:tcBorders>
          </w:tcPr>
          <w:p w14:paraId="439B6F73" w14:textId="77777777" w:rsidR="00BE1421" w:rsidRPr="00342F7C" w:rsidRDefault="00BE1421" w:rsidP="003F4A82">
            <w:pPr>
              <w:pStyle w:val="EMEANormal"/>
              <w:keepNext/>
              <w:rPr>
                <w:i/>
                <w:iCs/>
                <w:lang w:val="en-GB"/>
              </w:rPr>
            </w:pPr>
            <w:r w:rsidRPr="00342F7C">
              <w:rPr>
                <w:i/>
                <w:iCs/>
                <w:lang w:val="en-GB"/>
              </w:rPr>
              <w:t>Opioids</w:t>
            </w:r>
          </w:p>
        </w:tc>
      </w:tr>
      <w:tr w:rsidR="00BE1421" w:rsidRPr="00342F7C" w14:paraId="4C210881" w14:textId="77777777" w:rsidTr="008F531F">
        <w:tc>
          <w:tcPr>
            <w:tcW w:w="2647" w:type="dxa"/>
            <w:tcBorders>
              <w:top w:val="single" w:sz="4" w:space="0" w:color="auto"/>
              <w:left w:val="single" w:sz="4" w:space="0" w:color="auto"/>
              <w:bottom w:val="single" w:sz="4" w:space="0" w:color="auto"/>
              <w:right w:val="single" w:sz="4" w:space="0" w:color="auto"/>
            </w:tcBorders>
          </w:tcPr>
          <w:p w14:paraId="13D3FF93" w14:textId="77777777" w:rsidR="00BE1421" w:rsidRPr="00342F7C" w:rsidRDefault="00BE1421" w:rsidP="003F4A82">
            <w:pPr>
              <w:pStyle w:val="EMEANormal"/>
              <w:keepNext/>
              <w:rPr>
                <w:lang w:val="en-GB"/>
              </w:rPr>
            </w:pPr>
            <w:r w:rsidRPr="00342F7C">
              <w:rPr>
                <w:bCs/>
                <w:iCs/>
                <w:lang w:val="en-GB"/>
              </w:rPr>
              <w:t>Buprenorphine, 16 mg QD</w:t>
            </w:r>
          </w:p>
        </w:tc>
        <w:tc>
          <w:tcPr>
            <w:tcW w:w="3240" w:type="dxa"/>
            <w:gridSpan w:val="5"/>
            <w:tcBorders>
              <w:top w:val="single" w:sz="4" w:space="0" w:color="auto"/>
              <w:left w:val="single" w:sz="4" w:space="0" w:color="auto"/>
              <w:bottom w:val="single" w:sz="4" w:space="0" w:color="auto"/>
              <w:right w:val="single" w:sz="4" w:space="0" w:color="auto"/>
            </w:tcBorders>
          </w:tcPr>
          <w:p w14:paraId="47005496" w14:textId="77777777" w:rsidR="00BE1421" w:rsidRPr="00342F7C" w:rsidRDefault="00BE1421" w:rsidP="003F4A82">
            <w:pPr>
              <w:pStyle w:val="EMEANormal"/>
              <w:keepNext/>
              <w:rPr>
                <w:bCs/>
                <w:iCs/>
                <w:lang w:val="en-GB"/>
              </w:rPr>
            </w:pPr>
            <w:r w:rsidRPr="00342F7C">
              <w:rPr>
                <w:bCs/>
                <w:iCs/>
                <w:lang w:val="en-GB"/>
              </w:rPr>
              <w:t>Buprenorphine:</w:t>
            </w:r>
            <w:r w:rsidRPr="00342F7C">
              <w:rPr>
                <w:szCs w:val="22"/>
                <w:lang w:val="en-GB"/>
              </w:rPr>
              <w:t xml:space="preserve"> ↔</w:t>
            </w:r>
          </w:p>
          <w:p w14:paraId="72B9E272" w14:textId="77777777" w:rsidR="00BE1421" w:rsidRPr="00342F7C" w:rsidRDefault="00BE1421" w:rsidP="003F4A82">
            <w:pPr>
              <w:pStyle w:val="EMEANormal"/>
              <w:keepNext/>
              <w:rPr>
                <w:lang w:val="en-GB"/>
              </w:rPr>
            </w:pPr>
          </w:p>
        </w:tc>
        <w:tc>
          <w:tcPr>
            <w:tcW w:w="3327" w:type="dxa"/>
            <w:gridSpan w:val="6"/>
            <w:tcBorders>
              <w:top w:val="single" w:sz="4" w:space="0" w:color="auto"/>
              <w:left w:val="single" w:sz="4" w:space="0" w:color="auto"/>
              <w:bottom w:val="single" w:sz="4" w:space="0" w:color="auto"/>
              <w:right w:val="single" w:sz="4" w:space="0" w:color="auto"/>
            </w:tcBorders>
          </w:tcPr>
          <w:p w14:paraId="60311517" w14:textId="77777777" w:rsidR="00BE1421" w:rsidRPr="00342F7C" w:rsidRDefault="00BE1421" w:rsidP="003F4A82">
            <w:pPr>
              <w:pStyle w:val="EMEANormal"/>
              <w:keepNext/>
              <w:rPr>
                <w:lang w:val="en-GB"/>
              </w:rPr>
            </w:pPr>
            <w:r w:rsidRPr="00342F7C">
              <w:rPr>
                <w:lang w:val="en-GB"/>
              </w:rPr>
              <w:t>No dose adjustment necessary.</w:t>
            </w:r>
          </w:p>
          <w:p w14:paraId="5602FFED" w14:textId="77777777" w:rsidR="00BE1421" w:rsidRPr="00342F7C" w:rsidRDefault="00BE1421" w:rsidP="003F4A82">
            <w:pPr>
              <w:pStyle w:val="EMEANormal"/>
              <w:keepNext/>
              <w:rPr>
                <w:lang w:val="en-GB"/>
              </w:rPr>
            </w:pPr>
          </w:p>
        </w:tc>
      </w:tr>
      <w:tr w:rsidR="00BE1421" w:rsidRPr="00342F7C" w14:paraId="37AEEF49" w14:textId="77777777" w:rsidTr="008F531F">
        <w:tc>
          <w:tcPr>
            <w:tcW w:w="2647" w:type="dxa"/>
            <w:tcBorders>
              <w:top w:val="single" w:sz="4" w:space="0" w:color="auto"/>
              <w:left w:val="single" w:sz="4" w:space="0" w:color="auto"/>
              <w:bottom w:val="single" w:sz="4" w:space="0" w:color="auto"/>
              <w:right w:val="single" w:sz="4" w:space="0" w:color="auto"/>
            </w:tcBorders>
          </w:tcPr>
          <w:p w14:paraId="2A501BCD" w14:textId="77777777" w:rsidR="00BE1421" w:rsidRPr="00342F7C" w:rsidRDefault="00BE1421" w:rsidP="008831F2">
            <w:pPr>
              <w:pStyle w:val="EMEANormal"/>
              <w:rPr>
                <w:bCs/>
                <w:iCs/>
                <w:lang w:val="en-GB"/>
              </w:rPr>
            </w:pPr>
            <w:r w:rsidRPr="00342F7C">
              <w:rPr>
                <w:bCs/>
                <w:iCs/>
                <w:lang w:val="en-GB"/>
              </w:rPr>
              <w:t>Methadone</w:t>
            </w:r>
          </w:p>
          <w:p w14:paraId="5E474044" w14:textId="77777777" w:rsidR="00BE1421" w:rsidRPr="00342F7C" w:rsidRDefault="00BE1421" w:rsidP="008831F2">
            <w:pPr>
              <w:pStyle w:val="EMEANormal"/>
              <w:rPr>
                <w:lang w:val="en-GB"/>
              </w:rPr>
            </w:pPr>
          </w:p>
        </w:tc>
        <w:tc>
          <w:tcPr>
            <w:tcW w:w="3240" w:type="dxa"/>
            <w:gridSpan w:val="5"/>
            <w:tcBorders>
              <w:top w:val="single" w:sz="4" w:space="0" w:color="auto"/>
              <w:left w:val="single" w:sz="4" w:space="0" w:color="auto"/>
              <w:bottom w:val="single" w:sz="4" w:space="0" w:color="auto"/>
              <w:right w:val="single" w:sz="4" w:space="0" w:color="auto"/>
            </w:tcBorders>
          </w:tcPr>
          <w:p w14:paraId="6E7964C4" w14:textId="77777777" w:rsidR="00BE1421" w:rsidRPr="00342F7C" w:rsidRDefault="00BE1421" w:rsidP="008831F2">
            <w:pPr>
              <w:pStyle w:val="EMEANormal"/>
              <w:rPr>
                <w:i/>
                <w:lang w:val="en-GB"/>
              </w:rPr>
            </w:pPr>
            <w:r w:rsidRPr="00342F7C">
              <w:rPr>
                <w:bCs/>
                <w:iCs/>
                <w:lang w:val="en-GB"/>
              </w:rPr>
              <w:t>Methadone:</w:t>
            </w:r>
            <w:r w:rsidRPr="00342F7C">
              <w:rPr>
                <w:i/>
                <w:lang w:val="en-GB"/>
              </w:rPr>
              <w:t xml:space="preserve"> </w:t>
            </w:r>
            <w:r w:rsidRPr="00342F7C">
              <w:rPr>
                <w:lang w:val="en-GB"/>
              </w:rPr>
              <w:t>↓</w:t>
            </w:r>
          </w:p>
          <w:p w14:paraId="421B9AE7" w14:textId="77777777" w:rsidR="00BE1421" w:rsidRPr="00342F7C" w:rsidRDefault="00BE1421" w:rsidP="008831F2">
            <w:pPr>
              <w:pStyle w:val="EMEANormal"/>
              <w:rPr>
                <w:lang w:val="en-GB"/>
              </w:rPr>
            </w:pPr>
          </w:p>
        </w:tc>
        <w:tc>
          <w:tcPr>
            <w:tcW w:w="3327" w:type="dxa"/>
            <w:gridSpan w:val="6"/>
            <w:tcBorders>
              <w:top w:val="single" w:sz="4" w:space="0" w:color="auto"/>
              <w:left w:val="single" w:sz="4" w:space="0" w:color="auto"/>
              <w:bottom w:val="single" w:sz="4" w:space="0" w:color="auto"/>
              <w:right w:val="single" w:sz="4" w:space="0" w:color="auto"/>
            </w:tcBorders>
          </w:tcPr>
          <w:p w14:paraId="381278BE" w14:textId="77777777" w:rsidR="00BE1421" w:rsidRPr="00342F7C" w:rsidRDefault="00BE1421" w:rsidP="008831F2">
            <w:pPr>
              <w:pStyle w:val="EMEANormal"/>
              <w:rPr>
                <w:lang w:val="en-GB"/>
              </w:rPr>
            </w:pPr>
            <w:r w:rsidRPr="00342F7C">
              <w:rPr>
                <w:lang w:val="en-GB"/>
              </w:rPr>
              <w:t>Monitoring plasma concentrations of methadone is recommended.</w:t>
            </w:r>
          </w:p>
        </w:tc>
      </w:tr>
      <w:tr w:rsidR="00BE1421" w:rsidRPr="00342F7C" w14:paraId="27AD84F2" w14:textId="77777777" w:rsidTr="008F531F">
        <w:tc>
          <w:tcPr>
            <w:tcW w:w="9214" w:type="dxa"/>
            <w:gridSpan w:val="12"/>
            <w:tcBorders>
              <w:top w:val="single" w:sz="4" w:space="0" w:color="auto"/>
              <w:left w:val="single" w:sz="4" w:space="0" w:color="auto"/>
              <w:bottom w:val="single" w:sz="4" w:space="0" w:color="auto"/>
              <w:right w:val="single" w:sz="4" w:space="0" w:color="auto"/>
            </w:tcBorders>
          </w:tcPr>
          <w:p w14:paraId="4D1E8A54" w14:textId="77777777" w:rsidR="00BE1421" w:rsidRPr="00342F7C" w:rsidRDefault="00BE1421" w:rsidP="005766B5">
            <w:pPr>
              <w:pStyle w:val="EMEANormal"/>
              <w:rPr>
                <w:bCs/>
                <w:i/>
                <w:iCs/>
                <w:lang w:val="en-GB"/>
              </w:rPr>
            </w:pPr>
            <w:r w:rsidRPr="00342F7C">
              <w:rPr>
                <w:i/>
                <w:iCs/>
                <w:lang w:val="en-GB"/>
              </w:rPr>
              <w:t xml:space="preserve">Oral </w:t>
            </w:r>
            <w:r>
              <w:rPr>
                <w:i/>
                <w:iCs/>
                <w:lang w:val="en-GB"/>
              </w:rPr>
              <w:t>c</w:t>
            </w:r>
            <w:r w:rsidRPr="00342F7C">
              <w:rPr>
                <w:i/>
                <w:iCs/>
                <w:lang w:val="en-GB"/>
              </w:rPr>
              <w:t>ontraceptives</w:t>
            </w:r>
          </w:p>
        </w:tc>
      </w:tr>
      <w:tr w:rsidR="00BE1421" w:rsidRPr="00342F7C" w14:paraId="05E35EDF" w14:textId="77777777" w:rsidTr="008F531F">
        <w:tc>
          <w:tcPr>
            <w:tcW w:w="2647" w:type="dxa"/>
            <w:tcBorders>
              <w:top w:val="single" w:sz="4" w:space="0" w:color="auto"/>
              <w:left w:val="single" w:sz="4" w:space="0" w:color="auto"/>
              <w:bottom w:val="single" w:sz="4" w:space="0" w:color="auto"/>
              <w:right w:val="single" w:sz="4" w:space="0" w:color="auto"/>
            </w:tcBorders>
          </w:tcPr>
          <w:p w14:paraId="46D1F5E1" w14:textId="77777777" w:rsidR="00BE1421" w:rsidRPr="00342F7C" w:rsidRDefault="00BE1421" w:rsidP="008831F2">
            <w:pPr>
              <w:pStyle w:val="EMEANormal"/>
              <w:rPr>
                <w:lang w:val="en-GB"/>
              </w:rPr>
            </w:pPr>
            <w:r w:rsidRPr="00342F7C">
              <w:rPr>
                <w:lang w:val="en-GB"/>
              </w:rPr>
              <w:t>Ethinyl Oestradiol</w:t>
            </w:r>
          </w:p>
        </w:tc>
        <w:tc>
          <w:tcPr>
            <w:tcW w:w="3240" w:type="dxa"/>
            <w:gridSpan w:val="5"/>
            <w:tcBorders>
              <w:top w:val="single" w:sz="4" w:space="0" w:color="auto"/>
              <w:left w:val="single" w:sz="4" w:space="0" w:color="auto"/>
              <w:bottom w:val="single" w:sz="4" w:space="0" w:color="auto"/>
              <w:right w:val="single" w:sz="4" w:space="0" w:color="auto"/>
            </w:tcBorders>
          </w:tcPr>
          <w:p w14:paraId="7FD29AE4" w14:textId="77777777" w:rsidR="00BE1421" w:rsidRPr="00342F7C" w:rsidRDefault="00BE1421" w:rsidP="008831F2">
            <w:pPr>
              <w:pStyle w:val="EMEANormal"/>
              <w:rPr>
                <w:i/>
                <w:lang w:val="en-GB"/>
              </w:rPr>
            </w:pPr>
            <w:r w:rsidRPr="00342F7C">
              <w:rPr>
                <w:lang w:val="en-GB"/>
              </w:rPr>
              <w:t>Ethinyl Oestradiol: ↓</w:t>
            </w:r>
          </w:p>
          <w:p w14:paraId="4D8D1B15" w14:textId="77777777" w:rsidR="00BE1421" w:rsidRPr="00342F7C" w:rsidRDefault="00BE1421" w:rsidP="008831F2">
            <w:pPr>
              <w:pStyle w:val="EMEANormal"/>
              <w:rPr>
                <w:lang w:val="en-GB"/>
              </w:rPr>
            </w:pPr>
          </w:p>
        </w:tc>
        <w:tc>
          <w:tcPr>
            <w:tcW w:w="3327" w:type="dxa"/>
            <w:gridSpan w:val="6"/>
            <w:tcBorders>
              <w:top w:val="single" w:sz="4" w:space="0" w:color="auto"/>
              <w:left w:val="single" w:sz="4" w:space="0" w:color="auto"/>
              <w:bottom w:val="single" w:sz="4" w:space="0" w:color="auto"/>
              <w:right w:val="single" w:sz="4" w:space="0" w:color="auto"/>
            </w:tcBorders>
          </w:tcPr>
          <w:p w14:paraId="3954D104" w14:textId="77777777" w:rsidR="00BE1421" w:rsidRPr="00342F7C" w:rsidRDefault="00BE1421" w:rsidP="008831F2">
            <w:pPr>
              <w:pStyle w:val="EMEANormal"/>
              <w:rPr>
                <w:lang w:val="en-GB"/>
              </w:rPr>
            </w:pPr>
            <w:r w:rsidRPr="00342F7C">
              <w:rPr>
                <w:lang w:val="en-GB"/>
              </w:rPr>
              <w:t>In case of co</w:t>
            </w:r>
            <w:r w:rsidRPr="00342F7C">
              <w:rPr>
                <w:lang w:val="en-GB"/>
              </w:rPr>
              <w:noBreakHyphen/>
              <w:t>administration of Kaletra with contraceptives containing ethinyl oestradiol (whatever the contraceptive formulation e.g. oral or patch), additional methods of contraception must be used.</w:t>
            </w:r>
          </w:p>
        </w:tc>
      </w:tr>
      <w:tr w:rsidR="00BE1421" w:rsidRPr="00342F7C" w14:paraId="732DAAD6" w14:textId="77777777" w:rsidTr="008F531F">
        <w:tc>
          <w:tcPr>
            <w:tcW w:w="9214" w:type="dxa"/>
            <w:gridSpan w:val="12"/>
            <w:tcBorders>
              <w:top w:val="single" w:sz="4" w:space="0" w:color="auto"/>
              <w:left w:val="single" w:sz="4" w:space="0" w:color="auto"/>
              <w:bottom w:val="single" w:sz="4" w:space="0" w:color="auto"/>
              <w:right w:val="single" w:sz="4" w:space="0" w:color="auto"/>
            </w:tcBorders>
          </w:tcPr>
          <w:p w14:paraId="7EBB515F" w14:textId="77777777" w:rsidR="00BE1421" w:rsidRPr="00342F7C" w:rsidRDefault="00BE1421" w:rsidP="00B1213D">
            <w:pPr>
              <w:pStyle w:val="EMEANormal"/>
              <w:keepNext/>
              <w:rPr>
                <w:i/>
                <w:iCs/>
                <w:lang w:val="en-GB"/>
              </w:rPr>
            </w:pPr>
            <w:r w:rsidRPr="00342F7C">
              <w:rPr>
                <w:i/>
                <w:iCs/>
                <w:lang w:val="en-GB"/>
              </w:rPr>
              <w:t>Smoking cessation aids</w:t>
            </w:r>
          </w:p>
        </w:tc>
      </w:tr>
      <w:tr w:rsidR="00BE1421" w:rsidRPr="00342F7C" w14:paraId="0D39797C" w14:textId="77777777" w:rsidTr="008F531F">
        <w:tc>
          <w:tcPr>
            <w:tcW w:w="2647" w:type="dxa"/>
            <w:tcBorders>
              <w:top w:val="single" w:sz="4" w:space="0" w:color="auto"/>
              <w:left w:val="single" w:sz="4" w:space="0" w:color="auto"/>
              <w:bottom w:val="single" w:sz="4" w:space="0" w:color="auto"/>
              <w:right w:val="single" w:sz="4" w:space="0" w:color="auto"/>
            </w:tcBorders>
          </w:tcPr>
          <w:p w14:paraId="39FFC15D" w14:textId="77777777" w:rsidR="00BE1421" w:rsidRPr="00342F7C" w:rsidRDefault="00BE1421" w:rsidP="00B1213D">
            <w:pPr>
              <w:pStyle w:val="EMEANormal"/>
              <w:keepNext/>
              <w:rPr>
                <w:lang w:val="en-GB"/>
              </w:rPr>
            </w:pPr>
            <w:r w:rsidRPr="00342F7C">
              <w:rPr>
                <w:lang w:val="en-GB"/>
              </w:rPr>
              <w:t>Bupropion</w:t>
            </w:r>
          </w:p>
        </w:tc>
        <w:tc>
          <w:tcPr>
            <w:tcW w:w="3240" w:type="dxa"/>
            <w:gridSpan w:val="5"/>
            <w:tcBorders>
              <w:top w:val="single" w:sz="4" w:space="0" w:color="auto"/>
              <w:left w:val="single" w:sz="4" w:space="0" w:color="auto"/>
              <w:bottom w:val="single" w:sz="4" w:space="0" w:color="auto"/>
              <w:right w:val="single" w:sz="4" w:space="0" w:color="auto"/>
            </w:tcBorders>
          </w:tcPr>
          <w:p w14:paraId="23A9DCBC" w14:textId="77777777" w:rsidR="00BE1421" w:rsidRPr="00342F7C" w:rsidRDefault="00BE1421" w:rsidP="00B1213D">
            <w:pPr>
              <w:pStyle w:val="EMEANormal"/>
              <w:keepNext/>
              <w:rPr>
                <w:lang w:val="en-GB"/>
              </w:rPr>
            </w:pPr>
            <w:r w:rsidRPr="00342F7C">
              <w:rPr>
                <w:lang w:val="en-GB"/>
              </w:rPr>
              <w:t>Buproprion and its active metabolite, hydroxybupropion:</w:t>
            </w:r>
          </w:p>
          <w:p w14:paraId="4685EADE" w14:textId="77777777" w:rsidR="00BE1421" w:rsidRPr="00342F7C" w:rsidRDefault="00BE1421" w:rsidP="00B1213D">
            <w:pPr>
              <w:pStyle w:val="EMEANormal"/>
              <w:keepNext/>
              <w:rPr>
                <w:lang w:val="en-GB"/>
              </w:rPr>
            </w:pPr>
            <w:r w:rsidRPr="00342F7C">
              <w:rPr>
                <w:lang w:val="en-GB"/>
              </w:rPr>
              <w:t>AUC and C</w:t>
            </w:r>
            <w:r w:rsidRPr="00342F7C">
              <w:rPr>
                <w:vertAlign w:val="subscript"/>
                <w:lang w:val="en-GB"/>
              </w:rPr>
              <w:t>max</w:t>
            </w:r>
            <w:r w:rsidRPr="00342F7C">
              <w:rPr>
                <w:lang w:val="en-GB"/>
              </w:rPr>
              <w:t xml:space="preserve"> ↓ ~50% </w:t>
            </w:r>
          </w:p>
          <w:p w14:paraId="1A9026EF" w14:textId="77777777" w:rsidR="00BE1421" w:rsidRPr="00342F7C" w:rsidRDefault="00BE1421" w:rsidP="00B1213D">
            <w:pPr>
              <w:pStyle w:val="EMEANormal"/>
              <w:keepNext/>
              <w:rPr>
                <w:lang w:val="en-GB"/>
              </w:rPr>
            </w:pPr>
          </w:p>
          <w:p w14:paraId="273261F6" w14:textId="77777777" w:rsidR="00BE1421" w:rsidRPr="00342F7C" w:rsidRDefault="00BE1421" w:rsidP="00B1213D">
            <w:pPr>
              <w:pStyle w:val="EMEANormal"/>
              <w:keepNext/>
              <w:rPr>
                <w:lang w:val="en-GB"/>
              </w:rPr>
            </w:pPr>
            <w:r w:rsidRPr="00342F7C">
              <w:rPr>
                <w:lang w:val="en-GB"/>
              </w:rPr>
              <w:t>This effect may be due to induction of bupropion metabolism.</w:t>
            </w:r>
          </w:p>
          <w:p w14:paraId="52E4EA9D" w14:textId="77777777" w:rsidR="00BE1421" w:rsidRPr="00342F7C" w:rsidRDefault="00BE1421" w:rsidP="00B1213D">
            <w:pPr>
              <w:pStyle w:val="EMEANormal"/>
              <w:keepNext/>
              <w:rPr>
                <w:szCs w:val="22"/>
                <w:lang w:val="en-GB"/>
              </w:rPr>
            </w:pPr>
          </w:p>
        </w:tc>
        <w:tc>
          <w:tcPr>
            <w:tcW w:w="3327" w:type="dxa"/>
            <w:gridSpan w:val="6"/>
            <w:tcBorders>
              <w:top w:val="single" w:sz="4" w:space="0" w:color="auto"/>
              <w:left w:val="single" w:sz="4" w:space="0" w:color="auto"/>
              <w:bottom w:val="single" w:sz="4" w:space="0" w:color="auto"/>
              <w:right w:val="single" w:sz="4" w:space="0" w:color="auto"/>
            </w:tcBorders>
          </w:tcPr>
          <w:p w14:paraId="3309777B" w14:textId="77777777" w:rsidR="00BE1421" w:rsidRPr="00342F7C" w:rsidRDefault="00BE1421" w:rsidP="005766B5">
            <w:pPr>
              <w:pStyle w:val="EMEANormal"/>
              <w:keepNext/>
              <w:rPr>
                <w:szCs w:val="22"/>
                <w:lang w:val="en-GB"/>
              </w:rPr>
            </w:pPr>
            <w:r w:rsidRPr="00342F7C">
              <w:rPr>
                <w:lang w:val="en-GB"/>
              </w:rPr>
              <w:t>If the co</w:t>
            </w:r>
            <w:r w:rsidRPr="00342F7C">
              <w:rPr>
                <w:lang w:val="en-GB"/>
              </w:rPr>
              <w:noBreakHyphen/>
              <w:t xml:space="preserve">administration of </w:t>
            </w:r>
            <w:r>
              <w:rPr>
                <w:lang w:val="en-GB"/>
              </w:rPr>
              <w:t>Kaletra</w:t>
            </w:r>
            <w:r w:rsidRPr="00342F7C">
              <w:rPr>
                <w:lang w:val="en-GB"/>
              </w:rPr>
              <w:t xml:space="preserve"> with bupropion is judged unavoidable, this should be done under close clinical monitoring for bupropion efficacy, without exceeding the recommended dosage, despite the observed induction.</w:t>
            </w:r>
          </w:p>
        </w:tc>
      </w:tr>
      <w:tr w:rsidR="00BE1421" w:rsidRPr="00342F7C" w14:paraId="343551BD" w14:textId="77777777" w:rsidTr="008F531F">
        <w:tc>
          <w:tcPr>
            <w:tcW w:w="9214" w:type="dxa"/>
            <w:gridSpan w:val="12"/>
            <w:tcBorders>
              <w:top w:val="single" w:sz="4" w:space="0" w:color="auto"/>
              <w:left w:val="single" w:sz="4" w:space="0" w:color="auto"/>
              <w:bottom w:val="single" w:sz="4" w:space="0" w:color="auto"/>
              <w:right w:val="single" w:sz="4" w:space="0" w:color="auto"/>
            </w:tcBorders>
          </w:tcPr>
          <w:p w14:paraId="70F64EAE" w14:textId="77777777" w:rsidR="00BE1421" w:rsidRPr="00342F7C" w:rsidRDefault="00BE1421" w:rsidP="00B84095">
            <w:pPr>
              <w:pStyle w:val="EMEANormal"/>
              <w:rPr>
                <w:i/>
                <w:iCs/>
                <w:lang w:val="en-GB"/>
              </w:rPr>
            </w:pPr>
            <w:r>
              <w:rPr>
                <w:i/>
                <w:iCs/>
                <w:lang w:val="en-GB"/>
              </w:rPr>
              <w:t>Thyroid hormone replacement therapy</w:t>
            </w:r>
          </w:p>
        </w:tc>
      </w:tr>
      <w:tr w:rsidR="00BE1421" w:rsidRPr="00342F7C" w14:paraId="64613B94" w14:textId="77777777" w:rsidTr="00B84095">
        <w:tc>
          <w:tcPr>
            <w:tcW w:w="2647" w:type="dxa"/>
            <w:tcBorders>
              <w:top w:val="single" w:sz="4" w:space="0" w:color="auto"/>
              <w:left w:val="single" w:sz="4" w:space="0" w:color="auto"/>
              <w:bottom w:val="single" w:sz="4" w:space="0" w:color="auto"/>
              <w:right w:val="single" w:sz="4" w:space="0" w:color="auto"/>
            </w:tcBorders>
          </w:tcPr>
          <w:p w14:paraId="7C8D821E" w14:textId="77777777" w:rsidR="00BE1421" w:rsidRPr="00342F7C" w:rsidRDefault="00BE1421" w:rsidP="00B84095">
            <w:pPr>
              <w:pStyle w:val="EMEANormal"/>
              <w:keepNext/>
              <w:rPr>
                <w:lang w:val="en-GB"/>
              </w:rPr>
            </w:pPr>
            <w:r>
              <w:rPr>
                <w:lang w:val="en-GB"/>
              </w:rPr>
              <w:t>Levothyroxine</w:t>
            </w:r>
          </w:p>
        </w:tc>
        <w:tc>
          <w:tcPr>
            <w:tcW w:w="3240" w:type="dxa"/>
            <w:gridSpan w:val="5"/>
            <w:tcBorders>
              <w:top w:val="single" w:sz="4" w:space="0" w:color="auto"/>
              <w:left w:val="single" w:sz="4" w:space="0" w:color="auto"/>
              <w:bottom w:val="single" w:sz="4" w:space="0" w:color="auto"/>
              <w:right w:val="single" w:sz="4" w:space="0" w:color="auto"/>
            </w:tcBorders>
          </w:tcPr>
          <w:p w14:paraId="5BC5BD85" w14:textId="77777777" w:rsidR="00BE1421" w:rsidRPr="00342F7C" w:rsidRDefault="00BE1421" w:rsidP="00B84095">
            <w:pPr>
              <w:pStyle w:val="EMEANormal"/>
              <w:keepNext/>
              <w:rPr>
                <w:szCs w:val="22"/>
                <w:lang w:val="en-GB"/>
              </w:rPr>
            </w:pPr>
            <w:r>
              <w:rPr>
                <w:szCs w:val="22"/>
                <w:lang w:val="en-GB"/>
              </w:rPr>
              <w:t>Post</w:t>
            </w:r>
            <w:r>
              <w:rPr>
                <w:szCs w:val="22"/>
                <w:lang w:val="en-GB"/>
              </w:rPr>
              <w:noBreakHyphen/>
              <w:t>marketing cases have been reported indicating a potential interaction between ritonavir containing products and levothyroxine.</w:t>
            </w:r>
          </w:p>
        </w:tc>
        <w:tc>
          <w:tcPr>
            <w:tcW w:w="3327" w:type="dxa"/>
            <w:gridSpan w:val="6"/>
            <w:tcBorders>
              <w:top w:val="single" w:sz="4" w:space="0" w:color="auto"/>
              <w:left w:val="single" w:sz="4" w:space="0" w:color="auto"/>
              <w:bottom w:val="single" w:sz="4" w:space="0" w:color="auto"/>
              <w:right w:val="single" w:sz="4" w:space="0" w:color="auto"/>
            </w:tcBorders>
          </w:tcPr>
          <w:p w14:paraId="4C0484A3" w14:textId="77777777" w:rsidR="00BE1421" w:rsidRPr="00342F7C" w:rsidRDefault="00BE1421" w:rsidP="00B84095">
            <w:pPr>
              <w:pStyle w:val="EMEANormal"/>
              <w:keepNext/>
              <w:rPr>
                <w:szCs w:val="22"/>
                <w:lang w:val="en-GB"/>
              </w:rPr>
            </w:pPr>
            <w:r>
              <w:rPr>
                <w:szCs w:val="22"/>
                <w:lang w:val="en-GB"/>
              </w:rPr>
              <w:t>Thyroid</w:t>
            </w:r>
            <w:r>
              <w:rPr>
                <w:szCs w:val="22"/>
                <w:lang w:val="en-GB"/>
              </w:rPr>
              <w:noBreakHyphen/>
              <w:t>stimulating hormone (TSH) should be monitored in patients treated with levothyroxine at least the first month after starting and/or ending lopinavir/ritonavir treatment.</w:t>
            </w:r>
          </w:p>
        </w:tc>
      </w:tr>
      <w:tr w:rsidR="00BE1421" w:rsidRPr="00342F7C" w14:paraId="4824261A" w14:textId="77777777" w:rsidTr="008F531F">
        <w:tc>
          <w:tcPr>
            <w:tcW w:w="9214" w:type="dxa"/>
            <w:gridSpan w:val="12"/>
            <w:tcBorders>
              <w:top w:val="single" w:sz="4" w:space="0" w:color="auto"/>
              <w:left w:val="single" w:sz="4" w:space="0" w:color="auto"/>
              <w:bottom w:val="single" w:sz="4" w:space="0" w:color="auto"/>
              <w:right w:val="single" w:sz="4" w:space="0" w:color="auto"/>
            </w:tcBorders>
          </w:tcPr>
          <w:p w14:paraId="013778DB" w14:textId="77777777" w:rsidR="00BE1421" w:rsidRPr="00342F7C" w:rsidRDefault="00BE1421" w:rsidP="003866C3">
            <w:pPr>
              <w:pStyle w:val="EMEANormal"/>
              <w:rPr>
                <w:lang w:val="en-GB"/>
              </w:rPr>
            </w:pPr>
            <w:r>
              <w:rPr>
                <w:i/>
                <w:iCs/>
                <w:lang w:val="en-GB"/>
              </w:rPr>
              <w:t>Vasodilating agents</w:t>
            </w:r>
          </w:p>
        </w:tc>
      </w:tr>
      <w:tr w:rsidR="00BE1421" w:rsidRPr="00342F7C" w14:paraId="68FCDC81" w14:textId="77777777" w:rsidTr="008F531F">
        <w:tc>
          <w:tcPr>
            <w:tcW w:w="2647" w:type="dxa"/>
            <w:tcBorders>
              <w:top w:val="single" w:sz="4" w:space="0" w:color="auto"/>
              <w:left w:val="single" w:sz="4" w:space="0" w:color="auto"/>
              <w:bottom w:val="single" w:sz="4" w:space="0" w:color="auto"/>
              <w:right w:val="single" w:sz="4" w:space="0" w:color="auto"/>
            </w:tcBorders>
          </w:tcPr>
          <w:p w14:paraId="2DD6844C" w14:textId="77777777" w:rsidR="00BE1421" w:rsidRPr="00342F7C" w:rsidRDefault="00BE1421" w:rsidP="003866C3">
            <w:pPr>
              <w:pStyle w:val="EMEANormal"/>
              <w:rPr>
                <w:lang w:val="en-GB"/>
              </w:rPr>
            </w:pPr>
            <w:r>
              <w:rPr>
                <w:lang w:val="en-GB"/>
              </w:rPr>
              <w:t>Bosentan</w:t>
            </w:r>
          </w:p>
        </w:tc>
        <w:tc>
          <w:tcPr>
            <w:tcW w:w="3240" w:type="dxa"/>
            <w:gridSpan w:val="5"/>
            <w:tcBorders>
              <w:top w:val="single" w:sz="4" w:space="0" w:color="auto"/>
              <w:left w:val="single" w:sz="4" w:space="0" w:color="auto"/>
              <w:bottom w:val="single" w:sz="4" w:space="0" w:color="auto"/>
              <w:right w:val="single" w:sz="4" w:space="0" w:color="auto"/>
            </w:tcBorders>
          </w:tcPr>
          <w:p w14:paraId="199E162D" w14:textId="77777777" w:rsidR="00BE1421" w:rsidRDefault="00BE1421" w:rsidP="005762AB">
            <w:pPr>
              <w:pStyle w:val="EMEANormal"/>
              <w:rPr>
                <w:lang w:val="en-GB"/>
              </w:rPr>
            </w:pPr>
            <w:r>
              <w:rPr>
                <w:lang w:val="en-GB"/>
              </w:rPr>
              <w:t>Lopinavir - ritonavir:</w:t>
            </w:r>
          </w:p>
          <w:p w14:paraId="60C58986" w14:textId="77777777" w:rsidR="00BE1421" w:rsidRDefault="00BE1421" w:rsidP="005762AB">
            <w:pPr>
              <w:pStyle w:val="EMEANormal"/>
              <w:rPr>
                <w:lang w:val="en-GB"/>
              </w:rPr>
            </w:pPr>
            <w:r>
              <w:rPr>
                <w:lang w:val="en-GB"/>
              </w:rPr>
              <w:t>Lopinavir/ritonavir plasma concentrations may decrease due to CYP3A4 induction by bosentan.</w:t>
            </w:r>
          </w:p>
          <w:p w14:paraId="1539B6F8" w14:textId="77777777" w:rsidR="00BE1421" w:rsidRDefault="00BE1421" w:rsidP="005762AB">
            <w:pPr>
              <w:pStyle w:val="EMEANormal"/>
              <w:rPr>
                <w:lang w:val="en-GB"/>
              </w:rPr>
            </w:pPr>
          </w:p>
          <w:p w14:paraId="622D010A" w14:textId="77777777" w:rsidR="00BE1421" w:rsidRPr="0071232B" w:rsidRDefault="00BE1421" w:rsidP="005762AB">
            <w:pPr>
              <w:pStyle w:val="EMEANormal"/>
              <w:rPr>
                <w:lang w:val="en-GB"/>
              </w:rPr>
            </w:pPr>
            <w:r w:rsidRPr="0071232B">
              <w:rPr>
                <w:lang w:val="en-GB"/>
              </w:rPr>
              <w:t>Bosentan:</w:t>
            </w:r>
          </w:p>
          <w:p w14:paraId="738DB844" w14:textId="77777777" w:rsidR="00BE1421" w:rsidRPr="0071232B" w:rsidRDefault="00BE1421" w:rsidP="005762AB">
            <w:pPr>
              <w:pStyle w:val="EMEANormal"/>
              <w:rPr>
                <w:lang w:val="en-GB"/>
              </w:rPr>
            </w:pPr>
            <w:r w:rsidRPr="0071232B">
              <w:rPr>
                <w:lang w:val="en-GB"/>
              </w:rPr>
              <w:t xml:space="preserve">AUC: ↑ 5-fold </w:t>
            </w:r>
          </w:p>
          <w:p w14:paraId="1EE30E87" w14:textId="77777777" w:rsidR="00BE1421" w:rsidRPr="0071232B" w:rsidRDefault="00BE1421" w:rsidP="005762AB">
            <w:pPr>
              <w:pStyle w:val="EMEANormal"/>
              <w:rPr>
                <w:lang w:val="en-GB"/>
              </w:rPr>
            </w:pPr>
            <w:r w:rsidRPr="0071232B">
              <w:rPr>
                <w:lang w:val="en-GB"/>
              </w:rPr>
              <w:t>C</w:t>
            </w:r>
            <w:r w:rsidRPr="0071232B">
              <w:rPr>
                <w:vertAlign w:val="subscript"/>
                <w:lang w:val="en-GB"/>
              </w:rPr>
              <w:t>max</w:t>
            </w:r>
            <w:r w:rsidRPr="0071232B">
              <w:rPr>
                <w:lang w:val="en-GB"/>
              </w:rPr>
              <w:t>:</w:t>
            </w:r>
            <w:r>
              <w:rPr>
                <w:lang w:val="en-GB"/>
              </w:rPr>
              <w:t xml:space="preserve"> </w:t>
            </w:r>
            <w:r w:rsidRPr="0071232B">
              <w:rPr>
                <w:lang w:val="en-GB"/>
              </w:rPr>
              <w:t>↑ 6-fold</w:t>
            </w:r>
          </w:p>
          <w:p w14:paraId="07B11468" w14:textId="77777777" w:rsidR="00BE1421" w:rsidRPr="0071232B" w:rsidRDefault="00BE1421" w:rsidP="005762AB">
            <w:pPr>
              <w:autoSpaceDE w:val="0"/>
              <w:autoSpaceDN w:val="0"/>
              <w:adjustRightInd w:val="0"/>
              <w:rPr>
                <w:bCs/>
                <w:sz w:val="22"/>
                <w:szCs w:val="22"/>
                <w:u w:val="single"/>
              </w:rPr>
            </w:pPr>
            <w:r w:rsidRPr="00285200">
              <w:rPr>
                <w:bCs/>
                <w:sz w:val="22"/>
                <w:szCs w:val="22"/>
              </w:rPr>
              <w:t>Initially, bosentan C</w:t>
            </w:r>
            <w:r w:rsidRPr="00285200">
              <w:rPr>
                <w:bCs/>
                <w:sz w:val="22"/>
                <w:szCs w:val="22"/>
                <w:vertAlign w:val="subscript"/>
              </w:rPr>
              <w:t>min</w:t>
            </w:r>
            <w:r w:rsidRPr="0071232B">
              <w:t>:</w:t>
            </w:r>
            <w:r>
              <w:t xml:space="preserve"> </w:t>
            </w:r>
            <w:r w:rsidRPr="00285200">
              <w:rPr>
                <w:sz w:val="22"/>
                <w:szCs w:val="22"/>
              </w:rPr>
              <w:t>↑</w:t>
            </w:r>
            <w:r w:rsidRPr="00285200">
              <w:rPr>
                <w:bCs/>
                <w:sz w:val="22"/>
                <w:szCs w:val="22"/>
              </w:rPr>
              <w:t xml:space="preserve"> by approximately</w:t>
            </w:r>
            <w:r w:rsidRPr="0071232B">
              <w:rPr>
                <w:bCs/>
                <w:sz w:val="22"/>
                <w:szCs w:val="22"/>
              </w:rPr>
              <w:t xml:space="preserve"> 48-fold.</w:t>
            </w:r>
            <w:r w:rsidRPr="0071232B">
              <w:rPr>
                <w:bCs/>
                <w:sz w:val="22"/>
                <w:szCs w:val="22"/>
                <w:u w:val="single"/>
              </w:rPr>
              <w:t xml:space="preserve"> </w:t>
            </w:r>
          </w:p>
          <w:p w14:paraId="2F689893" w14:textId="77777777" w:rsidR="00BE1421" w:rsidRPr="00342F7C" w:rsidRDefault="00BE1421" w:rsidP="003866C3">
            <w:pPr>
              <w:pStyle w:val="EMEANormal"/>
              <w:rPr>
                <w:lang w:val="en-GB"/>
              </w:rPr>
            </w:pPr>
            <w:r w:rsidRPr="0071232B">
              <w:rPr>
                <w:lang w:val="en-GB"/>
              </w:rPr>
              <w:t>Due to CYP3A</w:t>
            </w:r>
            <w:r>
              <w:rPr>
                <w:lang w:val="en-GB"/>
              </w:rPr>
              <w:t>4</w:t>
            </w:r>
            <w:r w:rsidRPr="0071232B">
              <w:rPr>
                <w:lang w:val="en-GB"/>
              </w:rPr>
              <w:t xml:space="preserve"> inhibition by </w:t>
            </w:r>
            <w:r>
              <w:rPr>
                <w:lang w:val="en-GB"/>
              </w:rPr>
              <w:t>lopinavir/ritonavir</w:t>
            </w:r>
            <w:r w:rsidRPr="0071232B">
              <w:rPr>
                <w:lang w:val="en-GB"/>
              </w:rPr>
              <w:t>.</w:t>
            </w:r>
          </w:p>
        </w:tc>
        <w:tc>
          <w:tcPr>
            <w:tcW w:w="3327" w:type="dxa"/>
            <w:gridSpan w:val="6"/>
            <w:tcBorders>
              <w:top w:val="single" w:sz="4" w:space="0" w:color="auto"/>
              <w:left w:val="single" w:sz="4" w:space="0" w:color="auto"/>
              <w:bottom w:val="single" w:sz="4" w:space="0" w:color="auto"/>
              <w:right w:val="single" w:sz="4" w:space="0" w:color="auto"/>
            </w:tcBorders>
          </w:tcPr>
          <w:p w14:paraId="5AB1FB1E" w14:textId="77777777" w:rsidR="00BE1421" w:rsidRPr="0071232B" w:rsidRDefault="00BE1421" w:rsidP="005762AB">
            <w:pPr>
              <w:pStyle w:val="EMEANormal"/>
              <w:rPr>
                <w:lang w:val="en-GB"/>
              </w:rPr>
            </w:pPr>
            <w:r w:rsidRPr="0071232B">
              <w:rPr>
                <w:lang w:val="en-GB"/>
              </w:rPr>
              <w:t>Caution should be exercised in administering Kaletra</w:t>
            </w:r>
            <w:r>
              <w:rPr>
                <w:lang w:val="en-GB"/>
              </w:rPr>
              <w:t xml:space="preserve"> with </w:t>
            </w:r>
            <w:r w:rsidRPr="0071232B">
              <w:rPr>
                <w:lang w:val="en-GB"/>
              </w:rPr>
              <w:t>bosentan.</w:t>
            </w:r>
          </w:p>
          <w:p w14:paraId="78FBA52E" w14:textId="77777777" w:rsidR="00BE1421" w:rsidRPr="00342F7C" w:rsidRDefault="00BE1421" w:rsidP="003866C3">
            <w:pPr>
              <w:pStyle w:val="EMEANormal"/>
              <w:rPr>
                <w:lang w:val="en-GB"/>
              </w:rPr>
            </w:pPr>
            <w:r w:rsidRPr="0071232B">
              <w:rPr>
                <w:bCs/>
              </w:rPr>
              <w:t xml:space="preserve">When </w:t>
            </w:r>
            <w:r>
              <w:rPr>
                <w:bCs/>
              </w:rPr>
              <w:t xml:space="preserve">Kaletra is </w:t>
            </w:r>
            <w:r w:rsidRPr="0071232B">
              <w:rPr>
                <w:bCs/>
              </w:rPr>
              <w:t xml:space="preserve">administered concomitantly with </w:t>
            </w:r>
            <w:r w:rsidRPr="00285200">
              <w:t>bosentan</w:t>
            </w:r>
            <w:r w:rsidRPr="0071232B">
              <w:rPr>
                <w:bCs/>
              </w:rPr>
              <w:t xml:space="preserve">, the </w:t>
            </w:r>
            <w:r>
              <w:rPr>
                <w:bCs/>
              </w:rPr>
              <w:t>efficacy of the HIV therapy should be monitored and patients should be closely observed for bosentan toxicity, especially during the first week of co-administration</w:t>
            </w:r>
            <w:r w:rsidRPr="0071232B">
              <w:rPr>
                <w:bCs/>
              </w:rPr>
              <w:t xml:space="preserve">. </w:t>
            </w:r>
            <w:r>
              <w:rPr>
                <w:bCs/>
              </w:rPr>
              <w:t xml:space="preserve"> </w:t>
            </w:r>
          </w:p>
        </w:tc>
      </w:tr>
      <w:tr w:rsidR="00BE1421" w:rsidRPr="00342F7C" w14:paraId="7DA67169" w14:textId="77777777" w:rsidTr="008F531F">
        <w:tc>
          <w:tcPr>
            <w:tcW w:w="2647" w:type="dxa"/>
            <w:tcBorders>
              <w:top w:val="single" w:sz="4" w:space="0" w:color="auto"/>
              <w:left w:val="single" w:sz="4" w:space="0" w:color="auto"/>
              <w:bottom w:val="single" w:sz="4" w:space="0" w:color="auto"/>
              <w:right w:val="single" w:sz="4" w:space="0" w:color="auto"/>
            </w:tcBorders>
          </w:tcPr>
          <w:p w14:paraId="47A43860" w14:textId="77777777" w:rsidR="00BE1421" w:rsidRDefault="00BE1421" w:rsidP="006029D2">
            <w:pPr>
              <w:pStyle w:val="EMEANormal"/>
              <w:rPr>
                <w:lang w:val="en-GB"/>
              </w:rPr>
            </w:pPr>
            <w:r>
              <w:rPr>
                <w:lang w:val="en-GB"/>
              </w:rPr>
              <w:t>Riociguat</w:t>
            </w:r>
          </w:p>
        </w:tc>
        <w:tc>
          <w:tcPr>
            <w:tcW w:w="3240" w:type="dxa"/>
            <w:gridSpan w:val="5"/>
            <w:tcBorders>
              <w:top w:val="single" w:sz="4" w:space="0" w:color="auto"/>
              <w:left w:val="single" w:sz="4" w:space="0" w:color="auto"/>
              <w:bottom w:val="single" w:sz="4" w:space="0" w:color="auto"/>
              <w:right w:val="single" w:sz="4" w:space="0" w:color="auto"/>
            </w:tcBorders>
          </w:tcPr>
          <w:p w14:paraId="021389DB" w14:textId="77777777" w:rsidR="00BE1421" w:rsidRDefault="00BE1421" w:rsidP="006029D2">
            <w:pPr>
              <w:pStyle w:val="EMEANormal"/>
              <w:rPr>
                <w:lang w:val="en-GB"/>
              </w:rPr>
            </w:pPr>
            <w:r>
              <w:rPr>
                <w:lang w:val="en-GB"/>
              </w:rPr>
              <w:t>Serum concentrations may be increased due to CYP3A and P</w:t>
            </w:r>
            <w:r>
              <w:rPr>
                <w:lang w:val="en-GB"/>
              </w:rPr>
              <w:noBreakHyphen/>
              <w:t>gp inhibition by lopinavir/ritonavir.</w:t>
            </w:r>
          </w:p>
        </w:tc>
        <w:tc>
          <w:tcPr>
            <w:tcW w:w="3327" w:type="dxa"/>
            <w:gridSpan w:val="6"/>
            <w:tcBorders>
              <w:top w:val="single" w:sz="4" w:space="0" w:color="auto"/>
              <w:left w:val="single" w:sz="4" w:space="0" w:color="auto"/>
              <w:bottom w:val="single" w:sz="4" w:space="0" w:color="auto"/>
              <w:right w:val="single" w:sz="4" w:space="0" w:color="auto"/>
            </w:tcBorders>
          </w:tcPr>
          <w:p w14:paraId="429C34E8" w14:textId="77777777" w:rsidR="00BE1421" w:rsidRPr="0071232B" w:rsidRDefault="00BE1421" w:rsidP="006029D2">
            <w:pPr>
              <w:pStyle w:val="EMEANormal"/>
              <w:rPr>
                <w:lang w:val="en-GB"/>
              </w:rPr>
            </w:pPr>
            <w:r>
              <w:rPr>
                <w:lang w:val="en-GB"/>
              </w:rPr>
              <w:t>The co</w:t>
            </w:r>
            <w:r>
              <w:rPr>
                <w:lang w:val="en-GB"/>
              </w:rPr>
              <w:noBreakHyphen/>
              <w:t>administration of riociguat with Kaletra is not recommended (see section 4.4 and refer to riociguat SmPC).</w:t>
            </w:r>
          </w:p>
        </w:tc>
      </w:tr>
      <w:tr w:rsidR="00BE1421" w:rsidRPr="00342F7C" w14:paraId="0FDED50C" w14:textId="77777777" w:rsidTr="008F531F">
        <w:tc>
          <w:tcPr>
            <w:tcW w:w="9214" w:type="dxa"/>
            <w:gridSpan w:val="12"/>
            <w:tcBorders>
              <w:top w:val="single" w:sz="4" w:space="0" w:color="auto"/>
              <w:left w:val="single" w:sz="4" w:space="0" w:color="auto"/>
              <w:bottom w:val="single" w:sz="4" w:space="0" w:color="auto"/>
              <w:right w:val="single" w:sz="4" w:space="0" w:color="auto"/>
            </w:tcBorders>
          </w:tcPr>
          <w:p w14:paraId="7559C4C6" w14:textId="77777777" w:rsidR="00BE1421" w:rsidRPr="00342F7C" w:rsidRDefault="00BE1421" w:rsidP="00573B91">
            <w:pPr>
              <w:pStyle w:val="EMEANormal"/>
              <w:keepNext/>
              <w:rPr>
                <w:i/>
                <w:iCs/>
                <w:lang w:val="en-GB"/>
              </w:rPr>
            </w:pPr>
            <w:r w:rsidRPr="00342F7C">
              <w:rPr>
                <w:i/>
                <w:iCs/>
                <w:lang w:val="en-GB"/>
              </w:rPr>
              <w:t>Other medicinal products</w:t>
            </w:r>
          </w:p>
        </w:tc>
      </w:tr>
      <w:tr w:rsidR="00BE1421" w:rsidRPr="00342F7C" w14:paraId="79F7499E" w14:textId="77777777" w:rsidTr="008F531F">
        <w:tc>
          <w:tcPr>
            <w:tcW w:w="9214" w:type="dxa"/>
            <w:gridSpan w:val="12"/>
            <w:tcBorders>
              <w:top w:val="single" w:sz="4" w:space="0" w:color="auto"/>
              <w:left w:val="single" w:sz="4" w:space="0" w:color="auto"/>
              <w:bottom w:val="single" w:sz="4" w:space="0" w:color="auto"/>
              <w:right w:val="single" w:sz="4" w:space="0" w:color="auto"/>
            </w:tcBorders>
          </w:tcPr>
          <w:p w14:paraId="729FDD3C" w14:textId="77777777" w:rsidR="00BE1421" w:rsidRPr="00342F7C" w:rsidRDefault="00BE1421" w:rsidP="00573B91">
            <w:pPr>
              <w:pStyle w:val="EMEANormal"/>
              <w:keepNext/>
              <w:rPr>
                <w:iCs/>
                <w:lang w:val="en-GB"/>
              </w:rPr>
            </w:pPr>
            <w:r w:rsidRPr="00342F7C">
              <w:rPr>
                <w:lang w:val="en-GB"/>
              </w:rPr>
              <w:t>Based on known metabolic profiles, clinically significant interactions are not expected between Kaletra and dapsone, trimethoprim/sulfamethoxazole, azithromycin or fluconazole.</w:t>
            </w:r>
          </w:p>
        </w:tc>
      </w:tr>
    </w:tbl>
    <w:p w14:paraId="1ED0384C" w14:textId="77777777" w:rsidR="00C81811" w:rsidRDefault="00C81811" w:rsidP="00C81811">
      <w:pPr>
        <w:pStyle w:val="EMEAHeading2SPC"/>
        <w:spacing w:beforeLines="0" w:before="0" w:afterLines="0" w:after="0"/>
        <w:rPr>
          <w:rFonts w:ascii="Times New Roman" w:hAnsi="Times New Roman"/>
          <w:lang w:val="en-GB"/>
        </w:rPr>
      </w:pPr>
    </w:p>
    <w:p w14:paraId="350C85DD" w14:textId="77777777" w:rsidR="00D7303D" w:rsidRDefault="00D7303D" w:rsidP="00C81811">
      <w:pPr>
        <w:pStyle w:val="EMEAHeading2SPC"/>
        <w:spacing w:beforeLines="0" w:before="0" w:afterLines="0" w:after="0"/>
        <w:rPr>
          <w:rFonts w:ascii="Times New Roman" w:hAnsi="Times New Roman"/>
          <w:lang w:val="en-GB"/>
        </w:rPr>
      </w:pPr>
      <w:r w:rsidRPr="00342F7C">
        <w:rPr>
          <w:rFonts w:ascii="Times New Roman" w:hAnsi="Times New Roman"/>
          <w:lang w:val="en-GB"/>
        </w:rPr>
        <w:t>4.6</w:t>
      </w:r>
      <w:r w:rsidRPr="00342F7C">
        <w:rPr>
          <w:rFonts w:ascii="Times New Roman" w:hAnsi="Times New Roman"/>
          <w:lang w:val="en-GB"/>
        </w:rPr>
        <w:tab/>
        <w:t>Fertility, pregnancy and lactation</w:t>
      </w:r>
    </w:p>
    <w:p w14:paraId="3C784959" w14:textId="77777777" w:rsidR="00C81811" w:rsidRPr="00C81811" w:rsidRDefault="00C81811" w:rsidP="00C81811">
      <w:pPr>
        <w:pStyle w:val="EMEANormal"/>
        <w:rPr>
          <w:lang w:val="en-GB"/>
        </w:rPr>
      </w:pPr>
    </w:p>
    <w:p w14:paraId="6DA2C1E8" w14:textId="77777777" w:rsidR="00D7303D" w:rsidRPr="00342F7C" w:rsidRDefault="00D7303D">
      <w:pPr>
        <w:pStyle w:val="EMEANormal"/>
        <w:rPr>
          <w:u w:val="single"/>
          <w:lang w:val="en-GB"/>
        </w:rPr>
      </w:pPr>
      <w:r w:rsidRPr="00342F7C">
        <w:rPr>
          <w:u w:val="single"/>
          <w:lang w:val="en-GB"/>
        </w:rPr>
        <w:t>Pregnancy</w:t>
      </w:r>
    </w:p>
    <w:p w14:paraId="17F5D4AC" w14:textId="77777777" w:rsidR="00D7303D" w:rsidRDefault="00D7303D" w:rsidP="00C54149">
      <w:pPr>
        <w:pStyle w:val="EMEANormal"/>
        <w:rPr>
          <w:lang w:val="en-GB"/>
        </w:rPr>
      </w:pPr>
      <w:r w:rsidRPr="00342F7C">
        <w:rPr>
          <w:lang w:val="en-GB"/>
        </w:rPr>
        <w:t>As a general rule, when deciding to use antiretroviral agents for the treatment of HIV infection in pregnant women and consequently for reducing the risk of HIV vertical transmission to the newborn, the animal data as well as the clinical experience in pregnant women should be taken into account in order to characterise the safety for the foetus.</w:t>
      </w:r>
    </w:p>
    <w:p w14:paraId="4CEC99D5" w14:textId="77777777" w:rsidR="00E9743C" w:rsidRDefault="00E9743C" w:rsidP="00C54149">
      <w:pPr>
        <w:pStyle w:val="EMEANormal"/>
        <w:rPr>
          <w:lang w:val="en-GB"/>
        </w:rPr>
      </w:pPr>
    </w:p>
    <w:p w14:paraId="2BD667EE" w14:textId="77777777" w:rsidR="00E9743C" w:rsidRPr="00342F7C" w:rsidRDefault="00E9743C" w:rsidP="00C54149">
      <w:pPr>
        <w:pStyle w:val="EMEANormal"/>
        <w:rPr>
          <w:lang w:val="en-GB"/>
        </w:rPr>
      </w:pPr>
      <w:r w:rsidRPr="00E9743C">
        <w:t xml:space="preserve">Lopinavir/ritonavir has been evaluated in </w:t>
      </w:r>
      <w:r w:rsidR="00444B6C">
        <w:t xml:space="preserve">over 3000 </w:t>
      </w:r>
      <w:r w:rsidRPr="00E9743C">
        <w:t>women during pregnancy, including over 1000 during the first trimester.</w:t>
      </w:r>
    </w:p>
    <w:p w14:paraId="5B5DF059" w14:textId="77777777" w:rsidR="00D7303D" w:rsidRPr="00342F7C" w:rsidRDefault="00D7303D" w:rsidP="00C54149">
      <w:pPr>
        <w:pStyle w:val="EMEANormal"/>
        <w:rPr>
          <w:u w:val="single"/>
          <w:lang w:val="en-GB"/>
        </w:rPr>
      </w:pPr>
    </w:p>
    <w:p w14:paraId="3DDA6CD6" w14:textId="77777777" w:rsidR="00D7303D" w:rsidRPr="00E9743C" w:rsidRDefault="00D7303D" w:rsidP="003F4A82">
      <w:pPr>
        <w:pStyle w:val="EMEANormal"/>
        <w:keepNext/>
        <w:keepLines/>
        <w:rPr>
          <w:lang w:val="en-GB"/>
        </w:rPr>
      </w:pPr>
      <w:r w:rsidRPr="00342F7C">
        <w:rPr>
          <w:lang w:val="en-GB"/>
        </w:rPr>
        <w:t>In post</w:t>
      </w:r>
      <w:r w:rsidRPr="00342F7C">
        <w:rPr>
          <w:lang w:val="en-GB"/>
        </w:rPr>
        <w:noBreakHyphen/>
        <w:t xml:space="preserve">marketing surveillance through the Antiretroviral Pregnancy Registry, established since January 1989, an increased risk of birth defects exposures with Kaletra has not been reported among over </w:t>
      </w:r>
      <w:r w:rsidR="00E9743C">
        <w:rPr>
          <w:lang w:val="en-GB"/>
        </w:rPr>
        <w:t>1000</w:t>
      </w:r>
      <w:r w:rsidR="00E9743C" w:rsidRPr="00342F7C">
        <w:rPr>
          <w:lang w:val="en-GB"/>
        </w:rPr>
        <w:t xml:space="preserve"> </w:t>
      </w:r>
      <w:r w:rsidRPr="00342F7C">
        <w:rPr>
          <w:lang w:val="en-GB"/>
        </w:rPr>
        <w:t>women exposed during the first trimester.  The prevalence of birth defects after any trimester exposure to lopinavir is comparable to the prevalence observed in the general population.  No pattern of birth defects suggestive of a common etiology was seen.  Studies in animals have shown reproductive toxicity (see section 5.3).  Based on the data mentioned, the malformative risk is unlikely in humans.</w:t>
      </w:r>
      <w:r w:rsidR="00E9743C">
        <w:rPr>
          <w:lang w:val="en-GB"/>
        </w:rPr>
        <w:t xml:space="preserve">  </w:t>
      </w:r>
      <w:r w:rsidR="00E9743C" w:rsidRPr="00E9743C">
        <w:t>Lopinavir can be used during pregnancy if clinically needed.</w:t>
      </w:r>
    </w:p>
    <w:p w14:paraId="7F8E13CC" w14:textId="77777777" w:rsidR="00D7303D" w:rsidRPr="00342F7C" w:rsidRDefault="00D7303D">
      <w:pPr>
        <w:pStyle w:val="EMEANormal"/>
        <w:rPr>
          <w:lang w:val="en-GB"/>
        </w:rPr>
      </w:pPr>
    </w:p>
    <w:p w14:paraId="089A72F2" w14:textId="77777777" w:rsidR="00D7303D" w:rsidRPr="00342F7C" w:rsidRDefault="00D7303D">
      <w:pPr>
        <w:pStyle w:val="EMEANormal"/>
        <w:rPr>
          <w:u w:val="single"/>
          <w:lang w:val="en-GB"/>
        </w:rPr>
      </w:pPr>
      <w:r w:rsidRPr="00342F7C">
        <w:rPr>
          <w:u w:val="single"/>
          <w:lang w:val="en-GB"/>
        </w:rPr>
        <w:t>Breastfeeding</w:t>
      </w:r>
    </w:p>
    <w:p w14:paraId="28386EE1" w14:textId="77777777" w:rsidR="00D7303D" w:rsidRPr="00342F7C" w:rsidRDefault="00D7303D" w:rsidP="00DA0BCD">
      <w:pPr>
        <w:pStyle w:val="EMEANormal"/>
        <w:rPr>
          <w:lang w:val="en-GB"/>
        </w:rPr>
      </w:pPr>
      <w:r w:rsidRPr="00342F7C">
        <w:rPr>
          <w:lang w:val="en-GB"/>
        </w:rPr>
        <w:t xml:space="preserve">Studies in rats revealed that lopinavir is excreted in the milk.  It is not known whether this medicinal product is excreted in human milk.  As a general rule, it is recommended that mothers infected by HIV do not breastfeed their babies under any circumstances in order to avoid transmission of HIV. </w:t>
      </w:r>
    </w:p>
    <w:p w14:paraId="180273B9" w14:textId="77777777" w:rsidR="00D7303D" w:rsidRPr="00342F7C" w:rsidRDefault="00D7303D" w:rsidP="00DA0BCD">
      <w:pPr>
        <w:pStyle w:val="EMEANormal"/>
        <w:rPr>
          <w:u w:val="single"/>
          <w:lang w:val="en-GB"/>
        </w:rPr>
      </w:pPr>
    </w:p>
    <w:p w14:paraId="311E4CB6" w14:textId="77777777" w:rsidR="00D7303D" w:rsidRPr="00342F7C" w:rsidRDefault="00D7303D" w:rsidP="00DA0BCD">
      <w:pPr>
        <w:pStyle w:val="EMEANormal"/>
        <w:rPr>
          <w:u w:val="single"/>
          <w:lang w:val="en-GB"/>
        </w:rPr>
      </w:pPr>
      <w:r w:rsidRPr="00342F7C">
        <w:rPr>
          <w:u w:val="single"/>
          <w:lang w:val="en-GB"/>
        </w:rPr>
        <w:t>Fertility</w:t>
      </w:r>
    </w:p>
    <w:p w14:paraId="7271A70C" w14:textId="77777777" w:rsidR="00D7303D" w:rsidRDefault="00D7303D" w:rsidP="00DA0BCD">
      <w:pPr>
        <w:pStyle w:val="EMEANormal"/>
        <w:rPr>
          <w:lang w:val="en-GB"/>
        </w:rPr>
      </w:pPr>
      <w:r w:rsidRPr="00342F7C">
        <w:rPr>
          <w:lang w:val="en-GB"/>
        </w:rPr>
        <w:t>Animal studies have shown no effects on fertility.  No human data on the effect of lopinavir/ritonavir on fertility are available.</w:t>
      </w:r>
    </w:p>
    <w:p w14:paraId="0D227BC3" w14:textId="77777777" w:rsidR="00C81811" w:rsidRPr="00342F7C" w:rsidRDefault="00C81811" w:rsidP="00DA0BCD">
      <w:pPr>
        <w:pStyle w:val="EMEANormal"/>
        <w:rPr>
          <w:lang w:val="en-GB"/>
        </w:rPr>
      </w:pPr>
    </w:p>
    <w:p w14:paraId="7EF299D0" w14:textId="77777777" w:rsidR="00D7303D" w:rsidRDefault="00D7303D" w:rsidP="00C81811">
      <w:pPr>
        <w:pStyle w:val="EMEAHeading2SPC"/>
        <w:spacing w:beforeLines="0" w:before="0" w:afterLines="0" w:after="0"/>
        <w:rPr>
          <w:rFonts w:ascii="Times New Roman" w:hAnsi="Times New Roman"/>
          <w:lang w:val="en-GB"/>
        </w:rPr>
      </w:pPr>
      <w:r w:rsidRPr="00342F7C">
        <w:rPr>
          <w:rFonts w:ascii="Times New Roman" w:hAnsi="Times New Roman"/>
          <w:lang w:val="en-GB"/>
        </w:rPr>
        <w:t>4.7</w:t>
      </w:r>
      <w:r w:rsidRPr="00342F7C">
        <w:rPr>
          <w:rFonts w:ascii="Times New Roman" w:hAnsi="Times New Roman"/>
          <w:lang w:val="en-GB"/>
        </w:rPr>
        <w:tab/>
        <w:t>Effects on ability to drive and use machines</w:t>
      </w:r>
    </w:p>
    <w:p w14:paraId="3C03C6AF" w14:textId="77777777" w:rsidR="00C81811" w:rsidRPr="00C81811" w:rsidRDefault="00C81811" w:rsidP="00C81811">
      <w:pPr>
        <w:pStyle w:val="EMEANormal"/>
        <w:rPr>
          <w:lang w:val="en-GB"/>
        </w:rPr>
      </w:pPr>
    </w:p>
    <w:p w14:paraId="77EA06CE" w14:textId="77777777" w:rsidR="00D7303D" w:rsidRPr="00342F7C" w:rsidRDefault="00D7303D">
      <w:pPr>
        <w:pStyle w:val="EMEANormal"/>
        <w:rPr>
          <w:lang w:val="en-GB"/>
        </w:rPr>
      </w:pPr>
      <w:r w:rsidRPr="00342F7C">
        <w:rPr>
          <w:lang w:val="en-GB"/>
        </w:rPr>
        <w:t>No studies on the effects on the ability to drive and use machines have been performed.  Patients should be informed that nausea has been reported during treatment with Kaletra (see section 4.8).</w:t>
      </w:r>
    </w:p>
    <w:p w14:paraId="681407DE" w14:textId="77777777" w:rsidR="00D7303D" w:rsidRPr="00342F7C" w:rsidRDefault="00D7303D">
      <w:pPr>
        <w:pStyle w:val="EMEANormal"/>
        <w:rPr>
          <w:lang w:val="en-GB"/>
        </w:rPr>
      </w:pPr>
    </w:p>
    <w:p w14:paraId="637EB360" w14:textId="77777777" w:rsidR="00D7303D" w:rsidRDefault="00D7303D">
      <w:pPr>
        <w:pStyle w:val="EMEANormal"/>
        <w:rPr>
          <w:lang w:val="en-GB"/>
        </w:rPr>
      </w:pPr>
      <w:r w:rsidRPr="00342F7C">
        <w:rPr>
          <w:lang w:val="en-GB"/>
        </w:rPr>
        <w:t xml:space="preserve">Kaletra oral solution contains approximately 42% v/v alcohol. </w:t>
      </w:r>
    </w:p>
    <w:p w14:paraId="0EB46104" w14:textId="77777777" w:rsidR="00C81811" w:rsidRPr="00342F7C" w:rsidRDefault="00C81811">
      <w:pPr>
        <w:pStyle w:val="EMEANormal"/>
        <w:rPr>
          <w:lang w:val="en-GB"/>
        </w:rPr>
      </w:pPr>
    </w:p>
    <w:p w14:paraId="38FA8296" w14:textId="77777777" w:rsidR="00D7303D" w:rsidRDefault="00D7303D" w:rsidP="00C81811">
      <w:pPr>
        <w:pStyle w:val="EMEAHeading2SPC"/>
        <w:spacing w:beforeLines="0" w:before="0" w:afterLines="0" w:after="0"/>
        <w:rPr>
          <w:rFonts w:ascii="Times New Roman" w:hAnsi="Times New Roman"/>
          <w:lang w:val="en-GB"/>
        </w:rPr>
      </w:pPr>
      <w:r w:rsidRPr="00342F7C">
        <w:rPr>
          <w:rFonts w:ascii="Times New Roman" w:hAnsi="Times New Roman"/>
          <w:lang w:val="en-GB"/>
        </w:rPr>
        <w:t>4.8</w:t>
      </w:r>
      <w:r w:rsidRPr="00342F7C">
        <w:rPr>
          <w:rFonts w:ascii="Times New Roman" w:hAnsi="Times New Roman"/>
          <w:lang w:val="en-GB"/>
        </w:rPr>
        <w:tab/>
        <w:t xml:space="preserve">Undesirable effects </w:t>
      </w:r>
    </w:p>
    <w:p w14:paraId="7D708DCE" w14:textId="77777777" w:rsidR="00C81811" w:rsidRPr="00C81811" w:rsidRDefault="00C81811" w:rsidP="00C81811">
      <w:pPr>
        <w:pStyle w:val="EMEANormal"/>
        <w:rPr>
          <w:lang w:val="en-GB"/>
        </w:rPr>
      </w:pPr>
    </w:p>
    <w:p w14:paraId="61FD0574" w14:textId="77777777" w:rsidR="00D7303D" w:rsidRPr="00342F7C" w:rsidRDefault="00D7303D" w:rsidP="00A94B17">
      <w:pPr>
        <w:pStyle w:val="EMEANormal"/>
        <w:rPr>
          <w:u w:val="single"/>
          <w:lang w:val="en-GB"/>
        </w:rPr>
      </w:pPr>
      <w:r w:rsidRPr="00342F7C">
        <w:rPr>
          <w:u w:val="single"/>
          <w:lang w:val="en-GB"/>
        </w:rPr>
        <w:t>a. Summary of the safety profile</w:t>
      </w:r>
    </w:p>
    <w:p w14:paraId="42C72974" w14:textId="77777777" w:rsidR="00D7303D" w:rsidRPr="00342F7C" w:rsidRDefault="00D7303D">
      <w:pPr>
        <w:pStyle w:val="EMEANormal"/>
        <w:rPr>
          <w:lang w:val="en-GB"/>
        </w:rPr>
      </w:pPr>
    </w:p>
    <w:p w14:paraId="6D8E19B6" w14:textId="77777777" w:rsidR="00D7303D" w:rsidRPr="00342F7C" w:rsidRDefault="00D7303D">
      <w:pPr>
        <w:pStyle w:val="EMEANormal"/>
        <w:rPr>
          <w:lang w:val="en-GB"/>
        </w:rPr>
      </w:pPr>
      <w:r w:rsidRPr="00342F7C">
        <w:rPr>
          <w:lang w:val="en-GB"/>
        </w:rPr>
        <w:t>The safety of Kaletra has been investigated in over 2600 patients in Phase II</w:t>
      </w:r>
      <w:r w:rsidRPr="00342F7C">
        <w:rPr>
          <w:lang w:val="en-GB"/>
        </w:rPr>
        <w:noBreakHyphen/>
        <w:t>IV clinical trials</w:t>
      </w:r>
      <w:r w:rsidRPr="00342F7C">
        <w:rPr>
          <w:szCs w:val="22"/>
          <w:lang w:val="en-GB"/>
        </w:rPr>
        <w:t>, of which over 700 have received a dose of 800/200 mg (6 capsules or 4 tablets) once daily</w:t>
      </w:r>
      <w:r w:rsidRPr="00342F7C">
        <w:rPr>
          <w:lang w:val="en-GB"/>
        </w:rPr>
        <w:t xml:space="preserve">.  Along with nucleoside reverse transcriptase inhibitors (NRTIs), in some studies, Kaletra was used in combination with efavirenz or nevirapine.  </w:t>
      </w:r>
    </w:p>
    <w:p w14:paraId="7F7D3B66" w14:textId="77777777" w:rsidR="00D7303D" w:rsidRPr="00342F7C" w:rsidRDefault="00D7303D">
      <w:pPr>
        <w:pStyle w:val="EMEANormal"/>
        <w:rPr>
          <w:lang w:val="en-GB"/>
        </w:rPr>
      </w:pPr>
    </w:p>
    <w:p w14:paraId="025CA1A2" w14:textId="77777777" w:rsidR="00D7303D" w:rsidRPr="00342F7C" w:rsidRDefault="00D7303D">
      <w:pPr>
        <w:pStyle w:val="EMEANormal"/>
        <w:rPr>
          <w:lang w:val="en-GB"/>
        </w:rPr>
      </w:pPr>
      <w:r w:rsidRPr="00342F7C">
        <w:rPr>
          <w:lang w:val="en-GB"/>
        </w:rPr>
        <w:t>The most common adverse reactions related to Kaletra therapy during clinical trials were diarrhoea</w:t>
      </w:r>
      <w:r w:rsidRPr="00342F7C">
        <w:rPr>
          <w:szCs w:val="22"/>
          <w:lang w:val="en-GB"/>
        </w:rPr>
        <w:t>, nausea, vomiting, hypertriglyceridaemia and hypercholesterolemia</w:t>
      </w:r>
      <w:r w:rsidRPr="00342F7C">
        <w:rPr>
          <w:lang w:val="en-GB"/>
        </w:rPr>
        <w:t xml:space="preserve">.  </w:t>
      </w:r>
      <w:r w:rsidRPr="00342F7C">
        <w:rPr>
          <w:szCs w:val="22"/>
          <w:lang w:val="en-GB"/>
        </w:rPr>
        <w:t>Diarrhoea, nausea and vomiting may occur at the beginning of the treatment while hypertriglyceridaemia and hypercholesterolemia may occur later.  Treatment emergent adverse events led to premature study discontinuation for 7% of subjects from Phase II</w:t>
      </w:r>
      <w:r w:rsidRPr="00342F7C">
        <w:rPr>
          <w:szCs w:val="22"/>
          <w:lang w:val="en-GB"/>
        </w:rPr>
        <w:noBreakHyphen/>
        <w:t>IV studies.</w:t>
      </w:r>
      <w:r w:rsidRPr="00342F7C">
        <w:rPr>
          <w:lang w:val="en-GB"/>
        </w:rPr>
        <w:t xml:space="preserve"> </w:t>
      </w:r>
    </w:p>
    <w:p w14:paraId="36B174C8" w14:textId="77777777" w:rsidR="00D7303D" w:rsidRPr="00342F7C" w:rsidRDefault="00D7303D">
      <w:pPr>
        <w:pStyle w:val="EMEANormal"/>
        <w:rPr>
          <w:lang w:val="en-GB"/>
        </w:rPr>
      </w:pPr>
    </w:p>
    <w:p w14:paraId="50D9E796" w14:textId="77777777" w:rsidR="00D7303D" w:rsidRDefault="00D7303D">
      <w:pPr>
        <w:pStyle w:val="EMEANormal"/>
        <w:rPr>
          <w:lang w:val="en-GB"/>
        </w:rPr>
      </w:pPr>
      <w:r w:rsidRPr="00342F7C">
        <w:rPr>
          <w:lang w:val="en-GB"/>
        </w:rPr>
        <w:t xml:space="preserve">It is important to note that cases of pancreatitis have been reported in patients receiving Kaletra, including those who developed hypertriglyceridaemia.  Furthermore, rare increases in PR interval have been reported during Kaletra therapy (see section 4.4). </w:t>
      </w:r>
    </w:p>
    <w:p w14:paraId="5296488C" w14:textId="77777777" w:rsidR="00C81811" w:rsidRPr="00342F7C" w:rsidRDefault="00C81811">
      <w:pPr>
        <w:pStyle w:val="EMEANormal"/>
        <w:rPr>
          <w:lang w:val="en-GB"/>
        </w:rPr>
      </w:pPr>
    </w:p>
    <w:p w14:paraId="6A6A01A4" w14:textId="77777777" w:rsidR="00D7303D" w:rsidRDefault="00D7303D" w:rsidP="003C1BB0">
      <w:pPr>
        <w:pStyle w:val="EMEAHeadingItalic"/>
        <w:keepNext/>
        <w:spacing w:beforeLines="0" w:before="0" w:afterLines="0" w:after="0"/>
        <w:rPr>
          <w:i w:val="0"/>
          <w:u w:val="single"/>
          <w:lang w:val="en-GB"/>
        </w:rPr>
      </w:pPr>
      <w:r w:rsidRPr="00342F7C">
        <w:rPr>
          <w:i w:val="0"/>
          <w:u w:val="single"/>
          <w:lang w:val="en-GB"/>
        </w:rPr>
        <w:t>b. Tabulated list of adverse reactions</w:t>
      </w:r>
    </w:p>
    <w:p w14:paraId="7FCDE829" w14:textId="77777777" w:rsidR="00C81811" w:rsidRPr="00C81811" w:rsidRDefault="00C81811" w:rsidP="003C1BB0">
      <w:pPr>
        <w:pStyle w:val="EMEANormal"/>
        <w:keepNext/>
        <w:rPr>
          <w:lang w:val="en-GB"/>
        </w:rPr>
      </w:pPr>
    </w:p>
    <w:p w14:paraId="19506934" w14:textId="77777777" w:rsidR="00D7303D" w:rsidRPr="00342F7C" w:rsidRDefault="00D7303D" w:rsidP="00C81811">
      <w:pPr>
        <w:pStyle w:val="EMEAHeadingItalic"/>
        <w:spacing w:beforeLines="0" w:before="0" w:afterLines="0" w:after="0"/>
        <w:rPr>
          <w:lang w:val="en-GB"/>
        </w:rPr>
      </w:pPr>
      <w:r w:rsidRPr="00342F7C">
        <w:rPr>
          <w:lang w:val="en-GB"/>
        </w:rPr>
        <w:t>Adverse reactions from clinical trials and post-marketing experience in adult and paediatric patients:</w:t>
      </w:r>
    </w:p>
    <w:p w14:paraId="3CE0B08E" w14:textId="77777777" w:rsidR="00D7303D" w:rsidRPr="005A7D58" w:rsidRDefault="00D7303D">
      <w:pPr>
        <w:pStyle w:val="EMEANormal"/>
        <w:rPr>
          <w:bCs/>
          <w:szCs w:val="22"/>
          <w:lang w:val="en-GB"/>
        </w:rPr>
      </w:pPr>
      <w:r w:rsidRPr="00342F7C">
        <w:rPr>
          <w:lang w:val="en-GB"/>
        </w:rPr>
        <w:t xml:space="preserve">The following events have been identified as adverse reactions.  The frequency category includes all reported events of moderate to severe intensity, regardless of the individual causality assessment.  </w:t>
      </w:r>
      <w:r w:rsidRPr="00342F7C">
        <w:rPr>
          <w:bCs/>
          <w:lang w:val="en-GB"/>
        </w:rPr>
        <w:t xml:space="preserve">The adverse reactions are displayed by system organ class.  Within each frequency grouping, undesirable effects are presented in order of decreasing seriousness: very common (≥1/10), common (≥ 1/100 </w:t>
      </w:r>
      <w:r w:rsidRPr="005A7D58">
        <w:rPr>
          <w:bCs/>
          <w:szCs w:val="22"/>
          <w:lang w:val="en-GB"/>
        </w:rPr>
        <w:t>to &lt; 1/10), uncommon (≥ 1/1000 to &lt; 1/100)</w:t>
      </w:r>
      <w:r w:rsidR="00FD6532" w:rsidRPr="005A7D58">
        <w:rPr>
          <w:bCs/>
          <w:szCs w:val="22"/>
          <w:lang w:val="en-GB"/>
        </w:rPr>
        <w:t>,</w:t>
      </w:r>
      <w:r w:rsidRPr="005A7D58">
        <w:rPr>
          <w:bCs/>
          <w:szCs w:val="22"/>
          <w:lang w:val="en-GB"/>
        </w:rPr>
        <w:t xml:space="preserve"> </w:t>
      </w:r>
      <w:r w:rsidR="0099677F" w:rsidRPr="005A7D58">
        <w:rPr>
          <w:bCs/>
          <w:szCs w:val="22"/>
          <w:lang w:val="en-GB"/>
        </w:rPr>
        <w:t>rare (≥1/10,000 to &lt;1/1000)</w:t>
      </w:r>
      <w:r w:rsidR="00FD6532" w:rsidRPr="005A7D58">
        <w:rPr>
          <w:bCs/>
          <w:szCs w:val="22"/>
          <w:lang w:val="en-GB"/>
        </w:rPr>
        <w:t xml:space="preserve"> and </w:t>
      </w:r>
      <w:r w:rsidR="00FD6532" w:rsidRPr="005A7D58">
        <w:rPr>
          <w:color w:val="000000"/>
          <w:szCs w:val="22"/>
        </w:rPr>
        <w:t>not known (cannot be estimated from the available data)</w:t>
      </w:r>
      <w:r w:rsidRPr="005A7D58">
        <w:rPr>
          <w:bCs/>
          <w:szCs w:val="22"/>
          <w:lang w:val="en-GB"/>
        </w:rPr>
        <w:t>.</w:t>
      </w:r>
    </w:p>
    <w:p w14:paraId="12E20810" w14:textId="77777777" w:rsidR="00D7303D" w:rsidRPr="00342F7C" w:rsidRDefault="00D7303D">
      <w:pPr>
        <w:pStyle w:val="EMEANormal"/>
        <w:tabs>
          <w:tab w:val="clear" w:pos="562"/>
          <w:tab w:val="left" w:pos="3060"/>
        </w:tabs>
        <w:suppressAutoHyphens w:val="0"/>
        <w:rPr>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9"/>
        <w:gridCol w:w="1657"/>
        <w:gridCol w:w="4374"/>
      </w:tblGrid>
      <w:tr w:rsidR="00D7303D" w:rsidRPr="00342F7C" w14:paraId="5923001F" w14:textId="77777777" w:rsidTr="00E4141B">
        <w:trPr>
          <w:cantSplit/>
        </w:trPr>
        <w:tc>
          <w:tcPr>
            <w:tcW w:w="9060" w:type="dxa"/>
            <w:gridSpan w:val="3"/>
          </w:tcPr>
          <w:p w14:paraId="045C0470" w14:textId="77777777" w:rsidR="00D7303D" w:rsidRPr="00342F7C" w:rsidRDefault="00D7303D" w:rsidP="00C81811">
            <w:pPr>
              <w:pStyle w:val="EMEANormal"/>
              <w:keepNext/>
              <w:tabs>
                <w:tab w:val="clear" w:pos="562"/>
                <w:tab w:val="left" w:pos="7340"/>
              </w:tabs>
              <w:suppressAutoHyphens w:val="0"/>
              <w:spacing w:before="120" w:after="120"/>
              <w:jc w:val="center"/>
              <w:rPr>
                <w:b/>
                <w:bCs/>
                <w:szCs w:val="24"/>
                <w:lang w:val="en-GB"/>
              </w:rPr>
            </w:pPr>
            <w:r w:rsidRPr="00342F7C">
              <w:rPr>
                <w:b/>
                <w:bCs/>
                <w:szCs w:val="24"/>
                <w:lang w:val="en-GB"/>
              </w:rPr>
              <w:t>Undesirable effects in clinical studies and post-marketing in adult patients</w:t>
            </w:r>
          </w:p>
        </w:tc>
      </w:tr>
      <w:tr w:rsidR="00D7303D" w:rsidRPr="00342F7C" w14:paraId="028E7896" w14:textId="77777777" w:rsidTr="00E4141B">
        <w:trPr>
          <w:cantSplit/>
        </w:trPr>
        <w:tc>
          <w:tcPr>
            <w:tcW w:w="3029" w:type="dxa"/>
          </w:tcPr>
          <w:p w14:paraId="2EC89162" w14:textId="77777777" w:rsidR="00D7303D" w:rsidRPr="00342F7C" w:rsidRDefault="00D7303D" w:rsidP="00C81811">
            <w:pPr>
              <w:pStyle w:val="EMEANormal"/>
              <w:keepNext/>
              <w:spacing w:before="120" w:after="120"/>
              <w:jc w:val="center"/>
              <w:rPr>
                <w:b/>
                <w:bCs/>
                <w:lang w:val="en-GB"/>
              </w:rPr>
            </w:pPr>
            <w:r w:rsidRPr="00342F7C">
              <w:rPr>
                <w:b/>
                <w:bCs/>
                <w:lang w:val="en-GB"/>
              </w:rPr>
              <w:t>System organ class</w:t>
            </w:r>
          </w:p>
        </w:tc>
        <w:tc>
          <w:tcPr>
            <w:tcW w:w="1657" w:type="dxa"/>
            <w:tcBorders>
              <w:bottom w:val="nil"/>
            </w:tcBorders>
          </w:tcPr>
          <w:p w14:paraId="5F7E3A8F" w14:textId="77777777" w:rsidR="00D7303D" w:rsidRPr="00342F7C" w:rsidRDefault="00D7303D" w:rsidP="00C81811">
            <w:pPr>
              <w:pStyle w:val="EMEANormal"/>
              <w:keepNext/>
              <w:spacing w:before="120" w:after="120"/>
              <w:jc w:val="center"/>
              <w:rPr>
                <w:b/>
                <w:bCs/>
                <w:lang w:val="en-GB"/>
              </w:rPr>
            </w:pPr>
            <w:r w:rsidRPr="00342F7C">
              <w:rPr>
                <w:b/>
                <w:bCs/>
                <w:lang w:val="en-GB"/>
              </w:rPr>
              <w:t>Frequency</w:t>
            </w:r>
          </w:p>
        </w:tc>
        <w:tc>
          <w:tcPr>
            <w:tcW w:w="4374" w:type="dxa"/>
            <w:tcBorders>
              <w:bottom w:val="nil"/>
            </w:tcBorders>
          </w:tcPr>
          <w:p w14:paraId="0899779D" w14:textId="77777777" w:rsidR="00D7303D" w:rsidRPr="00342F7C" w:rsidRDefault="00D7303D" w:rsidP="00C81811">
            <w:pPr>
              <w:pStyle w:val="EMEANormal"/>
              <w:keepNext/>
              <w:spacing w:before="120" w:after="120"/>
              <w:jc w:val="center"/>
              <w:rPr>
                <w:b/>
                <w:bCs/>
                <w:lang w:val="en-GB"/>
              </w:rPr>
            </w:pPr>
            <w:r w:rsidRPr="00342F7C">
              <w:rPr>
                <w:b/>
                <w:bCs/>
                <w:lang w:val="en-GB"/>
              </w:rPr>
              <w:t>Adverse reaction</w:t>
            </w:r>
          </w:p>
        </w:tc>
      </w:tr>
      <w:tr w:rsidR="00D7303D" w:rsidRPr="00342F7C" w14:paraId="5266A6E1" w14:textId="77777777" w:rsidTr="00E4141B">
        <w:trPr>
          <w:cantSplit/>
        </w:trPr>
        <w:tc>
          <w:tcPr>
            <w:tcW w:w="3029" w:type="dxa"/>
            <w:vMerge w:val="restart"/>
          </w:tcPr>
          <w:p w14:paraId="2EB4CEF6" w14:textId="77777777" w:rsidR="00D7303D" w:rsidRPr="00342F7C" w:rsidRDefault="00D7303D" w:rsidP="00C81811">
            <w:pPr>
              <w:pStyle w:val="EMEANormal"/>
              <w:keepNext/>
              <w:tabs>
                <w:tab w:val="clear" w:pos="562"/>
                <w:tab w:val="left" w:pos="7340"/>
              </w:tabs>
              <w:suppressAutoHyphens w:val="0"/>
              <w:rPr>
                <w:szCs w:val="24"/>
                <w:lang w:val="en-GB"/>
              </w:rPr>
            </w:pPr>
            <w:r w:rsidRPr="00342F7C">
              <w:rPr>
                <w:lang w:val="en-GB"/>
              </w:rPr>
              <w:t>Infections and infestations</w:t>
            </w:r>
          </w:p>
        </w:tc>
        <w:tc>
          <w:tcPr>
            <w:tcW w:w="1657" w:type="dxa"/>
            <w:tcBorders>
              <w:bottom w:val="nil"/>
            </w:tcBorders>
          </w:tcPr>
          <w:p w14:paraId="69747D3F" w14:textId="77777777" w:rsidR="00D7303D" w:rsidRPr="00342F7C" w:rsidRDefault="00D7303D" w:rsidP="00C81811">
            <w:pPr>
              <w:pStyle w:val="EMEANormal"/>
              <w:keepNext/>
              <w:tabs>
                <w:tab w:val="clear" w:pos="562"/>
                <w:tab w:val="left" w:pos="7340"/>
              </w:tabs>
              <w:suppressAutoHyphens w:val="0"/>
              <w:rPr>
                <w:szCs w:val="24"/>
                <w:lang w:val="en-GB"/>
              </w:rPr>
            </w:pPr>
            <w:r w:rsidRPr="00342F7C">
              <w:rPr>
                <w:lang w:val="en-GB"/>
              </w:rPr>
              <w:t>Very common</w:t>
            </w:r>
          </w:p>
        </w:tc>
        <w:tc>
          <w:tcPr>
            <w:tcW w:w="4374" w:type="dxa"/>
            <w:tcBorders>
              <w:bottom w:val="nil"/>
            </w:tcBorders>
          </w:tcPr>
          <w:p w14:paraId="34F5CE7A" w14:textId="77777777" w:rsidR="00D7303D" w:rsidRPr="00342F7C" w:rsidRDefault="00D7303D" w:rsidP="00C81811">
            <w:pPr>
              <w:pStyle w:val="EMEANormal"/>
              <w:keepNext/>
              <w:tabs>
                <w:tab w:val="clear" w:pos="562"/>
                <w:tab w:val="left" w:pos="7340"/>
              </w:tabs>
              <w:suppressAutoHyphens w:val="0"/>
              <w:rPr>
                <w:lang w:val="en-GB"/>
              </w:rPr>
            </w:pPr>
            <w:r w:rsidRPr="00342F7C">
              <w:rPr>
                <w:bCs/>
                <w:szCs w:val="22"/>
                <w:lang w:val="en-GB"/>
              </w:rPr>
              <w:t>Upper respiratory tract infection</w:t>
            </w:r>
          </w:p>
          <w:p w14:paraId="54FEEA12" w14:textId="77777777" w:rsidR="00D7303D" w:rsidRPr="00342F7C" w:rsidRDefault="00D7303D" w:rsidP="00C81811">
            <w:pPr>
              <w:pStyle w:val="EMEANormal"/>
              <w:keepNext/>
              <w:tabs>
                <w:tab w:val="clear" w:pos="562"/>
                <w:tab w:val="left" w:pos="7340"/>
              </w:tabs>
              <w:suppressAutoHyphens w:val="0"/>
              <w:rPr>
                <w:szCs w:val="24"/>
                <w:lang w:val="en-GB"/>
              </w:rPr>
            </w:pPr>
          </w:p>
        </w:tc>
      </w:tr>
      <w:tr w:rsidR="00D7303D" w:rsidRPr="00342F7C" w14:paraId="356AAC8D" w14:textId="77777777" w:rsidTr="00E4141B">
        <w:trPr>
          <w:cantSplit/>
        </w:trPr>
        <w:tc>
          <w:tcPr>
            <w:tcW w:w="3029" w:type="dxa"/>
            <w:vMerge/>
          </w:tcPr>
          <w:p w14:paraId="471CE69F" w14:textId="77777777" w:rsidR="00D7303D" w:rsidRPr="00342F7C" w:rsidRDefault="00D7303D" w:rsidP="00C81811">
            <w:pPr>
              <w:pStyle w:val="EMEANormal"/>
              <w:keepNext/>
              <w:tabs>
                <w:tab w:val="clear" w:pos="562"/>
                <w:tab w:val="left" w:pos="7340"/>
              </w:tabs>
              <w:suppressAutoHyphens w:val="0"/>
              <w:rPr>
                <w:lang w:val="en-GB"/>
              </w:rPr>
            </w:pPr>
          </w:p>
        </w:tc>
        <w:tc>
          <w:tcPr>
            <w:tcW w:w="1657" w:type="dxa"/>
            <w:tcBorders>
              <w:top w:val="nil"/>
              <w:bottom w:val="single" w:sz="4" w:space="0" w:color="auto"/>
            </w:tcBorders>
          </w:tcPr>
          <w:p w14:paraId="3AC83648" w14:textId="77777777" w:rsidR="00D7303D" w:rsidRPr="00342F7C" w:rsidRDefault="00D7303D" w:rsidP="00C81811">
            <w:pPr>
              <w:pStyle w:val="EMEANormal"/>
              <w:keepNext/>
              <w:tabs>
                <w:tab w:val="clear" w:pos="562"/>
                <w:tab w:val="left" w:pos="7340"/>
              </w:tabs>
              <w:suppressAutoHyphens w:val="0"/>
              <w:rPr>
                <w:lang w:val="en-GB"/>
              </w:rPr>
            </w:pPr>
            <w:r w:rsidRPr="00342F7C">
              <w:rPr>
                <w:lang w:val="en-GB"/>
              </w:rPr>
              <w:t>Common</w:t>
            </w:r>
          </w:p>
        </w:tc>
        <w:tc>
          <w:tcPr>
            <w:tcW w:w="4374" w:type="dxa"/>
            <w:tcBorders>
              <w:top w:val="nil"/>
              <w:bottom w:val="single" w:sz="4" w:space="0" w:color="auto"/>
            </w:tcBorders>
          </w:tcPr>
          <w:p w14:paraId="2DD73DCD" w14:textId="77777777" w:rsidR="00D7303D" w:rsidRPr="00342F7C" w:rsidRDefault="00D7303D" w:rsidP="00C81811">
            <w:pPr>
              <w:pStyle w:val="EMEANormal"/>
              <w:keepNext/>
              <w:tabs>
                <w:tab w:val="clear" w:pos="562"/>
                <w:tab w:val="left" w:pos="7340"/>
              </w:tabs>
              <w:suppressAutoHyphens w:val="0"/>
              <w:rPr>
                <w:lang w:val="en-GB"/>
              </w:rPr>
            </w:pPr>
            <w:r w:rsidRPr="00342F7C">
              <w:rPr>
                <w:szCs w:val="22"/>
                <w:lang w:val="en-GB"/>
              </w:rPr>
              <w:t>Lower respiratory tract infection, skin infections including</w:t>
            </w:r>
            <w:r w:rsidRPr="00342F7C">
              <w:rPr>
                <w:lang w:val="en-GB"/>
              </w:rPr>
              <w:t xml:space="preserve"> cellulitis, folliculitis and furuncle</w:t>
            </w:r>
          </w:p>
        </w:tc>
      </w:tr>
      <w:tr w:rsidR="00D7303D" w:rsidRPr="00342F7C" w14:paraId="260EAF52" w14:textId="77777777" w:rsidTr="00E4141B">
        <w:trPr>
          <w:cantSplit/>
          <w:trHeight w:val="593"/>
        </w:trPr>
        <w:tc>
          <w:tcPr>
            <w:tcW w:w="3029" w:type="dxa"/>
          </w:tcPr>
          <w:p w14:paraId="586A7736" w14:textId="77777777" w:rsidR="00D7303D" w:rsidRPr="00342F7C" w:rsidRDefault="00D7303D" w:rsidP="00C81811">
            <w:pPr>
              <w:pStyle w:val="EMEANormal"/>
              <w:keepNext/>
              <w:tabs>
                <w:tab w:val="clear" w:pos="562"/>
                <w:tab w:val="left" w:pos="7340"/>
              </w:tabs>
              <w:suppressAutoHyphens w:val="0"/>
              <w:rPr>
                <w:lang w:val="en-GB"/>
              </w:rPr>
            </w:pPr>
            <w:r w:rsidRPr="00342F7C">
              <w:rPr>
                <w:lang w:val="en-GB"/>
              </w:rPr>
              <w:t>Blood and lymphatic system disorders</w:t>
            </w:r>
          </w:p>
        </w:tc>
        <w:tc>
          <w:tcPr>
            <w:tcW w:w="1657" w:type="dxa"/>
            <w:tcBorders>
              <w:top w:val="single" w:sz="4" w:space="0" w:color="auto"/>
            </w:tcBorders>
          </w:tcPr>
          <w:p w14:paraId="076C323B" w14:textId="77777777" w:rsidR="00D7303D" w:rsidRPr="00342F7C" w:rsidRDefault="00D7303D" w:rsidP="00C81811">
            <w:pPr>
              <w:pStyle w:val="EMEANormal"/>
              <w:keepNext/>
              <w:tabs>
                <w:tab w:val="clear" w:pos="562"/>
                <w:tab w:val="left" w:pos="7340"/>
              </w:tabs>
              <w:suppressAutoHyphens w:val="0"/>
              <w:rPr>
                <w:lang w:val="en-GB"/>
              </w:rPr>
            </w:pPr>
            <w:r w:rsidRPr="00342F7C">
              <w:rPr>
                <w:lang w:val="en-GB"/>
              </w:rPr>
              <w:t>Common</w:t>
            </w:r>
          </w:p>
        </w:tc>
        <w:tc>
          <w:tcPr>
            <w:tcW w:w="4374" w:type="dxa"/>
            <w:tcBorders>
              <w:top w:val="single" w:sz="4" w:space="0" w:color="auto"/>
            </w:tcBorders>
          </w:tcPr>
          <w:p w14:paraId="5CCFAC37" w14:textId="77777777" w:rsidR="00D7303D" w:rsidRPr="00342F7C" w:rsidRDefault="00D7303D" w:rsidP="00C81811">
            <w:pPr>
              <w:pStyle w:val="EMEANormal"/>
              <w:keepNext/>
              <w:tabs>
                <w:tab w:val="clear" w:pos="562"/>
                <w:tab w:val="left" w:pos="980"/>
              </w:tabs>
              <w:suppressAutoHyphens w:val="0"/>
              <w:rPr>
                <w:lang w:val="en-GB"/>
              </w:rPr>
            </w:pPr>
            <w:r w:rsidRPr="00342F7C">
              <w:rPr>
                <w:lang w:val="en-GB"/>
              </w:rPr>
              <w:t xml:space="preserve">Anaemia, leucopenia, </w:t>
            </w:r>
            <w:r w:rsidRPr="00342F7C">
              <w:rPr>
                <w:szCs w:val="22"/>
                <w:lang w:val="en-GB"/>
              </w:rPr>
              <w:t>neutropenia,</w:t>
            </w:r>
            <w:r w:rsidRPr="00342F7C">
              <w:rPr>
                <w:lang w:val="en-GB"/>
              </w:rPr>
              <w:t xml:space="preserve"> lymphadenopathy</w:t>
            </w:r>
          </w:p>
        </w:tc>
      </w:tr>
      <w:tr w:rsidR="00D7303D" w:rsidRPr="00342F7C" w14:paraId="62C1D0F4" w14:textId="77777777" w:rsidTr="00E4141B">
        <w:trPr>
          <w:cantSplit/>
        </w:trPr>
        <w:tc>
          <w:tcPr>
            <w:tcW w:w="3029" w:type="dxa"/>
            <w:vMerge w:val="restart"/>
          </w:tcPr>
          <w:p w14:paraId="1C68A180" w14:textId="77777777" w:rsidR="00D7303D" w:rsidRPr="00342F7C" w:rsidRDefault="00D7303D" w:rsidP="00560786">
            <w:pPr>
              <w:pStyle w:val="EMEANormal"/>
              <w:tabs>
                <w:tab w:val="clear" w:pos="562"/>
                <w:tab w:val="left" w:pos="7340"/>
              </w:tabs>
              <w:suppressAutoHyphens w:val="0"/>
              <w:rPr>
                <w:lang w:val="en-GB"/>
              </w:rPr>
            </w:pPr>
            <w:r w:rsidRPr="00342F7C">
              <w:rPr>
                <w:lang w:val="en-GB"/>
              </w:rPr>
              <w:t>Immune system disorders</w:t>
            </w:r>
          </w:p>
        </w:tc>
        <w:tc>
          <w:tcPr>
            <w:tcW w:w="1657" w:type="dxa"/>
            <w:tcBorders>
              <w:top w:val="single" w:sz="4" w:space="0" w:color="auto"/>
              <w:bottom w:val="nil"/>
            </w:tcBorders>
          </w:tcPr>
          <w:p w14:paraId="750874A1" w14:textId="77777777" w:rsidR="00D7303D" w:rsidRPr="00342F7C" w:rsidRDefault="00D7303D" w:rsidP="00560786">
            <w:pPr>
              <w:pStyle w:val="EMEANormal"/>
              <w:rPr>
                <w:lang w:val="en-GB"/>
              </w:rPr>
            </w:pPr>
            <w:r w:rsidRPr="00342F7C">
              <w:rPr>
                <w:lang w:val="en-GB"/>
              </w:rPr>
              <w:t>Common</w:t>
            </w:r>
          </w:p>
        </w:tc>
        <w:tc>
          <w:tcPr>
            <w:tcW w:w="4374" w:type="dxa"/>
            <w:tcBorders>
              <w:top w:val="single" w:sz="4" w:space="0" w:color="auto"/>
              <w:bottom w:val="nil"/>
            </w:tcBorders>
          </w:tcPr>
          <w:p w14:paraId="606F291E" w14:textId="77777777" w:rsidR="00D7303D" w:rsidRPr="00342F7C" w:rsidRDefault="00D7303D" w:rsidP="00560786">
            <w:pPr>
              <w:pStyle w:val="EMEANormal"/>
              <w:rPr>
                <w:lang w:val="en-GB"/>
              </w:rPr>
            </w:pPr>
            <w:r w:rsidRPr="00342F7C">
              <w:rPr>
                <w:lang w:val="en-GB"/>
              </w:rPr>
              <w:t xml:space="preserve">Hypersensitivity </w:t>
            </w:r>
            <w:r w:rsidRPr="00342F7C">
              <w:rPr>
                <w:szCs w:val="22"/>
                <w:lang w:val="en-GB"/>
              </w:rPr>
              <w:t>including urticaria and angioedema</w:t>
            </w:r>
          </w:p>
          <w:p w14:paraId="23893BA4" w14:textId="77777777" w:rsidR="00D7303D" w:rsidRPr="00342F7C" w:rsidRDefault="00D7303D" w:rsidP="00560786">
            <w:pPr>
              <w:pStyle w:val="EMEANormal"/>
              <w:rPr>
                <w:lang w:val="en-GB"/>
              </w:rPr>
            </w:pPr>
          </w:p>
        </w:tc>
      </w:tr>
      <w:tr w:rsidR="00D7303D" w:rsidRPr="00342F7C" w14:paraId="1507979A" w14:textId="77777777" w:rsidTr="00E4141B">
        <w:trPr>
          <w:cantSplit/>
        </w:trPr>
        <w:tc>
          <w:tcPr>
            <w:tcW w:w="3029" w:type="dxa"/>
            <w:vMerge/>
          </w:tcPr>
          <w:p w14:paraId="4079FA55" w14:textId="77777777" w:rsidR="00D7303D" w:rsidRPr="00342F7C" w:rsidRDefault="00D7303D" w:rsidP="00560786">
            <w:pPr>
              <w:pStyle w:val="EMEANormal"/>
              <w:tabs>
                <w:tab w:val="clear" w:pos="562"/>
                <w:tab w:val="left" w:pos="7340"/>
              </w:tabs>
              <w:suppressAutoHyphens w:val="0"/>
              <w:rPr>
                <w:lang w:val="en-GB"/>
              </w:rPr>
            </w:pPr>
          </w:p>
        </w:tc>
        <w:tc>
          <w:tcPr>
            <w:tcW w:w="1657" w:type="dxa"/>
            <w:tcBorders>
              <w:top w:val="nil"/>
              <w:bottom w:val="single" w:sz="4" w:space="0" w:color="auto"/>
            </w:tcBorders>
          </w:tcPr>
          <w:p w14:paraId="2285529E" w14:textId="77777777" w:rsidR="00D7303D" w:rsidRPr="00342F7C" w:rsidRDefault="00D7303D" w:rsidP="00560786">
            <w:pPr>
              <w:pStyle w:val="EMEANormal"/>
              <w:rPr>
                <w:lang w:val="en-GB"/>
              </w:rPr>
            </w:pPr>
            <w:r w:rsidRPr="00342F7C">
              <w:rPr>
                <w:lang w:val="en-GB"/>
              </w:rPr>
              <w:t>Uncommon</w:t>
            </w:r>
          </w:p>
        </w:tc>
        <w:tc>
          <w:tcPr>
            <w:tcW w:w="4374" w:type="dxa"/>
            <w:tcBorders>
              <w:top w:val="nil"/>
              <w:bottom w:val="single" w:sz="4" w:space="0" w:color="auto"/>
            </w:tcBorders>
          </w:tcPr>
          <w:p w14:paraId="6FBF32AA" w14:textId="77777777" w:rsidR="00D7303D" w:rsidRPr="00342F7C" w:rsidRDefault="00D7303D" w:rsidP="00FC25FF">
            <w:pPr>
              <w:pStyle w:val="EMEANormal"/>
              <w:rPr>
                <w:lang w:val="en-GB"/>
              </w:rPr>
            </w:pPr>
            <w:r w:rsidRPr="00342F7C">
              <w:rPr>
                <w:lang w:val="en-GB"/>
              </w:rPr>
              <w:t xml:space="preserve">Immune </w:t>
            </w:r>
            <w:r w:rsidR="00FC25FF">
              <w:rPr>
                <w:lang w:val="en-GB"/>
              </w:rPr>
              <w:t>reconstitution inflammatory</w:t>
            </w:r>
            <w:r w:rsidR="00FC25FF" w:rsidRPr="00342F7C">
              <w:rPr>
                <w:lang w:val="en-GB"/>
              </w:rPr>
              <w:t xml:space="preserve"> </w:t>
            </w:r>
            <w:r w:rsidRPr="00342F7C">
              <w:rPr>
                <w:lang w:val="en-GB"/>
              </w:rPr>
              <w:t>syndrome</w:t>
            </w:r>
          </w:p>
        </w:tc>
      </w:tr>
      <w:tr w:rsidR="00D7303D" w:rsidRPr="00342F7C" w14:paraId="2936F50F" w14:textId="77777777" w:rsidTr="00E4141B">
        <w:tc>
          <w:tcPr>
            <w:tcW w:w="3029" w:type="dxa"/>
          </w:tcPr>
          <w:p w14:paraId="5F4F9B87" w14:textId="77777777" w:rsidR="00D7303D" w:rsidRPr="00342F7C" w:rsidRDefault="00D7303D" w:rsidP="00560786">
            <w:pPr>
              <w:pStyle w:val="EMEANormal"/>
              <w:tabs>
                <w:tab w:val="clear" w:pos="562"/>
                <w:tab w:val="left" w:pos="7340"/>
              </w:tabs>
              <w:suppressAutoHyphens w:val="0"/>
              <w:rPr>
                <w:lang w:val="en-GB"/>
              </w:rPr>
            </w:pPr>
            <w:r w:rsidRPr="00342F7C">
              <w:rPr>
                <w:lang w:val="en-GB"/>
              </w:rPr>
              <w:t>Endocrine disorders</w:t>
            </w:r>
          </w:p>
        </w:tc>
        <w:tc>
          <w:tcPr>
            <w:tcW w:w="1657" w:type="dxa"/>
          </w:tcPr>
          <w:p w14:paraId="0C0E66CF" w14:textId="77777777" w:rsidR="00D7303D" w:rsidRPr="00342F7C" w:rsidRDefault="00D7303D" w:rsidP="00560786">
            <w:pPr>
              <w:pStyle w:val="EMEANormal"/>
              <w:tabs>
                <w:tab w:val="clear" w:pos="562"/>
                <w:tab w:val="left" w:pos="7340"/>
              </w:tabs>
              <w:suppressAutoHyphens w:val="0"/>
              <w:rPr>
                <w:lang w:val="en-GB"/>
              </w:rPr>
            </w:pPr>
            <w:r w:rsidRPr="00342F7C">
              <w:rPr>
                <w:lang w:val="en-GB"/>
              </w:rPr>
              <w:t>Uncommon</w:t>
            </w:r>
          </w:p>
        </w:tc>
        <w:tc>
          <w:tcPr>
            <w:tcW w:w="4374" w:type="dxa"/>
          </w:tcPr>
          <w:p w14:paraId="1F8AC1BB" w14:textId="77777777" w:rsidR="00D7303D" w:rsidRPr="00342F7C" w:rsidRDefault="00D7303D" w:rsidP="00560786">
            <w:pPr>
              <w:pStyle w:val="EMEANormal"/>
              <w:tabs>
                <w:tab w:val="clear" w:pos="562"/>
                <w:tab w:val="left" w:pos="7340"/>
              </w:tabs>
              <w:suppressAutoHyphens w:val="0"/>
              <w:rPr>
                <w:lang w:val="en-GB"/>
              </w:rPr>
            </w:pPr>
            <w:r w:rsidRPr="00342F7C">
              <w:rPr>
                <w:lang w:val="en-GB"/>
              </w:rPr>
              <w:t xml:space="preserve">Hypogonadism </w:t>
            </w:r>
          </w:p>
        </w:tc>
      </w:tr>
      <w:tr w:rsidR="00D7303D" w:rsidRPr="00342F7C" w14:paraId="5A5474F2" w14:textId="77777777" w:rsidTr="00E4141B">
        <w:trPr>
          <w:cantSplit/>
        </w:trPr>
        <w:tc>
          <w:tcPr>
            <w:tcW w:w="3029" w:type="dxa"/>
            <w:vMerge w:val="restart"/>
          </w:tcPr>
          <w:p w14:paraId="3C63F6EC" w14:textId="77777777" w:rsidR="00D7303D" w:rsidRPr="00342F7C" w:rsidRDefault="00D7303D" w:rsidP="00560786">
            <w:pPr>
              <w:pStyle w:val="EMEANormal"/>
              <w:tabs>
                <w:tab w:val="clear" w:pos="562"/>
                <w:tab w:val="left" w:pos="7340"/>
              </w:tabs>
              <w:suppressAutoHyphens w:val="0"/>
              <w:rPr>
                <w:lang w:val="en-GB"/>
              </w:rPr>
            </w:pPr>
            <w:r w:rsidRPr="00342F7C">
              <w:rPr>
                <w:lang w:val="en-GB"/>
              </w:rPr>
              <w:t>Metabolism and nutrition disorders</w:t>
            </w:r>
          </w:p>
        </w:tc>
        <w:tc>
          <w:tcPr>
            <w:tcW w:w="1657" w:type="dxa"/>
            <w:tcBorders>
              <w:top w:val="single" w:sz="4" w:space="0" w:color="auto"/>
              <w:bottom w:val="nil"/>
            </w:tcBorders>
          </w:tcPr>
          <w:p w14:paraId="62049798" w14:textId="77777777" w:rsidR="00D7303D" w:rsidRPr="00342F7C" w:rsidRDefault="00D7303D" w:rsidP="00560786">
            <w:pPr>
              <w:pStyle w:val="EMEANormal"/>
              <w:tabs>
                <w:tab w:val="clear" w:pos="562"/>
                <w:tab w:val="left" w:pos="7340"/>
              </w:tabs>
              <w:suppressAutoHyphens w:val="0"/>
              <w:rPr>
                <w:lang w:val="en-GB"/>
              </w:rPr>
            </w:pPr>
            <w:r w:rsidRPr="00342F7C">
              <w:rPr>
                <w:lang w:val="en-GB"/>
              </w:rPr>
              <w:t>Common</w:t>
            </w:r>
          </w:p>
        </w:tc>
        <w:tc>
          <w:tcPr>
            <w:tcW w:w="4374" w:type="dxa"/>
            <w:tcBorders>
              <w:top w:val="single" w:sz="4" w:space="0" w:color="auto"/>
              <w:bottom w:val="nil"/>
            </w:tcBorders>
          </w:tcPr>
          <w:p w14:paraId="65389695" w14:textId="77777777" w:rsidR="00D7303D" w:rsidRPr="00342F7C" w:rsidRDefault="00D7303D" w:rsidP="00560786">
            <w:pPr>
              <w:pStyle w:val="EMEANormal"/>
              <w:tabs>
                <w:tab w:val="clear" w:pos="562"/>
                <w:tab w:val="left" w:pos="7340"/>
              </w:tabs>
              <w:suppressAutoHyphens w:val="0"/>
              <w:rPr>
                <w:lang w:val="en-GB"/>
              </w:rPr>
            </w:pPr>
            <w:r w:rsidRPr="00342F7C">
              <w:rPr>
                <w:lang w:val="en-GB"/>
              </w:rPr>
              <w:t xml:space="preserve">Blood glucose disorders including diabetes mellitus, </w:t>
            </w:r>
            <w:r w:rsidRPr="00342F7C">
              <w:rPr>
                <w:szCs w:val="22"/>
                <w:lang w:val="en-GB"/>
              </w:rPr>
              <w:t>hypertriglyceridaemia, hypercholesterolemia, weight decreased, decreased appetite</w:t>
            </w:r>
          </w:p>
          <w:p w14:paraId="46F5AF57" w14:textId="77777777" w:rsidR="00D7303D" w:rsidRPr="00342F7C" w:rsidRDefault="00D7303D" w:rsidP="00560786">
            <w:pPr>
              <w:pStyle w:val="EMEANormal"/>
              <w:tabs>
                <w:tab w:val="clear" w:pos="562"/>
                <w:tab w:val="left" w:pos="7340"/>
              </w:tabs>
              <w:suppressAutoHyphens w:val="0"/>
              <w:rPr>
                <w:lang w:val="en-GB"/>
              </w:rPr>
            </w:pPr>
          </w:p>
        </w:tc>
      </w:tr>
      <w:tr w:rsidR="00D7303D" w:rsidRPr="00342F7C" w14:paraId="0DA2EC43" w14:textId="77777777" w:rsidTr="00E4141B">
        <w:trPr>
          <w:cantSplit/>
        </w:trPr>
        <w:tc>
          <w:tcPr>
            <w:tcW w:w="3029" w:type="dxa"/>
            <w:vMerge/>
          </w:tcPr>
          <w:p w14:paraId="751747AB" w14:textId="77777777" w:rsidR="00D7303D" w:rsidRPr="00342F7C" w:rsidRDefault="00D7303D" w:rsidP="00560786">
            <w:pPr>
              <w:pStyle w:val="EMEANormal"/>
              <w:tabs>
                <w:tab w:val="clear" w:pos="562"/>
                <w:tab w:val="left" w:pos="7340"/>
              </w:tabs>
              <w:suppressAutoHyphens w:val="0"/>
              <w:rPr>
                <w:lang w:val="en-GB"/>
              </w:rPr>
            </w:pPr>
          </w:p>
        </w:tc>
        <w:tc>
          <w:tcPr>
            <w:tcW w:w="1657" w:type="dxa"/>
            <w:tcBorders>
              <w:top w:val="nil"/>
              <w:bottom w:val="single" w:sz="4" w:space="0" w:color="auto"/>
            </w:tcBorders>
          </w:tcPr>
          <w:p w14:paraId="19257092" w14:textId="77777777" w:rsidR="00D7303D" w:rsidRPr="00342F7C" w:rsidRDefault="00D7303D" w:rsidP="00560786">
            <w:pPr>
              <w:pStyle w:val="EMEANormal"/>
              <w:tabs>
                <w:tab w:val="clear" w:pos="562"/>
                <w:tab w:val="left" w:pos="7340"/>
              </w:tabs>
              <w:suppressAutoHyphens w:val="0"/>
              <w:rPr>
                <w:lang w:val="en-GB"/>
              </w:rPr>
            </w:pPr>
            <w:r w:rsidRPr="00342F7C">
              <w:rPr>
                <w:lang w:val="en-GB"/>
              </w:rPr>
              <w:t>Uncommon</w:t>
            </w:r>
          </w:p>
        </w:tc>
        <w:tc>
          <w:tcPr>
            <w:tcW w:w="4374" w:type="dxa"/>
            <w:tcBorders>
              <w:top w:val="nil"/>
              <w:bottom w:val="single" w:sz="4" w:space="0" w:color="auto"/>
            </w:tcBorders>
          </w:tcPr>
          <w:p w14:paraId="4C5C57D9" w14:textId="77777777" w:rsidR="00D7303D" w:rsidRPr="00342F7C" w:rsidRDefault="00D7303D" w:rsidP="00560786">
            <w:pPr>
              <w:pStyle w:val="EMEANormal"/>
              <w:tabs>
                <w:tab w:val="clear" w:pos="562"/>
                <w:tab w:val="left" w:pos="7340"/>
              </w:tabs>
              <w:suppressAutoHyphens w:val="0"/>
              <w:rPr>
                <w:lang w:val="en-GB"/>
              </w:rPr>
            </w:pPr>
            <w:r w:rsidRPr="00342F7C">
              <w:rPr>
                <w:szCs w:val="22"/>
                <w:lang w:val="en-GB"/>
              </w:rPr>
              <w:t>Weight increased, increased appetite</w:t>
            </w:r>
          </w:p>
        </w:tc>
      </w:tr>
      <w:tr w:rsidR="00D7303D" w:rsidRPr="00342F7C" w14:paraId="6BFEA0FC" w14:textId="77777777" w:rsidTr="00E4141B">
        <w:trPr>
          <w:cantSplit/>
        </w:trPr>
        <w:tc>
          <w:tcPr>
            <w:tcW w:w="3029" w:type="dxa"/>
            <w:vMerge w:val="restart"/>
          </w:tcPr>
          <w:p w14:paraId="3E4E844E" w14:textId="77777777" w:rsidR="00D7303D" w:rsidRPr="00342F7C" w:rsidRDefault="00D7303D" w:rsidP="00560786">
            <w:pPr>
              <w:pStyle w:val="EMEANormal"/>
              <w:tabs>
                <w:tab w:val="clear" w:pos="562"/>
                <w:tab w:val="left" w:pos="7340"/>
              </w:tabs>
              <w:suppressAutoHyphens w:val="0"/>
              <w:rPr>
                <w:lang w:val="en-GB"/>
              </w:rPr>
            </w:pPr>
            <w:r w:rsidRPr="00342F7C">
              <w:rPr>
                <w:lang w:val="en-GB"/>
              </w:rPr>
              <w:t>Psychiatric disorders</w:t>
            </w:r>
          </w:p>
        </w:tc>
        <w:tc>
          <w:tcPr>
            <w:tcW w:w="1657" w:type="dxa"/>
            <w:tcBorders>
              <w:top w:val="single" w:sz="4" w:space="0" w:color="auto"/>
              <w:bottom w:val="nil"/>
            </w:tcBorders>
          </w:tcPr>
          <w:p w14:paraId="6536867D" w14:textId="77777777" w:rsidR="00D7303D" w:rsidRPr="00342F7C" w:rsidRDefault="00D7303D" w:rsidP="00560786">
            <w:pPr>
              <w:pStyle w:val="EMEANormal"/>
              <w:tabs>
                <w:tab w:val="clear" w:pos="562"/>
                <w:tab w:val="left" w:pos="7340"/>
              </w:tabs>
              <w:suppressAutoHyphens w:val="0"/>
              <w:rPr>
                <w:lang w:val="en-GB"/>
              </w:rPr>
            </w:pPr>
            <w:r w:rsidRPr="00342F7C">
              <w:rPr>
                <w:lang w:val="en-GB"/>
              </w:rPr>
              <w:t>Common</w:t>
            </w:r>
          </w:p>
        </w:tc>
        <w:tc>
          <w:tcPr>
            <w:tcW w:w="4374" w:type="dxa"/>
            <w:tcBorders>
              <w:top w:val="single" w:sz="4" w:space="0" w:color="auto"/>
              <w:bottom w:val="nil"/>
            </w:tcBorders>
          </w:tcPr>
          <w:p w14:paraId="77D267A9" w14:textId="77777777" w:rsidR="00D7303D" w:rsidRPr="00342F7C" w:rsidRDefault="00D7303D" w:rsidP="00560786">
            <w:pPr>
              <w:pStyle w:val="EMEANormal"/>
              <w:rPr>
                <w:lang w:val="en-GB"/>
              </w:rPr>
            </w:pPr>
            <w:r w:rsidRPr="00342F7C">
              <w:rPr>
                <w:lang w:val="en-GB"/>
              </w:rPr>
              <w:t>Anxiety</w:t>
            </w:r>
          </w:p>
          <w:p w14:paraId="5DDFC111" w14:textId="77777777" w:rsidR="00D7303D" w:rsidRPr="00342F7C" w:rsidRDefault="00D7303D" w:rsidP="00560786">
            <w:pPr>
              <w:pStyle w:val="EMEANormal"/>
              <w:rPr>
                <w:lang w:val="en-GB"/>
              </w:rPr>
            </w:pPr>
          </w:p>
        </w:tc>
      </w:tr>
      <w:tr w:rsidR="00D7303D" w:rsidRPr="00342F7C" w14:paraId="2C313858" w14:textId="77777777" w:rsidTr="00E4141B">
        <w:trPr>
          <w:cantSplit/>
        </w:trPr>
        <w:tc>
          <w:tcPr>
            <w:tcW w:w="3029" w:type="dxa"/>
            <w:vMerge/>
          </w:tcPr>
          <w:p w14:paraId="2272CE66" w14:textId="77777777" w:rsidR="00D7303D" w:rsidRPr="00342F7C" w:rsidRDefault="00D7303D" w:rsidP="00560786">
            <w:pPr>
              <w:pStyle w:val="EMEANormal"/>
              <w:tabs>
                <w:tab w:val="clear" w:pos="562"/>
                <w:tab w:val="left" w:pos="7340"/>
              </w:tabs>
              <w:suppressAutoHyphens w:val="0"/>
              <w:rPr>
                <w:lang w:val="en-GB"/>
              </w:rPr>
            </w:pPr>
          </w:p>
        </w:tc>
        <w:tc>
          <w:tcPr>
            <w:tcW w:w="1657" w:type="dxa"/>
            <w:tcBorders>
              <w:top w:val="nil"/>
              <w:bottom w:val="single" w:sz="4" w:space="0" w:color="auto"/>
            </w:tcBorders>
          </w:tcPr>
          <w:p w14:paraId="2964D36E" w14:textId="77777777" w:rsidR="00D7303D" w:rsidRPr="00342F7C" w:rsidRDefault="00D7303D" w:rsidP="00560786">
            <w:pPr>
              <w:pStyle w:val="EMEANormal"/>
              <w:rPr>
                <w:lang w:val="en-GB"/>
              </w:rPr>
            </w:pPr>
            <w:r w:rsidRPr="00342F7C">
              <w:rPr>
                <w:lang w:val="en-GB"/>
              </w:rPr>
              <w:t>Uncommon</w:t>
            </w:r>
          </w:p>
        </w:tc>
        <w:tc>
          <w:tcPr>
            <w:tcW w:w="4374" w:type="dxa"/>
            <w:tcBorders>
              <w:top w:val="nil"/>
              <w:bottom w:val="single" w:sz="4" w:space="0" w:color="auto"/>
            </w:tcBorders>
          </w:tcPr>
          <w:p w14:paraId="1C0FFB87" w14:textId="77777777" w:rsidR="00D7303D" w:rsidRPr="00342F7C" w:rsidRDefault="00D7303D" w:rsidP="00560786">
            <w:pPr>
              <w:pStyle w:val="EMEANormal"/>
              <w:rPr>
                <w:lang w:val="en-GB"/>
              </w:rPr>
            </w:pPr>
            <w:r w:rsidRPr="00342F7C">
              <w:rPr>
                <w:lang w:val="en-GB"/>
              </w:rPr>
              <w:t>Abnormal dreams, libido decreased</w:t>
            </w:r>
          </w:p>
        </w:tc>
      </w:tr>
      <w:tr w:rsidR="00D7303D" w:rsidRPr="00342F7C" w14:paraId="5B2FEF87" w14:textId="77777777" w:rsidTr="00E4141B">
        <w:trPr>
          <w:cantSplit/>
        </w:trPr>
        <w:tc>
          <w:tcPr>
            <w:tcW w:w="3029" w:type="dxa"/>
            <w:vMerge w:val="restart"/>
          </w:tcPr>
          <w:p w14:paraId="774B5AB0" w14:textId="77777777" w:rsidR="00D7303D" w:rsidRPr="00342F7C" w:rsidRDefault="00D7303D" w:rsidP="00560786">
            <w:pPr>
              <w:pStyle w:val="EMEANormal"/>
              <w:tabs>
                <w:tab w:val="clear" w:pos="562"/>
                <w:tab w:val="left" w:pos="7340"/>
              </w:tabs>
              <w:suppressAutoHyphens w:val="0"/>
              <w:rPr>
                <w:lang w:val="en-GB"/>
              </w:rPr>
            </w:pPr>
            <w:r w:rsidRPr="00342F7C">
              <w:rPr>
                <w:lang w:val="en-GB"/>
              </w:rPr>
              <w:t>Nervous system disorders</w:t>
            </w:r>
          </w:p>
        </w:tc>
        <w:tc>
          <w:tcPr>
            <w:tcW w:w="1657" w:type="dxa"/>
            <w:tcBorders>
              <w:top w:val="single" w:sz="4" w:space="0" w:color="auto"/>
              <w:bottom w:val="nil"/>
            </w:tcBorders>
          </w:tcPr>
          <w:p w14:paraId="20E30029" w14:textId="77777777" w:rsidR="00D7303D" w:rsidRPr="00342F7C" w:rsidRDefault="00D7303D" w:rsidP="00560786">
            <w:pPr>
              <w:pStyle w:val="EMEANormal"/>
              <w:rPr>
                <w:lang w:val="en-GB"/>
              </w:rPr>
            </w:pPr>
            <w:r w:rsidRPr="00342F7C">
              <w:rPr>
                <w:lang w:val="en-GB"/>
              </w:rPr>
              <w:t>Common</w:t>
            </w:r>
          </w:p>
        </w:tc>
        <w:tc>
          <w:tcPr>
            <w:tcW w:w="4374" w:type="dxa"/>
            <w:tcBorders>
              <w:top w:val="single" w:sz="4" w:space="0" w:color="auto"/>
              <w:bottom w:val="nil"/>
            </w:tcBorders>
          </w:tcPr>
          <w:p w14:paraId="3F89DFDD" w14:textId="77777777" w:rsidR="00D7303D" w:rsidRPr="00342F7C" w:rsidRDefault="00D7303D" w:rsidP="00560786">
            <w:pPr>
              <w:pStyle w:val="EMEANormal"/>
              <w:rPr>
                <w:lang w:val="en-GB"/>
              </w:rPr>
            </w:pPr>
            <w:r w:rsidRPr="00342F7C">
              <w:rPr>
                <w:lang w:val="en-GB"/>
              </w:rPr>
              <w:t>Headache</w:t>
            </w:r>
            <w:r w:rsidRPr="00342F7C">
              <w:rPr>
                <w:szCs w:val="22"/>
                <w:lang w:val="en-GB"/>
              </w:rPr>
              <w:t xml:space="preserve"> (including migraine), neuropathy (including peripheral neuropathy), dizziness, insomnia</w:t>
            </w:r>
          </w:p>
          <w:p w14:paraId="275DF941" w14:textId="77777777" w:rsidR="00D7303D" w:rsidRPr="00342F7C" w:rsidRDefault="00D7303D" w:rsidP="00560786">
            <w:pPr>
              <w:pStyle w:val="EMEANormal"/>
              <w:rPr>
                <w:lang w:val="en-GB"/>
              </w:rPr>
            </w:pPr>
          </w:p>
        </w:tc>
      </w:tr>
      <w:tr w:rsidR="00D7303D" w:rsidRPr="00342F7C" w14:paraId="118C68F9" w14:textId="77777777" w:rsidTr="00E4141B">
        <w:trPr>
          <w:cantSplit/>
        </w:trPr>
        <w:tc>
          <w:tcPr>
            <w:tcW w:w="3029" w:type="dxa"/>
            <w:vMerge/>
          </w:tcPr>
          <w:p w14:paraId="590501BB" w14:textId="77777777" w:rsidR="00D7303D" w:rsidRPr="00342F7C" w:rsidRDefault="00D7303D" w:rsidP="00560786">
            <w:pPr>
              <w:pStyle w:val="EMEANormal"/>
              <w:tabs>
                <w:tab w:val="clear" w:pos="562"/>
                <w:tab w:val="left" w:pos="7340"/>
              </w:tabs>
              <w:suppressAutoHyphens w:val="0"/>
              <w:rPr>
                <w:lang w:val="en-GB"/>
              </w:rPr>
            </w:pPr>
          </w:p>
        </w:tc>
        <w:tc>
          <w:tcPr>
            <w:tcW w:w="1657" w:type="dxa"/>
            <w:tcBorders>
              <w:top w:val="nil"/>
              <w:bottom w:val="single" w:sz="4" w:space="0" w:color="auto"/>
            </w:tcBorders>
          </w:tcPr>
          <w:p w14:paraId="30204E28" w14:textId="77777777" w:rsidR="00D7303D" w:rsidRPr="00342F7C" w:rsidRDefault="00D7303D" w:rsidP="00560786">
            <w:pPr>
              <w:pStyle w:val="EMEANormal"/>
              <w:rPr>
                <w:lang w:val="en-GB"/>
              </w:rPr>
            </w:pPr>
            <w:r w:rsidRPr="00342F7C">
              <w:rPr>
                <w:lang w:val="en-GB"/>
              </w:rPr>
              <w:t>Uncommon</w:t>
            </w:r>
          </w:p>
        </w:tc>
        <w:tc>
          <w:tcPr>
            <w:tcW w:w="4374" w:type="dxa"/>
            <w:tcBorders>
              <w:top w:val="nil"/>
              <w:bottom w:val="single" w:sz="4" w:space="0" w:color="auto"/>
            </w:tcBorders>
          </w:tcPr>
          <w:p w14:paraId="62632B99" w14:textId="77777777" w:rsidR="00D7303D" w:rsidRPr="00342F7C" w:rsidRDefault="00D7303D" w:rsidP="00560786">
            <w:pPr>
              <w:pStyle w:val="EMEANormal"/>
              <w:rPr>
                <w:lang w:val="en-GB"/>
              </w:rPr>
            </w:pPr>
            <w:r w:rsidRPr="00342F7C">
              <w:rPr>
                <w:lang w:val="en-GB"/>
              </w:rPr>
              <w:t>Cerebrovascular accident, convulsion, dysgeusia, ageusia, tremor</w:t>
            </w:r>
          </w:p>
        </w:tc>
      </w:tr>
      <w:tr w:rsidR="00D7303D" w:rsidRPr="00342F7C" w14:paraId="7605FB90" w14:textId="77777777" w:rsidTr="00E4141B">
        <w:trPr>
          <w:cantSplit/>
        </w:trPr>
        <w:tc>
          <w:tcPr>
            <w:tcW w:w="3029" w:type="dxa"/>
          </w:tcPr>
          <w:p w14:paraId="52A3CA82" w14:textId="77777777" w:rsidR="00D7303D" w:rsidRPr="00342F7C" w:rsidRDefault="00D7303D" w:rsidP="00560786">
            <w:pPr>
              <w:pStyle w:val="EMEANormal"/>
              <w:tabs>
                <w:tab w:val="clear" w:pos="562"/>
                <w:tab w:val="left" w:pos="7340"/>
              </w:tabs>
              <w:suppressAutoHyphens w:val="0"/>
              <w:rPr>
                <w:lang w:val="en-GB"/>
              </w:rPr>
            </w:pPr>
            <w:r w:rsidRPr="00342F7C">
              <w:rPr>
                <w:lang w:val="en-GB"/>
              </w:rPr>
              <w:t>Eye disorders</w:t>
            </w:r>
          </w:p>
        </w:tc>
        <w:tc>
          <w:tcPr>
            <w:tcW w:w="1657" w:type="dxa"/>
            <w:tcBorders>
              <w:top w:val="single" w:sz="4" w:space="0" w:color="auto"/>
              <w:bottom w:val="nil"/>
            </w:tcBorders>
          </w:tcPr>
          <w:p w14:paraId="709CC3F3" w14:textId="77777777" w:rsidR="00D7303D" w:rsidRPr="00342F7C" w:rsidRDefault="00D7303D" w:rsidP="00560786">
            <w:pPr>
              <w:pStyle w:val="EMEANormal"/>
              <w:rPr>
                <w:lang w:val="en-GB"/>
              </w:rPr>
            </w:pPr>
            <w:r w:rsidRPr="00342F7C">
              <w:rPr>
                <w:lang w:val="en-GB"/>
              </w:rPr>
              <w:t>Uncommon</w:t>
            </w:r>
          </w:p>
        </w:tc>
        <w:tc>
          <w:tcPr>
            <w:tcW w:w="4374" w:type="dxa"/>
            <w:tcBorders>
              <w:top w:val="single" w:sz="4" w:space="0" w:color="auto"/>
              <w:bottom w:val="nil"/>
            </w:tcBorders>
          </w:tcPr>
          <w:p w14:paraId="4916429A" w14:textId="77777777" w:rsidR="00D7303D" w:rsidRPr="00342F7C" w:rsidRDefault="00D7303D" w:rsidP="00560786">
            <w:pPr>
              <w:pStyle w:val="EMEANormal"/>
              <w:rPr>
                <w:lang w:val="en-GB"/>
              </w:rPr>
            </w:pPr>
            <w:r w:rsidRPr="00342F7C">
              <w:rPr>
                <w:lang w:val="en-GB"/>
              </w:rPr>
              <w:t>Visual impairment</w:t>
            </w:r>
          </w:p>
        </w:tc>
      </w:tr>
      <w:tr w:rsidR="00D7303D" w:rsidRPr="00342F7C" w14:paraId="43735624" w14:textId="77777777" w:rsidTr="00E4141B">
        <w:trPr>
          <w:cantSplit/>
          <w:trHeight w:val="332"/>
        </w:trPr>
        <w:tc>
          <w:tcPr>
            <w:tcW w:w="3029" w:type="dxa"/>
          </w:tcPr>
          <w:p w14:paraId="5E90B98C" w14:textId="77777777" w:rsidR="00D7303D" w:rsidRPr="00342F7C" w:rsidRDefault="00D7303D" w:rsidP="005C144F">
            <w:pPr>
              <w:pStyle w:val="EMEANormal"/>
              <w:tabs>
                <w:tab w:val="clear" w:pos="562"/>
                <w:tab w:val="left" w:pos="7340"/>
              </w:tabs>
              <w:suppressAutoHyphens w:val="0"/>
              <w:rPr>
                <w:lang w:val="en-GB"/>
              </w:rPr>
            </w:pPr>
            <w:r w:rsidRPr="00342F7C">
              <w:rPr>
                <w:lang w:val="en-GB"/>
              </w:rPr>
              <w:t>Ear and labyrinth disorders</w:t>
            </w:r>
          </w:p>
        </w:tc>
        <w:tc>
          <w:tcPr>
            <w:tcW w:w="1657" w:type="dxa"/>
          </w:tcPr>
          <w:p w14:paraId="712B21F9" w14:textId="77777777" w:rsidR="00D7303D" w:rsidRPr="00342F7C" w:rsidRDefault="00D7303D" w:rsidP="005C144F">
            <w:pPr>
              <w:pStyle w:val="EMEANormal"/>
              <w:rPr>
                <w:lang w:val="en-GB"/>
              </w:rPr>
            </w:pPr>
            <w:r w:rsidRPr="00342F7C">
              <w:rPr>
                <w:lang w:val="en-GB"/>
              </w:rPr>
              <w:t>Uncommon</w:t>
            </w:r>
          </w:p>
        </w:tc>
        <w:tc>
          <w:tcPr>
            <w:tcW w:w="4374" w:type="dxa"/>
          </w:tcPr>
          <w:p w14:paraId="1EC33FCD" w14:textId="77777777" w:rsidR="00D7303D" w:rsidRPr="00342F7C" w:rsidRDefault="00D7303D" w:rsidP="005C144F">
            <w:pPr>
              <w:pStyle w:val="EMEANormal"/>
              <w:rPr>
                <w:lang w:val="en-GB"/>
              </w:rPr>
            </w:pPr>
            <w:r w:rsidRPr="00342F7C">
              <w:rPr>
                <w:lang w:val="en-GB"/>
              </w:rPr>
              <w:t>Tinnitus, vertigo</w:t>
            </w:r>
          </w:p>
        </w:tc>
      </w:tr>
      <w:tr w:rsidR="00D7303D" w:rsidRPr="00342F7C" w14:paraId="326C4B82" w14:textId="77777777" w:rsidTr="00E4141B">
        <w:trPr>
          <w:cantSplit/>
          <w:trHeight w:val="714"/>
        </w:trPr>
        <w:tc>
          <w:tcPr>
            <w:tcW w:w="3029" w:type="dxa"/>
          </w:tcPr>
          <w:p w14:paraId="3ABC8589" w14:textId="77777777" w:rsidR="00D7303D" w:rsidRPr="00342F7C" w:rsidRDefault="00D7303D" w:rsidP="00560786">
            <w:pPr>
              <w:pStyle w:val="EMEANormal"/>
              <w:tabs>
                <w:tab w:val="clear" w:pos="562"/>
                <w:tab w:val="left" w:pos="7340"/>
              </w:tabs>
              <w:suppressAutoHyphens w:val="0"/>
              <w:rPr>
                <w:lang w:val="en-GB"/>
              </w:rPr>
            </w:pPr>
            <w:r w:rsidRPr="00342F7C">
              <w:rPr>
                <w:lang w:val="en-GB"/>
              </w:rPr>
              <w:t>Cardiac disorders</w:t>
            </w:r>
          </w:p>
        </w:tc>
        <w:tc>
          <w:tcPr>
            <w:tcW w:w="1657" w:type="dxa"/>
            <w:tcBorders>
              <w:top w:val="single" w:sz="4" w:space="0" w:color="auto"/>
            </w:tcBorders>
          </w:tcPr>
          <w:p w14:paraId="6D5BA62B" w14:textId="77777777" w:rsidR="00D7303D" w:rsidRPr="00342F7C" w:rsidRDefault="00D7303D" w:rsidP="00560786">
            <w:pPr>
              <w:pStyle w:val="EMEANormal"/>
              <w:rPr>
                <w:lang w:val="en-GB"/>
              </w:rPr>
            </w:pPr>
            <w:r w:rsidRPr="00342F7C">
              <w:rPr>
                <w:lang w:val="en-GB"/>
              </w:rPr>
              <w:t>Uncommon</w:t>
            </w:r>
          </w:p>
        </w:tc>
        <w:tc>
          <w:tcPr>
            <w:tcW w:w="4374" w:type="dxa"/>
            <w:tcBorders>
              <w:top w:val="single" w:sz="4" w:space="0" w:color="auto"/>
            </w:tcBorders>
          </w:tcPr>
          <w:p w14:paraId="7002B1CF" w14:textId="77777777" w:rsidR="00D7303D" w:rsidRPr="00342F7C" w:rsidRDefault="00D7303D" w:rsidP="00560786">
            <w:pPr>
              <w:pStyle w:val="EMEANormal"/>
              <w:rPr>
                <w:lang w:val="en-GB"/>
              </w:rPr>
            </w:pPr>
            <w:r w:rsidRPr="00342F7C">
              <w:rPr>
                <w:szCs w:val="22"/>
                <w:lang w:val="en-GB"/>
              </w:rPr>
              <w:t xml:space="preserve">Atherosclerosis such as </w:t>
            </w:r>
            <w:r w:rsidRPr="00342F7C">
              <w:rPr>
                <w:lang w:val="en-GB"/>
              </w:rPr>
              <w:t>myocardial infarction</w:t>
            </w:r>
            <w:r w:rsidRPr="00342F7C">
              <w:rPr>
                <w:vertAlign w:val="superscript"/>
                <w:lang w:val="en-GB"/>
              </w:rPr>
              <w:t>1</w:t>
            </w:r>
            <w:r w:rsidRPr="00342F7C">
              <w:rPr>
                <w:lang w:val="en-GB"/>
              </w:rPr>
              <w:t>,</w:t>
            </w:r>
            <w:r w:rsidRPr="00342F7C">
              <w:rPr>
                <w:szCs w:val="22"/>
                <w:lang w:val="en-GB"/>
              </w:rPr>
              <w:t xml:space="preserve"> atrioventricular block, tricuspid valve incompetence</w:t>
            </w:r>
          </w:p>
        </w:tc>
      </w:tr>
      <w:tr w:rsidR="00D7303D" w:rsidRPr="00342F7C" w14:paraId="1F978245" w14:textId="77777777" w:rsidTr="00E4141B">
        <w:trPr>
          <w:cantSplit/>
        </w:trPr>
        <w:tc>
          <w:tcPr>
            <w:tcW w:w="3029" w:type="dxa"/>
            <w:vMerge w:val="restart"/>
          </w:tcPr>
          <w:p w14:paraId="7F99970F" w14:textId="77777777" w:rsidR="00D7303D" w:rsidRPr="00342F7C" w:rsidRDefault="00D7303D" w:rsidP="00560786">
            <w:pPr>
              <w:pStyle w:val="EMEANormal"/>
              <w:tabs>
                <w:tab w:val="left" w:pos="7340"/>
              </w:tabs>
              <w:rPr>
                <w:lang w:val="en-GB"/>
              </w:rPr>
            </w:pPr>
            <w:r w:rsidRPr="00342F7C">
              <w:rPr>
                <w:lang w:val="en-GB"/>
              </w:rPr>
              <w:t>Vascular disorders</w:t>
            </w:r>
          </w:p>
        </w:tc>
        <w:tc>
          <w:tcPr>
            <w:tcW w:w="1657" w:type="dxa"/>
            <w:tcBorders>
              <w:top w:val="single" w:sz="4" w:space="0" w:color="auto"/>
              <w:bottom w:val="nil"/>
            </w:tcBorders>
          </w:tcPr>
          <w:p w14:paraId="42451CAD" w14:textId="77777777" w:rsidR="00D7303D" w:rsidRPr="00342F7C" w:rsidRDefault="00D7303D" w:rsidP="00560786">
            <w:pPr>
              <w:pStyle w:val="EMEANormal"/>
              <w:rPr>
                <w:lang w:val="en-GB"/>
              </w:rPr>
            </w:pPr>
            <w:r w:rsidRPr="00342F7C">
              <w:rPr>
                <w:lang w:val="en-GB"/>
              </w:rPr>
              <w:t>Common</w:t>
            </w:r>
          </w:p>
        </w:tc>
        <w:tc>
          <w:tcPr>
            <w:tcW w:w="4374" w:type="dxa"/>
            <w:tcBorders>
              <w:top w:val="single" w:sz="4" w:space="0" w:color="auto"/>
              <w:bottom w:val="nil"/>
            </w:tcBorders>
          </w:tcPr>
          <w:p w14:paraId="7069E6FF" w14:textId="77777777" w:rsidR="00D7303D" w:rsidRPr="00342F7C" w:rsidRDefault="00D7303D" w:rsidP="00560786">
            <w:pPr>
              <w:pStyle w:val="EMEANormal"/>
              <w:rPr>
                <w:lang w:val="en-GB"/>
              </w:rPr>
            </w:pPr>
            <w:r w:rsidRPr="00342F7C">
              <w:rPr>
                <w:lang w:val="en-GB"/>
              </w:rPr>
              <w:t>Hypertension</w:t>
            </w:r>
          </w:p>
          <w:p w14:paraId="29CFAFC9" w14:textId="77777777" w:rsidR="00D7303D" w:rsidRPr="00342F7C" w:rsidRDefault="00D7303D" w:rsidP="00560786">
            <w:pPr>
              <w:pStyle w:val="EMEANormal"/>
              <w:rPr>
                <w:lang w:val="en-GB"/>
              </w:rPr>
            </w:pPr>
          </w:p>
        </w:tc>
      </w:tr>
      <w:tr w:rsidR="00D7303D" w:rsidRPr="00342F7C" w14:paraId="1D675214" w14:textId="77777777" w:rsidTr="00E4141B">
        <w:trPr>
          <w:cantSplit/>
        </w:trPr>
        <w:tc>
          <w:tcPr>
            <w:tcW w:w="3029" w:type="dxa"/>
            <w:vMerge/>
            <w:tcBorders>
              <w:bottom w:val="single" w:sz="4" w:space="0" w:color="auto"/>
            </w:tcBorders>
          </w:tcPr>
          <w:p w14:paraId="126D5927" w14:textId="77777777" w:rsidR="00D7303D" w:rsidRPr="00342F7C" w:rsidRDefault="00D7303D" w:rsidP="00560786">
            <w:pPr>
              <w:pStyle w:val="EMEANormal"/>
              <w:tabs>
                <w:tab w:val="clear" w:pos="562"/>
                <w:tab w:val="left" w:pos="7340"/>
              </w:tabs>
              <w:suppressAutoHyphens w:val="0"/>
              <w:rPr>
                <w:lang w:val="en-GB"/>
              </w:rPr>
            </w:pPr>
          </w:p>
        </w:tc>
        <w:tc>
          <w:tcPr>
            <w:tcW w:w="1657" w:type="dxa"/>
            <w:tcBorders>
              <w:top w:val="nil"/>
              <w:bottom w:val="single" w:sz="4" w:space="0" w:color="auto"/>
            </w:tcBorders>
          </w:tcPr>
          <w:p w14:paraId="0801D69B" w14:textId="77777777" w:rsidR="00D7303D" w:rsidRPr="00342F7C" w:rsidRDefault="00D7303D" w:rsidP="00560786">
            <w:pPr>
              <w:pStyle w:val="EMEANormal"/>
              <w:rPr>
                <w:lang w:val="en-GB"/>
              </w:rPr>
            </w:pPr>
            <w:r w:rsidRPr="00342F7C">
              <w:rPr>
                <w:lang w:val="en-GB"/>
              </w:rPr>
              <w:t>Uncommon</w:t>
            </w:r>
          </w:p>
        </w:tc>
        <w:tc>
          <w:tcPr>
            <w:tcW w:w="4374" w:type="dxa"/>
            <w:tcBorders>
              <w:top w:val="nil"/>
              <w:bottom w:val="single" w:sz="4" w:space="0" w:color="auto"/>
            </w:tcBorders>
          </w:tcPr>
          <w:p w14:paraId="4992BCF1" w14:textId="77777777" w:rsidR="00D7303D" w:rsidRPr="00342F7C" w:rsidRDefault="00D7303D" w:rsidP="00560786">
            <w:pPr>
              <w:pStyle w:val="EMEANormal"/>
              <w:rPr>
                <w:lang w:val="en-GB"/>
              </w:rPr>
            </w:pPr>
            <w:r w:rsidRPr="00342F7C">
              <w:rPr>
                <w:lang w:val="en-GB"/>
              </w:rPr>
              <w:t>Deep vein thrombosis</w:t>
            </w:r>
          </w:p>
        </w:tc>
      </w:tr>
      <w:tr w:rsidR="00D7303D" w:rsidRPr="00342F7C" w14:paraId="0BB60240" w14:textId="77777777" w:rsidTr="00E4141B">
        <w:trPr>
          <w:cantSplit/>
        </w:trPr>
        <w:tc>
          <w:tcPr>
            <w:tcW w:w="3029" w:type="dxa"/>
            <w:vMerge w:val="restart"/>
            <w:tcBorders>
              <w:bottom w:val="single" w:sz="4" w:space="0" w:color="auto"/>
            </w:tcBorders>
          </w:tcPr>
          <w:p w14:paraId="1FC48BA8" w14:textId="77777777" w:rsidR="00D7303D" w:rsidRPr="00342F7C" w:rsidRDefault="00D7303D" w:rsidP="00560786">
            <w:pPr>
              <w:pStyle w:val="EMEANormal"/>
              <w:tabs>
                <w:tab w:val="clear" w:pos="562"/>
                <w:tab w:val="left" w:pos="7340"/>
              </w:tabs>
              <w:suppressAutoHyphens w:val="0"/>
              <w:rPr>
                <w:lang w:val="en-GB"/>
              </w:rPr>
            </w:pPr>
            <w:r w:rsidRPr="00342F7C">
              <w:rPr>
                <w:lang w:val="en-GB"/>
              </w:rPr>
              <w:t>Gastrointestinal disorders</w:t>
            </w:r>
          </w:p>
        </w:tc>
        <w:tc>
          <w:tcPr>
            <w:tcW w:w="1657" w:type="dxa"/>
            <w:tcBorders>
              <w:top w:val="single" w:sz="4" w:space="0" w:color="auto"/>
              <w:bottom w:val="single" w:sz="4" w:space="0" w:color="auto"/>
            </w:tcBorders>
          </w:tcPr>
          <w:p w14:paraId="522E5CF5" w14:textId="77777777" w:rsidR="00D7303D" w:rsidRPr="00342F7C" w:rsidRDefault="00D7303D" w:rsidP="00560786">
            <w:pPr>
              <w:pStyle w:val="EMEANormal"/>
              <w:rPr>
                <w:lang w:val="en-GB"/>
              </w:rPr>
            </w:pPr>
            <w:r w:rsidRPr="00342F7C">
              <w:rPr>
                <w:lang w:val="en-GB"/>
              </w:rPr>
              <w:t>Very common</w:t>
            </w:r>
          </w:p>
        </w:tc>
        <w:tc>
          <w:tcPr>
            <w:tcW w:w="4374" w:type="dxa"/>
            <w:tcBorders>
              <w:top w:val="single" w:sz="4" w:space="0" w:color="auto"/>
              <w:bottom w:val="single" w:sz="4" w:space="0" w:color="auto"/>
            </w:tcBorders>
          </w:tcPr>
          <w:p w14:paraId="57B1144B" w14:textId="77777777" w:rsidR="00D7303D" w:rsidRPr="00342F7C" w:rsidRDefault="00D7303D" w:rsidP="00560786">
            <w:pPr>
              <w:pStyle w:val="EMEANormal"/>
              <w:rPr>
                <w:lang w:val="en-GB"/>
              </w:rPr>
            </w:pPr>
            <w:r w:rsidRPr="00342F7C">
              <w:rPr>
                <w:lang w:val="en-GB"/>
              </w:rPr>
              <w:t>Diarrhoea, nausea</w:t>
            </w:r>
          </w:p>
          <w:p w14:paraId="3F6473A9" w14:textId="77777777" w:rsidR="00D7303D" w:rsidRPr="00342F7C" w:rsidRDefault="00D7303D" w:rsidP="00560786">
            <w:pPr>
              <w:pStyle w:val="EMEANormal"/>
              <w:rPr>
                <w:lang w:val="en-GB"/>
              </w:rPr>
            </w:pPr>
          </w:p>
        </w:tc>
      </w:tr>
      <w:tr w:rsidR="00D7303D" w:rsidRPr="00342F7C" w14:paraId="73A6000E" w14:textId="77777777" w:rsidTr="00E4141B">
        <w:trPr>
          <w:cantSplit/>
        </w:trPr>
        <w:tc>
          <w:tcPr>
            <w:tcW w:w="3029" w:type="dxa"/>
            <w:vMerge/>
            <w:tcBorders>
              <w:top w:val="single" w:sz="4" w:space="0" w:color="auto"/>
            </w:tcBorders>
          </w:tcPr>
          <w:p w14:paraId="6080FB48" w14:textId="77777777" w:rsidR="00D7303D" w:rsidRPr="00342F7C" w:rsidRDefault="00D7303D" w:rsidP="00560786">
            <w:pPr>
              <w:pStyle w:val="EMEANormal"/>
              <w:tabs>
                <w:tab w:val="clear" w:pos="562"/>
                <w:tab w:val="left" w:pos="7340"/>
              </w:tabs>
              <w:suppressAutoHyphens w:val="0"/>
              <w:rPr>
                <w:lang w:val="en-GB"/>
              </w:rPr>
            </w:pPr>
          </w:p>
        </w:tc>
        <w:tc>
          <w:tcPr>
            <w:tcW w:w="1657" w:type="dxa"/>
            <w:tcBorders>
              <w:top w:val="single" w:sz="4" w:space="0" w:color="auto"/>
              <w:bottom w:val="nil"/>
            </w:tcBorders>
          </w:tcPr>
          <w:p w14:paraId="4F34F589" w14:textId="77777777" w:rsidR="00D7303D" w:rsidRPr="00342F7C" w:rsidRDefault="00D7303D" w:rsidP="00560786">
            <w:pPr>
              <w:pStyle w:val="EMEANormal"/>
              <w:rPr>
                <w:lang w:val="en-GB"/>
              </w:rPr>
            </w:pPr>
            <w:r w:rsidRPr="00342F7C">
              <w:rPr>
                <w:lang w:val="en-GB"/>
              </w:rPr>
              <w:t>Common</w:t>
            </w:r>
          </w:p>
        </w:tc>
        <w:tc>
          <w:tcPr>
            <w:tcW w:w="4374" w:type="dxa"/>
            <w:tcBorders>
              <w:top w:val="single" w:sz="4" w:space="0" w:color="auto"/>
              <w:bottom w:val="nil"/>
            </w:tcBorders>
          </w:tcPr>
          <w:p w14:paraId="3DBC76B1" w14:textId="77777777" w:rsidR="00D7303D" w:rsidRPr="00342F7C" w:rsidRDefault="00D7303D" w:rsidP="00560786">
            <w:pPr>
              <w:pStyle w:val="EMEANormal"/>
              <w:rPr>
                <w:lang w:val="en-GB"/>
              </w:rPr>
            </w:pPr>
            <w:r w:rsidRPr="00342F7C">
              <w:rPr>
                <w:lang w:val="en-GB"/>
              </w:rPr>
              <w:t>Pancreatitis</w:t>
            </w:r>
            <w:r w:rsidRPr="00342F7C">
              <w:rPr>
                <w:vertAlign w:val="superscript"/>
                <w:lang w:val="en-GB"/>
              </w:rPr>
              <w:t>1</w:t>
            </w:r>
            <w:r w:rsidRPr="00342F7C">
              <w:rPr>
                <w:lang w:val="en-GB"/>
              </w:rPr>
              <w:t xml:space="preserve">, vomiting, </w:t>
            </w:r>
            <w:r w:rsidRPr="00342F7C">
              <w:rPr>
                <w:szCs w:val="22"/>
                <w:lang w:val="en-GB"/>
              </w:rPr>
              <w:t xml:space="preserve">gastrooesophageal reflux disease, gastroenteritis and colitis, </w:t>
            </w:r>
            <w:r w:rsidRPr="00342F7C">
              <w:rPr>
                <w:lang w:val="en-GB"/>
              </w:rPr>
              <w:t xml:space="preserve">abdominal pain (upper and lower), </w:t>
            </w:r>
            <w:r w:rsidRPr="00342F7C">
              <w:rPr>
                <w:szCs w:val="22"/>
                <w:lang w:val="en-GB"/>
              </w:rPr>
              <w:t>abdominal distension, dyspepsia, haemorrhoids</w:t>
            </w:r>
            <w:r w:rsidRPr="00342F7C">
              <w:rPr>
                <w:lang w:val="en-GB"/>
              </w:rPr>
              <w:t>, flatulence</w:t>
            </w:r>
          </w:p>
          <w:p w14:paraId="022229B0" w14:textId="77777777" w:rsidR="00D7303D" w:rsidRPr="00342F7C" w:rsidRDefault="00D7303D" w:rsidP="00560786">
            <w:pPr>
              <w:pStyle w:val="EMEANormal"/>
              <w:rPr>
                <w:lang w:val="en-GB"/>
              </w:rPr>
            </w:pPr>
          </w:p>
        </w:tc>
      </w:tr>
      <w:tr w:rsidR="00D7303D" w:rsidRPr="00342F7C" w14:paraId="54D3F933" w14:textId="77777777" w:rsidTr="00E4141B">
        <w:trPr>
          <w:cantSplit/>
          <w:trHeight w:val="1052"/>
        </w:trPr>
        <w:tc>
          <w:tcPr>
            <w:tcW w:w="3029" w:type="dxa"/>
            <w:vMerge/>
          </w:tcPr>
          <w:p w14:paraId="425CFEFE" w14:textId="77777777" w:rsidR="00D7303D" w:rsidRPr="00342F7C" w:rsidRDefault="00D7303D" w:rsidP="00560786">
            <w:pPr>
              <w:pStyle w:val="EMEANormal"/>
              <w:tabs>
                <w:tab w:val="clear" w:pos="562"/>
                <w:tab w:val="left" w:pos="7340"/>
              </w:tabs>
              <w:suppressAutoHyphens w:val="0"/>
              <w:rPr>
                <w:lang w:val="en-GB"/>
              </w:rPr>
            </w:pPr>
          </w:p>
        </w:tc>
        <w:tc>
          <w:tcPr>
            <w:tcW w:w="1657" w:type="dxa"/>
            <w:tcBorders>
              <w:top w:val="nil"/>
            </w:tcBorders>
          </w:tcPr>
          <w:p w14:paraId="04AF2208" w14:textId="77777777" w:rsidR="00D7303D" w:rsidRPr="00342F7C" w:rsidRDefault="00D7303D" w:rsidP="00560786">
            <w:pPr>
              <w:pStyle w:val="EMEANormal"/>
              <w:rPr>
                <w:lang w:val="en-GB"/>
              </w:rPr>
            </w:pPr>
            <w:r w:rsidRPr="00342F7C">
              <w:rPr>
                <w:lang w:val="en-GB"/>
              </w:rPr>
              <w:t>Uncommon</w:t>
            </w:r>
          </w:p>
        </w:tc>
        <w:tc>
          <w:tcPr>
            <w:tcW w:w="4374" w:type="dxa"/>
            <w:tcBorders>
              <w:top w:val="nil"/>
            </w:tcBorders>
          </w:tcPr>
          <w:p w14:paraId="4DB93285" w14:textId="77777777" w:rsidR="00D7303D" w:rsidRPr="00342F7C" w:rsidRDefault="00D7303D" w:rsidP="00560786">
            <w:pPr>
              <w:pStyle w:val="EMEANormal"/>
              <w:rPr>
                <w:lang w:val="en-GB"/>
              </w:rPr>
            </w:pPr>
            <w:r w:rsidRPr="00342F7C">
              <w:rPr>
                <w:szCs w:val="22"/>
                <w:lang w:val="en-GB"/>
              </w:rPr>
              <w:t>Gastrointestinal haemorrhage including gastrointestinal ulcer, duodenitis, gastritis and rectal haemorrhage, stomatitis and oral ulcers</w:t>
            </w:r>
            <w:r w:rsidRPr="00342F7C">
              <w:rPr>
                <w:lang w:val="en-GB"/>
              </w:rPr>
              <w:t>, faecal incontinence, constipation, dry mouth</w:t>
            </w:r>
          </w:p>
        </w:tc>
      </w:tr>
      <w:tr w:rsidR="00D7303D" w:rsidRPr="00342F7C" w14:paraId="6025153D" w14:textId="77777777" w:rsidTr="00E4141B">
        <w:trPr>
          <w:cantSplit/>
        </w:trPr>
        <w:tc>
          <w:tcPr>
            <w:tcW w:w="3029" w:type="dxa"/>
            <w:vMerge w:val="restart"/>
          </w:tcPr>
          <w:p w14:paraId="630BEE0B" w14:textId="77777777" w:rsidR="00D7303D" w:rsidRPr="00342F7C" w:rsidRDefault="00D7303D" w:rsidP="003F4A82">
            <w:pPr>
              <w:pStyle w:val="EMEANormal"/>
              <w:keepNext/>
              <w:tabs>
                <w:tab w:val="left" w:pos="7340"/>
              </w:tabs>
              <w:rPr>
                <w:lang w:val="en-GB"/>
              </w:rPr>
            </w:pPr>
            <w:r w:rsidRPr="00342F7C">
              <w:rPr>
                <w:lang w:val="en-GB"/>
              </w:rPr>
              <w:t>Hepatobiliary disorders</w:t>
            </w:r>
          </w:p>
        </w:tc>
        <w:tc>
          <w:tcPr>
            <w:tcW w:w="1657" w:type="dxa"/>
            <w:tcBorders>
              <w:top w:val="single" w:sz="4" w:space="0" w:color="auto"/>
              <w:bottom w:val="nil"/>
            </w:tcBorders>
          </w:tcPr>
          <w:p w14:paraId="5BB81800" w14:textId="77777777" w:rsidR="00D7303D" w:rsidRPr="00342F7C" w:rsidRDefault="00D7303D" w:rsidP="003F4A82">
            <w:pPr>
              <w:pStyle w:val="EMEANormal"/>
              <w:keepNext/>
              <w:rPr>
                <w:lang w:val="en-GB"/>
              </w:rPr>
            </w:pPr>
            <w:r w:rsidRPr="00342F7C">
              <w:rPr>
                <w:lang w:val="en-GB"/>
              </w:rPr>
              <w:t>Common</w:t>
            </w:r>
          </w:p>
        </w:tc>
        <w:tc>
          <w:tcPr>
            <w:tcW w:w="4374" w:type="dxa"/>
            <w:tcBorders>
              <w:top w:val="single" w:sz="4" w:space="0" w:color="auto"/>
              <w:bottom w:val="nil"/>
            </w:tcBorders>
          </w:tcPr>
          <w:p w14:paraId="407DA971" w14:textId="77777777" w:rsidR="00D7303D" w:rsidRPr="00342F7C" w:rsidRDefault="00D7303D" w:rsidP="003F4A82">
            <w:pPr>
              <w:pStyle w:val="EMEANormal"/>
              <w:keepNext/>
              <w:rPr>
                <w:lang w:val="en-GB"/>
              </w:rPr>
            </w:pPr>
            <w:r w:rsidRPr="00342F7C">
              <w:rPr>
                <w:szCs w:val="22"/>
                <w:lang w:val="en-GB"/>
              </w:rPr>
              <w:t>Hepatitis including AST, ALT and GGT increases</w:t>
            </w:r>
          </w:p>
          <w:p w14:paraId="2FDA2E0A" w14:textId="77777777" w:rsidR="00D7303D" w:rsidRPr="00342F7C" w:rsidRDefault="00D7303D" w:rsidP="003F4A82">
            <w:pPr>
              <w:pStyle w:val="EMEANormal"/>
              <w:keepNext/>
              <w:rPr>
                <w:lang w:val="en-GB"/>
              </w:rPr>
            </w:pPr>
          </w:p>
        </w:tc>
      </w:tr>
      <w:tr w:rsidR="00D7303D" w:rsidRPr="00342F7C" w14:paraId="09D066E6" w14:textId="77777777" w:rsidTr="00D10B37">
        <w:trPr>
          <w:cantSplit/>
          <w:trHeight w:val="886"/>
        </w:trPr>
        <w:tc>
          <w:tcPr>
            <w:tcW w:w="3029" w:type="dxa"/>
            <w:vMerge/>
          </w:tcPr>
          <w:p w14:paraId="09ACBCAD" w14:textId="77777777" w:rsidR="00D7303D" w:rsidRPr="00342F7C" w:rsidRDefault="00D7303D" w:rsidP="003F4A82">
            <w:pPr>
              <w:pStyle w:val="EMEANormal"/>
              <w:keepNext/>
              <w:tabs>
                <w:tab w:val="clear" w:pos="562"/>
                <w:tab w:val="left" w:pos="7340"/>
              </w:tabs>
              <w:suppressAutoHyphens w:val="0"/>
              <w:rPr>
                <w:lang w:val="en-GB"/>
              </w:rPr>
            </w:pPr>
          </w:p>
        </w:tc>
        <w:tc>
          <w:tcPr>
            <w:tcW w:w="1657" w:type="dxa"/>
            <w:tcBorders>
              <w:top w:val="nil"/>
              <w:bottom w:val="nil"/>
            </w:tcBorders>
          </w:tcPr>
          <w:p w14:paraId="42CEE175" w14:textId="77777777" w:rsidR="00D7303D" w:rsidRPr="00342F7C" w:rsidRDefault="00D7303D" w:rsidP="003F4A82">
            <w:pPr>
              <w:pStyle w:val="EMEANormal"/>
              <w:keepNext/>
              <w:rPr>
                <w:lang w:val="en-GB"/>
              </w:rPr>
            </w:pPr>
            <w:r w:rsidRPr="00342F7C">
              <w:rPr>
                <w:lang w:val="en-GB"/>
              </w:rPr>
              <w:t>Uncommon</w:t>
            </w:r>
          </w:p>
        </w:tc>
        <w:tc>
          <w:tcPr>
            <w:tcW w:w="4374" w:type="dxa"/>
            <w:tcBorders>
              <w:top w:val="nil"/>
              <w:bottom w:val="nil"/>
            </w:tcBorders>
          </w:tcPr>
          <w:p w14:paraId="15AC3094" w14:textId="77777777" w:rsidR="00D7303D" w:rsidRPr="00342F7C" w:rsidRDefault="0099677F" w:rsidP="003F4A82">
            <w:pPr>
              <w:pStyle w:val="EMEANormal"/>
              <w:keepNext/>
              <w:rPr>
                <w:lang w:val="en-GB"/>
              </w:rPr>
            </w:pPr>
            <w:r>
              <w:rPr>
                <w:lang w:val="en-GB"/>
              </w:rPr>
              <w:t>Jaundice, h</w:t>
            </w:r>
            <w:r w:rsidR="00D7303D" w:rsidRPr="00342F7C">
              <w:rPr>
                <w:lang w:val="en-GB"/>
              </w:rPr>
              <w:t xml:space="preserve">epatic steatosis, hepatomegaly, </w:t>
            </w:r>
            <w:r w:rsidR="00D7303D" w:rsidRPr="00342F7C">
              <w:rPr>
                <w:szCs w:val="22"/>
                <w:lang w:val="en-GB"/>
              </w:rPr>
              <w:t>cholangitis, hyperbilirubinemia</w:t>
            </w:r>
          </w:p>
        </w:tc>
      </w:tr>
      <w:tr w:rsidR="00D7303D" w:rsidRPr="00342F7C" w14:paraId="20763B5E" w14:textId="77777777" w:rsidTr="00E4141B">
        <w:trPr>
          <w:cantSplit/>
        </w:trPr>
        <w:tc>
          <w:tcPr>
            <w:tcW w:w="3029" w:type="dxa"/>
            <w:vMerge w:val="restart"/>
          </w:tcPr>
          <w:p w14:paraId="1B0843D3" w14:textId="77777777" w:rsidR="00D7303D" w:rsidRPr="00342F7C" w:rsidRDefault="00D7303D" w:rsidP="00560786">
            <w:pPr>
              <w:pStyle w:val="EMEANormal"/>
              <w:tabs>
                <w:tab w:val="clear" w:pos="562"/>
                <w:tab w:val="left" w:pos="7340"/>
              </w:tabs>
              <w:suppressAutoHyphens w:val="0"/>
              <w:rPr>
                <w:lang w:val="en-GB"/>
              </w:rPr>
            </w:pPr>
            <w:r w:rsidRPr="00342F7C">
              <w:rPr>
                <w:lang w:val="en-GB"/>
              </w:rPr>
              <w:t>Skin and subcutaneous tissue disorders</w:t>
            </w:r>
          </w:p>
        </w:tc>
        <w:tc>
          <w:tcPr>
            <w:tcW w:w="1657" w:type="dxa"/>
            <w:tcBorders>
              <w:top w:val="single" w:sz="4" w:space="0" w:color="auto"/>
              <w:bottom w:val="nil"/>
            </w:tcBorders>
          </w:tcPr>
          <w:p w14:paraId="271EA6F5" w14:textId="77777777" w:rsidR="00D7303D" w:rsidRPr="00342F7C" w:rsidRDefault="00D7303D" w:rsidP="00560786">
            <w:pPr>
              <w:pStyle w:val="EMEANormal"/>
              <w:rPr>
                <w:lang w:val="en-GB"/>
              </w:rPr>
            </w:pPr>
            <w:r w:rsidRPr="00342F7C">
              <w:rPr>
                <w:lang w:val="en-GB"/>
              </w:rPr>
              <w:t>Common</w:t>
            </w:r>
          </w:p>
        </w:tc>
        <w:tc>
          <w:tcPr>
            <w:tcW w:w="4374" w:type="dxa"/>
            <w:tcBorders>
              <w:top w:val="single" w:sz="4" w:space="0" w:color="auto"/>
              <w:bottom w:val="nil"/>
            </w:tcBorders>
          </w:tcPr>
          <w:p w14:paraId="5DF7CC69" w14:textId="77777777" w:rsidR="00D7303D" w:rsidRPr="00342F7C" w:rsidRDefault="00CA7C65" w:rsidP="00560786">
            <w:pPr>
              <w:pStyle w:val="EMEANormal"/>
              <w:rPr>
                <w:lang w:val="en-GB"/>
              </w:rPr>
            </w:pPr>
            <w:r>
              <w:rPr>
                <w:szCs w:val="22"/>
                <w:lang w:val="en-GB"/>
              </w:rPr>
              <w:t>R</w:t>
            </w:r>
            <w:r w:rsidR="00D7303D" w:rsidRPr="00342F7C">
              <w:rPr>
                <w:szCs w:val="22"/>
                <w:lang w:val="en-GB"/>
              </w:rPr>
              <w:t>ash including maculopapular rash, dermatitis/rash including eczema and seborrheic dermatitis, night sweats, prurit</w:t>
            </w:r>
            <w:r w:rsidR="007079E7" w:rsidRPr="0026037D">
              <w:rPr>
                <w:szCs w:val="22"/>
                <w:lang w:val="en-GB"/>
              </w:rPr>
              <w:t>u</w:t>
            </w:r>
            <w:r w:rsidR="00D7303D" w:rsidRPr="00C475F2">
              <w:rPr>
                <w:szCs w:val="22"/>
                <w:lang w:val="en-GB"/>
              </w:rPr>
              <w:t>s</w:t>
            </w:r>
          </w:p>
          <w:p w14:paraId="0669B5F5" w14:textId="77777777" w:rsidR="00D7303D" w:rsidRPr="00342F7C" w:rsidRDefault="00D7303D" w:rsidP="00560786">
            <w:pPr>
              <w:pStyle w:val="EMEANormal"/>
              <w:rPr>
                <w:lang w:val="en-GB"/>
              </w:rPr>
            </w:pPr>
          </w:p>
        </w:tc>
      </w:tr>
      <w:tr w:rsidR="00D7303D" w:rsidRPr="00342F7C" w14:paraId="5E405BEE" w14:textId="77777777" w:rsidTr="00E4141B">
        <w:trPr>
          <w:cantSplit/>
        </w:trPr>
        <w:tc>
          <w:tcPr>
            <w:tcW w:w="3029" w:type="dxa"/>
            <w:vMerge/>
          </w:tcPr>
          <w:p w14:paraId="72D043F0" w14:textId="77777777" w:rsidR="00D7303D" w:rsidRPr="00342F7C" w:rsidRDefault="00D7303D" w:rsidP="00560786">
            <w:pPr>
              <w:pStyle w:val="EMEANormal"/>
              <w:tabs>
                <w:tab w:val="clear" w:pos="562"/>
                <w:tab w:val="left" w:pos="7340"/>
              </w:tabs>
              <w:suppressAutoHyphens w:val="0"/>
              <w:rPr>
                <w:lang w:val="en-GB"/>
              </w:rPr>
            </w:pPr>
          </w:p>
        </w:tc>
        <w:tc>
          <w:tcPr>
            <w:tcW w:w="1657" w:type="dxa"/>
            <w:tcBorders>
              <w:top w:val="nil"/>
              <w:bottom w:val="nil"/>
            </w:tcBorders>
          </w:tcPr>
          <w:p w14:paraId="3ACB3045" w14:textId="77777777" w:rsidR="00D7303D" w:rsidRPr="00342F7C" w:rsidRDefault="00D7303D" w:rsidP="00560786">
            <w:pPr>
              <w:pStyle w:val="EMEANormal"/>
              <w:rPr>
                <w:lang w:val="en-GB"/>
              </w:rPr>
            </w:pPr>
            <w:r w:rsidRPr="00342F7C">
              <w:rPr>
                <w:lang w:val="en-GB"/>
              </w:rPr>
              <w:t>Uncommon</w:t>
            </w:r>
          </w:p>
        </w:tc>
        <w:tc>
          <w:tcPr>
            <w:tcW w:w="4374" w:type="dxa"/>
            <w:tcBorders>
              <w:top w:val="nil"/>
              <w:bottom w:val="nil"/>
            </w:tcBorders>
          </w:tcPr>
          <w:p w14:paraId="20079811" w14:textId="77777777" w:rsidR="00D7303D" w:rsidRPr="00342F7C" w:rsidRDefault="00D7303D" w:rsidP="00560786">
            <w:pPr>
              <w:pStyle w:val="EMEANormal"/>
              <w:rPr>
                <w:lang w:val="en-GB"/>
              </w:rPr>
            </w:pPr>
            <w:r w:rsidRPr="00342F7C">
              <w:rPr>
                <w:lang w:val="en-GB"/>
              </w:rPr>
              <w:t xml:space="preserve">Alopecia, </w:t>
            </w:r>
            <w:r w:rsidRPr="00342F7C">
              <w:rPr>
                <w:szCs w:val="22"/>
                <w:lang w:val="en-GB"/>
              </w:rPr>
              <w:t xml:space="preserve">capillaritis, vasculitis </w:t>
            </w:r>
          </w:p>
          <w:p w14:paraId="5E618536" w14:textId="77777777" w:rsidR="00D7303D" w:rsidRPr="00342F7C" w:rsidRDefault="00D7303D" w:rsidP="00560786">
            <w:pPr>
              <w:pStyle w:val="EMEANormal"/>
              <w:rPr>
                <w:lang w:val="en-GB"/>
              </w:rPr>
            </w:pPr>
          </w:p>
        </w:tc>
      </w:tr>
      <w:tr w:rsidR="00D7303D" w:rsidRPr="00342F7C" w14:paraId="3C45ACAD" w14:textId="77777777" w:rsidTr="00E4141B">
        <w:trPr>
          <w:cantSplit/>
        </w:trPr>
        <w:tc>
          <w:tcPr>
            <w:tcW w:w="3029" w:type="dxa"/>
            <w:vMerge/>
          </w:tcPr>
          <w:p w14:paraId="6613A834" w14:textId="77777777" w:rsidR="00D7303D" w:rsidRPr="00342F7C" w:rsidRDefault="00D7303D" w:rsidP="00560786">
            <w:pPr>
              <w:pStyle w:val="EMEANormal"/>
              <w:tabs>
                <w:tab w:val="clear" w:pos="562"/>
                <w:tab w:val="left" w:pos="7340"/>
              </w:tabs>
              <w:suppressAutoHyphens w:val="0"/>
              <w:rPr>
                <w:lang w:val="en-GB"/>
              </w:rPr>
            </w:pPr>
          </w:p>
        </w:tc>
        <w:tc>
          <w:tcPr>
            <w:tcW w:w="1657" w:type="dxa"/>
            <w:tcBorders>
              <w:top w:val="nil"/>
              <w:bottom w:val="single" w:sz="4" w:space="0" w:color="auto"/>
            </w:tcBorders>
          </w:tcPr>
          <w:p w14:paraId="1B28BE91" w14:textId="77777777" w:rsidR="00D7303D" w:rsidRPr="00342F7C" w:rsidRDefault="0099677F" w:rsidP="00560786">
            <w:pPr>
              <w:pStyle w:val="EMEANormal"/>
              <w:rPr>
                <w:lang w:val="en-GB"/>
              </w:rPr>
            </w:pPr>
            <w:r>
              <w:rPr>
                <w:lang w:val="en-GB"/>
              </w:rPr>
              <w:t>Rare</w:t>
            </w:r>
          </w:p>
        </w:tc>
        <w:tc>
          <w:tcPr>
            <w:tcW w:w="4374" w:type="dxa"/>
            <w:tcBorders>
              <w:top w:val="nil"/>
              <w:bottom w:val="single" w:sz="4" w:space="0" w:color="auto"/>
            </w:tcBorders>
          </w:tcPr>
          <w:p w14:paraId="052374D4" w14:textId="77777777" w:rsidR="00D7303D" w:rsidRPr="00342F7C" w:rsidRDefault="00D7303D" w:rsidP="00E83E0F">
            <w:pPr>
              <w:pStyle w:val="EMEANormal"/>
              <w:rPr>
                <w:lang w:val="en-GB"/>
              </w:rPr>
            </w:pPr>
            <w:r w:rsidRPr="00342F7C">
              <w:rPr>
                <w:lang w:val="en-GB"/>
              </w:rPr>
              <w:t>Steven-Johnson syndrome, erythema multiforme</w:t>
            </w:r>
          </w:p>
        </w:tc>
      </w:tr>
      <w:tr w:rsidR="00D7303D" w:rsidRPr="00342F7C" w14:paraId="3AA6D172" w14:textId="77777777" w:rsidTr="00E4141B">
        <w:trPr>
          <w:cantSplit/>
        </w:trPr>
        <w:tc>
          <w:tcPr>
            <w:tcW w:w="3029" w:type="dxa"/>
            <w:vMerge w:val="restart"/>
          </w:tcPr>
          <w:p w14:paraId="57FE4382" w14:textId="77777777" w:rsidR="00D7303D" w:rsidRPr="00342F7C" w:rsidRDefault="00D7303D" w:rsidP="00560786">
            <w:pPr>
              <w:pStyle w:val="EMEANormal"/>
              <w:tabs>
                <w:tab w:val="left" w:pos="7340"/>
              </w:tabs>
              <w:rPr>
                <w:lang w:val="en-GB"/>
              </w:rPr>
            </w:pPr>
            <w:r w:rsidRPr="00342F7C">
              <w:rPr>
                <w:lang w:val="en-GB"/>
              </w:rPr>
              <w:t>Musculoskeletal and connective tissue disorders</w:t>
            </w:r>
          </w:p>
        </w:tc>
        <w:tc>
          <w:tcPr>
            <w:tcW w:w="1657" w:type="dxa"/>
            <w:tcBorders>
              <w:top w:val="single" w:sz="4" w:space="0" w:color="auto"/>
              <w:bottom w:val="nil"/>
            </w:tcBorders>
          </w:tcPr>
          <w:p w14:paraId="5070CA30" w14:textId="77777777" w:rsidR="00D7303D" w:rsidRPr="00342F7C" w:rsidRDefault="00D7303D" w:rsidP="00560786">
            <w:pPr>
              <w:pStyle w:val="EMEANormal"/>
              <w:rPr>
                <w:lang w:val="en-GB"/>
              </w:rPr>
            </w:pPr>
            <w:r w:rsidRPr="00342F7C">
              <w:rPr>
                <w:lang w:val="en-GB"/>
              </w:rPr>
              <w:t>Common</w:t>
            </w:r>
          </w:p>
        </w:tc>
        <w:tc>
          <w:tcPr>
            <w:tcW w:w="4374" w:type="dxa"/>
            <w:tcBorders>
              <w:top w:val="single" w:sz="4" w:space="0" w:color="auto"/>
              <w:bottom w:val="nil"/>
            </w:tcBorders>
          </w:tcPr>
          <w:p w14:paraId="120965DD" w14:textId="77777777" w:rsidR="00D7303D" w:rsidRPr="00342F7C" w:rsidRDefault="00D7303D" w:rsidP="00560786">
            <w:pPr>
              <w:pStyle w:val="EMEANormal"/>
              <w:rPr>
                <w:lang w:val="en-GB"/>
              </w:rPr>
            </w:pPr>
            <w:r w:rsidRPr="00342F7C">
              <w:rPr>
                <w:szCs w:val="22"/>
                <w:lang w:val="en-GB"/>
              </w:rPr>
              <w:t xml:space="preserve">Myalgia, </w:t>
            </w:r>
            <w:r w:rsidRPr="00342F7C">
              <w:rPr>
                <w:lang w:val="en-GB"/>
              </w:rPr>
              <w:t>musculoskeletal pain including arthralgia and back pain, muscle disorders such as weakness and spasms</w:t>
            </w:r>
          </w:p>
          <w:p w14:paraId="0D957B45" w14:textId="77777777" w:rsidR="00D7303D" w:rsidRPr="00342F7C" w:rsidRDefault="00D7303D" w:rsidP="00560786">
            <w:pPr>
              <w:pStyle w:val="EMEANormal"/>
              <w:rPr>
                <w:lang w:val="en-GB"/>
              </w:rPr>
            </w:pPr>
          </w:p>
        </w:tc>
      </w:tr>
      <w:tr w:rsidR="00D7303D" w:rsidRPr="00342F7C" w14:paraId="586514E3" w14:textId="77777777" w:rsidTr="00E4141B">
        <w:trPr>
          <w:cantSplit/>
        </w:trPr>
        <w:tc>
          <w:tcPr>
            <w:tcW w:w="3029" w:type="dxa"/>
            <w:vMerge/>
          </w:tcPr>
          <w:p w14:paraId="2CBDD1EA" w14:textId="77777777" w:rsidR="00D7303D" w:rsidRPr="00342F7C" w:rsidRDefault="00D7303D" w:rsidP="00560786">
            <w:pPr>
              <w:pStyle w:val="EMEANormal"/>
              <w:tabs>
                <w:tab w:val="clear" w:pos="562"/>
                <w:tab w:val="left" w:pos="7340"/>
              </w:tabs>
              <w:suppressAutoHyphens w:val="0"/>
              <w:rPr>
                <w:lang w:val="en-GB"/>
              </w:rPr>
            </w:pPr>
          </w:p>
        </w:tc>
        <w:tc>
          <w:tcPr>
            <w:tcW w:w="1657" w:type="dxa"/>
            <w:tcBorders>
              <w:top w:val="nil"/>
              <w:bottom w:val="single" w:sz="4" w:space="0" w:color="auto"/>
            </w:tcBorders>
          </w:tcPr>
          <w:p w14:paraId="092ACD23" w14:textId="77777777" w:rsidR="00D7303D" w:rsidRPr="00342F7C" w:rsidRDefault="00D7303D" w:rsidP="00560786">
            <w:pPr>
              <w:pStyle w:val="EMEANormal"/>
              <w:rPr>
                <w:lang w:val="en-GB"/>
              </w:rPr>
            </w:pPr>
            <w:r w:rsidRPr="00342F7C">
              <w:rPr>
                <w:lang w:val="en-GB"/>
              </w:rPr>
              <w:t>Uncommon</w:t>
            </w:r>
          </w:p>
        </w:tc>
        <w:tc>
          <w:tcPr>
            <w:tcW w:w="4374" w:type="dxa"/>
            <w:tcBorders>
              <w:top w:val="nil"/>
              <w:bottom w:val="single" w:sz="4" w:space="0" w:color="auto"/>
            </w:tcBorders>
          </w:tcPr>
          <w:p w14:paraId="4A0C63FF" w14:textId="77777777" w:rsidR="00D7303D" w:rsidRPr="00342F7C" w:rsidRDefault="00D7303D" w:rsidP="00560786">
            <w:pPr>
              <w:pStyle w:val="EMEANormal"/>
              <w:rPr>
                <w:lang w:val="en-GB"/>
              </w:rPr>
            </w:pPr>
            <w:r w:rsidRPr="00342F7C">
              <w:rPr>
                <w:szCs w:val="22"/>
                <w:lang w:val="en-GB"/>
              </w:rPr>
              <w:t>Rhabdomyolysis, osteonecrosis</w:t>
            </w:r>
            <w:r w:rsidRPr="00342F7C" w:rsidDel="00EB50CE">
              <w:rPr>
                <w:lang w:val="en-GB"/>
              </w:rPr>
              <w:t xml:space="preserve"> </w:t>
            </w:r>
          </w:p>
        </w:tc>
      </w:tr>
      <w:tr w:rsidR="00D7303D" w:rsidRPr="005A7D58" w14:paraId="7E516457" w14:textId="77777777" w:rsidTr="00E4141B">
        <w:tc>
          <w:tcPr>
            <w:tcW w:w="3029" w:type="dxa"/>
          </w:tcPr>
          <w:p w14:paraId="38DF2DD8" w14:textId="77777777" w:rsidR="00D7303D" w:rsidRPr="005A7D58" w:rsidRDefault="00D7303D" w:rsidP="00560786">
            <w:pPr>
              <w:pStyle w:val="EMEANormal"/>
              <w:tabs>
                <w:tab w:val="clear" w:pos="562"/>
                <w:tab w:val="left" w:pos="7340"/>
              </w:tabs>
              <w:suppressAutoHyphens w:val="0"/>
              <w:rPr>
                <w:szCs w:val="22"/>
                <w:lang w:val="en-GB"/>
              </w:rPr>
            </w:pPr>
            <w:r w:rsidRPr="005A7D58">
              <w:rPr>
                <w:szCs w:val="22"/>
                <w:lang w:val="en-GB"/>
              </w:rPr>
              <w:t>Renal and urinary disorders</w:t>
            </w:r>
          </w:p>
        </w:tc>
        <w:tc>
          <w:tcPr>
            <w:tcW w:w="1657" w:type="dxa"/>
            <w:tcBorders>
              <w:top w:val="single" w:sz="4" w:space="0" w:color="auto"/>
            </w:tcBorders>
          </w:tcPr>
          <w:p w14:paraId="64EE8817" w14:textId="77777777" w:rsidR="00D7303D" w:rsidRPr="005A7D58" w:rsidRDefault="00D7303D" w:rsidP="00560786">
            <w:pPr>
              <w:pStyle w:val="EMEANormal"/>
              <w:rPr>
                <w:szCs w:val="22"/>
                <w:lang w:val="en-GB"/>
              </w:rPr>
            </w:pPr>
            <w:r w:rsidRPr="005A7D58">
              <w:rPr>
                <w:szCs w:val="22"/>
                <w:lang w:val="en-GB"/>
              </w:rPr>
              <w:t>Uncommon</w:t>
            </w:r>
          </w:p>
          <w:p w14:paraId="2DE7C548" w14:textId="77777777" w:rsidR="00FD6532" w:rsidRPr="005A7D58" w:rsidRDefault="00FD6532" w:rsidP="00560786">
            <w:pPr>
              <w:pStyle w:val="EMEANormal"/>
              <w:rPr>
                <w:szCs w:val="22"/>
                <w:lang w:val="en-GB"/>
              </w:rPr>
            </w:pPr>
          </w:p>
          <w:p w14:paraId="2F88165A" w14:textId="77777777" w:rsidR="00FD6532" w:rsidRPr="005A7D58" w:rsidRDefault="00FD6532" w:rsidP="00560786">
            <w:pPr>
              <w:pStyle w:val="EMEANormal"/>
              <w:rPr>
                <w:szCs w:val="22"/>
                <w:lang w:val="en-GB"/>
              </w:rPr>
            </w:pPr>
          </w:p>
          <w:p w14:paraId="12CE4135" w14:textId="77777777" w:rsidR="00FD6532" w:rsidRPr="005A7D58" w:rsidRDefault="00FD6532" w:rsidP="00560786">
            <w:pPr>
              <w:pStyle w:val="EMEANormal"/>
              <w:rPr>
                <w:szCs w:val="22"/>
                <w:lang w:val="en-GB"/>
              </w:rPr>
            </w:pPr>
            <w:r w:rsidRPr="005A7D58">
              <w:rPr>
                <w:szCs w:val="22"/>
                <w:lang w:val="en-GB"/>
              </w:rPr>
              <w:t>N</w:t>
            </w:r>
            <w:r w:rsidR="00144ABE" w:rsidRPr="005A7D58">
              <w:rPr>
                <w:szCs w:val="22"/>
                <w:lang w:val="en-GB"/>
              </w:rPr>
              <w:t>ot known</w:t>
            </w:r>
          </w:p>
        </w:tc>
        <w:tc>
          <w:tcPr>
            <w:tcW w:w="4374" w:type="dxa"/>
            <w:tcBorders>
              <w:top w:val="single" w:sz="4" w:space="0" w:color="auto"/>
            </w:tcBorders>
          </w:tcPr>
          <w:p w14:paraId="0DA83ED0" w14:textId="77777777" w:rsidR="00D7303D" w:rsidRPr="005A7D58" w:rsidRDefault="00D7303D" w:rsidP="00560786">
            <w:pPr>
              <w:pStyle w:val="EMEANormal"/>
              <w:rPr>
                <w:szCs w:val="22"/>
                <w:lang w:val="en-GB"/>
              </w:rPr>
            </w:pPr>
            <w:r w:rsidRPr="005A7D58">
              <w:rPr>
                <w:szCs w:val="22"/>
                <w:lang w:val="en-GB"/>
              </w:rPr>
              <w:t>Creatinine clearance decreased, nephritis, haematuria</w:t>
            </w:r>
            <w:r w:rsidRPr="005A7D58" w:rsidDel="00EB50CE">
              <w:rPr>
                <w:szCs w:val="22"/>
                <w:lang w:val="en-GB"/>
              </w:rPr>
              <w:t xml:space="preserve"> </w:t>
            </w:r>
          </w:p>
          <w:p w14:paraId="0A7E59A7" w14:textId="77777777" w:rsidR="00144ABE" w:rsidRPr="005A7D58" w:rsidRDefault="00144ABE" w:rsidP="00560786">
            <w:pPr>
              <w:pStyle w:val="EMEANormal"/>
              <w:rPr>
                <w:szCs w:val="22"/>
                <w:lang w:val="en-GB"/>
              </w:rPr>
            </w:pPr>
          </w:p>
          <w:p w14:paraId="2C4215F7" w14:textId="77777777" w:rsidR="00144ABE" w:rsidRPr="005A7D58" w:rsidRDefault="00144ABE" w:rsidP="00560786">
            <w:pPr>
              <w:pStyle w:val="EMEANormal"/>
              <w:rPr>
                <w:szCs w:val="22"/>
                <w:lang w:val="en-GB"/>
              </w:rPr>
            </w:pPr>
            <w:r w:rsidRPr="005A7D58">
              <w:rPr>
                <w:color w:val="000000"/>
                <w:szCs w:val="22"/>
              </w:rPr>
              <w:t>Nephrolithiasis</w:t>
            </w:r>
          </w:p>
        </w:tc>
      </w:tr>
      <w:tr w:rsidR="00D7303D" w:rsidRPr="00342F7C" w14:paraId="4622EEBF" w14:textId="77777777" w:rsidTr="00E4141B">
        <w:tc>
          <w:tcPr>
            <w:tcW w:w="3029" w:type="dxa"/>
          </w:tcPr>
          <w:p w14:paraId="138365FA" w14:textId="77777777" w:rsidR="00D7303D" w:rsidRPr="00342F7C" w:rsidRDefault="00D7303D" w:rsidP="00560786">
            <w:pPr>
              <w:pStyle w:val="EMEANormal"/>
              <w:tabs>
                <w:tab w:val="clear" w:pos="562"/>
                <w:tab w:val="left" w:pos="7340"/>
              </w:tabs>
              <w:suppressAutoHyphens w:val="0"/>
              <w:rPr>
                <w:lang w:val="en-GB"/>
              </w:rPr>
            </w:pPr>
            <w:r w:rsidRPr="00342F7C">
              <w:rPr>
                <w:lang w:val="en-GB"/>
              </w:rPr>
              <w:t>Reproductive system and breast disorders</w:t>
            </w:r>
          </w:p>
        </w:tc>
        <w:tc>
          <w:tcPr>
            <w:tcW w:w="1657" w:type="dxa"/>
          </w:tcPr>
          <w:p w14:paraId="32EBF1C7" w14:textId="77777777" w:rsidR="00D7303D" w:rsidRPr="00342F7C" w:rsidRDefault="00D7303D" w:rsidP="00560786">
            <w:pPr>
              <w:pStyle w:val="EMEANormal"/>
              <w:rPr>
                <w:lang w:val="en-GB"/>
              </w:rPr>
            </w:pPr>
            <w:r w:rsidRPr="00342F7C">
              <w:rPr>
                <w:lang w:val="en-GB"/>
              </w:rPr>
              <w:t>Common</w:t>
            </w:r>
          </w:p>
        </w:tc>
        <w:tc>
          <w:tcPr>
            <w:tcW w:w="4374" w:type="dxa"/>
          </w:tcPr>
          <w:p w14:paraId="20A71D7C" w14:textId="77777777" w:rsidR="00D7303D" w:rsidRPr="00342F7C" w:rsidRDefault="00D7303D" w:rsidP="00560786">
            <w:pPr>
              <w:pStyle w:val="EMEANormal"/>
              <w:rPr>
                <w:lang w:val="en-GB"/>
              </w:rPr>
            </w:pPr>
            <w:r w:rsidRPr="00342F7C">
              <w:rPr>
                <w:lang w:val="en-GB"/>
              </w:rPr>
              <w:t>Erectile dysfunction, menstrual disorders - amenorrhoea, menorrhagia</w:t>
            </w:r>
          </w:p>
        </w:tc>
      </w:tr>
      <w:tr w:rsidR="00D7303D" w:rsidRPr="00342F7C" w14:paraId="18544393" w14:textId="77777777" w:rsidTr="00E4141B">
        <w:trPr>
          <w:cantSplit/>
          <w:trHeight w:val="503"/>
        </w:trPr>
        <w:tc>
          <w:tcPr>
            <w:tcW w:w="3029" w:type="dxa"/>
          </w:tcPr>
          <w:p w14:paraId="452DE0EA" w14:textId="77777777" w:rsidR="00D7303D" w:rsidRPr="00342F7C" w:rsidRDefault="00D7303D" w:rsidP="00560786">
            <w:pPr>
              <w:pStyle w:val="EMEANormal"/>
              <w:tabs>
                <w:tab w:val="clear" w:pos="562"/>
                <w:tab w:val="left" w:pos="7340"/>
              </w:tabs>
              <w:suppressAutoHyphens w:val="0"/>
              <w:rPr>
                <w:lang w:val="en-GB"/>
              </w:rPr>
            </w:pPr>
            <w:r w:rsidRPr="00342F7C">
              <w:rPr>
                <w:lang w:val="en-GB"/>
              </w:rPr>
              <w:t>General disorders and administration site conditions</w:t>
            </w:r>
          </w:p>
        </w:tc>
        <w:tc>
          <w:tcPr>
            <w:tcW w:w="1657" w:type="dxa"/>
            <w:tcBorders>
              <w:top w:val="single" w:sz="4" w:space="0" w:color="auto"/>
            </w:tcBorders>
          </w:tcPr>
          <w:p w14:paraId="0C1A4E72" w14:textId="77777777" w:rsidR="00D7303D" w:rsidRPr="00342F7C" w:rsidRDefault="00D7303D" w:rsidP="00560786">
            <w:pPr>
              <w:pStyle w:val="EMEANormal"/>
              <w:rPr>
                <w:lang w:val="en-GB"/>
              </w:rPr>
            </w:pPr>
            <w:r w:rsidRPr="00342F7C">
              <w:rPr>
                <w:lang w:val="en-GB"/>
              </w:rPr>
              <w:t>Common</w:t>
            </w:r>
          </w:p>
        </w:tc>
        <w:tc>
          <w:tcPr>
            <w:tcW w:w="4374" w:type="dxa"/>
            <w:tcBorders>
              <w:top w:val="single" w:sz="4" w:space="0" w:color="auto"/>
            </w:tcBorders>
          </w:tcPr>
          <w:p w14:paraId="6840324B" w14:textId="77777777" w:rsidR="00D7303D" w:rsidRPr="00342F7C" w:rsidRDefault="00D7303D" w:rsidP="00560786">
            <w:pPr>
              <w:pStyle w:val="EMEANormal"/>
              <w:rPr>
                <w:lang w:val="en-GB"/>
              </w:rPr>
            </w:pPr>
            <w:r w:rsidRPr="00342F7C">
              <w:rPr>
                <w:lang w:val="en-GB"/>
              </w:rPr>
              <w:t>Fatigue including asthenia</w:t>
            </w:r>
          </w:p>
          <w:p w14:paraId="01D66102" w14:textId="77777777" w:rsidR="00D7303D" w:rsidRPr="00342F7C" w:rsidRDefault="00D7303D" w:rsidP="00560786">
            <w:pPr>
              <w:pStyle w:val="EMEANormal"/>
              <w:rPr>
                <w:lang w:val="en-GB"/>
              </w:rPr>
            </w:pPr>
          </w:p>
        </w:tc>
      </w:tr>
    </w:tbl>
    <w:p w14:paraId="73B11A92" w14:textId="77777777" w:rsidR="00D7303D" w:rsidRPr="00342F7C" w:rsidRDefault="00D7303D">
      <w:pPr>
        <w:pStyle w:val="EMEANormal"/>
        <w:rPr>
          <w:lang w:val="en-GB"/>
        </w:rPr>
      </w:pPr>
      <w:r w:rsidRPr="00342F7C">
        <w:rPr>
          <w:vertAlign w:val="superscript"/>
          <w:lang w:val="en-GB"/>
        </w:rPr>
        <w:t>1</w:t>
      </w:r>
      <w:r w:rsidRPr="00342F7C">
        <w:rPr>
          <w:lang w:val="en-GB"/>
        </w:rPr>
        <w:t xml:space="preserve"> See section 4.4: pancreatitis and lipids</w:t>
      </w:r>
    </w:p>
    <w:p w14:paraId="6C553E69" w14:textId="77777777" w:rsidR="00D7303D" w:rsidRPr="00342F7C" w:rsidRDefault="00D7303D">
      <w:pPr>
        <w:pStyle w:val="EMEANormal"/>
        <w:rPr>
          <w:lang w:val="en-GB"/>
        </w:rPr>
      </w:pPr>
    </w:p>
    <w:p w14:paraId="1D48273A" w14:textId="77777777" w:rsidR="00D7303D" w:rsidRPr="00342F7C" w:rsidRDefault="00D7303D" w:rsidP="00293325">
      <w:pPr>
        <w:pStyle w:val="EMEANormal"/>
        <w:rPr>
          <w:bCs/>
          <w:iCs/>
          <w:color w:val="000000"/>
          <w:szCs w:val="22"/>
          <w:u w:val="single"/>
          <w:lang w:val="en-GB" w:eastAsia="en-GB"/>
        </w:rPr>
      </w:pPr>
      <w:r w:rsidRPr="00342F7C">
        <w:rPr>
          <w:bCs/>
          <w:iCs/>
          <w:color w:val="000000"/>
          <w:szCs w:val="22"/>
          <w:u w:val="single"/>
          <w:lang w:val="en-GB" w:eastAsia="en-GB"/>
        </w:rPr>
        <w:t>c. Description of selected adverse reactions</w:t>
      </w:r>
    </w:p>
    <w:p w14:paraId="741590E4" w14:textId="77777777" w:rsidR="00D7303D" w:rsidRPr="00342F7C" w:rsidRDefault="00D7303D" w:rsidP="00293325">
      <w:pPr>
        <w:pStyle w:val="EMEANormal"/>
        <w:rPr>
          <w:b/>
          <w:bCs/>
          <w:i/>
          <w:iCs/>
          <w:color w:val="000000"/>
          <w:szCs w:val="22"/>
          <w:lang w:val="en-GB" w:eastAsia="en-GB"/>
        </w:rPr>
      </w:pPr>
    </w:p>
    <w:p w14:paraId="7A647D33" w14:textId="77777777" w:rsidR="00D7303D" w:rsidRPr="00342F7C" w:rsidRDefault="00D7303D" w:rsidP="007E55C1">
      <w:pPr>
        <w:pStyle w:val="EMEANormal"/>
        <w:rPr>
          <w:szCs w:val="22"/>
          <w:lang w:val="en-GB"/>
        </w:rPr>
      </w:pPr>
      <w:r w:rsidRPr="00342F7C">
        <w:rPr>
          <w:szCs w:val="22"/>
          <w:lang w:val="en-GB"/>
        </w:rPr>
        <w:t>Cushing’s syndrome has been reported in patients receiving ritonavir and inhaled or intranasally administered fluticasone propionate; this could also occur with other corticosteroids metabolised via the P450 3A pathway e.g. budesonide (see section 4.4 and 4.5).</w:t>
      </w:r>
    </w:p>
    <w:p w14:paraId="7C240FD3" w14:textId="77777777" w:rsidR="00D7303D" w:rsidRPr="00342F7C" w:rsidRDefault="00D7303D" w:rsidP="00293325">
      <w:pPr>
        <w:pStyle w:val="EMEANormal"/>
        <w:rPr>
          <w:szCs w:val="22"/>
          <w:lang w:val="en-GB"/>
        </w:rPr>
      </w:pPr>
    </w:p>
    <w:p w14:paraId="0E800D10" w14:textId="77777777" w:rsidR="00D7303D" w:rsidRPr="00342F7C" w:rsidRDefault="00D7303D" w:rsidP="00293325">
      <w:pPr>
        <w:pStyle w:val="EMEANormal"/>
        <w:rPr>
          <w:szCs w:val="22"/>
          <w:lang w:val="en-GB"/>
        </w:rPr>
      </w:pPr>
      <w:r w:rsidRPr="00342F7C">
        <w:rPr>
          <w:szCs w:val="22"/>
          <w:lang w:val="en-GB"/>
        </w:rPr>
        <w:t>Increased creatine phosphokinase (CPK), myalgia, myositis, and rarely, rhabdomyolysis have been reported with protease inhibitors, particularly in combination with nucleoside reverse transcriptase inhibitors.</w:t>
      </w:r>
    </w:p>
    <w:p w14:paraId="6181D895" w14:textId="77777777" w:rsidR="00D7303D" w:rsidRPr="00342F7C" w:rsidRDefault="00D7303D" w:rsidP="00293325">
      <w:pPr>
        <w:pStyle w:val="EMEANormal"/>
        <w:rPr>
          <w:szCs w:val="22"/>
          <w:lang w:val="en-GB"/>
        </w:rPr>
      </w:pPr>
    </w:p>
    <w:p w14:paraId="4D5EA7B1" w14:textId="77777777" w:rsidR="00CA7C65" w:rsidRPr="00CA7C65" w:rsidRDefault="00CA7C65" w:rsidP="00CA7C65">
      <w:pPr>
        <w:pStyle w:val="EMEANormal"/>
        <w:rPr>
          <w:szCs w:val="22"/>
          <w:u w:val="single"/>
          <w:lang w:val="en-GB"/>
        </w:rPr>
      </w:pPr>
      <w:r w:rsidRPr="00CA7C65">
        <w:rPr>
          <w:szCs w:val="22"/>
          <w:u w:val="single"/>
          <w:lang w:val="en-GB"/>
        </w:rPr>
        <w:t>Metabolic parameters</w:t>
      </w:r>
    </w:p>
    <w:p w14:paraId="435409CB" w14:textId="77777777" w:rsidR="00CA7C65" w:rsidRDefault="00CA7C65" w:rsidP="00CA7C65">
      <w:pPr>
        <w:pStyle w:val="EMEANormal"/>
        <w:rPr>
          <w:szCs w:val="22"/>
          <w:lang w:val="en-GB"/>
        </w:rPr>
      </w:pPr>
      <w:r>
        <w:rPr>
          <w:szCs w:val="22"/>
          <w:lang w:val="en-GB"/>
        </w:rPr>
        <w:t>Weight and levels of blood lipids and glucose may increase during antiretroviral therapy (see section 4.4).</w:t>
      </w:r>
    </w:p>
    <w:p w14:paraId="0A087815" w14:textId="77777777" w:rsidR="00D7303D" w:rsidRPr="00342F7C" w:rsidRDefault="00D7303D" w:rsidP="00293325">
      <w:pPr>
        <w:pStyle w:val="EMEANormal"/>
        <w:rPr>
          <w:szCs w:val="22"/>
          <w:lang w:val="en-GB"/>
        </w:rPr>
      </w:pPr>
    </w:p>
    <w:p w14:paraId="01F36E1D" w14:textId="77777777" w:rsidR="00D7303D" w:rsidRPr="00342F7C" w:rsidRDefault="00D7303D" w:rsidP="00293325">
      <w:pPr>
        <w:pStyle w:val="EMEANormal"/>
        <w:rPr>
          <w:szCs w:val="22"/>
          <w:lang w:val="en-GB"/>
        </w:rPr>
      </w:pPr>
      <w:r w:rsidRPr="00342F7C">
        <w:rPr>
          <w:szCs w:val="22"/>
          <w:lang w:val="en-GB"/>
        </w:rPr>
        <w:t>In HIV-infected patients with severe immune deficiency at the time of initiation of combination antiretroviral therapy (CART), an inflammatory reaction to asymptomatic or residual opportunistic infections may arise</w:t>
      </w:r>
      <w:r w:rsidRPr="00575ABB">
        <w:rPr>
          <w:szCs w:val="22"/>
          <w:lang w:val="en-GB"/>
        </w:rPr>
        <w:t xml:space="preserve">.  </w:t>
      </w:r>
      <w:r w:rsidRPr="00575ABB">
        <w:rPr>
          <w:szCs w:val="22"/>
        </w:rPr>
        <w:t>Autoimmune disorders (such as Graves’ disease</w:t>
      </w:r>
      <w:r w:rsidR="008168DF">
        <w:rPr>
          <w:szCs w:val="22"/>
        </w:rPr>
        <w:t xml:space="preserve"> </w:t>
      </w:r>
      <w:r w:rsidR="008168DF">
        <w:rPr>
          <w:lang w:val="en-GB"/>
        </w:rPr>
        <w:t>and autoimmune hepatitis</w:t>
      </w:r>
      <w:r w:rsidRPr="00575ABB">
        <w:rPr>
          <w:szCs w:val="22"/>
        </w:rPr>
        <w:t>) have also been reported; however, the reported time to onset is more variable and can occur many months after initiation of treatment</w:t>
      </w:r>
      <w:r w:rsidRPr="00342F7C">
        <w:rPr>
          <w:szCs w:val="22"/>
          <w:lang w:val="en-GB"/>
        </w:rPr>
        <w:t xml:space="preserve"> (see section 4.4).</w:t>
      </w:r>
    </w:p>
    <w:p w14:paraId="72D3EFA7" w14:textId="77777777" w:rsidR="00D7303D" w:rsidRPr="00342F7C" w:rsidRDefault="00D7303D" w:rsidP="00293325">
      <w:pPr>
        <w:pStyle w:val="EMEANormal"/>
        <w:rPr>
          <w:szCs w:val="22"/>
          <w:lang w:val="en-GB"/>
        </w:rPr>
      </w:pPr>
    </w:p>
    <w:p w14:paraId="479DBE73" w14:textId="77777777" w:rsidR="00D7303D" w:rsidRPr="00342F7C" w:rsidRDefault="00D7303D" w:rsidP="00293325">
      <w:pPr>
        <w:pStyle w:val="EMEANormal"/>
        <w:rPr>
          <w:szCs w:val="22"/>
          <w:lang w:val="en-GB"/>
        </w:rPr>
      </w:pPr>
      <w:r w:rsidRPr="00342F7C">
        <w:rPr>
          <w:szCs w:val="22"/>
          <w:lang w:val="en-GB"/>
        </w:rPr>
        <w:t>Cases of osteonecrosis have been reported, particularly in patients with generally acknowledged risk factors, advanced HIV disease or long-term exposure to combination antiretroviral therapy (CART).  The frequency of this is unknown (see section 4.4).</w:t>
      </w:r>
    </w:p>
    <w:p w14:paraId="09A01806" w14:textId="77777777" w:rsidR="00D7303D" w:rsidRPr="00342F7C" w:rsidRDefault="00D7303D" w:rsidP="00293325">
      <w:pPr>
        <w:pStyle w:val="EMEANormal"/>
        <w:rPr>
          <w:szCs w:val="22"/>
          <w:lang w:val="en-GB"/>
        </w:rPr>
      </w:pPr>
    </w:p>
    <w:p w14:paraId="5DC65447" w14:textId="77777777" w:rsidR="00D7303D" w:rsidRPr="00342F7C" w:rsidRDefault="00D7303D" w:rsidP="00293325">
      <w:pPr>
        <w:autoSpaceDE w:val="0"/>
        <w:autoSpaceDN w:val="0"/>
        <w:adjustRightInd w:val="0"/>
        <w:rPr>
          <w:bCs/>
          <w:iCs/>
          <w:sz w:val="22"/>
          <w:szCs w:val="22"/>
          <w:u w:val="single"/>
        </w:rPr>
      </w:pPr>
      <w:r w:rsidRPr="00342F7C">
        <w:rPr>
          <w:bCs/>
          <w:iCs/>
          <w:sz w:val="22"/>
          <w:szCs w:val="22"/>
          <w:u w:val="single"/>
        </w:rPr>
        <w:t>d. Paediatric populations</w:t>
      </w:r>
    </w:p>
    <w:p w14:paraId="1C9C072E" w14:textId="77777777" w:rsidR="00D7303D" w:rsidRPr="00342F7C" w:rsidRDefault="00D7303D" w:rsidP="00293325">
      <w:pPr>
        <w:pStyle w:val="BodyText"/>
        <w:suppressAutoHyphens/>
        <w:spacing w:before="0" w:after="0"/>
        <w:jc w:val="left"/>
        <w:rPr>
          <w:szCs w:val="22"/>
        </w:rPr>
      </w:pPr>
    </w:p>
    <w:p w14:paraId="28CC2BF4" w14:textId="77777777" w:rsidR="00402DC9" w:rsidRDefault="00D7303D" w:rsidP="00402DC9">
      <w:pPr>
        <w:pStyle w:val="EMEANormal"/>
        <w:rPr>
          <w:szCs w:val="22"/>
          <w:lang w:val="en-GB"/>
        </w:rPr>
      </w:pPr>
      <w:r w:rsidRPr="00342F7C">
        <w:rPr>
          <w:szCs w:val="22"/>
          <w:lang w:val="en-GB"/>
        </w:rPr>
        <w:t xml:space="preserve">In children </w:t>
      </w:r>
      <w:r w:rsidR="008B6723">
        <w:rPr>
          <w:szCs w:val="22"/>
          <w:lang w:val="en-GB"/>
        </w:rPr>
        <w:t>14 days</w:t>
      </w:r>
      <w:r w:rsidRPr="00342F7C">
        <w:rPr>
          <w:szCs w:val="22"/>
          <w:lang w:val="en-GB"/>
        </w:rPr>
        <w:t xml:space="preserve"> of age and older, the nature of the safety profile is similar to that seen in adults (see Table in section b).</w:t>
      </w:r>
      <w:r w:rsidR="00402DC9" w:rsidRPr="00402DC9">
        <w:rPr>
          <w:szCs w:val="22"/>
          <w:lang w:val="en-GB"/>
        </w:rPr>
        <w:t xml:space="preserve"> </w:t>
      </w:r>
    </w:p>
    <w:p w14:paraId="3BBF0AFB" w14:textId="77777777" w:rsidR="00402DC9" w:rsidRDefault="00402DC9" w:rsidP="00402DC9">
      <w:pPr>
        <w:pStyle w:val="EMEANormal"/>
        <w:rPr>
          <w:szCs w:val="22"/>
          <w:lang w:val="en-GB"/>
        </w:rPr>
      </w:pPr>
    </w:p>
    <w:p w14:paraId="2B1502C5" w14:textId="77777777" w:rsidR="00402DC9" w:rsidRPr="00402DC9" w:rsidRDefault="00402DC9" w:rsidP="00C81811">
      <w:pPr>
        <w:pStyle w:val="EMEANormal"/>
        <w:keepNext/>
        <w:rPr>
          <w:szCs w:val="22"/>
          <w:u w:val="single"/>
          <w:lang w:val="en-GB"/>
        </w:rPr>
      </w:pPr>
      <w:r w:rsidRPr="00402DC9">
        <w:rPr>
          <w:szCs w:val="22"/>
          <w:u w:val="single"/>
          <w:lang w:val="en-GB"/>
        </w:rPr>
        <w:t>Reporting of suspected adverse reactions</w:t>
      </w:r>
    </w:p>
    <w:p w14:paraId="60181342" w14:textId="77777777" w:rsidR="00D7303D" w:rsidRDefault="00402DC9" w:rsidP="00C81811">
      <w:pPr>
        <w:pStyle w:val="EMEANormal"/>
        <w:keepNext/>
        <w:rPr>
          <w:color w:val="0000FF"/>
          <w:szCs w:val="22"/>
        </w:rPr>
      </w:pPr>
      <w:r>
        <w:rPr>
          <w:szCs w:val="22"/>
          <w:lang w:val="en-GB"/>
        </w:rPr>
        <w:t>Reporting suspected adverse reactions after authorisation of the medicinal produc</w:t>
      </w:r>
      <w:r w:rsidR="006C11F6">
        <w:rPr>
          <w:szCs w:val="22"/>
          <w:lang w:val="en-GB"/>
        </w:rPr>
        <w:t>t is important.  It allows cont</w:t>
      </w:r>
      <w:r>
        <w:rPr>
          <w:szCs w:val="22"/>
          <w:lang w:val="en-GB"/>
        </w:rPr>
        <w:t xml:space="preserve">inued monitoring of the benefit/risk balance of the medicinal product.  Healthcare professionals are asked to report any suspected adverse reactions </w:t>
      </w:r>
      <w:r>
        <w:rPr>
          <w:szCs w:val="22"/>
        </w:rPr>
        <w:t xml:space="preserve">via </w:t>
      </w:r>
      <w:r w:rsidRPr="00402DC9">
        <w:rPr>
          <w:szCs w:val="22"/>
          <w:highlight w:val="lightGray"/>
        </w:rPr>
        <w:t xml:space="preserve">the national reporting system listed in </w:t>
      </w:r>
      <w:hyperlink r:id="rId11" w:history="1">
        <w:r w:rsidRPr="00AC0B47">
          <w:rPr>
            <w:rStyle w:val="Hyperlink"/>
            <w:szCs w:val="22"/>
            <w:highlight w:val="lightGray"/>
          </w:rPr>
          <w:t>Appendix V</w:t>
        </w:r>
      </w:hyperlink>
      <w:r>
        <w:rPr>
          <w:color w:val="0000FF"/>
          <w:szCs w:val="22"/>
        </w:rPr>
        <w:t>.</w:t>
      </w:r>
    </w:p>
    <w:p w14:paraId="16A7C710" w14:textId="77777777" w:rsidR="00C81811" w:rsidRPr="00342F7C" w:rsidRDefault="00C81811" w:rsidP="00C81811">
      <w:pPr>
        <w:pStyle w:val="EMEANormal"/>
        <w:keepNext/>
        <w:rPr>
          <w:lang w:val="en-GB"/>
        </w:rPr>
      </w:pPr>
    </w:p>
    <w:p w14:paraId="3D8C5C7F" w14:textId="77777777" w:rsidR="00D7303D" w:rsidRDefault="00D7303D" w:rsidP="00C81811">
      <w:pPr>
        <w:pStyle w:val="EMEAHeading2SPC"/>
        <w:spacing w:beforeLines="0" w:before="0" w:afterLines="0" w:after="0"/>
        <w:rPr>
          <w:rFonts w:ascii="Times New Roman" w:hAnsi="Times New Roman"/>
          <w:lang w:val="en-GB"/>
        </w:rPr>
      </w:pPr>
      <w:r w:rsidRPr="00342F7C">
        <w:rPr>
          <w:rFonts w:ascii="Times New Roman" w:hAnsi="Times New Roman"/>
          <w:lang w:val="en-GB"/>
        </w:rPr>
        <w:t>4.9</w:t>
      </w:r>
      <w:r w:rsidRPr="00342F7C">
        <w:rPr>
          <w:rFonts w:ascii="Times New Roman" w:hAnsi="Times New Roman"/>
          <w:lang w:val="en-GB"/>
        </w:rPr>
        <w:tab/>
        <w:t>Overdose</w:t>
      </w:r>
    </w:p>
    <w:p w14:paraId="4CC54A01" w14:textId="77777777" w:rsidR="00C81811" w:rsidRPr="00C81811" w:rsidRDefault="00C81811" w:rsidP="00C81811">
      <w:pPr>
        <w:pStyle w:val="EMEANormal"/>
        <w:rPr>
          <w:lang w:val="en-GB"/>
        </w:rPr>
      </w:pPr>
    </w:p>
    <w:p w14:paraId="47B4E859" w14:textId="77777777" w:rsidR="00D7303D" w:rsidRDefault="00D7303D">
      <w:pPr>
        <w:pStyle w:val="EMEANormal"/>
        <w:rPr>
          <w:lang w:val="en-GB"/>
        </w:rPr>
      </w:pPr>
      <w:r w:rsidRPr="00342F7C">
        <w:rPr>
          <w:lang w:val="en-GB"/>
        </w:rPr>
        <w:t>To date, there is limited human experience of acute overdose with Kaletra.</w:t>
      </w:r>
    </w:p>
    <w:p w14:paraId="02426BF6" w14:textId="77777777" w:rsidR="00D7303D" w:rsidRDefault="00D7303D">
      <w:pPr>
        <w:pStyle w:val="EMEANormal"/>
        <w:rPr>
          <w:lang w:val="en-GB"/>
        </w:rPr>
      </w:pPr>
    </w:p>
    <w:p w14:paraId="493476BC" w14:textId="77777777" w:rsidR="00D7303D" w:rsidRPr="00342F7C" w:rsidRDefault="00D7303D" w:rsidP="00572D28">
      <w:pPr>
        <w:pStyle w:val="EMEANormal"/>
        <w:rPr>
          <w:lang w:val="en-GB"/>
        </w:rPr>
      </w:pPr>
      <w:r w:rsidRPr="008A6692">
        <w:t>Overdoses with Kaletra oral solution have been reported</w:t>
      </w:r>
      <w:r>
        <w:t xml:space="preserve"> </w:t>
      </w:r>
      <w:r w:rsidRPr="00572D28">
        <w:t>(including fatal outcome).</w:t>
      </w:r>
      <w:r>
        <w:t xml:space="preserve"> </w:t>
      </w:r>
      <w:r w:rsidRPr="008A6692">
        <w:t xml:space="preserve"> The following events have been reported in association with unintended overdoses in preterm neonates: complete atrioventricular block, cardiomyopathy, lactic acidosis, and acute renal failure. </w:t>
      </w:r>
      <w:r>
        <w:t xml:space="preserve"> </w:t>
      </w:r>
    </w:p>
    <w:p w14:paraId="7CBBF73E" w14:textId="77777777" w:rsidR="00D7303D" w:rsidRPr="00342F7C" w:rsidRDefault="00D7303D">
      <w:pPr>
        <w:pStyle w:val="EMEANormal"/>
        <w:rPr>
          <w:lang w:val="en-GB"/>
        </w:rPr>
      </w:pPr>
    </w:p>
    <w:p w14:paraId="5208FA69" w14:textId="77777777" w:rsidR="00D7303D" w:rsidRPr="00342F7C" w:rsidRDefault="00D7303D">
      <w:pPr>
        <w:pStyle w:val="EMEANormal"/>
        <w:rPr>
          <w:lang w:val="en-GB"/>
        </w:rPr>
      </w:pPr>
      <w:r w:rsidRPr="00342F7C">
        <w:rPr>
          <w:lang w:val="en-GB"/>
        </w:rPr>
        <w:t xml:space="preserve">The adverse clinical signs observed in dogs included salivation, emesis and diarrhoea/abnormal stool.  The signs of toxicity observed in mice, rats or dogs included decreased activity, ataxia, emaciation, dehydration and tremors. </w:t>
      </w:r>
    </w:p>
    <w:p w14:paraId="3D7B75C5" w14:textId="77777777" w:rsidR="00D7303D" w:rsidRPr="00342F7C" w:rsidRDefault="00D7303D">
      <w:pPr>
        <w:pStyle w:val="EMEANormal"/>
        <w:rPr>
          <w:lang w:val="en-GB"/>
        </w:rPr>
      </w:pPr>
    </w:p>
    <w:p w14:paraId="4461E86C" w14:textId="77777777" w:rsidR="00D7303D" w:rsidRDefault="00D7303D">
      <w:pPr>
        <w:pStyle w:val="EMEANormal"/>
        <w:rPr>
          <w:lang w:val="en-GB"/>
        </w:rPr>
      </w:pPr>
      <w:r w:rsidRPr="00342F7C">
        <w:rPr>
          <w:lang w:val="en-GB"/>
        </w:rPr>
        <w:t>There is no specific antidote for overdose with Kaletra.  Treatment of overdose with Kaletra is to consist of general supportive measures including monitoring of vital signs and observation of the clinical status of the patient.  If indicated, elimination of unabsorbed active substance is to be achieved by emesis or gastric lavage.  Administration of activated charcoal may also be used to aid in removal of unabsorbed active substance.  Since Kaletra is highly protein bound, dialysis is unlikely to be beneficial in significant removal of the active substance.</w:t>
      </w:r>
    </w:p>
    <w:p w14:paraId="7B1E599D" w14:textId="77777777" w:rsidR="00D7303D" w:rsidRDefault="00D7303D">
      <w:pPr>
        <w:pStyle w:val="EMEANormal"/>
        <w:rPr>
          <w:lang w:val="en-GB"/>
        </w:rPr>
      </w:pPr>
    </w:p>
    <w:p w14:paraId="5660C8D4" w14:textId="77777777" w:rsidR="00D7303D" w:rsidRDefault="00D7303D">
      <w:pPr>
        <w:pStyle w:val="EMEANormal"/>
        <w:rPr>
          <w:iCs/>
          <w:szCs w:val="22"/>
        </w:rPr>
      </w:pPr>
      <w:r w:rsidRPr="007F0BAE">
        <w:rPr>
          <w:iCs/>
          <w:szCs w:val="22"/>
        </w:rPr>
        <w:t>However, dialysis can remove both alcohol and propylene glycol in the case of overdose with Kaletra oral solution.</w:t>
      </w:r>
    </w:p>
    <w:p w14:paraId="5A056353" w14:textId="77777777" w:rsidR="00C81811" w:rsidRDefault="00C81811">
      <w:pPr>
        <w:pStyle w:val="EMEANormal"/>
        <w:rPr>
          <w:iCs/>
          <w:szCs w:val="22"/>
        </w:rPr>
      </w:pPr>
    </w:p>
    <w:p w14:paraId="1BC06017" w14:textId="77777777" w:rsidR="00C81811" w:rsidRPr="002202EE" w:rsidRDefault="00C81811">
      <w:pPr>
        <w:pStyle w:val="EMEANormal"/>
      </w:pPr>
    </w:p>
    <w:p w14:paraId="3E330C47" w14:textId="77777777" w:rsidR="00D7303D" w:rsidRDefault="00D7303D" w:rsidP="00C81811">
      <w:pPr>
        <w:pStyle w:val="EMEAHeading1"/>
        <w:spacing w:beforeLines="0" w:before="0" w:afterLines="0" w:after="0"/>
        <w:rPr>
          <w:rFonts w:ascii="Times New Roman" w:hAnsi="Times New Roman"/>
          <w:lang w:val="en-GB"/>
        </w:rPr>
      </w:pPr>
      <w:r w:rsidRPr="00342F7C">
        <w:rPr>
          <w:rFonts w:ascii="Times New Roman" w:hAnsi="Times New Roman"/>
          <w:lang w:val="en-GB"/>
        </w:rPr>
        <w:t>5.</w:t>
      </w:r>
      <w:r w:rsidRPr="00342F7C">
        <w:rPr>
          <w:rFonts w:ascii="Times New Roman" w:hAnsi="Times New Roman"/>
          <w:lang w:val="en-GB"/>
        </w:rPr>
        <w:tab/>
        <w:t>Pharmacological properties</w:t>
      </w:r>
    </w:p>
    <w:p w14:paraId="476AC2EE" w14:textId="77777777" w:rsidR="00C81811" w:rsidRPr="00C81811" w:rsidRDefault="00C81811" w:rsidP="00C81811">
      <w:pPr>
        <w:pStyle w:val="EMEANormal"/>
        <w:rPr>
          <w:lang w:val="en-GB"/>
        </w:rPr>
      </w:pPr>
    </w:p>
    <w:p w14:paraId="65C4F4B5" w14:textId="77777777" w:rsidR="00D7303D" w:rsidRDefault="00D7303D" w:rsidP="00C81811">
      <w:pPr>
        <w:pStyle w:val="EMEAHeading2SPC"/>
        <w:spacing w:beforeLines="0" w:before="0" w:afterLines="0" w:after="0"/>
        <w:rPr>
          <w:rFonts w:ascii="Times New Roman" w:hAnsi="Times New Roman"/>
          <w:lang w:val="en-GB"/>
        </w:rPr>
      </w:pPr>
      <w:r w:rsidRPr="00342F7C">
        <w:rPr>
          <w:rFonts w:ascii="Times New Roman" w:hAnsi="Times New Roman"/>
          <w:lang w:val="en-GB"/>
        </w:rPr>
        <w:t>5.1</w:t>
      </w:r>
      <w:r w:rsidRPr="00342F7C">
        <w:rPr>
          <w:rFonts w:ascii="Times New Roman" w:hAnsi="Times New Roman"/>
          <w:lang w:val="en-GB"/>
        </w:rPr>
        <w:tab/>
        <w:t>Pharmacodynamic properties</w:t>
      </w:r>
    </w:p>
    <w:p w14:paraId="4FECB233" w14:textId="77777777" w:rsidR="00122AD3" w:rsidRPr="00122AD3" w:rsidRDefault="00122AD3" w:rsidP="00122AD3">
      <w:pPr>
        <w:pStyle w:val="EMEANormal"/>
        <w:rPr>
          <w:lang w:val="en-GB"/>
        </w:rPr>
      </w:pPr>
    </w:p>
    <w:p w14:paraId="467D1E53" w14:textId="77777777" w:rsidR="00D7303D" w:rsidRPr="00342F7C" w:rsidRDefault="00D7303D">
      <w:pPr>
        <w:pStyle w:val="EMEANormal"/>
        <w:rPr>
          <w:lang w:val="en-GB"/>
        </w:rPr>
      </w:pPr>
      <w:r w:rsidRPr="00342F7C">
        <w:rPr>
          <w:lang w:val="en-GB"/>
        </w:rPr>
        <w:t xml:space="preserve">Pharmaco-therapeutic group: antivirals for systemic use, </w:t>
      </w:r>
      <w:r w:rsidR="00EB6A7C">
        <w:rPr>
          <w:lang w:val="en-GB"/>
        </w:rPr>
        <w:t>a</w:t>
      </w:r>
      <w:r w:rsidR="00402DC9">
        <w:t>ntivirals for treatment of HIV infections, combinations</w:t>
      </w:r>
      <w:r w:rsidRPr="00342F7C">
        <w:rPr>
          <w:lang w:val="en-GB"/>
        </w:rPr>
        <w:t xml:space="preserve">, ATC code: </w:t>
      </w:r>
      <w:r w:rsidR="0059049B">
        <w:rPr>
          <w:lang w:val="en-GB"/>
        </w:rPr>
        <w:t>J05AR10</w:t>
      </w:r>
      <w:r w:rsidRPr="00342F7C">
        <w:rPr>
          <w:lang w:val="en-GB"/>
        </w:rPr>
        <w:t xml:space="preserve"> </w:t>
      </w:r>
    </w:p>
    <w:p w14:paraId="49014126" w14:textId="77777777" w:rsidR="00D7303D" w:rsidRPr="00342F7C" w:rsidRDefault="00D7303D">
      <w:pPr>
        <w:rPr>
          <w:sz w:val="22"/>
        </w:rPr>
      </w:pPr>
    </w:p>
    <w:p w14:paraId="502D3754" w14:textId="77777777" w:rsidR="008B6724" w:rsidRDefault="00D7303D">
      <w:pPr>
        <w:pStyle w:val="EMEANormal"/>
        <w:rPr>
          <w:lang w:val="en-GB"/>
        </w:rPr>
      </w:pPr>
      <w:r w:rsidRPr="0017061C">
        <w:rPr>
          <w:u w:val="single"/>
          <w:lang w:val="en-GB"/>
        </w:rPr>
        <w:t>Mechanism of action</w:t>
      </w:r>
    </w:p>
    <w:p w14:paraId="71B07A43" w14:textId="77777777" w:rsidR="00D7303D" w:rsidRPr="00342F7C" w:rsidRDefault="00D7303D">
      <w:pPr>
        <w:pStyle w:val="EMEANormal"/>
        <w:rPr>
          <w:lang w:val="en-GB"/>
        </w:rPr>
      </w:pPr>
      <w:r w:rsidRPr="00342F7C">
        <w:rPr>
          <w:snapToGrid w:val="0"/>
          <w:lang w:val="en-GB"/>
        </w:rPr>
        <w:t xml:space="preserve">Lopinavir provides the antiviral activity of Kaletra.  </w:t>
      </w:r>
      <w:r w:rsidRPr="00342F7C">
        <w:rPr>
          <w:lang w:val="en-GB"/>
        </w:rPr>
        <w:t xml:space="preserve">Lopinavir is an inhibitor of the HIV-1 and HIV-2 proteases.  Inhibition of HIV protease prevents cleavage of the </w:t>
      </w:r>
      <w:r w:rsidRPr="00342F7C">
        <w:rPr>
          <w:i/>
          <w:lang w:val="en-GB"/>
        </w:rPr>
        <w:t>gag-pol</w:t>
      </w:r>
      <w:r w:rsidRPr="00342F7C">
        <w:rPr>
          <w:lang w:val="en-GB"/>
        </w:rPr>
        <w:t xml:space="preserve"> polyprotein resulting in the production of immature, non-infectious virus. </w:t>
      </w:r>
    </w:p>
    <w:p w14:paraId="1A4F59FF" w14:textId="77777777" w:rsidR="00D7303D" w:rsidRPr="00342F7C" w:rsidRDefault="00D7303D">
      <w:pPr>
        <w:pStyle w:val="EMEANormal"/>
        <w:rPr>
          <w:lang w:val="en-GB"/>
        </w:rPr>
      </w:pPr>
    </w:p>
    <w:p w14:paraId="713C56A3" w14:textId="77777777" w:rsidR="008B6724" w:rsidRDefault="00D7303D">
      <w:pPr>
        <w:pStyle w:val="EMEANormal"/>
        <w:rPr>
          <w:rFonts w:eastAsia="Arial"/>
          <w:lang w:val="en-GB"/>
        </w:rPr>
      </w:pPr>
      <w:r w:rsidRPr="0017061C">
        <w:rPr>
          <w:iCs/>
          <w:u w:val="single"/>
          <w:lang w:val="en-GB"/>
        </w:rPr>
        <w:t>Effects on the electrocardiogram</w:t>
      </w:r>
    </w:p>
    <w:p w14:paraId="32D4A49A" w14:textId="77777777" w:rsidR="00D7303D" w:rsidRPr="00342F7C" w:rsidRDefault="00D7303D">
      <w:pPr>
        <w:pStyle w:val="EMEANormal"/>
        <w:rPr>
          <w:rFonts w:eastAsia="Arial"/>
          <w:lang w:val="en-GB"/>
        </w:rPr>
      </w:pPr>
      <w:r w:rsidRPr="00342F7C">
        <w:rPr>
          <w:rFonts w:eastAsia="Arial"/>
          <w:lang w:val="en-GB"/>
        </w:rPr>
        <w:t xml:space="preserve">QTcF interval was evaluated in a randomised, placebo and active (moxifloxacin 400 mg once daily) controlled crossover study in 39 healthy adults, with 10 measurements over 12 hours on Day 3.  The maximum mean (95% upper confidence bound) differences in QTcF from placebo were 3.6 (6.3) and 13.1(15.8) for 400/100 mg twice daily and supratherapeutic 800/200 mg twice daily LPV/r, respectively.  </w:t>
      </w:r>
      <w:r w:rsidRPr="00342F7C">
        <w:rPr>
          <w:szCs w:val="22"/>
          <w:lang w:val="en-GB"/>
        </w:rPr>
        <w:t xml:space="preserve">The induced QRS interval prolongation from 6 ms to 9.5 ms with high dose lopinavir/ritonavir (800/200 mg twice daily) contributes to QT prolongation.  </w:t>
      </w:r>
      <w:r w:rsidRPr="00342F7C">
        <w:rPr>
          <w:rFonts w:eastAsia="Arial"/>
          <w:lang w:val="en-GB"/>
        </w:rPr>
        <w:t>The two regimens resulted in exposures on Day 3 which were approximately 1.5 and 3</w:t>
      </w:r>
      <w:r w:rsidRPr="00342F7C">
        <w:rPr>
          <w:rFonts w:eastAsia="Arial"/>
          <w:lang w:val="en-GB"/>
        </w:rPr>
        <w:noBreakHyphen/>
        <w:t xml:space="preserve">fold higher than those observed with recommended once daily or twice daily LPV/r doses at steady state.  No subject experienced an increase in QTcF of </w:t>
      </w:r>
      <w:r w:rsidRPr="00342F7C">
        <w:rPr>
          <w:rFonts w:eastAsia="Arial"/>
          <w:lang w:val="en-GB"/>
        </w:rPr>
        <w:sym w:font="Symbol" w:char="F0B3"/>
      </w:r>
      <w:r w:rsidRPr="00342F7C">
        <w:rPr>
          <w:rFonts w:eastAsia="Arial"/>
          <w:lang w:val="en-GB"/>
        </w:rPr>
        <w:t> 60 ms from baseline or a QTcF interval exceeding the potentially clinically relevant threshold of 500 ms.</w:t>
      </w:r>
    </w:p>
    <w:p w14:paraId="22BB6550" w14:textId="77777777" w:rsidR="00D7303D" w:rsidRPr="00342F7C" w:rsidRDefault="00D7303D">
      <w:pPr>
        <w:pStyle w:val="EMEANormal"/>
        <w:rPr>
          <w:rFonts w:eastAsia="Arial"/>
          <w:lang w:val="en-GB"/>
        </w:rPr>
      </w:pPr>
    </w:p>
    <w:p w14:paraId="0A2A7ED7" w14:textId="77777777" w:rsidR="00D7303D" w:rsidRPr="00342F7C" w:rsidRDefault="00D7303D">
      <w:pPr>
        <w:pStyle w:val="EMEANormal"/>
        <w:rPr>
          <w:lang w:val="en-GB"/>
        </w:rPr>
      </w:pPr>
      <w:r w:rsidRPr="00342F7C">
        <w:rPr>
          <w:szCs w:val="14"/>
          <w:lang w:val="en-GB"/>
        </w:rPr>
        <w:t xml:space="preserve">Modest prolongation of the PR interval was also noted in subjects receiving lopinavir/ritonavir in the same study on Day 3.  </w:t>
      </w:r>
      <w:r w:rsidRPr="00342F7C">
        <w:rPr>
          <w:szCs w:val="22"/>
          <w:lang w:val="en-GB"/>
        </w:rPr>
        <w:t>The mean changes from baseline in PR interval ranged from 11.6 ms to 24.4 ms in the 12 hour interval post dose.</w:t>
      </w:r>
      <w:r w:rsidRPr="00342F7C">
        <w:rPr>
          <w:b/>
          <w:bCs/>
          <w:i/>
          <w:iCs/>
          <w:szCs w:val="22"/>
          <w:lang w:val="en-GB"/>
        </w:rPr>
        <w:t xml:space="preserve">  </w:t>
      </w:r>
      <w:r w:rsidRPr="00342F7C">
        <w:rPr>
          <w:szCs w:val="14"/>
          <w:lang w:val="en-GB"/>
        </w:rPr>
        <w:t>Maximum PR interval was 286 ms and no second or third degree heart block was observed (see section 4.4).</w:t>
      </w:r>
    </w:p>
    <w:p w14:paraId="1B50AA3E" w14:textId="77777777" w:rsidR="00D7303D" w:rsidRPr="00342F7C" w:rsidRDefault="00D7303D">
      <w:pPr>
        <w:pStyle w:val="EMEANormal"/>
        <w:rPr>
          <w:lang w:val="en-GB"/>
        </w:rPr>
      </w:pPr>
    </w:p>
    <w:p w14:paraId="009FBF7B" w14:textId="77777777" w:rsidR="008B6724" w:rsidRDefault="00D7303D">
      <w:pPr>
        <w:pStyle w:val="EMEANormal"/>
        <w:rPr>
          <w:lang w:val="en-GB"/>
        </w:rPr>
      </w:pPr>
      <w:r w:rsidRPr="0017061C">
        <w:rPr>
          <w:u w:val="single"/>
          <w:lang w:val="en-GB"/>
        </w:rPr>
        <w:t xml:space="preserve">Antiviral activity </w:t>
      </w:r>
      <w:r w:rsidRPr="009F192A">
        <w:rPr>
          <w:i/>
          <w:u w:val="single"/>
          <w:lang w:val="en-GB"/>
        </w:rPr>
        <w:t>in vitro</w:t>
      </w:r>
    </w:p>
    <w:p w14:paraId="0B817295" w14:textId="77777777" w:rsidR="00D7303D" w:rsidRDefault="008B6724">
      <w:pPr>
        <w:pStyle w:val="EMEANormal"/>
        <w:rPr>
          <w:lang w:val="en-GB"/>
        </w:rPr>
      </w:pPr>
      <w:r>
        <w:rPr>
          <w:lang w:val="en-GB"/>
        </w:rPr>
        <w:t>T</w:t>
      </w:r>
      <w:r w:rsidR="00D7303D" w:rsidRPr="00342F7C">
        <w:rPr>
          <w:lang w:val="en-GB"/>
        </w:rPr>
        <w:t xml:space="preserve">he </w:t>
      </w:r>
      <w:r w:rsidR="00D7303D" w:rsidRPr="00342F7C">
        <w:rPr>
          <w:i/>
          <w:lang w:val="en-GB"/>
        </w:rPr>
        <w:t xml:space="preserve">in vitro </w:t>
      </w:r>
      <w:r w:rsidR="00D7303D" w:rsidRPr="00342F7C">
        <w:rPr>
          <w:lang w:val="en-GB"/>
        </w:rPr>
        <w:t>antiviral activity of lopinavir against laboratory and clinical HIV strains was evaluated in acutely infected lymphoblastic cell lines and peripheral blood lymphocytes, respectively.  In the absence of human serum, the mean IC</w:t>
      </w:r>
      <w:r w:rsidR="00D7303D" w:rsidRPr="00342F7C">
        <w:rPr>
          <w:vertAlign w:val="subscript"/>
          <w:lang w:val="en-GB"/>
        </w:rPr>
        <w:t>50</w:t>
      </w:r>
      <w:r w:rsidR="00D7303D" w:rsidRPr="00342F7C">
        <w:rPr>
          <w:lang w:val="en-GB"/>
        </w:rPr>
        <w:t xml:space="preserve"> of lopinavir against five different HIV-1 laboratory strains was 19 nM.  In the absence and presence of 50% human serum, the mean IC</w:t>
      </w:r>
      <w:r w:rsidR="00D7303D" w:rsidRPr="00342F7C">
        <w:rPr>
          <w:vertAlign w:val="subscript"/>
          <w:lang w:val="en-GB"/>
        </w:rPr>
        <w:t>50</w:t>
      </w:r>
      <w:r w:rsidR="00D7303D" w:rsidRPr="00342F7C">
        <w:rPr>
          <w:lang w:val="en-GB"/>
        </w:rPr>
        <w:t xml:space="preserve"> of lopinavir against HIV-1</w:t>
      </w:r>
      <w:r w:rsidR="00D7303D" w:rsidRPr="00342F7C">
        <w:rPr>
          <w:vertAlign w:val="subscript"/>
          <w:lang w:val="en-GB"/>
        </w:rPr>
        <w:t>IIIB</w:t>
      </w:r>
      <w:r w:rsidR="00D7303D" w:rsidRPr="00342F7C">
        <w:rPr>
          <w:lang w:val="en-GB"/>
        </w:rPr>
        <w:t xml:space="preserve"> in MT4 cells was 17 nM and 102 nM, respectively.  In the absence of human serum, the mean IC</w:t>
      </w:r>
      <w:r w:rsidR="00D7303D" w:rsidRPr="00342F7C">
        <w:rPr>
          <w:vertAlign w:val="subscript"/>
          <w:lang w:val="en-GB"/>
        </w:rPr>
        <w:t>50</w:t>
      </w:r>
      <w:r w:rsidR="00D7303D" w:rsidRPr="00342F7C">
        <w:rPr>
          <w:lang w:val="en-GB"/>
        </w:rPr>
        <w:t xml:space="preserve"> of lopinavir was 6.5 nM against several HIV-1 clinical isolates.</w:t>
      </w:r>
    </w:p>
    <w:p w14:paraId="001567A5" w14:textId="77777777" w:rsidR="00122AD3" w:rsidRPr="00342F7C" w:rsidRDefault="00122AD3">
      <w:pPr>
        <w:pStyle w:val="EMEANormal"/>
        <w:rPr>
          <w:lang w:val="en-GB"/>
        </w:rPr>
      </w:pPr>
    </w:p>
    <w:p w14:paraId="5035D5AE" w14:textId="77777777" w:rsidR="00D7303D" w:rsidRPr="0017061C" w:rsidRDefault="00D7303D" w:rsidP="00122AD3">
      <w:pPr>
        <w:pStyle w:val="EMEAHeadingUI"/>
        <w:spacing w:beforeLines="0" w:before="0" w:afterLines="0" w:after="0"/>
        <w:rPr>
          <w:i w:val="0"/>
          <w:lang w:val="en-GB"/>
        </w:rPr>
      </w:pPr>
      <w:r w:rsidRPr="0017061C">
        <w:rPr>
          <w:i w:val="0"/>
          <w:lang w:val="en-GB"/>
        </w:rPr>
        <w:t>Resistance</w:t>
      </w:r>
    </w:p>
    <w:p w14:paraId="3C536744" w14:textId="77777777" w:rsidR="00122AD3" w:rsidRPr="00122AD3" w:rsidRDefault="00122AD3" w:rsidP="00122AD3">
      <w:pPr>
        <w:pStyle w:val="EMEANormal"/>
        <w:rPr>
          <w:lang w:val="en-GB"/>
        </w:rPr>
      </w:pPr>
    </w:p>
    <w:p w14:paraId="66AD6C8C" w14:textId="77777777" w:rsidR="00D7303D" w:rsidRPr="00342F7C" w:rsidRDefault="00D7303D">
      <w:pPr>
        <w:pStyle w:val="EMEANormal"/>
        <w:rPr>
          <w:lang w:val="en-GB"/>
        </w:rPr>
      </w:pPr>
      <w:r w:rsidRPr="00BE78BC">
        <w:rPr>
          <w:i/>
          <w:iCs/>
          <w:lang w:val="en-GB"/>
        </w:rPr>
        <w:t>In vitro selection of resistance</w:t>
      </w:r>
      <w:r w:rsidRPr="00342F7C">
        <w:rPr>
          <w:lang w:val="en-GB"/>
        </w:rPr>
        <w:t xml:space="preserve">HIV-1 isolates with reduced susceptibility to lopinavir have been selected </w:t>
      </w:r>
      <w:r w:rsidRPr="00342F7C">
        <w:rPr>
          <w:i/>
          <w:lang w:val="en-GB"/>
        </w:rPr>
        <w:t>in vitro</w:t>
      </w:r>
      <w:r w:rsidRPr="00342F7C">
        <w:rPr>
          <w:lang w:val="en-GB"/>
        </w:rPr>
        <w:t xml:space="preserve">.  HIV-1 has been passaged </w:t>
      </w:r>
      <w:r w:rsidRPr="00342F7C">
        <w:rPr>
          <w:i/>
          <w:lang w:val="en-GB"/>
        </w:rPr>
        <w:t>in vitro</w:t>
      </w:r>
      <w:r w:rsidRPr="00342F7C">
        <w:rPr>
          <w:lang w:val="en-GB"/>
        </w:rPr>
        <w:t xml:space="preserve"> with lopinavir alone and with lopinavir plus ritonavir at concentration ratios representing the range of plasma concentration ratios observed during Kaletra therapy.  Genotypic and phenotypic analysis of viruses selected in these passages suggest that the presence of ritonavir, at these concentration ratios, does not measurably influence the selection of lopinavir-resistant viruses.  Overall, the </w:t>
      </w:r>
      <w:r w:rsidRPr="00342F7C">
        <w:rPr>
          <w:i/>
          <w:lang w:val="en-GB"/>
        </w:rPr>
        <w:t>in vitro</w:t>
      </w:r>
      <w:r w:rsidRPr="00342F7C">
        <w:rPr>
          <w:lang w:val="en-GB"/>
        </w:rPr>
        <w:t xml:space="preserve"> characterisation of phenotypic cross-resistance between lopinavir and other protease inhibitors suggest that decreased susceptibility to lopinavir correlated closely with decreased susceptibility to ritonavir and indinavir, but did not correlate closely with decreased susceptibility to amprenavir, saquinavir, and nelfinavir.</w:t>
      </w:r>
    </w:p>
    <w:p w14:paraId="262A36B0" w14:textId="77777777" w:rsidR="00D7303D" w:rsidRPr="00342F7C" w:rsidRDefault="00D7303D">
      <w:pPr>
        <w:pStyle w:val="EMEANormal"/>
        <w:rPr>
          <w:lang w:val="en-GB"/>
        </w:rPr>
      </w:pPr>
    </w:p>
    <w:p w14:paraId="3C80D322" w14:textId="77777777" w:rsidR="00D7303D" w:rsidRPr="00342F7C" w:rsidRDefault="00D7303D" w:rsidP="008B6724">
      <w:pPr>
        <w:autoSpaceDE w:val="0"/>
        <w:autoSpaceDN w:val="0"/>
        <w:adjustRightInd w:val="0"/>
        <w:rPr>
          <w:i/>
          <w:iCs/>
          <w:sz w:val="22"/>
        </w:rPr>
      </w:pPr>
      <w:r w:rsidRPr="00BE78BC">
        <w:rPr>
          <w:i/>
          <w:iCs/>
          <w:sz w:val="22"/>
        </w:rPr>
        <w:t>Analysis of resistance in ARV-naïve patients</w:t>
      </w:r>
      <w:r w:rsidRPr="00342F7C">
        <w:rPr>
          <w:i/>
          <w:iCs/>
          <w:sz w:val="22"/>
        </w:rPr>
        <w:t xml:space="preserve">  </w:t>
      </w:r>
    </w:p>
    <w:p w14:paraId="353086FC" w14:textId="77777777" w:rsidR="00D7303D" w:rsidRPr="00342F7C" w:rsidRDefault="00D7303D">
      <w:pPr>
        <w:pStyle w:val="EMEANormal"/>
        <w:tabs>
          <w:tab w:val="clear" w:pos="562"/>
          <w:tab w:val="left" w:pos="0"/>
        </w:tabs>
        <w:rPr>
          <w:lang w:val="en-GB"/>
        </w:rPr>
      </w:pPr>
      <w:r w:rsidRPr="00342F7C">
        <w:rPr>
          <w:lang w:val="en-GB"/>
        </w:rPr>
        <w:t>In clinical studies with a limited number of isolates analysed, the selection of resistance to lopinavir has not been observed in naïve patients without significant protease inhibitor resistance at baseline.  See further the detailed description of the clinical studies.</w:t>
      </w:r>
    </w:p>
    <w:p w14:paraId="21B73DE7" w14:textId="77777777" w:rsidR="00D7303D" w:rsidRPr="00342F7C" w:rsidRDefault="00D7303D">
      <w:pPr>
        <w:pStyle w:val="EMEANormal"/>
        <w:tabs>
          <w:tab w:val="clear" w:pos="562"/>
        </w:tabs>
        <w:rPr>
          <w:lang w:val="en-GB"/>
        </w:rPr>
      </w:pPr>
    </w:p>
    <w:p w14:paraId="0DCE7DEB" w14:textId="77777777" w:rsidR="00D7303D" w:rsidRPr="00342F7C" w:rsidRDefault="00D7303D">
      <w:pPr>
        <w:pStyle w:val="EMEANormal"/>
        <w:tabs>
          <w:tab w:val="clear" w:pos="562"/>
        </w:tabs>
        <w:rPr>
          <w:i/>
          <w:iCs/>
          <w:lang w:val="en-GB"/>
        </w:rPr>
      </w:pPr>
      <w:r w:rsidRPr="00BE78BC">
        <w:rPr>
          <w:i/>
          <w:iCs/>
          <w:lang w:val="en-GB"/>
        </w:rPr>
        <w:t>Analysis of resistance in PI-experienced patients</w:t>
      </w:r>
    </w:p>
    <w:p w14:paraId="45C16049" w14:textId="77777777" w:rsidR="00D7303D" w:rsidRPr="00342F7C" w:rsidRDefault="00D7303D">
      <w:pPr>
        <w:pStyle w:val="EMEANormal"/>
        <w:tabs>
          <w:tab w:val="clear" w:pos="562"/>
          <w:tab w:val="left" w:pos="0"/>
        </w:tabs>
        <w:rPr>
          <w:lang w:val="en-GB"/>
        </w:rPr>
      </w:pPr>
      <w:r w:rsidRPr="00342F7C">
        <w:rPr>
          <w:lang w:val="en-GB"/>
        </w:rPr>
        <w:t xml:space="preserve">The selection of resistance to lopinavir in patients having failed prior protease inhibitor therapy was characterised by analysing the longitudinal isolates from 19 protease inhibitor-experienced subjects in 2 Phase II and one Phase III studies who either experienced incomplete virologic suppression or viral rebound subsequent to initial response to Kaletra and who demonstrated incremental </w:t>
      </w:r>
      <w:r w:rsidRPr="00342F7C">
        <w:rPr>
          <w:i/>
          <w:lang w:val="en-GB"/>
        </w:rPr>
        <w:t>in vitro</w:t>
      </w:r>
      <w:r w:rsidRPr="00342F7C">
        <w:rPr>
          <w:lang w:val="en-GB"/>
        </w:rPr>
        <w:t xml:space="preserve"> resistance between baseline and rebound (defined as emergence of new mutations or 2-fold change in phenotypic susceptibility to lopinavir).  Incremental resistance was most common in subjects whose baseline isolates had several protease inhibitor-associated mutations, but &lt; 40-fold reduced susceptibility to lopinavir at baseline.  Mutations V82A, I54V and M46I emerged most frequently.  Mutations L33F, I50V and V32I combined with I47V/A were also observed.  The 19 isolates demonstrated a 4.3-fold increase in IC</w:t>
      </w:r>
      <w:r w:rsidRPr="00342F7C">
        <w:rPr>
          <w:vertAlign w:val="subscript"/>
          <w:lang w:val="en-GB"/>
        </w:rPr>
        <w:t>50</w:t>
      </w:r>
      <w:r w:rsidRPr="00342F7C">
        <w:rPr>
          <w:lang w:val="en-GB"/>
        </w:rPr>
        <w:t xml:space="preserve"> compared to baseline isolates (from 6.2- to 43-fold, compared to wild-type virus).</w:t>
      </w:r>
    </w:p>
    <w:p w14:paraId="2697A80A" w14:textId="77777777" w:rsidR="00D7303D" w:rsidRPr="00342F7C" w:rsidRDefault="00D7303D">
      <w:pPr>
        <w:pStyle w:val="EMEANormal"/>
        <w:rPr>
          <w:iCs/>
          <w:lang w:val="en-GB"/>
        </w:rPr>
      </w:pPr>
    </w:p>
    <w:p w14:paraId="2316411B" w14:textId="77777777" w:rsidR="00D7303D" w:rsidRPr="00342F7C" w:rsidRDefault="00D7303D">
      <w:pPr>
        <w:pStyle w:val="EMEANormal"/>
        <w:rPr>
          <w:lang w:val="en-GB"/>
        </w:rPr>
      </w:pPr>
      <w:r w:rsidRPr="00342F7C">
        <w:rPr>
          <w:lang w:val="en-GB"/>
        </w:rPr>
        <w:t xml:space="preserve">Genotypic correlates of reduced phenotypic susceptibility to lopinavir in viruses selected by other protease inhibitors.  The </w:t>
      </w:r>
      <w:r w:rsidRPr="00342F7C">
        <w:rPr>
          <w:i/>
          <w:lang w:val="en-GB"/>
        </w:rPr>
        <w:t>in vitro</w:t>
      </w:r>
      <w:r w:rsidRPr="00342F7C">
        <w:rPr>
          <w:lang w:val="en-GB"/>
        </w:rPr>
        <w:t xml:space="preserve"> antiviral activity of lopinavir against 112 clinical isolates taken from patients failing therapy with one or more protease inhibitors was assessed.  Within this panel, the following mutations in HIV protease were associated with reduced </w:t>
      </w:r>
      <w:r w:rsidRPr="00342F7C">
        <w:rPr>
          <w:i/>
          <w:lang w:val="en-GB"/>
        </w:rPr>
        <w:t>in vitro</w:t>
      </w:r>
      <w:r w:rsidRPr="00342F7C">
        <w:rPr>
          <w:lang w:val="en-GB"/>
        </w:rPr>
        <w:t xml:space="preserve"> susceptibility to lopinavir: L10F/I/R/V, K20M/R, L24I, M46I/L, F53L, I54L/T/V, L63P, A71I/L/T/V, V82A/F/T, I84V and L90M.  The median EC</w:t>
      </w:r>
      <w:r w:rsidRPr="00342F7C">
        <w:rPr>
          <w:vertAlign w:val="subscript"/>
          <w:lang w:val="en-GB"/>
        </w:rPr>
        <w:t>50</w:t>
      </w:r>
      <w:r w:rsidRPr="00342F7C">
        <w:rPr>
          <w:lang w:val="en-GB"/>
        </w:rPr>
        <w:t xml:space="preserve"> of lopinavir against isolates with 0 − 3, 4 − 5, 6 − 7 and 8 − 10 mutations at the above amino acid positions was 0.8, 2.7 13.5 and 44.0-fold higher than the EC</w:t>
      </w:r>
      <w:r w:rsidRPr="00342F7C">
        <w:rPr>
          <w:vertAlign w:val="subscript"/>
          <w:lang w:val="en-GB"/>
        </w:rPr>
        <w:t>50</w:t>
      </w:r>
      <w:r w:rsidRPr="00342F7C">
        <w:rPr>
          <w:lang w:val="en-GB"/>
        </w:rPr>
        <w:t xml:space="preserve"> against wild type HIV, respectively.  The 16 viruses that displayed &gt; 20-fold change in susceptibility all contained mutations at positions 10, 54, 63 plus 82 and/or 84.  In addition, they contained a median of 3 mutations at amino acid positions 20, 24, 46, 53, 71 and 90.  </w:t>
      </w:r>
      <w:r w:rsidRPr="00342F7C">
        <w:rPr>
          <w:szCs w:val="22"/>
          <w:lang w:val="en-GB"/>
        </w:rPr>
        <w:t>In addition to the mutations described above, mutations V32I and I47A have been observed in rebound isolates with reduced lopinavir susceptibility from protease inhibitor experienced patients receiving Kaletra therapy</w:t>
      </w:r>
      <w:r w:rsidRPr="00342F7C">
        <w:rPr>
          <w:lang w:val="en-GB"/>
        </w:rPr>
        <w:t>, and mutations I47A and L76V have been observed in rebound isolates with reduced lopinavir susceptibility from patients receiving Kaletra therapy.</w:t>
      </w:r>
    </w:p>
    <w:p w14:paraId="27CC6880" w14:textId="77777777" w:rsidR="00D7303D" w:rsidRPr="00342F7C" w:rsidRDefault="00D7303D">
      <w:pPr>
        <w:pStyle w:val="EMEANormal"/>
        <w:rPr>
          <w:lang w:val="en-GB"/>
        </w:rPr>
      </w:pPr>
    </w:p>
    <w:p w14:paraId="67D1B91C" w14:textId="77777777" w:rsidR="00D7303D" w:rsidRPr="00342F7C" w:rsidRDefault="00D7303D">
      <w:pPr>
        <w:pStyle w:val="EMEANormal"/>
        <w:rPr>
          <w:lang w:val="en-GB"/>
        </w:rPr>
      </w:pPr>
      <w:r w:rsidRPr="00342F7C">
        <w:rPr>
          <w:lang w:val="en-GB"/>
        </w:rPr>
        <w:t>Conclusions regarding the relevance of particular mutations or mutational patterns are subject to change with additional data, and it is recommended to always consult current interpretation systems for analysing resistance test results.</w:t>
      </w:r>
    </w:p>
    <w:p w14:paraId="73B7535E" w14:textId="77777777" w:rsidR="00D7303D" w:rsidRPr="00342F7C" w:rsidRDefault="00D7303D">
      <w:pPr>
        <w:pStyle w:val="EMEANormal"/>
        <w:rPr>
          <w:iCs/>
          <w:lang w:val="en-GB"/>
        </w:rPr>
      </w:pPr>
    </w:p>
    <w:p w14:paraId="5B062213" w14:textId="77777777" w:rsidR="008B6724" w:rsidRDefault="00D7303D">
      <w:pPr>
        <w:pStyle w:val="EMEANormal"/>
        <w:rPr>
          <w:lang w:val="en-GB"/>
        </w:rPr>
      </w:pPr>
      <w:r w:rsidRPr="00BE78BC">
        <w:rPr>
          <w:i/>
          <w:lang w:val="en-GB"/>
        </w:rPr>
        <w:t>Antiviral activity of Kaletra in patients failing protease inhibitor therapy</w:t>
      </w:r>
      <w:r w:rsidRPr="00342F7C">
        <w:rPr>
          <w:lang w:val="en-GB"/>
        </w:rPr>
        <w:t xml:space="preserve"> </w:t>
      </w:r>
    </w:p>
    <w:p w14:paraId="15562685" w14:textId="77777777" w:rsidR="00D7303D" w:rsidRPr="00342F7C" w:rsidRDefault="00A27565">
      <w:pPr>
        <w:pStyle w:val="EMEANormal"/>
        <w:rPr>
          <w:lang w:val="en-GB"/>
        </w:rPr>
      </w:pPr>
      <w:r>
        <w:rPr>
          <w:lang w:val="en-GB"/>
        </w:rPr>
        <w:t>T</w:t>
      </w:r>
      <w:r w:rsidR="00D7303D" w:rsidRPr="00342F7C">
        <w:rPr>
          <w:lang w:val="en-GB"/>
        </w:rPr>
        <w:t xml:space="preserve">he clinical relevance of reduced </w:t>
      </w:r>
      <w:r w:rsidR="00D7303D" w:rsidRPr="00342F7C">
        <w:rPr>
          <w:i/>
          <w:iCs/>
          <w:lang w:val="en-GB"/>
        </w:rPr>
        <w:t>in vitro</w:t>
      </w:r>
      <w:r w:rsidR="00D7303D" w:rsidRPr="00342F7C">
        <w:rPr>
          <w:lang w:val="en-GB"/>
        </w:rPr>
        <w:t xml:space="preserve"> susceptibility to lopinavir has been examined by assessing the virologic response to Kaletra therapy, with respect to baseline viral genotype and phenotype, in 56 patients previous failing therapy with multiple protease inhibitors.  The EC</w:t>
      </w:r>
      <w:r w:rsidR="00D7303D" w:rsidRPr="00342F7C">
        <w:rPr>
          <w:vertAlign w:val="subscript"/>
          <w:lang w:val="en-GB"/>
        </w:rPr>
        <w:t>50</w:t>
      </w:r>
      <w:r w:rsidR="00D7303D" w:rsidRPr="00342F7C">
        <w:rPr>
          <w:lang w:val="en-GB"/>
        </w:rPr>
        <w:t xml:space="preserve"> of lopinavir against the 56 baseline viral isolates ranged from 0.6 to 96-fold higher than the EC</w:t>
      </w:r>
      <w:r w:rsidR="00D7303D" w:rsidRPr="00342F7C">
        <w:rPr>
          <w:vertAlign w:val="subscript"/>
          <w:lang w:val="en-GB"/>
        </w:rPr>
        <w:t>50</w:t>
      </w:r>
      <w:r w:rsidR="00D7303D" w:rsidRPr="00342F7C">
        <w:rPr>
          <w:lang w:val="en-GB"/>
        </w:rPr>
        <w:t xml:space="preserve"> against wild type HIV.  After 48 weeks of treatment with Kaletra, efavirenz and nucleoside reverse transcriptase inhibitors, plasma HIV RNA </w:t>
      </w:r>
      <w:r w:rsidR="00D7303D" w:rsidRPr="00342F7C">
        <w:rPr>
          <w:snapToGrid w:val="0"/>
          <w:lang w:val="en-GB"/>
        </w:rPr>
        <w:sym w:font="Symbol" w:char="F0A3"/>
      </w:r>
      <w:r w:rsidR="00D7303D" w:rsidRPr="00342F7C">
        <w:rPr>
          <w:snapToGrid w:val="0"/>
          <w:lang w:val="en-GB"/>
        </w:rPr>
        <w:t> </w:t>
      </w:r>
      <w:r w:rsidR="00D7303D" w:rsidRPr="00342F7C">
        <w:rPr>
          <w:lang w:val="en-GB"/>
        </w:rPr>
        <w:t>400 copies/ml was observed in 93% (25/27), 73% (11/15), and 25% (2/8) of patients with &lt; 10</w:t>
      </w:r>
      <w:r w:rsidR="00D7303D" w:rsidRPr="00342F7C">
        <w:rPr>
          <w:lang w:val="en-GB"/>
        </w:rPr>
        <w:noBreakHyphen/>
        <w:t>fold, 10 to 40-fold, and &gt; 40</w:t>
      </w:r>
      <w:r w:rsidR="00D7303D" w:rsidRPr="00342F7C">
        <w:rPr>
          <w:lang w:val="en-GB"/>
        </w:rPr>
        <w:noBreakHyphen/>
        <w:t xml:space="preserve">fold reduced susceptibility to lopinavir at baseline, respectively.  In addition, virologic response was observed in 91% (21/23), 71% (15/21) and 33% (2/6) patients with 0 − 5, 6 − 7, and 8 − 10 mutations of the above mutations in HIV protease associated with reduced </w:t>
      </w:r>
      <w:r w:rsidR="00D7303D" w:rsidRPr="00342F7C">
        <w:rPr>
          <w:i/>
          <w:lang w:val="en-GB"/>
        </w:rPr>
        <w:t>in vitro</w:t>
      </w:r>
      <w:r w:rsidR="00D7303D" w:rsidRPr="00342F7C">
        <w:rPr>
          <w:lang w:val="en-GB"/>
        </w:rPr>
        <w:t xml:space="preserve"> susceptibility to lopinavir.  Since these patients had not previously been exposed to either Kaletra or efavirenz, part of the response may be attributed to the antiviral activity of efavirenz, particularly in patients harbouring highly lopinavir resistant virus.  The study did not contain a control arm of patients not receiving Kaletra.</w:t>
      </w:r>
    </w:p>
    <w:p w14:paraId="25107A36" w14:textId="77777777" w:rsidR="00D7303D" w:rsidRPr="00342F7C" w:rsidRDefault="00D7303D">
      <w:pPr>
        <w:pStyle w:val="EMEANormal"/>
        <w:rPr>
          <w:lang w:val="en-GB"/>
        </w:rPr>
      </w:pPr>
    </w:p>
    <w:p w14:paraId="042D1E72" w14:textId="77777777" w:rsidR="008B6724" w:rsidRDefault="00D7303D">
      <w:pPr>
        <w:pStyle w:val="EMEANormal"/>
        <w:rPr>
          <w:lang w:val="en-GB"/>
        </w:rPr>
      </w:pPr>
      <w:r w:rsidRPr="0017061C">
        <w:rPr>
          <w:iCs/>
          <w:u w:val="single"/>
          <w:lang w:val="en-GB"/>
        </w:rPr>
        <w:t>Cross</w:t>
      </w:r>
      <w:r w:rsidRPr="0017061C">
        <w:rPr>
          <w:iCs/>
          <w:u w:val="single"/>
          <w:lang w:val="en-GB"/>
        </w:rPr>
        <w:noBreakHyphen/>
        <w:t>resistance</w:t>
      </w:r>
    </w:p>
    <w:p w14:paraId="51F5B110" w14:textId="77777777" w:rsidR="00D7303D" w:rsidRDefault="00D7303D">
      <w:pPr>
        <w:pStyle w:val="EMEANormal"/>
        <w:rPr>
          <w:iCs/>
          <w:lang w:val="en-GB"/>
        </w:rPr>
      </w:pPr>
      <w:r w:rsidRPr="00342F7C">
        <w:rPr>
          <w:lang w:val="en-GB"/>
        </w:rPr>
        <w:t>Activity of other protease inhibitors against isolates that developed incremental resistance to lopinavir after Kaletra therapy in protease inhibitor experienced patients: The presence of cross resistance to other protease inhibitors was analysed in 18 rebound i</w:t>
      </w:r>
      <w:r w:rsidRPr="00342F7C">
        <w:rPr>
          <w:szCs w:val="22"/>
          <w:lang w:val="en-GB"/>
        </w:rPr>
        <w:t xml:space="preserve">solates that had demonstrated evolution of resistance to lopinavir during 3 </w:t>
      </w:r>
      <w:r w:rsidRPr="00342F7C">
        <w:rPr>
          <w:lang w:val="en-GB"/>
        </w:rPr>
        <w:t xml:space="preserve">Phase </w:t>
      </w:r>
      <w:r w:rsidRPr="00342F7C">
        <w:rPr>
          <w:szCs w:val="22"/>
          <w:lang w:val="en-GB"/>
        </w:rPr>
        <w:t xml:space="preserve">II and one </w:t>
      </w:r>
      <w:r w:rsidRPr="00342F7C">
        <w:rPr>
          <w:lang w:val="en-GB"/>
        </w:rPr>
        <w:t xml:space="preserve">Phase </w:t>
      </w:r>
      <w:r w:rsidRPr="00342F7C">
        <w:rPr>
          <w:szCs w:val="22"/>
          <w:lang w:val="en-GB"/>
        </w:rPr>
        <w:t>III studies of Kaletra in protease inhibitor-experienced patients.  The median fold IC</w:t>
      </w:r>
      <w:r w:rsidRPr="00342F7C">
        <w:rPr>
          <w:szCs w:val="22"/>
          <w:vertAlign w:val="subscript"/>
          <w:lang w:val="en-GB"/>
        </w:rPr>
        <w:t>50</w:t>
      </w:r>
      <w:r w:rsidRPr="00342F7C">
        <w:rPr>
          <w:szCs w:val="22"/>
          <w:lang w:val="en-GB"/>
        </w:rPr>
        <w:t xml:space="preserve"> of lopinavir for these 18 isolates at baseline and rebound was 6.9- and 63-fold, respectively, compared to wild type virus.  In general, rebound isolates either retained (if cross-resistant at baseline) or developed significant cross-resistance to indinavir, saquinavir and atazanavir.  Modest decreases in amprenavir activity were noted with a median increase of IC</w:t>
      </w:r>
      <w:r w:rsidRPr="00342F7C">
        <w:rPr>
          <w:szCs w:val="22"/>
          <w:vertAlign w:val="subscript"/>
          <w:lang w:val="en-GB"/>
        </w:rPr>
        <w:t xml:space="preserve">50 </w:t>
      </w:r>
      <w:r w:rsidRPr="00342F7C">
        <w:rPr>
          <w:szCs w:val="22"/>
          <w:lang w:val="en-GB"/>
        </w:rPr>
        <w:t>from 3.7- to 8-fold in the baseline and rebound isolates, respectively.  Isolates retained susceptibility to tipranavir with a median increase of IC</w:t>
      </w:r>
      <w:r w:rsidRPr="00342F7C">
        <w:rPr>
          <w:szCs w:val="22"/>
          <w:vertAlign w:val="subscript"/>
          <w:lang w:val="en-GB"/>
        </w:rPr>
        <w:t>50</w:t>
      </w:r>
      <w:r w:rsidRPr="00342F7C">
        <w:rPr>
          <w:szCs w:val="22"/>
          <w:lang w:val="en-GB"/>
        </w:rPr>
        <w:t xml:space="preserve"> in baseline and rebound isolates of 1.9- and 1.8–fold, respectively, compared to wild type virus.  </w:t>
      </w:r>
      <w:r w:rsidRPr="00342F7C">
        <w:rPr>
          <w:lang w:val="en-GB"/>
        </w:rPr>
        <w:t>Please refer to the Aptivus Summary of Product Characteristics for additional information on the use of tipranavir, including genotypic predictors of response, in treatment of lopinavir-resistant HIV-1 infection.</w:t>
      </w:r>
      <w:r w:rsidRPr="00342F7C">
        <w:rPr>
          <w:iCs/>
          <w:lang w:val="en-GB"/>
        </w:rPr>
        <w:t xml:space="preserve">  </w:t>
      </w:r>
    </w:p>
    <w:p w14:paraId="59968EC0" w14:textId="77777777" w:rsidR="00122AD3" w:rsidRPr="00342F7C" w:rsidRDefault="00122AD3">
      <w:pPr>
        <w:pStyle w:val="EMEANormal"/>
        <w:rPr>
          <w:iCs/>
          <w:lang w:val="en-GB"/>
        </w:rPr>
      </w:pPr>
    </w:p>
    <w:p w14:paraId="7FEF30B7" w14:textId="77777777" w:rsidR="00D7303D" w:rsidRPr="0017061C" w:rsidRDefault="00D7303D" w:rsidP="00122AD3">
      <w:pPr>
        <w:pStyle w:val="EMEAHeadingUI"/>
        <w:spacing w:beforeLines="0" w:before="0" w:afterLines="0" w:after="0"/>
        <w:rPr>
          <w:i w:val="0"/>
          <w:lang w:val="en-GB"/>
        </w:rPr>
      </w:pPr>
      <w:r w:rsidRPr="0017061C">
        <w:rPr>
          <w:i w:val="0"/>
          <w:lang w:val="en-GB"/>
        </w:rPr>
        <w:t>Clinical results</w:t>
      </w:r>
    </w:p>
    <w:p w14:paraId="162CDBF0" w14:textId="77777777" w:rsidR="00D7303D" w:rsidRDefault="00D7303D">
      <w:pPr>
        <w:pStyle w:val="EMEANormal"/>
        <w:rPr>
          <w:lang w:val="en-GB"/>
        </w:rPr>
      </w:pPr>
      <w:r w:rsidRPr="00342F7C">
        <w:rPr>
          <w:lang w:val="en-GB"/>
        </w:rPr>
        <w:t xml:space="preserve">The effects of Kaletra (in combination with other antiretroviral agents) on biological markers (plasma HIV RNA levels and CD4+ T-cell counts) have been investigated in controlled studies of Kaletra of 48 to 360 weeks duration.  </w:t>
      </w:r>
    </w:p>
    <w:p w14:paraId="51FE389D" w14:textId="77777777" w:rsidR="00122AD3" w:rsidRPr="00342F7C" w:rsidRDefault="00122AD3">
      <w:pPr>
        <w:pStyle w:val="EMEANormal"/>
        <w:rPr>
          <w:lang w:val="en-GB"/>
        </w:rPr>
      </w:pPr>
    </w:p>
    <w:p w14:paraId="20CEC23E" w14:textId="77777777" w:rsidR="00D7303D" w:rsidRDefault="00D7303D" w:rsidP="00122AD3">
      <w:pPr>
        <w:pStyle w:val="EMEAHeadingItalic"/>
        <w:spacing w:beforeLines="0" w:before="0" w:afterLines="0" w:after="0"/>
        <w:rPr>
          <w:lang w:val="en-GB"/>
        </w:rPr>
      </w:pPr>
      <w:r w:rsidRPr="00342F7C">
        <w:rPr>
          <w:lang w:val="en-GB"/>
        </w:rPr>
        <w:t>Adult Use</w:t>
      </w:r>
    </w:p>
    <w:p w14:paraId="36FE8AE2" w14:textId="77777777" w:rsidR="00122AD3" w:rsidRPr="00122AD3" w:rsidRDefault="00122AD3" w:rsidP="00122AD3">
      <w:pPr>
        <w:pStyle w:val="EMEANormal"/>
        <w:rPr>
          <w:lang w:val="en-GB"/>
        </w:rPr>
      </w:pPr>
    </w:p>
    <w:p w14:paraId="5E22C915" w14:textId="77777777" w:rsidR="00D7303D" w:rsidRPr="0017061C" w:rsidRDefault="00D7303D" w:rsidP="00122AD3">
      <w:pPr>
        <w:pStyle w:val="EMEAHeadingUnderline"/>
        <w:spacing w:beforeLines="0" w:before="0" w:afterLines="0" w:after="0"/>
        <w:rPr>
          <w:u w:val="none"/>
          <w:lang w:val="en-GB"/>
        </w:rPr>
      </w:pPr>
      <w:r w:rsidRPr="0017061C">
        <w:rPr>
          <w:u w:val="none"/>
          <w:lang w:val="en-GB"/>
        </w:rPr>
        <w:t>Patients without prior antiretroviral therapy</w:t>
      </w:r>
    </w:p>
    <w:p w14:paraId="77890151" w14:textId="77777777" w:rsidR="00122AD3" w:rsidRPr="00122AD3" w:rsidRDefault="00122AD3" w:rsidP="00122AD3">
      <w:pPr>
        <w:pStyle w:val="EMEANormal"/>
        <w:rPr>
          <w:lang w:val="en-GB"/>
        </w:rPr>
      </w:pPr>
    </w:p>
    <w:p w14:paraId="5E0486B2" w14:textId="77777777" w:rsidR="00D7303D" w:rsidRPr="00342F7C" w:rsidRDefault="00D7303D" w:rsidP="001E6FBE">
      <w:pPr>
        <w:pStyle w:val="EMEANormal"/>
        <w:rPr>
          <w:lang w:val="en-GB"/>
        </w:rPr>
      </w:pPr>
      <w:r w:rsidRPr="00342F7C">
        <w:rPr>
          <w:lang w:val="en-GB"/>
        </w:rPr>
        <w:t>Study M98-863 was a randomised, double-blind trial of 653 antiretroviral treatment naïve patients investigating Kaletra (400/100 mg twice daily) compared to nelfinavir (750 mg three times daily) plus stavudine and lamivudine.  Mean baseline CD4+ T-cell count was 259 cells/mm</w:t>
      </w:r>
      <w:r w:rsidRPr="00342F7C">
        <w:rPr>
          <w:vertAlign w:val="superscript"/>
          <w:lang w:val="en-GB"/>
        </w:rPr>
        <w:t>3</w:t>
      </w:r>
      <w:r w:rsidRPr="00342F7C">
        <w:rPr>
          <w:lang w:val="en-GB"/>
        </w:rPr>
        <w:t xml:space="preserve"> (range: 2 to 949 cells/ mm</w:t>
      </w:r>
      <w:r w:rsidRPr="00342F7C">
        <w:rPr>
          <w:vertAlign w:val="superscript"/>
          <w:lang w:val="en-GB"/>
        </w:rPr>
        <w:t>3</w:t>
      </w:r>
      <w:r w:rsidRPr="00342F7C">
        <w:rPr>
          <w:lang w:val="en-GB"/>
        </w:rPr>
        <w:t>) and mean baseline plasma HIV-1 RNA was 4.9 log</w:t>
      </w:r>
      <w:r w:rsidRPr="00342F7C">
        <w:rPr>
          <w:vertAlign w:val="subscript"/>
          <w:lang w:val="en-GB"/>
        </w:rPr>
        <w:t>10 </w:t>
      </w:r>
      <w:r w:rsidRPr="00342F7C">
        <w:rPr>
          <w:lang w:val="en-GB"/>
        </w:rPr>
        <w:t>copies/ml (range: 2.6 to 6.8 log</w:t>
      </w:r>
      <w:r w:rsidRPr="00342F7C">
        <w:rPr>
          <w:vertAlign w:val="subscript"/>
          <w:lang w:val="en-GB"/>
        </w:rPr>
        <w:t>10 </w:t>
      </w:r>
      <w:r w:rsidRPr="00342F7C">
        <w:rPr>
          <w:lang w:val="en-GB"/>
        </w:rPr>
        <w:t xml:space="preserve">copies/ml).  </w:t>
      </w:r>
    </w:p>
    <w:p w14:paraId="6EB047AF" w14:textId="77777777" w:rsidR="00D7303D" w:rsidRPr="00342F7C" w:rsidRDefault="00D7303D" w:rsidP="001E6FBE">
      <w:pPr>
        <w:pStyle w:val="EMEANormal"/>
        <w:rPr>
          <w:lang w:val="en-GB"/>
        </w:rPr>
      </w:pPr>
    </w:p>
    <w:p w14:paraId="7BBAE96D" w14:textId="77777777" w:rsidR="00D7303D" w:rsidRPr="00342F7C" w:rsidRDefault="00D7303D" w:rsidP="003C1BB0">
      <w:pPr>
        <w:pStyle w:val="EMEANormal"/>
        <w:keepNext/>
        <w:rPr>
          <w:lang w:val="en-GB"/>
        </w:rPr>
      </w:pPr>
      <w:r w:rsidRPr="00342F7C">
        <w:rPr>
          <w:lang w:val="en-GB"/>
        </w:rPr>
        <w:t>Table 1</w:t>
      </w:r>
    </w:p>
    <w:p w14:paraId="4C99E751" w14:textId="77777777" w:rsidR="00D7303D" w:rsidRPr="00342F7C" w:rsidRDefault="00D7303D" w:rsidP="003C1BB0">
      <w:pPr>
        <w:pStyle w:val="EMEANormal"/>
        <w:keepNext/>
        <w:rPr>
          <w:lang w:val="en-GB"/>
        </w:rPr>
      </w:pPr>
    </w:p>
    <w:tbl>
      <w:tblPr>
        <w:tblW w:w="7730"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0"/>
        <w:gridCol w:w="2520"/>
        <w:gridCol w:w="2210"/>
      </w:tblGrid>
      <w:tr w:rsidR="00D7303D" w:rsidRPr="00342F7C" w14:paraId="49562521" w14:textId="77777777" w:rsidTr="008541E3">
        <w:tc>
          <w:tcPr>
            <w:tcW w:w="7730" w:type="dxa"/>
            <w:gridSpan w:val="3"/>
          </w:tcPr>
          <w:p w14:paraId="474BFDD8" w14:textId="77777777" w:rsidR="00D7303D" w:rsidRPr="00342F7C" w:rsidRDefault="00D7303D" w:rsidP="003C1BB0">
            <w:pPr>
              <w:pStyle w:val="EMEANormal"/>
              <w:keepNext/>
              <w:spacing w:before="120" w:after="120"/>
              <w:jc w:val="center"/>
              <w:rPr>
                <w:szCs w:val="24"/>
                <w:lang w:val="en-GB"/>
              </w:rPr>
            </w:pPr>
            <w:r w:rsidRPr="00342F7C">
              <w:rPr>
                <w:b/>
                <w:lang w:val="en-GB"/>
              </w:rPr>
              <w:t>Outcomes at Week 48: Study M98-863</w:t>
            </w:r>
          </w:p>
        </w:tc>
      </w:tr>
      <w:tr w:rsidR="00D7303D" w:rsidRPr="00342F7C" w14:paraId="32773104" w14:textId="77777777" w:rsidTr="008541E3">
        <w:tc>
          <w:tcPr>
            <w:tcW w:w="3000" w:type="dxa"/>
          </w:tcPr>
          <w:p w14:paraId="08DB3EC7" w14:textId="77777777" w:rsidR="00D7303D" w:rsidRPr="00342F7C" w:rsidRDefault="00D7303D" w:rsidP="0077664E">
            <w:pPr>
              <w:pStyle w:val="EMEANormal"/>
              <w:rPr>
                <w:lang w:val="en-GB"/>
              </w:rPr>
            </w:pPr>
          </w:p>
        </w:tc>
        <w:tc>
          <w:tcPr>
            <w:tcW w:w="2520" w:type="dxa"/>
          </w:tcPr>
          <w:p w14:paraId="5E041F53" w14:textId="77777777" w:rsidR="00D7303D" w:rsidRPr="00342F7C" w:rsidRDefault="00D7303D" w:rsidP="008541E3">
            <w:pPr>
              <w:pStyle w:val="EMEANormal"/>
              <w:jc w:val="center"/>
              <w:rPr>
                <w:lang w:val="en-GB"/>
              </w:rPr>
            </w:pPr>
            <w:r w:rsidRPr="00342F7C">
              <w:rPr>
                <w:b/>
                <w:lang w:val="en-GB"/>
              </w:rPr>
              <w:t>Kaletra (N=326)</w:t>
            </w:r>
          </w:p>
        </w:tc>
        <w:tc>
          <w:tcPr>
            <w:tcW w:w="2210" w:type="dxa"/>
          </w:tcPr>
          <w:p w14:paraId="5F32947C" w14:textId="77777777" w:rsidR="00D7303D" w:rsidRPr="00342F7C" w:rsidRDefault="00D7303D" w:rsidP="008541E3">
            <w:pPr>
              <w:pStyle w:val="EMEANormal"/>
              <w:jc w:val="center"/>
              <w:rPr>
                <w:lang w:val="en-GB"/>
              </w:rPr>
            </w:pPr>
            <w:r w:rsidRPr="00342F7C">
              <w:rPr>
                <w:b/>
                <w:lang w:val="en-GB"/>
              </w:rPr>
              <w:t>Nelfinavir (N=327)</w:t>
            </w:r>
          </w:p>
        </w:tc>
      </w:tr>
      <w:tr w:rsidR="00D7303D" w:rsidRPr="00342F7C" w14:paraId="394926CC" w14:textId="77777777" w:rsidTr="008541E3">
        <w:tc>
          <w:tcPr>
            <w:tcW w:w="3000" w:type="dxa"/>
          </w:tcPr>
          <w:p w14:paraId="21A0235F" w14:textId="77777777" w:rsidR="00D7303D" w:rsidRPr="00342F7C" w:rsidRDefault="00D7303D" w:rsidP="0077664E">
            <w:pPr>
              <w:pStyle w:val="EMEANormal"/>
              <w:rPr>
                <w:lang w:val="en-GB"/>
              </w:rPr>
            </w:pPr>
            <w:r w:rsidRPr="00342F7C">
              <w:rPr>
                <w:lang w:val="en-GB"/>
              </w:rPr>
              <w:t>HIV RNA &lt; 400 copies/ml*</w:t>
            </w:r>
          </w:p>
        </w:tc>
        <w:tc>
          <w:tcPr>
            <w:tcW w:w="2520" w:type="dxa"/>
          </w:tcPr>
          <w:p w14:paraId="1779C0D7" w14:textId="77777777" w:rsidR="00D7303D" w:rsidRPr="00342F7C" w:rsidRDefault="00D7303D" w:rsidP="008541E3">
            <w:pPr>
              <w:pStyle w:val="EMEANormal"/>
              <w:jc w:val="center"/>
              <w:rPr>
                <w:lang w:val="en-GB"/>
              </w:rPr>
            </w:pPr>
            <w:r w:rsidRPr="00342F7C">
              <w:rPr>
                <w:lang w:val="en-GB"/>
              </w:rPr>
              <w:t>75%</w:t>
            </w:r>
          </w:p>
        </w:tc>
        <w:tc>
          <w:tcPr>
            <w:tcW w:w="2210" w:type="dxa"/>
          </w:tcPr>
          <w:p w14:paraId="34E7BCF7" w14:textId="77777777" w:rsidR="00D7303D" w:rsidRPr="00342F7C" w:rsidRDefault="00D7303D" w:rsidP="008541E3">
            <w:pPr>
              <w:pStyle w:val="EMEANormal"/>
              <w:jc w:val="center"/>
              <w:rPr>
                <w:lang w:val="en-GB"/>
              </w:rPr>
            </w:pPr>
            <w:r w:rsidRPr="00342F7C">
              <w:rPr>
                <w:lang w:val="en-GB"/>
              </w:rPr>
              <w:t>63%</w:t>
            </w:r>
          </w:p>
        </w:tc>
      </w:tr>
      <w:tr w:rsidR="00D7303D" w:rsidRPr="00342F7C" w14:paraId="0AC9DC3E" w14:textId="77777777" w:rsidTr="008541E3">
        <w:tc>
          <w:tcPr>
            <w:tcW w:w="3000" w:type="dxa"/>
          </w:tcPr>
          <w:p w14:paraId="46623C7F" w14:textId="77777777" w:rsidR="00D7303D" w:rsidRPr="00342F7C" w:rsidRDefault="00D7303D" w:rsidP="0077664E">
            <w:pPr>
              <w:pStyle w:val="EMEANormal"/>
              <w:rPr>
                <w:lang w:val="en-GB"/>
              </w:rPr>
            </w:pPr>
            <w:r w:rsidRPr="00342F7C">
              <w:rPr>
                <w:lang w:val="en-GB"/>
              </w:rPr>
              <w:t>HIV RNA &lt; 50 copies/ml*†</w:t>
            </w:r>
          </w:p>
        </w:tc>
        <w:tc>
          <w:tcPr>
            <w:tcW w:w="2520" w:type="dxa"/>
          </w:tcPr>
          <w:p w14:paraId="41B7AC8D" w14:textId="77777777" w:rsidR="00D7303D" w:rsidRPr="00342F7C" w:rsidRDefault="00D7303D" w:rsidP="008541E3">
            <w:pPr>
              <w:pStyle w:val="EMEANormal"/>
              <w:jc w:val="center"/>
              <w:rPr>
                <w:lang w:val="en-GB"/>
              </w:rPr>
            </w:pPr>
            <w:r w:rsidRPr="00342F7C">
              <w:rPr>
                <w:lang w:val="en-GB"/>
              </w:rPr>
              <w:t>67%</w:t>
            </w:r>
          </w:p>
        </w:tc>
        <w:tc>
          <w:tcPr>
            <w:tcW w:w="2210" w:type="dxa"/>
          </w:tcPr>
          <w:p w14:paraId="3E6383F3" w14:textId="77777777" w:rsidR="00D7303D" w:rsidRPr="00342F7C" w:rsidRDefault="00D7303D" w:rsidP="008541E3">
            <w:pPr>
              <w:pStyle w:val="EMEANormal"/>
              <w:jc w:val="center"/>
              <w:rPr>
                <w:lang w:val="en-GB"/>
              </w:rPr>
            </w:pPr>
            <w:r w:rsidRPr="00342F7C">
              <w:rPr>
                <w:lang w:val="en-GB"/>
              </w:rPr>
              <w:t>52%</w:t>
            </w:r>
          </w:p>
        </w:tc>
      </w:tr>
      <w:tr w:rsidR="00D7303D" w:rsidRPr="00342F7C" w14:paraId="4C75E2B9" w14:textId="77777777" w:rsidTr="008541E3">
        <w:tc>
          <w:tcPr>
            <w:tcW w:w="3000" w:type="dxa"/>
          </w:tcPr>
          <w:p w14:paraId="7D12FDA1" w14:textId="77777777" w:rsidR="00D7303D" w:rsidRPr="00342F7C" w:rsidRDefault="00D7303D" w:rsidP="0077664E">
            <w:pPr>
              <w:pStyle w:val="EMEANormal"/>
              <w:rPr>
                <w:lang w:val="en-GB"/>
              </w:rPr>
            </w:pPr>
            <w:r w:rsidRPr="00342F7C">
              <w:rPr>
                <w:lang w:val="en-GB"/>
              </w:rPr>
              <w:t>Mean increase from baseline in CD4+</w:t>
            </w:r>
            <w:r w:rsidRPr="00342F7C">
              <w:rPr>
                <w:vertAlign w:val="subscript"/>
                <w:lang w:val="en-GB"/>
              </w:rPr>
              <w:t xml:space="preserve"> </w:t>
            </w:r>
            <w:r w:rsidRPr="00342F7C">
              <w:rPr>
                <w:lang w:val="en-GB"/>
              </w:rPr>
              <w:t>T-cell count (cells/mm</w:t>
            </w:r>
            <w:r w:rsidRPr="00342F7C">
              <w:rPr>
                <w:vertAlign w:val="superscript"/>
                <w:lang w:val="en-GB"/>
              </w:rPr>
              <w:t>3</w:t>
            </w:r>
            <w:r w:rsidRPr="00342F7C">
              <w:rPr>
                <w:lang w:val="en-GB"/>
              </w:rPr>
              <w:t>)</w:t>
            </w:r>
          </w:p>
        </w:tc>
        <w:tc>
          <w:tcPr>
            <w:tcW w:w="2520" w:type="dxa"/>
          </w:tcPr>
          <w:p w14:paraId="5C98F1C9" w14:textId="77777777" w:rsidR="00D7303D" w:rsidRPr="00342F7C" w:rsidRDefault="00D7303D" w:rsidP="008541E3">
            <w:pPr>
              <w:pStyle w:val="EMEANormal"/>
              <w:jc w:val="center"/>
              <w:rPr>
                <w:lang w:val="en-GB"/>
              </w:rPr>
            </w:pPr>
            <w:r w:rsidRPr="00342F7C">
              <w:rPr>
                <w:lang w:val="en-GB"/>
              </w:rPr>
              <w:t>207</w:t>
            </w:r>
          </w:p>
        </w:tc>
        <w:tc>
          <w:tcPr>
            <w:tcW w:w="2210" w:type="dxa"/>
          </w:tcPr>
          <w:p w14:paraId="7280A63A" w14:textId="77777777" w:rsidR="00D7303D" w:rsidRPr="00342F7C" w:rsidRDefault="00D7303D" w:rsidP="008541E3">
            <w:pPr>
              <w:pStyle w:val="EMEANormal"/>
              <w:jc w:val="center"/>
              <w:rPr>
                <w:lang w:val="en-GB"/>
              </w:rPr>
            </w:pPr>
            <w:r w:rsidRPr="00342F7C">
              <w:rPr>
                <w:lang w:val="en-GB"/>
              </w:rPr>
              <w:t>195</w:t>
            </w:r>
          </w:p>
        </w:tc>
      </w:tr>
    </w:tbl>
    <w:p w14:paraId="6187C386" w14:textId="77777777" w:rsidR="00D7303D" w:rsidRPr="00342F7C" w:rsidRDefault="00D7303D" w:rsidP="0077664E">
      <w:pPr>
        <w:pStyle w:val="EMEANormal"/>
        <w:ind w:left="600"/>
        <w:rPr>
          <w:lang w:val="en-GB"/>
        </w:rPr>
      </w:pPr>
      <w:r w:rsidRPr="00342F7C">
        <w:rPr>
          <w:lang w:val="en-GB"/>
        </w:rPr>
        <w:t xml:space="preserve">* intent to treat analysis where patients with missing values are considered virologic failures </w:t>
      </w:r>
    </w:p>
    <w:p w14:paraId="3064D03C" w14:textId="77777777" w:rsidR="00D7303D" w:rsidRPr="00342F7C" w:rsidRDefault="00D7303D" w:rsidP="0077664E">
      <w:pPr>
        <w:pStyle w:val="EMEANormal"/>
        <w:ind w:left="600"/>
        <w:rPr>
          <w:lang w:val="en-GB"/>
        </w:rPr>
      </w:pPr>
      <w:r w:rsidRPr="00342F7C">
        <w:rPr>
          <w:lang w:val="en-GB"/>
        </w:rPr>
        <w:t>† p &lt; 0.001</w:t>
      </w:r>
    </w:p>
    <w:p w14:paraId="26955E7F" w14:textId="77777777" w:rsidR="00D7303D" w:rsidRPr="00342F7C" w:rsidRDefault="00D7303D" w:rsidP="001E6FBE">
      <w:pPr>
        <w:pStyle w:val="EMEANormal"/>
        <w:tabs>
          <w:tab w:val="clear" w:pos="562"/>
          <w:tab w:val="left" w:pos="0"/>
        </w:tabs>
        <w:rPr>
          <w:lang w:val="en-GB"/>
        </w:rPr>
      </w:pPr>
    </w:p>
    <w:p w14:paraId="4B56F9AA" w14:textId="77777777" w:rsidR="00D7303D" w:rsidRPr="00342F7C" w:rsidRDefault="00D7303D" w:rsidP="001E6FBE">
      <w:pPr>
        <w:pStyle w:val="EMEANormal"/>
        <w:tabs>
          <w:tab w:val="clear" w:pos="562"/>
          <w:tab w:val="left" w:pos="0"/>
        </w:tabs>
        <w:rPr>
          <w:lang w:val="en-GB"/>
        </w:rPr>
      </w:pPr>
      <w:r w:rsidRPr="00342F7C">
        <w:rPr>
          <w:lang w:val="en-GB"/>
        </w:rPr>
        <w:t>One-hundred thirteen nelfinavir-treated patients and 74 lopinavir/ritonavir-treated patients had an HIV RNA above 400 copies/ml while on treatment from Week 24 through Week 96.  Of these, isolates from 96 nelfinavir-treated patients and 51 lopinavir/ritonavir-treated patients could be amplified for resistance testing.  Resistance to nelfinavir, defined as the presence of the D30N or L90M mutation in protease, was observed in 41/96 (43%) patients.  Resistance to lopinavir, defined as the presence of any primary or active site mutations in protease (see above), was observed in 0/51 (0%) patients.  Lack of resistance to lopinavir was confirmed by phenotypic analysis.</w:t>
      </w:r>
    </w:p>
    <w:p w14:paraId="62B4CC31" w14:textId="77777777" w:rsidR="00D7303D" w:rsidRPr="00342F7C" w:rsidRDefault="00D7303D">
      <w:pPr>
        <w:pStyle w:val="EMEANormal"/>
        <w:rPr>
          <w:lang w:val="en-GB"/>
        </w:rPr>
      </w:pPr>
    </w:p>
    <w:p w14:paraId="4D0A610C" w14:textId="77777777" w:rsidR="00D7303D" w:rsidRPr="00342F7C" w:rsidRDefault="00D7303D">
      <w:pPr>
        <w:pStyle w:val="EMEANormal"/>
        <w:rPr>
          <w:lang w:val="en-GB"/>
        </w:rPr>
      </w:pPr>
      <w:r w:rsidRPr="00342F7C">
        <w:rPr>
          <w:lang w:val="en-GB"/>
        </w:rPr>
        <w:t xml:space="preserve">Sustained virological response to Kaletra (in combination with nucleoside/nucleotide reverse transcriptase inhibitors) has been also observed in a small Phase II study (M97-720) through 360 weeks of treatment.  One hundred patients were originally treated with Kaletra in the study (including 51 patients receiving 400/100 mg twice daily and 49 patients at either 200/100 mg twice daily or 400/200 mg twice daily).  All patients converted to open-label Kaletra at the 400/100 mg twice daily dose between week 48 and week 72.  </w:t>
      </w:r>
      <w:r w:rsidRPr="00342F7C">
        <w:rPr>
          <w:color w:val="000000"/>
          <w:lang w:val="en-GB"/>
        </w:rPr>
        <w:t>Thirty</w:t>
      </w:r>
      <w:r w:rsidRPr="00342F7C">
        <w:rPr>
          <w:color w:val="000000"/>
          <w:lang w:val="en-GB"/>
        </w:rPr>
        <w:noBreakHyphen/>
        <w:t xml:space="preserve">nine patients (39%) discontinued the study, including 16 (16%) discontinuations due to adverse events, one of which was associated with a death.  </w:t>
      </w:r>
      <w:r w:rsidRPr="00342F7C">
        <w:rPr>
          <w:lang w:val="en-GB"/>
        </w:rPr>
        <w:t>Sixty</w:t>
      </w:r>
      <w:r w:rsidRPr="00342F7C">
        <w:rPr>
          <w:lang w:val="en-GB"/>
        </w:rPr>
        <w:noBreakHyphen/>
        <w:t xml:space="preserve">one patients completed the study (35 patients received the recommended 400/100 mg twice daily dose throughout the study).    </w:t>
      </w:r>
    </w:p>
    <w:p w14:paraId="2239DCC2" w14:textId="77777777" w:rsidR="00D7303D" w:rsidRPr="00342F7C" w:rsidRDefault="00D7303D">
      <w:pPr>
        <w:pStyle w:val="EMEANormal"/>
        <w:rPr>
          <w:lang w:val="en-GB"/>
        </w:rPr>
      </w:pPr>
    </w:p>
    <w:p w14:paraId="20D6B853" w14:textId="77777777" w:rsidR="00D7303D" w:rsidRPr="00342F7C" w:rsidRDefault="00D7303D" w:rsidP="00047BED">
      <w:pPr>
        <w:pStyle w:val="EMEANormal"/>
        <w:keepNext/>
        <w:rPr>
          <w:lang w:val="en-GB"/>
        </w:rPr>
      </w:pPr>
      <w:r w:rsidRPr="00342F7C">
        <w:rPr>
          <w:lang w:val="en-GB"/>
        </w:rPr>
        <w:t>Table 2</w:t>
      </w:r>
    </w:p>
    <w:p w14:paraId="686A0451" w14:textId="77777777" w:rsidR="00D7303D" w:rsidRPr="00342F7C" w:rsidRDefault="00D7303D" w:rsidP="00047BED">
      <w:pPr>
        <w:pStyle w:val="EMEANormal"/>
        <w:keepNext/>
        <w:rPr>
          <w:lang w:val="en-GB"/>
        </w:rPr>
      </w:pPr>
    </w:p>
    <w:tbl>
      <w:tblPr>
        <w:tblW w:w="8040" w:type="dxa"/>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0"/>
        <w:gridCol w:w="2160"/>
      </w:tblGrid>
      <w:tr w:rsidR="00D7303D" w:rsidRPr="00342F7C" w14:paraId="69D7F699" w14:textId="77777777" w:rsidTr="008541E3">
        <w:tc>
          <w:tcPr>
            <w:tcW w:w="8040" w:type="dxa"/>
            <w:gridSpan w:val="2"/>
          </w:tcPr>
          <w:p w14:paraId="46349229" w14:textId="77777777" w:rsidR="00D7303D" w:rsidRPr="00342F7C" w:rsidRDefault="00D7303D" w:rsidP="00047BED">
            <w:pPr>
              <w:pStyle w:val="EMEANormal"/>
              <w:keepNext/>
              <w:spacing w:before="120" w:after="120"/>
              <w:jc w:val="center"/>
              <w:rPr>
                <w:lang w:val="en-GB"/>
              </w:rPr>
            </w:pPr>
            <w:r w:rsidRPr="00342F7C">
              <w:rPr>
                <w:b/>
                <w:lang w:val="en-GB"/>
              </w:rPr>
              <w:t>Outcomes at Week 360: Study M97-720</w:t>
            </w:r>
          </w:p>
        </w:tc>
      </w:tr>
      <w:tr w:rsidR="00D7303D" w:rsidRPr="00342F7C" w14:paraId="13087635" w14:textId="77777777" w:rsidTr="008541E3">
        <w:tc>
          <w:tcPr>
            <w:tcW w:w="5880" w:type="dxa"/>
          </w:tcPr>
          <w:p w14:paraId="1D1C4545" w14:textId="77777777" w:rsidR="00D7303D" w:rsidRPr="00342F7C" w:rsidRDefault="00D7303D" w:rsidP="00047BED">
            <w:pPr>
              <w:pStyle w:val="EMEANormal"/>
              <w:keepNext/>
              <w:jc w:val="center"/>
              <w:rPr>
                <w:lang w:val="en-GB"/>
              </w:rPr>
            </w:pPr>
          </w:p>
        </w:tc>
        <w:tc>
          <w:tcPr>
            <w:tcW w:w="2160" w:type="dxa"/>
          </w:tcPr>
          <w:p w14:paraId="609A1AF1" w14:textId="77777777" w:rsidR="00D7303D" w:rsidRPr="00342F7C" w:rsidRDefault="00D7303D" w:rsidP="00047BED">
            <w:pPr>
              <w:pStyle w:val="EMEANormal"/>
              <w:keepNext/>
              <w:jc w:val="center"/>
              <w:rPr>
                <w:lang w:val="en-GB"/>
              </w:rPr>
            </w:pPr>
            <w:r w:rsidRPr="00342F7C">
              <w:rPr>
                <w:b/>
                <w:lang w:val="en-GB"/>
              </w:rPr>
              <w:t>Kaletra (N=100)</w:t>
            </w:r>
          </w:p>
        </w:tc>
      </w:tr>
      <w:tr w:rsidR="00D7303D" w:rsidRPr="00342F7C" w14:paraId="0912FD3B" w14:textId="77777777" w:rsidTr="008541E3">
        <w:tc>
          <w:tcPr>
            <w:tcW w:w="5880" w:type="dxa"/>
          </w:tcPr>
          <w:p w14:paraId="46AB7CE3" w14:textId="77777777" w:rsidR="00D7303D" w:rsidRPr="00342F7C" w:rsidRDefault="00D7303D" w:rsidP="00047BED">
            <w:pPr>
              <w:pStyle w:val="EMEANormal"/>
              <w:keepNext/>
              <w:rPr>
                <w:lang w:val="en-GB"/>
              </w:rPr>
            </w:pPr>
            <w:r w:rsidRPr="00342F7C">
              <w:rPr>
                <w:lang w:val="en-GB"/>
              </w:rPr>
              <w:t>HIV RNA &lt; 400 copies/ml</w:t>
            </w:r>
          </w:p>
        </w:tc>
        <w:tc>
          <w:tcPr>
            <w:tcW w:w="2160" w:type="dxa"/>
          </w:tcPr>
          <w:p w14:paraId="3BE2DBB2" w14:textId="77777777" w:rsidR="00D7303D" w:rsidRPr="00342F7C" w:rsidRDefault="00D7303D" w:rsidP="00047BED">
            <w:pPr>
              <w:pStyle w:val="EMEANormal"/>
              <w:keepNext/>
              <w:jc w:val="center"/>
              <w:rPr>
                <w:lang w:val="en-GB"/>
              </w:rPr>
            </w:pPr>
            <w:r w:rsidRPr="00342F7C">
              <w:rPr>
                <w:lang w:val="en-GB"/>
              </w:rPr>
              <w:t>61%</w:t>
            </w:r>
          </w:p>
        </w:tc>
      </w:tr>
      <w:tr w:rsidR="00D7303D" w:rsidRPr="00342F7C" w14:paraId="0516ED6D" w14:textId="77777777" w:rsidTr="008541E3">
        <w:tc>
          <w:tcPr>
            <w:tcW w:w="5880" w:type="dxa"/>
          </w:tcPr>
          <w:p w14:paraId="38897170" w14:textId="77777777" w:rsidR="00D7303D" w:rsidRPr="00342F7C" w:rsidRDefault="00D7303D" w:rsidP="00047BED">
            <w:pPr>
              <w:pStyle w:val="EMEANormal"/>
              <w:keepNext/>
              <w:rPr>
                <w:lang w:val="en-GB"/>
              </w:rPr>
            </w:pPr>
            <w:r w:rsidRPr="00342F7C">
              <w:rPr>
                <w:lang w:val="en-GB"/>
              </w:rPr>
              <w:t>HIV RNA &lt; 50 copies/ml</w:t>
            </w:r>
          </w:p>
        </w:tc>
        <w:tc>
          <w:tcPr>
            <w:tcW w:w="2160" w:type="dxa"/>
          </w:tcPr>
          <w:p w14:paraId="0BD1A796" w14:textId="77777777" w:rsidR="00D7303D" w:rsidRPr="00342F7C" w:rsidRDefault="00D7303D" w:rsidP="00047BED">
            <w:pPr>
              <w:pStyle w:val="EMEANormal"/>
              <w:keepNext/>
              <w:jc w:val="center"/>
              <w:rPr>
                <w:lang w:val="en-GB"/>
              </w:rPr>
            </w:pPr>
            <w:r w:rsidRPr="00342F7C">
              <w:rPr>
                <w:lang w:val="en-GB"/>
              </w:rPr>
              <w:t>59%</w:t>
            </w:r>
          </w:p>
        </w:tc>
      </w:tr>
      <w:tr w:rsidR="00D7303D" w:rsidRPr="00342F7C" w14:paraId="41EABFCD" w14:textId="77777777" w:rsidTr="008541E3">
        <w:tc>
          <w:tcPr>
            <w:tcW w:w="5880" w:type="dxa"/>
          </w:tcPr>
          <w:p w14:paraId="5B9F3075" w14:textId="77777777" w:rsidR="00D7303D" w:rsidRPr="00342F7C" w:rsidRDefault="00D7303D" w:rsidP="00047BED">
            <w:pPr>
              <w:pStyle w:val="EMEANormal"/>
              <w:keepNext/>
              <w:rPr>
                <w:lang w:val="en-GB"/>
              </w:rPr>
            </w:pPr>
            <w:r w:rsidRPr="00342F7C">
              <w:rPr>
                <w:lang w:val="en-GB"/>
              </w:rPr>
              <w:t>Mean increase from baseline in CD4+ T-cell count (cells/mm</w:t>
            </w:r>
            <w:r w:rsidRPr="00342F7C">
              <w:rPr>
                <w:vertAlign w:val="superscript"/>
                <w:lang w:val="en-GB"/>
              </w:rPr>
              <w:t>3</w:t>
            </w:r>
            <w:r w:rsidRPr="00342F7C">
              <w:rPr>
                <w:lang w:val="en-GB"/>
              </w:rPr>
              <w:t>)</w:t>
            </w:r>
          </w:p>
        </w:tc>
        <w:tc>
          <w:tcPr>
            <w:tcW w:w="2160" w:type="dxa"/>
          </w:tcPr>
          <w:p w14:paraId="0512EBBF" w14:textId="77777777" w:rsidR="00D7303D" w:rsidRPr="00342F7C" w:rsidRDefault="00D7303D" w:rsidP="00047BED">
            <w:pPr>
              <w:pStyle w:val="EMEANormal"/>
              <w:keepNext/>
              <w:jc w:val="center"/>
              <w:rPr>
                <w:lang w:val="en-GB"/>
              </w:rPr>
            </w:pPr>
            <w:r w:rsidRPr="00342F7C">
              <w:rPr>
                <w:lang w:val="en-GB"/>
              </w:rPr>
              <w:t>501</w:t>
            </w:r>
          </w:p>
        </w:tc>
      </w:tr>
    </w:tbl>
    <w:p w14:paraId="65CCE4E7" w14:textId="77777777" w:rsidR="00D7303D" w:rsidRPr="00342F7C" w:rsidRDefault="00D7303D" w:rsidP="00047BED">
      <w:pPr>
        <w:pStyle w:val="EMEANormal"/>
        <w:keepNext/>
        <w:rPr>
          <w:lang w:val="en-GB"/>
        </w:rPr>
      </w:pPr>
    </w:p>
    <w:p w14:paraId="00764C10" w14:textId="77777777" w:rsidR="00D7303D" w:rsidRDefault="00D7303D" w:rsidP="00523C66">
      <w:pPr>
        <w:pStyle w:val="EMEANormal"/>
        <w:rPr>
          <w:lang w:val="en-GB"/>
        </w:rPr>
      </w:pPr>
      <w:r w:rsidRPr="00342F7C">
        <w:rPr>
          <w:lang w:val="en-GB"/>
        </w:rPr>
        <w:t>Through 360 weeks of treatment, genotypic analysis of viral isolates was successfully conducted in 19 of 28 patients with confirmed HIV RNA above 400 copies/ml revealed no primary or active site mutations in protease (amino acids at positions 8, 30, 32, 46, 47, 48, 50, 82, 84 and 90) or protease inhibitor phenotypic resistance.</w:t>
      </w:r>
    </w:p>
    <w:p w14:paraId="5550A2A1" w14:textId="77777777" w:rsidR="00122AD3" w:rsidRPr="00342F7C" w:rsidRDefault="00122AD3" w:rsidP="00523C66">
      <w:pPr>
        <w:pStyle w:val="EMEANormal"/>
        <w:rPr>
          <w:lang w:val="en-GB"/>
        </w:rPr>
      </w:pPr>
    </w:p>
    <w:p w14:paraId="117BE9C3" w14:textId="77777777" w:rsidR="00D7303D" w:rsidRPr="0017061C" w:rsidRDefault="00D7303D" w:rsidP="00122AD3">
      <w:pPr>
        <w:pStyle w:val="EMEAHeadingUnderline"/>
        <w:spacing w:beforeLines="0" w:before="0" w:afterLines="0" w:after="0"/>
        <w:rPr>
          <w:u w:val="none"/>
          <w:lang w:val="en-GB"/>
        </w:rPr>
      </w:pPr>
      <w:r w:rsidRPr="0017061C">
        <w:rPr>
          <w:u w:val="none"/>
          <w:lang w:val="en-GB"/>
        </w:rPr>
        <w:t>Patients with prior antiretroviral therapy</w:t>
      </w:r>
    </w:p>
    <w:p w14:paraId="59C392AA" w14:textId="77777777" w:rsidR="00122AD3" w:rsidRPr="00122AD3" w:rsidRDefault="00122AD3" w:rsidP="00122AD3">
      <w:pPr>
        <w:pStyle w:val="EMEANormal"/>
        <w:rPr>
          <w:lang w:val="en-GB"/>
        </w:rPr>
      </w:pPr>
    </w:p>
    <w:p w14:paraId="3EDE5FC5" w14:textId="77777777" w:rsidR="00D7303D" w:rsidRPr="00342F7C" w:rsidRDefault="00D7303D">
      <w:pPr>
        <w:pStyle w:val="EMEANormal"/>
        <w:rPr>
          <w:lang w:val="en-GB"/>
        </w:rPr>
      </w:pPr>
      <w:r w:rsidRPr="00342F7C">
        <w:rPr>
          <w:lang w:val="en-GB"/>
        </w:rPr>
        <w:t>M97-765 is a randomised, double-blind trial evaluating Kaletra at two dose levels (400/100 mg and 400/200 mg, both twice daily) plus nevirapine (200 mg twice daily) and two nucleoside reverse transcriptase inhibitors in 70 single protease inhibitor experienced, non-nucleoside reverse transcriptase inhibitor naïve patients.  Median baseline CD</w:t>
      </w:r>
      <w:r w:rsidRPr="00342F7C">
        <w:rPr>
          <w:vertAlign w:val="subscript"/>
          <w:lang w:val="en-GB"/>
        </w:rPr>
        <w:t>4</w:t>
      </w:r>
      <w:r w:rsidRPr="00342F7C">
        <w:rPr>
          <w:lang w:val="en-GB"/>
        </w:rPr>
        <w:t xml:space="preserve"> cell count was 349 cells/mm</w:t>
      </w:r>
      <w:r w:rsidRPr="00342F7C">
        <w:rPr>
          <w:vertAlign w:val="superscript"/>
          <w:lang w:val="en-GB"/>
        </w:rPr>
        <w:t>3</w:t>
      </w:r>
      <w:r w:rsidRPr="00342F7C">
        <w:rPr>
          <w:lang w:val="en-GB"/>
        </w:rPr>
        <w:t xml:space="preserve"> (range 72 to 807 cells/mm</w:t>
      </w:r>
      <w:r w:rsidRPr="00342F7C">
        <w:rPr>
          <w:vertAlign w:val="superscript"/>
          <w:lang w:val="en-GB"/>
        </w:rPr>
        <w:t>3</w:t>
      </w:r>
      <w:r w:rsidRPr="00342F7C">
        <w:rPr>
          <w:lang w:val="en-GB"/>
        </w:rPr>
        <w:t>) and median baseline plasma HIV-1 RNA was 4.0 log</w:t>
      </w:r>
      <w:r w:rsidRPr="00342F7C">
        <w:rPr>
          <w:vertAlign w:val="subscript"/>
          <w:lang w:val="en-GB"/>
        </w:rPr>
        <w:t>10 </w:t>
      </w:r>
      <w:r w:rsidRPr="00342F7C">
        <w:rPr>
          <w:lang w:val="en-GB"/>
        </w:rPr>
        <w:t>copies/ml (range 2.9 to 5.8 log</w:t>
      </w:r>
      <w:r w:rsidRPr="00342F7C">
        <w:rPr>
          <w:vertAlign w:val="subscript"/>
          <w:lang w:val="en-GB"/>
        </w:rPr>
        <w:t>10</w:t>
      </w:r>
      <w:r w:rsidRPr="00342F7C">
        <w:rPr>
          <w:lang w:val="en-GB"/>
        </w:rPr>
        <w:t xml:space="preserve"> copies/ml).  </w:t>
      </w:r>
    </w:p>
    <w:p w14:paraId="740CE480" w14:textId="77777777" w:rsidR="00D7303D" w:rsidRPr="00342F7C" w:rsidRDefault="00D7303D" w:rsidP="00523C66">
      <w:pPr>
        <w:pStyle w:val="EMEANormal"/>
        <w:rPr>
          <w:lang w:val="en-GB"/>
        </w:rPr>
      </w:pPr>
    </w:p>
    <w:p w14:paraId="2DA6FDD5" w14:textId="77777777" w:rsidR="00D7303D" w:rsidRPr="00342F7C" w:rsidRDefault="00D7303D" w:rsidP="003C1BB0">
      <w:pPr>
        <w:pStyle w:val="EMEANormal"/>
        <w:keepNext/>
        <w:rPr>
          <w:lang w:val="en-GB"/>
        </w:rPr>
      </w:pPr>
      <w:r w:rsidRPr="00342F7C">
        <w:rPr>
          <w:lang w:val="en-GB"/>
        </w:rPr>
        <w:t>Table 3</w:t>
      </w:r>
    </w:p>
    <w:p w14:paraId="7A64AD9E" w14:textId="77777777" w:rsidR="00D7303D" w:rsidRPr="00342F7C" w:rsidRDefault="00D7303D" w:rsidP="003C1BB0">
      <w:pPr>
        <w:pStyle w:val="EMEANormal"/>
        <w:keepNext/>
        <w:rPr>
          <w:lang w:val="en-GB"/>
        </w:rPr>
      </w:pPr>
    </w:p>
    <w:tbl>
      <w:tblPr>
        <w:tblW w:w="8040" w:type="dxa"/>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0"/>
        <w:gridCol w:w="2160"/>
      </w:tblGrid>
      <w:tr w:rsidR="00D7303D" w:rsidRPr="00342F7C" w14:paraId="65155FDD" w14:textId="77777777" w:rsidTr="008541E3">
        <w:tc>
          <w:tcPr>
            <w:tcW w:w="8040" w:type="dxa"/>
            <w:gridSpan w:val="2"/>
          </w:tcPr>
          <w:p w14:paraId="03656D0E" w14:textId="77777777" w:rsidR="00D7303D" w:rsidRPr="00342F7C" w:rsidRDefault="00D7303D" w:rsidP="003C1BB0">
            <w:pPr>
              <w:pStyle w:val="EMEANormal"/>
              <w:keepNext/>
              <w:spacing w:before="120" w:after="120"/>
              <w:jc w:val="center"/>
              <w:rPr>
                <w:szCs w:val="24"/>
                <w:lang w:val="en-GB"/>
              </w:rPr>
            </w:pPr>
            <w:r w:rsidRPr="00342F7C">
              <w:rPr>
                <w:b/>
                <w:lang w:val="en-GB"/>
              </w:rPr>
              <w:t>Outcomes at Week 24: Study M97-765</w:t>
            </w:r>
          </w:p>
        </w:tc>
      </w:tr>
      <w:tr w:rsidR="00D7303D" w:rsidRPr="00342F7C" w14:paraId="01F8E802" w14:textId="77777777" w:rsidTr="008541E3">
        <w:tc>
          <w:tcPr>
            <w:tcW w:w="5880" w:type="dxa"/>
          </w:tcPr>
          <w:p w14:paraId="000BA0D1" w14:textId="77777777" w:rsidR="00D7303D" w:rsidRPr="00342F7C" w:rsidRDefault="00D7303D" w:rsidP="008541E3">
            <w:pPr>
              <w:pStyle w:val="EMEANormal"/>
              <w:jc w:val="center"/>
              <w:rPr>
                <w:lang w:val="en-GB"/>
              </w:rPr>
            </w:pPr>
          </w:p>
        </w:tc>
        <w:tc>
          <w:tcPr>
            <w:tcW w:w="2160" w:type="dxa"/>
          </w:tcPr>
          <w:p w14:paraId="59252B3F" w14:textId="77777777" w:rsidR="00D7303D" w:rsidRPr="00342F7C" w:rsidRDefault="00D7303D" w:rsidP="008541E3">
            <w:pPr>
              <w:pStyle w:val="EMEANormal"/>
              <w:jc w:val="center"/>
              <w:rPr>
                <w:lang w:val="en-GB"/>
              </w:rPr>
            </w:pPr>
            <w:r w:rsidRPr="00342F7C">
              <w:rPr>
                <w:b/>
                <w:lang w:val="en-GB"/>
              </w:rPr>
              <w:t>Kaletra 400/100 mg (N=36)</w:t>
            </w:r>
          </w:p>
        </w:tc>
      </w:tr>
      <w:tr w:rsidR="00D7303D" w:rsidRPr="00342F7C" w14:paraId="4D2546AC" w14:textId="77777777" w:rsidTr="008541E3">
        <w:tc>
          <w:tcPr>
            <w:tcW w:w="5880" w:type="dxa"/>
          </w:tcPr>
          <w:p w14:paraId="44E946DB" w14:textId="77777777" w:rsidR="00D7303D" w:rsidRPr="007E1E2E" w:rsidRDefault="00D7303D" w:rsidP="007546B6">
            <w:pPr>
              <w:pStyle w:val="EMEANormal"/>
              <w:rPr>
                <w:lang w:val="fr-FR"/>
              </w:rPr>
            </w:pPr>
            <w:r w:rsidRPr="007E1E2E">
              <w:rPr>
                <w:lang w:val="fr-FR"/>
              </w:rPr>
              <w:t>HIV RNA &lt; 400 copies/ml (ITT)*</w:t>
            </w:r>
          </w:p>
        </w:tc>
        <w:tc>
          <w:tcPr>
            <w:tcW w:w="2160" w:type="dxa"/>
          </w:tcPr>
          <w:p w14:paraId="445006E5" w14:textId="77777777" w:rsidR="00D7303D" w:rsidRPr="00342F7C" w:rsidRDefault="00D7303D" w:rsidP="008541E3">
            <w:pPr>
              <w:pStyle w:val="EMEANormal"/>
              <w:jc w:val="center"/>
              <w:rPr>
                <w:lang w:val="en-GB"/>
              </w:rPr>
            </w:pPr>
            <w:r w:rsidRPr="00342F7C">
              <w:rPr>
                <w:lang w:val="en-GB"/>
              </w:rPr>
              <w:t>75%</w:t>
            </w:r>
          </w:p>
        </w:tc>
      </w:tr>
      <w:tr w:rsidR="00D7303D" w:rsidRPr="00342F7C" w14:paraId="1F057715" w14:textId="77777777" w:rsidTr="008541E3">
        <w:tc>
          <w:tcPr>
            <w:tcW w:w="5880" w:type="dxa"/>
          </w:tcPr>
          <w:p w14:paraId="2A151944" w14:textId="77777777" w:rsidR="00D7303D" w:rsidRPr="007E1E2E" w:rsidRDefault="00D7303D" w:rsidP="007546B6">
            <w:pPr>
              <w:pStyle w:val="EMEANormal"/>
              <w:rPr>
                <w:lang w:val="fr-FR"/>
              </w:rPr>
            </w:pPr>
            <w:r w:rsidRPr="007E1E2E">
              <w:rPr>
                <w:lang w:val="fr-FR"/>
              </w:rPr>
              <w:t>HIV RNA &lt; 50 copies/ml (ITT)*</w:t>
            </w:r>
          </w:p>
        </w:tc>
        <w:tc>
          <w:tcPr>
            <w:tcW w:w="2160" w:type="dxa"/>
          </w:tcPr>
          <w:p w14:paraId="067704F2" w14:textId="77777777" w:rsidR="00D7303D" w:rsidRPr="00342F7C" w:rsidRDefault="00D7303D" w:rsidP="008541E3">
            <w:pPr>
              <w:pStyle w:val="EMEANormal"/>
              <w:jc w:val="center"/>
              <w:rPr>
                <w:lang w:val="en-GB"/>
              </w:rPr>
            </w:pPr>
            <w:r w:rsidRPr="00342F7C">
              <w:rPr>
                <w:lang w:val="en-GB"/>
              </w:rPr>
              <w:t>58%</w:t>
            </w:r>
          </w:p>
        </w:tc>
      </w:tr>
      <w:tr w:rsidR="00D7303D" w:rsidRPr="00342F7C" w14:paraId="631B542F" w14:textId="77777777" w:rsidTr="008541E3">
        <w:tc>
          <w:tcPr>
            <w:tcW w:w="5880" w:type="dxa"/>
          </w:tcPr>
          <w:p w14:paraId="2FB618D4" w14:textId="77777777" w:rsidR="00D7303D" w:rsidRPr="00342F7C" w:rsidRDefault="00D7303D" w:rsidP="007546B6">
            <w:pPr>
              <w:pStyle w:val="EMEANormal"/>
              <w:rPr>
                <w:lang w:val="en-GB"/>
              </w:rPr>
            </w:pPr>
            <w:r w:rsidRPr="00342F7C">
              <w:rPr>
                <w:lang w:val="en-GB"/>
              </w:rPr>
              <w:t>Mean increase from baseline in CD4+ T-cell count (cells/mm</w:t>
            </w:r>
            <w:r w:rsidRPr="00342F7C">
              <w:rPr>
                <w:vertAlign w:val="superscript"/>
                <w:lang w:val="en-GB"/>
              </w:rPr>
              <w:t>3</w:t>
            </w:r>
            <w:r w:rsidRPr="00342F7C">
              <w:rPr>
                <w:lang w:val="en-GB"/>
              </w:rPr>
              <w:t>)</w:t>
            </w:r>
          </w:p>
        </w:tc>
        <w:tc>
          <w:tcPr>
            <w:tcW w:w="2160" w:type="dxa"/>
          </w:tcPr>
          <w:p w14:paraId="77E33954" w14:textId="77777777" w:rsidR="00D7303D" w:rsidRPr="00342F7C" w:rsidRDefault="00D7303D" w:rsidP="008541E3">
            <w:pPr>
              <w:pStyle w:val="EMEANormal"/>
              <w:jc w:val="center"/>
              <w:rPr>
                <w:lang w:val="en-GB"/>
              </w:rPr>
            </w:pPr>
            <w:r w:rsidRPr="00342F7C">
              <w:rPr>
                <w:lang w:val="en-GB"/>
              </w:rPr>
              <w:t>174</w:t>
            </w:r>
          </w:p>
        </w:tc>
      </w:tr>
    </w:tbl>
    <w:p w14:paraId="2A7974E7" w14:textId="77777777" w:rsidR="00D7303D" w:rsidRPr="00342F7C" w:rsidRDefault="00D7303D">
      <w:pPr>
        <w:pStyle w:val="EMEANormal"/>
        <w:rPr>
          <w:lang w:val="en-GB"/>
        </w:rPr>
      </w:pPr>
      <w:r w:rsidRPr="00342F7C">
        <w:rPr>
          <w:lang w:val="en-GB"/>
        </w:rPr>
        <w:tab/>
        <w:t>* intent to treat analysis where patients with missing values are considered virologic failures</w:t>
      </w:r>
    </w:p>
    <w:p w14:paraId="108695FE" w14:textId="77777777" w:rsidR="00D7303D" w:rsidRPr="00342F7C" w:rsidRDefault="00D7303D">
      <w:pPr>
        <w:pStyle w:val="EMEANormal"/>
        <w:rPr>
          <w:lang w:val="en-GB"/>
        </w:rPr>
      </w:pPr>
    </w:p>
    <w:p w14:paraId="1634DD1C" w14:textId="77777777" w:rsidR="00D7303D" w:rsidRPr="00342F7C" w:rsidRDefault="00D7303D" w:rsidP="003F4A82">
      <w:pPr>
        <w:pStyle w:val="EMEANormal"/>
        <w:keepNext/>
        <w:keepLines/>
        <w:rPr>
          <w:lang w:val="en-GB"/>
        </w:rPr>
      </w:pPr>
      <w:r w:rsidRPr="00342F7C">
        <w:rPr>
          <w:lang w:val="en-GB"/>
        </w:rPr>
        <w:t>M98-957 is a randomised, open-label study evaluating Kaletra treatment at two dose levels (400/100 mg and 533/133 mg, both twice daily) plus efavirenz (600 mg once daily) and nucleoside reverse transcriptase inhibitors in 57 multiple protease inhibitor experienced, non-nucleoside reverse transcriptase inhibitor naïve patients.  Between week 24 and 48, patients randomised to a dose of 400/100 mg were converted to a dose of 533/133 mg.  Median baseline CD</w:t>
      </w:r>
      <w:r w:rsidRPr="00342F7C">
        <w:rPr>
          <w:vertAlign w:val="subscript"/>
          <w:lang w:val="en-GB"/>
        </w:rPr>
        <w:t>4</w:t>
      </w:r>
      <w:r w:rsidRPr="00342F7C">
        <w:rPr>
          <w:lang w:val="en-GB"/>
        </w:rPr>
        <w:t xml:space="preserve"> cell count was 220 cells/mm</w:t>
      </w:r>
      <w:r w:rsidRPr="00342F7C">
        <w:rPr>
          <w:vertAlign w:val="superscript"/>
          <w:lang w:val="en-GB"/>
        </w:rPr>
        <w:t>3</w:t>
      </w:r>
      <w:r w:rsidRPr="00342F7C">
        <w:rPr>
          <w:lang w:val="en-GB"/>
        </w:rPr>
        <w:t xml:space="preserve"> (range13 to 1030 cells/mm</w:t>
      </w:r>
      <w:r w:rsidRPr="00342F7C">
        <w:rPr>
          <w:vertAlign w:val="superscript"/>
          <w:lang w:val="en-GB"/>
        </w:rPr>
        <w:t>3</w:t>
      </w:r>
      <w:r w:rsidRPr="00342F7C">
        <w:rPr>
          <w:lang w:val="en-GB"/>
        </w:rPr>
        <w:t xml:space="preserve">).  </w:t>
      </w:r>
    </w:p>
    <w:p w14:paraId="0513389E" w14:textId="77777777" w:rsidR="00D7303D" w:rsidRPr="00342F7C" w:rsidRDefault="00D7303D">
      <w:pPr>
        <w:pStyle w:val="EMEANormal"/>
        <w:rPr>
          <w:lang w:val="en-GB"/>
        </w:rPr>
      </w:pPr>
    </w:p>
    <w:p w14:paraId="4D6FB6C7" w14:textId="77777777" w:rsidR="00D7303D" w:rsidRPr="00342F7C" w:rsidRDefault="00D7303D" w:rsidP="00523C66">
      <w:pPr>
        <w:pStyle w:val="EMEANormal"/>
        <w:rPr>
          <w:lang w:val="en-GB"/>
        </w:rPr>
      </w:pPr>
      <w:r w:rsidRPr="00342F7C">
        <w:rPr>
          <w:lang w:val="en-GB"/>
        </w:rPr>
        <w:t>Table 4</w:t>
      </w:r>
    </w:p>
    <w:p w14:paraId="51C3BEAB" w14:textId="77777777" w:rsidR="00D7303D" w:rsidRPr="00342F7C" w:rsidRDefault="00D7303D" w:rsidP="00523C66">
      <w:pPr>
        <w:pStyle w:val="EMEANormal"/>
        <w:rPr>
          <w:lang w:val="en-GB"/>
        </w:rPr>
      </w:pPr>
    </w:p>
    <w:tbl>
      <w:tblPr>
        <w:tblW w:w="8040" w:type="dxa"/>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0"/>
        <w:gridCol w:w="2160"/>
      </w:tblGrid>
      <w:tr w:rsidR="00D7303D" w:rsidRPr="00342F7C" w14:paraId="2612124D" w14:textId="77777777" w:rsidTr="008541E3">
        <w:tc>
          <w:tcPr>
            <w:tcW w:w="8040" w:type="dxa"/>
            <w:gridSpan w:val="2"/>
          </w:tcPr>
          <w:p w14:paraId="5D767FCF" w14:textId="77777777" w:rsidR="00D7303D" w:rsidRPr="00342F7C" w:rsidRDefault="00D7303D" w:rsidP="008541E3">
            <w:pPr>
              <w:pStyle w:val="EMEANormal"/>
              <w:spacing w:before="120" w:after="120"/>
              <w:jc w:val="center"/>
              <w:rPr>
                <w:lang w:val="en-GB"/>
              </w:rPr>
            </w:pPr>
            <w:r w:rsidRPr="00342F7C">
              <w:rPr>
                <w:b/>
                <w:lang w:val="en-GB"/>
              </w:rPr>
              <w:t>Outcomes at Week 48: Study M98-957</w:t>
            </w:r>
          </w:p>
        </w:tc>
      </w:tr>
      <w:tr w:rsidR="00D7303D" w:rsidRPr="00342F7C" w14:paraId="180D11CC" w14:textId="77777777" w:rsidTr="008541E3">
        <w:tc>
          <w:tcPr>
            <w:tcW w:w="5880" w:type="dxa"/>
          </w:tcPr>
          <w:p w14:paraId="1E54CF3E" w14:textId="77777777" w:rsidR="00D7303D" w:rsidRPr="00342F7C" w:rsidRDefault="00D7303D" w:rsidP="008541E3">
            <w:pPr>
              <w:pStyle w:val="EMEANormal"/>
              <w:jc w:val="center"/>
              <w:rPr>
                <w:lang w:val="en-GB"/>
              </w:rPr>
            </w:pPr>
          </w:p>
        </w:tc>
        <w:tc>
          <w:tcPr>
            <w:tcW w:w="2160" w:type="dxa"/>
          </w:tcPr>
          <w:p w14:paraId="369F4B00" w14:textId="77777777" w:rsidR="00D7303D" w:rsidRPr="00342F7C" w:rsidRDefault="00D7303D" w:rsidP="008541E3">
            <w:pPr>
              <w:pStyle w:val="EMEANormal"/>
              <w:jc w:val="center"/>
              <w:rPr>
                <w:lang w:val="en-GB"/>
              </w:rPr>
            </w:pPr>
            <w:r w:rsidRPr="00342F7C">
              <w:rPr>
                <w:b/>
                <w:lang w:val="en-GB"/>
              </w:rPr>
              <w:t>Kaletra 400/100 mg (N=57)</w:t>
            </w:r>
          </w:p>
        </w:tc>
      </w:tr>
      <w:tr w:rsidR="00D7303D" w:rsidRPr="00342F7C" w14:paraId="61063CBD" w14:textId="77777777" w:rsidTr="008541E3">
        <w:tc>
          <w:tcPr>
            <w:tcW w:w="5880" w:type="dxa"/>
          </w:tcPr>
          <w:p w14:paraId="48708DEF" w14:textId="77777777" w:rsidR="00D7303D" w:rsidRPr="00342F7C" w:rsidRDefault="00D7303D" w:rsidP="00523C66">
            <w:pPr>
              <w:pStyle w:val="EMEANormal"/>
              <w:rPr>
                <w:lang w:val="en-GB"/>
              </w:rPr>
            </w:pPr>
            <w:r w:rsidRPr="00342F7C">
              <w:rPr>
                <w:lang w:val="en-GB"/>
              </w:rPr>
              <w:t>HIV RNA &lt; 400 copies/ml*</w:t>
            </w:r>
          </w:p>
        </w:tc>
        <w:tc>
          <w:tcPr>
            <w:tcW w:w="2160" w:type="dxa"/>
          </w:tcPr>
          <w:p w14:paraId="2101E6F6" w14:textId="77777777" w:rsidR="00D7303D" w:rsidRPr="00342F7C" w:rsidRDefault="00D7303D" w:rsidP="008541E3">
            <w:pPr>
              <w:pStyle w:val="EMEANormal"/>
              <w:jc w:val="center"/>
              <w:rPr>
                <w:lang w:val="en-GB"/>
              </w:rPr>
            </w:pPr>
            <w:r w:rsidRPr="00342F7C">
              <w:rPr>
                <w:lang w:val="en-GB"/>
              </w:rPr>
              <w:t>65%</w:t>
            </w:r>
          </w:p>
        </w:tc>
      </w:tr>
      <w:tr w:rsidR="00D7303D" w:rsidRPr="00342F7C" w14:paraId="335D96B9" w14:textId="77777777" w:rsidTr="008541E3">
        <w:tc>
          <w:tcPr>
            <w:tcW w:w="5880" w:type="dxa"/>
          </w:tcPr>
          <w:p w14:paraId="4755028A" w14:textId="77777777" w:rsidR="00D7303D" w:rsidRPr="00342F7C" w:rsidRDefault="00D7303D" w:rsidP="00523C66">
            <w:pPr>
              <w:pStyle w:val="EMEANormal"/>
              <w:rPr>
                <w:lang w:val="en-GB"/>
              </w:rPr>
            </w:pPr>
            <w:r w:rsidRPr="00342F7C">
              <w:rPr>
                <w:lang w:val="en-GB"/>
              </w:rPr>
              <w:t>Mean increase from baseline in CD4+ T-cell count (cells/mm</w:t>
            </w:r>
            <w:r w:rsidRPr="00342F7C">
              <w:rPr>
                <w:vertAlign w:val="superscript"/>
                <w:lang w:val="en-GB"/>
              </w:rPr>
              <w:t>3</w:t>
            </w:r>
            <w:r w:rsidRPr="00342F7C">
              <w:rPr>
                <w:lang w:val="en-GB"/>
              </w:rPr>
              <w:t>)</w:t>
            </w:r>
          </w:p>
        </w:tc>
        <w:tc>
          <w:tcPr>
            <w:tcW w:w="2160" w:type="dxa"/>
          </w:tcPr>
          <w:p w14:paraId="234F46D8" w14:textId="77777777" w:rsidR="00D7303D" w:rsidRPr="00342F7C" w:rsidRDefault="00D7303D" w:rsidP="008541E3">
            <w:pPr>
              <w:pStyle w:val="EMEANormal"/>
              <w:jc w:val="center"/>
              <w:rPr>
                <w:lang w:val="en-GB"/>
              </w:rPr>
            </w:pPr>
            <w:r w:rsidRPr="00342F7C">
              <w:rPr>
                <w:lang w:val="en-GB"/>
              </w:rPr>
              <w:t>94</w:t>
            </w:r>
          </w:p>
        </w:tc>
      </w:tr>
    </w:tbl>
    <w:p w14:paraId="286C1146" w14:textId="77777777" w:rsidR="00D7303D" w:rsidRPr="00342F7C" w:rsidRDefault="00D7303D" w:rsidP="003F4A82">
      <w:pPr>
        <w:pStyle w:val="EMEANormal"/>
        <w:rPr>
          <w:lang w:val="en-GB"/>
        </w:rPr>
      </w:pPr>
      <w:r w:rsidRPr="00342F7C">
        <w:rPr>
          <w:lang w:val="en-GB"/>
        </w:rPr>
        <w:tab/>
        <w:t>* intent to treat analysis where patients with missing values are considered virologic failures</w:t>
      </w:r>
    </w:p>
    <w:p w14:paraId="54DF6AA4" w14:textId="77777777" w:rsidR="003F4A82" w:rsidRDefault="003F4A82" w:rsidP="003F4A82">
      <w:pPr>
        <w:pStyle w:val="EMEAHeadingItalic"/>
        <w:spacing w:beforeLines="0" w:before="0" w:afterLines="0" w:after="0"/>
        <w:rPr>
          <w:lang w:val="en-GB"/>
        </w:rPr>
      </w:pPr>
    </w:p>
    <w:p w14:paraId="1A0B08F8" w14:textId="77777777" w:rsidR="00D7303D" w:rsidRDefault="00D7303D" w:rsidP="003F4A82">
      <w:pPr>
        <w:pStyle w:val="EMEAHeadingItalic"/>
        <w:spacing w:beforeLines="0" w:before="0" w:afterLines="0" w:after="0"/>
        <w:rPr>
          <w:lang w:val="en-GB"/>
        </w:rPr>
      </w:pPr>
      <w:r w:rsidRPr="00342F7C">
        <w:rPr>
          <w:lang w:val="en-GB"/>
        </w:rPr>
        <w:t>Paediatric Use</w:t>
      </w:r>
    </w:p>
    <w:p w14:paraId="3463E172" w14:textId="77777777" w:rsidR="003F4A82" w:rsidRPr="003F4A82" w:rsidRDefault="003F4A82" w:rsidP="003F4A82">
      <w:pPr>
        <w:pStyle w:val="EMEANormal"/>
        <w:rPr>
          <w:lang w:val="en-GB"/>
        </w:rPr>
      </w:pPr>
    </w:p>
    <w:p w14:paraId="76CC9399" w14:textId="77777777" w:rsidR="00D7303D" w:rsidRPr="00342F7C" w:rsidRDefault="00D7303D">
      <w:pPr>
        <w:pStyle w:val="EMEANormal"/>
        <w:rPr>
          <w:b/>
          <w:i/>
          <w:lang w:val="en-GB"/>
        </w:rPr>
      </w:pPr>
      <w:r w:rsidRPr="00342F7C">
        <w:rPr>
          <w:lang w:val="en-GB"/>
        </w:rPr>
        <w:t>M98-940 was an open-label study of a liquid formulation of Kaletra in 100 antiretroviral naïve (44%) and experienced (56%) paediatric patients.  All patients were non-nucleoside reverse transcriptase inhibitor naïve.  Patients were randomised to either 230 mg lopinavir/57.5 mg ritonavir per m</w:t>
      </w:r>
      <w:r w:rsidRPr="00342F7C">
        <w:rPr>
          <w:vertAlign w:val="superscript"/>
          <w:lang w:val="en-GB"/>
        </w:rPr>
        <w:t>2</w:t>
      </w:r>
      <w:r w:rsidRPr="00342F7C">
        <w:rPr>
          <w:lang w:val="en-GB"/>
        </w:rPr>
        <w:t xml:space="preserve"> or 300 mg lopinavir/75 mg ritonavir per m</w:t>
      </w:r>
      <w:r w:rsidRPr="00342F7C">
        <w:rPr>
          <w:vertAlign w:val="superscript"/>
          <w:lang w:val="en-GB"/>
        </w:rPr>
        <w:t>2</w:t>
      </w:r>
      <w:r w:rsidRPr="00342F7C">
        <w:rPr>
          <w:lang w:val="en-GB"/>
        </w:rPr>
        <w:t xml:space="preserve">.  Naïve patients also received nucleoside reverse transcriptase inhibitors.  Experienced patients received nevirapine plus up to two nucleoside reverse transcriptase inhibitors.  </w:t>
      </w:r>
      <w:r w:rsidRPr="00342F7C">
        <w:rPr>
          <w:snapToGrid w:val="0"/>
          <w:lang w:val="en-GB"/>
        </w:rPr>
        <w:t>Safety, efficacy and pharmacokinetic profiles of the two dose regimens were assessed after 3 weeks of therapy in each patient.  Subsequently, all patients were continued on the 300/75 mg per m</w:t>
      </w:r>
      <w:r w:rsidRPr="00342F7C">
        <w:rPr>
          <w:snapToGrid w:val="0"/>
          <w:vertAlign w:val="superscript"/>
          <w:lang w:val="en-GB"/>
        </w:rPr>
        <w:t>2</w:t>
      </w:r>
      <w:r w:rsidRPr="00342F7C">
        <w:rPr>
          <w:snapToGrid w:val="0"/>
          <w:lang w:val="en-GB"/>
        </w:rPr>
        <w:t xml:space="preserve"> dose.</w:t>
      </w:r>
      <w:r w:rsidRPr="00342F7C">
        <w:rPr>
          <w:lang w:val="en-GB"/>
        </w:rPr>
        <w:t xml:space="preserve">  Patients had a mean age of 5 years (range 6 months to 12 years) with 14 patients less than 2 years old and 6 patients one year or less.  Mean baseline CD4+ T</w:t>
      </w:r>
      <w:r w:rsidRPr="00342F7C">
        <w:rPr>
          <w:lang w:val="en-GB"/>
        </w:rPr>
        <w:noBreakHyphen/>
        <w:t>cell count was 838 cells/mm</w:t>
      </w:r>
      <w:r w:rsidRPr="00342F7C">
        <w:rPr>
          <w:vertAlign w:val="superscript"/>
          <w:lang w:val="en-GB"/>
        </w:rPr>
        <w:t>3</w:t>
      </w:r>
      <w:r w:rsidRPr="00342F7C">
        <w:rPr>
          <w:lang w:val="en-GB"/>
        </w:rPr>
        <w:t xml:space="preserve"> and mean baseline plasma HIV-1 RNA was 4.7 log</w:t>
      </w:r>
      <w:r w:rsidRPr="00342F7C">
        <w:rPr>
          <w:vertAlign w:val="subscript"/>
          <w:lang w:val="en-GB"/>
        </w:rPr>
        <w:t>10 </w:t>
      </w:r>
      <w:r w:rsidRPr="00342F7C">
        <w:rPr>
          <w:lang w:val="en-GB"/>
        </w:rPr>
        <w:t>copies/ml.</w:t>
      </w:r>
    </w:p>
    <w:p w14:paraId="214755D6" w14:textId="77777777" w:rsidR="00D7303D" w:rsidRPr="00342F7C" w:rsidRDefault="00D7303D">
      <w:pPr>
        <w:pStyle w:val="EMEANormal"/>
        <w:rPr>
          <w:b/>
          <w:i/>
          <w:lang w:val="en-GB"/>
        </w:rPr>
      </w:pPr>
    </w:p>
    <w:p w14:paraId="48B4B2F5" w14:textId="77777777" w:rsidR="00D7303D" w:rsidRPr="00342F7C" w:rsidRDefault="00D7303D" w:rsidP="0077664E">
      <w:pPr>
        <w:pStyle w:val="EMEANormal"/>
        <w:rPr>
          <w:lang w:val="en-GB"/>
        </w:rPr>
      </w:pPr>
      <w:r w:rsidRPr="00342F7C">
        <w:rPr>
          <w:lang w:val="en-GB"/>
        </w:rPr>
        <w:t>Table 5</w:t>
      </w:r>
    </w:p>
    <w:p w14:paraId="57422E07" w14:textId="77777777" w:rsidR="00D7303D" w:rsidRPr="00342F7C" w:rsidRDefault="00D7303D" w:rsidP="0077664E">
      <w:pPr>
        <w:pStyle w:val="EMEANormal"/>
        <w:rPr>
          <w:lang w:val="en-GB"/>
        </w:rPr>
      </w:pPr>
    </w:p>
    <w:tbl>
      <w:tblPr>
        <w:tblW w:w="7730"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0"/>
        <w:gridCol w:w="2520"/>
        <w:gridCol w:w="2210"/>
      </w:tblGrid>
      <w:tr w:rsidR="00D7303D" w:rsidRPr="00342F7C" w14:paraId="34657D2A" w14:textId="77777777" w:rsidTr="008541E3">
        <w:tc>
          <w:tcPr>
            <w:tcW w:w="7730" w:type="dxa"/>
            <w:gridSpan w:val="3"/>
          </w:tcPr>
          <w:p w14:paraId="20ECB842" w14:textId="77777777" w:rsidR="00D7303D" w:rsidRPr="00342F7C" w:rsidRDefault="00D7303D" w:rsidP="008541E3">
            <w:pPr>
              <w:pStyle w:val="EMEANormal"/>
              <w:spacing w:before="120" w:after="120"/>
              <w:jc w:val="center"/>
              <w:rPr>
                <w:lang w:val="en-GB"/>
              </w:rPr>
            </w:pPr>
            <w:r w:rsidRPr="00342F7C">
              <w:rPr>
                <w:b/>
                <w:lang w:val="en-GB"/>
              </w:rPr>
              <w:t>Outcomes at Week 48: Study M98-940</w:t>
            </w:r>
            <w:r w:rsidR="008B6723">
              <w:rPr>
                <w:b/>
                <w:lang w:val="en-GB"/>
              </w:rPr>
              <w:t>*</w:t>
            </w:r>
          </w:p>
        </w:tc>
      </w:tr>
      <w:tr w:rsidR="00D7303D" w:rsidRPr="00342F7C" w14:paraId="7C75ECEC" w14:textId="77777777" w:rsidTr="008541E3">
        <w:tc>
          <w:tcPr>
            <w:tcW w:w="3000" w:type="dxa"/>
          </w:tcPr>
          <w:p w14:paraId="347F8F26" w14:textId="77777777" w:rsidR="00D7303D" w:rsidRPr="00342F7C" w:rsidRDefault="00D7303D" w:rsidP="007546B6">
            <w:pPr>
              <w:pStyle w:val="EMEANormal"/>
              <w:rPr>
                <w:lang w:val="en-GB"/>
              </w:rPr>
            </w:pPr>
          </w:p>
        </w:tc>
        <w:tc>
          <w:tcPr>
            <w:tcW w:w="2520" w:type="dxa"/>
          </w:tcPr>
          <w:p w14:paraId="1CA364F2" w14:textId="77777777" w:rsidR="00D7303D" w:rsidRPr="00342F7C" w:rsidRDefault="00D7303D" w:rsidP="008541E3">
            <w:pPr>
              <w:pStyle w:val="EMEANormal"/>
              <w:jc w:val="center"/>
              <w:rPr>
                <w:lang w:val="en-GB"/>
              </w:rPr>
            </w:pPr>
            <w:r w:rsidRPr="00342F7C">
              <w:rPr>
                <w:b/>
                <w:lang w:val="en-GB"/>
              </w:rPr>
              <w:t>Antiretroviral Naïve (N=44)</w:t>
            </w:r>
          </w:p>
        </w:tc>
        <w:tc>
          <w:tcPr>
            <w:tcW w:w="2210" w:type="dxa"/>
          </w:tcPr>
          <w:p w14:paraId="43645DF9" w14:textId="77777777" w:rsidR="00D7303D" w:rsidRPr="00342F7C" w:rsidRDefault="00D7303D" w:rsidP="008541E3">
            <w:pPr>
              <w:pStyle w:val="EMEANormal"/>
              <w:jc w:val="center"/>
              <w:rPr>
                <w:lang w:val="en-GB"/>
              </w:rPr>
            </w:pPr>
            <w:r w:rsidRPr="00342F7C">
              <w:rPr>
                <w:b/>
                <w:lang w:val="en-GB"/>
              </w:rPr>
              <w:t>Antiretroviral Experienced (N=56)</w:t>
            </w:r>
          </w:p>
        </w:tc>
      </w:tr>
      <w:tr w:rsidR="00D7303D" w:rsidRPr="00342F7C" w14:paraId="1BE26B46" w14:textId="77777777" w:rsidTr="008541E3">
        <w:tc>
          <w:tcPr>
            <w:tcW w:w="3000" w:type="dxa"/>
          </w:tcPr>
          <w:p w14:paraId="530F2746" w14:textId="77777777" w:rsidR="00D7303D" w:rsidRPr="00342F7C" w:rsidRDefault="00D7303D" w:rsidP="007546B6">
            <w:pPr>
              <w:pStyle w:val="EMEANormal"/>
              <w:rPr>
                <w:lang w:val="en-GB"/>
              </w:rPr>
            </w:pPr>
            <w:r w:rsidRPr="00342F7C">
              <w:rPr>
                <w:lang w:val="en-GB"/>
              </w:rPr>
              <w:t>HIV RNA &lt; 400 copies/ml</w:t>
            </w:r>
          </w:p>
        </w:tc>
        <w:tc>
          <w:tcPr>
            <w:tcW w:w="2520" w:type="dxa"/>
          </w:tcPr>
          <w:p w14:paraId="076286EB" w14:textId="77777777" w:rsidR="00D7303D" w:rsidRPr="00342F7C" w:rsidRDefault="00D7303D" w:rsidP="008541E3">
            <w:pPr>
              <w:pStyle w:val="EMEANormal"/>
              <w:jc w:val="center"/>
              <w:rPr>
                <w:lang w:val="en-GB"/>
              </w:rPr>
            </w:pPr>
            <w:r w:rsidRPr="00342F7C">
              <w:rPr>
                <w:lang w:val="en-GB"/>
              </w:rPr>
              <w:t>84%</w:t>
            </w:r>
          </w:p>
        </w:tc>
        <w:tc>
          <w:tcPr>
            <w:tcW w:w="2210" w:type="dxa"/>
          </w:tcPr>
          <w:p w14:paraId="69DE9AB8" w14:textId="77777777" w:rsidR="00D7303D" w:rsidRPr="00342F7C" w:rsidRDefault="00D7303D" w:rsidP="008541E3">
            <w:pPr>
              <w:pStyle w:val="EMEANormal"/>
              <w:jc w:val="center"/>
              <w:rPr>
                <w:lang w:val="en-GB"/>
              </w:rPr>
            </w:pPr>
            <w:r w:rsidRPr="00342F7C">
              <w:rPr>
                <w:lang w:val="en-GB"/>
              </w:rPr>
              <w:t>75%</w:t>
            </w:r>
          </w:p>
        </w:tc>
      </w:tr>
      <w:tr w:rsidR="00D7303D" w:rsidRPr="00342F7C" w14:paraId="67295A8F" w14:textId="77777777" w:rsidTr="008541E3">
        <w:tc>
          <w:tcPr>
            <w:tcW w:w="3000" w:type="dxa"/>
          </w:tcPr>
          <w:p w14:paraId="583A1B85" w14:textId="77777777" w:rsidR="00D7303D" w:rsidRPr="00342F7C" w:rsidRDefault="00D7303D" w:rsidP="007546B6">
            <w:pPr>
              <w:pStyle w:val="EMEANormal"/>
              <w:rPr>
                <w:lang w:val="en-GB"/>
              </w:rPr>
            </w:pPr>
            <w:r w:rsidRPr="00342F7C">
              <w:rPr>
                <w:lang w:val="en-GB"/>
              </w:rPr>
              <w:t>Mean increase from baseline in CD4+ T-cell count (cells/mm</w:t>
            </w:r>
            <w:r w:rsidRPr="00342F7C">
              <w:rPr>
                <w:vertAlign w:val="superscript"/>
                <w:lang w:val="en-GB"/>
              </w:rPr>
              <w:t>3</w:t>
            </w:r>
            <w:r w:rsidRPr="00342F7C">
              <w:rPr>
                <w:lang w:val="en-GB"/>
              </w:rPr>
              <w:t>)</w:t>
            </w:r>
          </w:p>
        </w:tc>
        <w:tc>
          <w:tcPr>
            <w:tcW w:w="2520" w:type="dxa"/>
          </w:tcPr>
          <w:p w14:paraId="483E94E8" w14:textId="77777777" w:rsidR="00D7303D" w:rsidRPr="00342F7C" w:rsidRDefault="00D7303D" w:rsidP="008541E3">
            <w:pPr>
              <w:pStyle w:val="EMEANormal"/>
              <w:jc w:val="center"/>
              <w:rPr>
                <w:lang w:val="en-GB"/>
              </w:rPr>
            </w:pPr>
            <w:r w:rsidRPr="00342F7C">
              <w:rPr>
                <w:lang w:val="en-GB"/>
              </w:rPr>
              <w:t>404</w:t>
            </w:r>
          </w:p>
        </w:tc>
        <w:tc>
          <w:tcPr>
            <w:tcW w:w="2210" w:type="dxa"/>
          </w:tcPr>
          <w:p w14:paraId="23E36F16" w14:textId="77777777" w:rsidR="00D7303D" w:rsidRPr="00342F7C" w:rsidRDefault="00D7303D" w:rsidP="008541E3">
            <w:pPr>
              <w:pStyle w:val="EMEANormal"/>
              <w:jc w:val="center"/>
              <w:rPr>
                <w:lang w:val="en-GB"/>
              </w:rPr>
            </w:pPr>
            <w:r w:rsidRPr="00342F7C">
              <w:rPr>
                <w:lang w:val="en-GB"/>
              </w:rPr>
              <w:t>284</w:t>
            </w:r>
          </w:p>
        </w:tc>
      </w:tr>
    </w:tbl>
    <w:p w14:paraId="3884094D" w14:textId="77777777" w:rsidR="00122AD3" w:rsidRPr="008B6723" w:rsidRDefault="008B6723" w:rsidP="008B6723">
      <w:pPr>
        <w:pStyle w:val="EMEAHeading2SPC"/>
        <w:spacing w:beforeLines="0" w:before="0" w:afterLines="0" w:after="0"/>
        <w:rPr>
          <w:rFonts w:ascii="Times New Roman" w:hAnsi="Times New Roman"/>
          <w:b w:val="0"/>
          <w:lang w:val="en-GB"/>
        </w:rPr>
      </w:pPr>
      <w:r>
        <w:rPr>
          <w:rFonts w:ascii="Times New Roman" w:hAnsi="Times New Roman"/>
          <w:b w:val="0"/>
          <w:lang w:val="en-GB"/>
        </w:rPr>
        <w:tab/>
        <w:t>* intent to treat analysis where patients with missing values are considered virologic failures</w:t>
      </w:r>
    </w:p>
    <w:p w14:paraId="3C659149" w14:textId="77777777" w:rsidR="008B6723" w:rsidRDefault="008B6723" w:rsidP="008B6723">
      <w:pPr>
        <w:pStyle w:val="EMEANormal"/>
        <w:rPr>
          <w:lang w:val="en-GB"/>
        </w:rPr>
      </w:pPr>
    </w:p>
    <w:p w14:paraId="1F836DD8" w14:textId="77777777" w:rsidR="008B6723" w:rsidRPr="003326C9" w:rsidRDefault="00AE0D4F" w:rsidP="008B6723">
      <w:pPr>
        <w:pStyle w:val="EMEANormal"/>
        <w:rPr>
          <w:lang w:val="en-GB"/>
        </w:rPr>
      </w:pPr>
      <w:r w:rsidRPr="00AE0D4F">
        <w:t>Study P1030 was an open</w:t>
      </w:r>
      <w:r w:rsidR="00913581">
        <w:noBreakHyphen/>
      </w:r>
      <w:r w:rsidRPr="00AE0D4F">
        <w:t>label, dose-finding trial evaluating the pharmacokinetic profile, tolerability, safety and efficacy of K</w:t>
      </w:r>
      <w:r w:rsidRPr="009A042B">
        <w:t>aletra oral solution at a dose of 300 mg lopinavir/75</w:t>
      </w:r>
      <w:r w:rsidRPr="003136CD">
        <w:t xml:space="preserve"> mg ritonavir per </w:t>
      </w:r>
      <w:r w:rsidRPr="001C042D">
        <w:t>m</w:t>
      </w:r>
      <w:r w:rsidRPr="00EF7CDD">
        <w:rPr>
          <w:vertAlign w:val="superscript"/>
        </w:rPr>
        <w:t xml:space="preserve">2 </w:t>
      </w:r>
      <w:r w:rsidRPr="005201D6">
        <w:t>twice daily plus 2 NRTIs in HIV</w:t>
      </w:r>
      <w:r w:rsidR="00913581">
        <w:noBreakHyphen/>
      </w:r>
      <w:r w:rsidRPr="005201D6">
        <w:t xml:space="preserve">1 infected infants ≥ 14 days and &lt; 6 months of age. </w:t>
      </w:r>
      <w:r w:rsidRPr="006D4D8E">
        <w:t xml:space="preserve"> At entry, median (range) HIV</w:t>
      </w:r>
      <w:r w:rsidR="00913581">
        <w:noBreakHyphen/>
      </w:r>
      <w:r w:rsidRPr="006D4D8E">
        <w:t>1 RNA was 6.0 (4.7-7.2) log</w:t>
      </w:r>
      <w:r w:rsidRPr="006D4D8E">
        <w:rPr>
          <w:vertAlign w:val="subscript"/>
        </w:rPr>
        <w:t>10</w:t>
      </w:r>
      <w:r w:rsidRPr="006D4D8E">
        <w:t xml:space="preserve"> copies/ml and</w:t>
      </w:r>
      <w:r w:rsidRPr="007E786E">
        <w:t xml:space="preserve"> median (range) CD4+T-cell </w:t>
      </w:r>
      <w:r w:rsidRPr="003326C9">
        <w:t>percentage was 41 (16</w:t>
      </w:r>
      <w:r w:rsidR="00913581">
        <w:noBreakHyphen/>
      </w:r>
      <w:r w:rsidRPr="003326C9">
        <w:t xml:space="preserve">59).  </w:t>
      </w:r>
    </w:p>
    <w:p w14:paraId="1019C685" w14:textId="77777777" w:rsidR="008B6723" w:rsidRDefault="008B6723" w:rsidP="008B6723">
      <w:pPr>
        <w:pStyle w:val="EMEANormal"/>
        <w:rPr>
          <w:lang w:val="en-GB"/>
        </w:rPr>
      </w:pPr>
    </w:p>
    <w:p w14:paraId="47E1A7FE" w14:textId="77777777" w:rsidR="00AE0D4F" w:rsidRPr="00342F7C" w:rsidRDefault="00AE0D4F" w:rsidP="00AE0D4F">
      <w:pPr>
        <w:pStyle w:val="EMEANormal"/>
        <w:keepNext/>
        <w:rPr>
          <w:lang w:val="en-GB"/>
        </w:rPr>
      </w:pPr>
      <w:r w:rsidRPr="00342F7C">
        <w:rPr>
          <w:lang w:val="en-GB"/>
        </w:rPr>
        <w:t xml:space="preserve">Table </w:t>
      </w:r>
      <w:r>
        <w:rPr>
          <w:lang w:val="en-GB"/>
        </w:rPr>
        <w:t>6</w:t>
      </w:r>
    </w:p>
    <w:p w14:paraId="36F6A6A6" w14:textId="77777777" w:rsidR="00AE0D4F" w:rsidRDefault="00AE0D4F" w:rsidP="00AE0D4F">
      <w:pPr>
        <w:pStyle w:val="EMEANormal"/>
        <w:keepNext/>
        <w:rPr>
          <w:lang w:val="en-GB"/>
        </w:rPr>
      </w:pPr>
    </w:p>
    <w:tbl>
      <w:tblPr>
        <w:tblW w:w="7730"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0"/>
        <w:gridCol w:w="2340"/>
        <w:gridCol w:w="2390"/>
      </w:tblGrid>
      <w:tr w:rsidR="00AE0D4F" w:rsidRPr="00342F7C" w14:paraId="2785D40F" w14:textId="77777777" w:rsidTr="003967C0">
        <w:tc>
          <w:tcPr>
            <w:tcW w:w="7730" w:type="dxa"/>
            <w:gridSpan w:val="3"/>
          </w:tcPr>
          <w:p w14:paraId="2F63ECF2" w14:textId="77777777" w:rsidR="00AE0D4F" w:rsidRPr="00342F7C" w:rsidRDefault="00AE0D4F" w:rsidP="00AE0D4F">
            <w:pPr>
              <w:pStyle w:val="EMEANormal"/>
              <w:keepNext/>
              <w:spacing w:before="120" w:after="120"/>
              <w:jc w:val="center"/>
              <w:rPr>
                <w:lang w:val="en-GB"/>
              </w:rPr>
            </w:pPr>
            <w:r w:rsidRPr="00342F7C">
              <w:rPr>
                <w:b/>
                <w:lang w:val="en-GB"/>
              </w:rPr>
              <w:t xml:space="preserve">Outcomes at Week </w:t>
            </w:r>
            <w:r>
              <w:rPr>
                <w:b/>
                <w:lang w:val="en-GB"/>
              </w:rPr>
              <w:t>24</w:t>
            </w:r>
            <w:r w:rsidRPr="00342F7C">
              <w:rPr>
                <w:b/>
                <w:lang w:val="en-GB"/>
              </w:rPr>
              <w:t xml:space="preserve">: Study </w:t>
            </w:r>
            <w:r>
              <w:rPr>
                <w:b/>
                <w:lang w:val="en-GB"/>
              </w:rPr>
              <w:t>P1030</w:t>
            </w:r>
          </w:p>
        </w:tc>
      </w:tr>
      <w:tr w:rsidR="00AE0D4F" w:rsidRPr="00342F7C" w14:paraId="6D0529F2" w14:textId="77777777" w:rsidTr="003967C0">
        <w:tc>
          <w:tcPr>
            <w:tcW w:w="3000" w:type="dxa"/>
          </w:tcPr>
          <w:p w14:paraId="54251C9D" w14:textId="77777777" w:rsidR="00AE0D4F" w:rsidRPr="00342F7C" w:rsidRDefault="00AE0D4F" w:rsidP="00AE0D4F">
            <w:pPr>
              <w:pStyle w:val="EMEANormal"/>
              <w:keepNext/>
              <w:rPr>
                <w:lang w:val="en-GB"/>
              </w:rPr>
            </w:pPr>
          </w:p>
        </w:tc>
        <w:tc>
          <w:tcPr>
            <w:tcW w:w="2340" w:type="dxa"/>
          </w:tcPr>
          <w:p w14:paraId="2EC792B8" w14:textId="77777777" w:rsidR="00AE0D4F" w:rsidRPr="001F3EFC" w:rsidRDefault="00AE0D4F" w:rsidP="00AE0D4F">
            <w:pPr>
              <w:pStyle w:val="EMEANormal"/>
              <w:keepNext/>
              <w:jc w:val="center"/>
              <w:rPr>
                <w:b/>
              </w:rPr>
            </w:pPr>
            <w:r w:rsidRPr="001F3EFC">
              <w:rPr>
                <w:b/>
                <w:lang w:val="en-GB"/>
              </w:rPr>
              <w:t xml:space="preserve">Age: </w:t>
            </w:r>
            <w:r w:rsidRPr="001F3EFC">
              <w:rPr>
                <w:b/>
              </w:rPr>
              <w:t>≥ 14 days and</w:t>
            </w:r>
          </w:p>
          <w:p w14:paraId="395474F6" w14:textId="77777777" w:rsidR="00AE0D4F" w:rsidRPr="001F3EFC" w:rsidRDefault="00AE0D4F" w:rsidP="00AE0D4F">
            <w:pPr>
              <w:pStyle w:val="EMEANormal"/>
              <w:keepNext/>
              <w:jc w:val="center"/>
              <w:rPr>
                <w:b/>
                <w:lang w:val="en-GB"/>
              </w:rPr>
            </w:pPr>
            <w:r w:rsidRPr="001F3EFC">
              <w:rPr>
                <w:b/>
              </w:rPr>
              <w:t xml:space="preserve"> &lt; 6 weeks </w:t>
            </w:r>
          </w:p>
          <w:p w14:paraId="7817CC38" w14:textId="77777777" w:rsidR="00AE0D4F" w:rsidRPr="001F3EFC" w:rsidRDefault="00AE0D4F" w:rsidP="00AE0D4F">
            <w:pPr>
              <w:pStyle w:val="EMEANormal"/>
              <w:keepNext/>
              <w:jc w:val="center"/>
              <w:rPr>
                <w:b/>
                <w:lang w:val="en-GB"/>
              </w:rPr>
            </w:pPr>
            <w:r w:rsidRPr="001F3EFC">
              <w:rPr>
                <w:b/>
                <w:lang w:val="en-GB"/>
              </w:rPr>
              <w:t>(N=10)</w:t>
            </w:r>
          </w:p>
        </w:tc>
        <w:tc>
          <w:tcPr>
            <w:tcW w:w="2390" w:type="dxa"/>
          </w:tcPr>
          <w:p w14:paraId="44026BCA" w14:textId="77777777" w:rsidR="00AE0D4F" w:rsidRPr="001F3EFC" w:rsidRDefault="00AE0D4F" w:rsidP="00AE0D4F">
            <w:pPr>
              <w:pStyle w:val="EMEANormal"/>
              <w:keepNext/>
              <w:jc w:val="center"/>
              <w:rPr>
                <w:b/>
              </w:rPr>
            </w:pPr>
            <w:r w:rsidRPr="001F3EFC">
              <w:rPr>
                <w:b/>
                <w:lang w:val="en-GB"/>
              </w:rPr>
              <w:t xml:space="preserve">Age: </w:t>
            </w:r>
            <w:r w:rsidRPr="001F3EFC">
              <w:rPr>
                <w:b/>
              </w:rPr>
              <w:t xml:space="preserve">≥ 6 weeks and </w:t>
            </w:r>
          </w:p>
          <w:p w14:paraId="2BEE1082" w14:textId="77777777" w:rsidR="00AE0D4F" w:rsidRPr="001F3EFC" w:rsidRDefault="00AE0D4F" w:rsidP="00AE0D4F">
            <w:pPr>
              <w:pStyle w:val="EMEANormal"/>
              <w:keepNext/>
              <w:jc w:val="center"/>
              <w:rPr>
                <w:b/>
                <w:lang w:val="en-GB"/>
              </w:rPr>
            </w:pPr>
            <w:r w:rsidRPr="001F3EFC">
              <w:rPr>
                <w:b/>
              </w:rPr>
              <w:t>&lt; 6 months</w:t>
            </w:r>
            <w:r w:rsidRPr="001F3EFC">
              <w:rPr>
                <w:b/>
                <w:lang w:val="en-GB"/>
              </w:rPr>
              <w:t xml:space="preserve"> </w:t>
            </w:r>
          </w:p>
          <w:p w14:paraId="66FC02D2" w14:textId="77777777" w:rsidR="00AE0D4F" w:rsidRPr="001F3EFC" w:rsidRDefault="00AE0D4F" w:rsidP="00AE0D4F">
            <w:pPr>
              <w:pStyle w:val="EMEANormal"/>
              <w:keepNext/>
              <w:jc w:val="center"/>
              <w:rPr>
                <w:b/>
                <w:lang w:val="en-GB"/>
              </w:rPr>
            </w:pPr>
            <w:r w:rsidRPr="001F3EFC">
              <w:rPr>
                <w:b/>
                <w:lang w:val="en-GB"/>
              </w:rPr>
              <w:t>(N=21)</w:t>
            </w:r>
          </w:p>
        </w:tc>
      </w:tr>
      <w:tr w:rsidR="00AE0D4F" w:rsidRPr="00342F7C" w14:paraId="2406315F" w14:textId="77777777" w:rsidTr="003967C0">
        <w:tc>
          <w:tcPr>
            <w:tcW w:w="3000" w:type="dxa"/>
          </w:tcPr>
          <w:p w14:paraId="7A272C2F" w14:textId="77777777" w:rsidR="00AE0D4F" w:rsidRPr="00342F7C" w:rsidRDefault="00AE0D4F" w:rsidP="00AE0D4F">
            <w:pPr>
              <w:pStyle w:val="EMEANormal"/>
              <w:keepNext/>
              <w:rPr>
                <w:lang w:val="en-GB"/>
              </w:rPr>
            </w:pPr>
            <w:r w:rsidRPr="00342F7C">
              <w:rPr>
                <w:lang w:val="en-GB"/>
              </w:rPr>
              <w:t>HIV RNA &lt; 400 copies/ml</w:t>
            </w:r>
            <w:r>
              <w:rPr>
                <w:lang w:val="en-GB"/>
              </w:rPr>
              <w:t>*</w:t>
            </w:r>
          </w:p>
        </w:tc>
        <w:tc>
          <w:tcPr>
            <w:tcW w:w="2340" w:type="dxa"/>
          </w:tcPr>
          <w:p w14:paraId="4BD71044" w14:textId="77777777" w:rsidR="00AE0D4F" w:rsidRPr="00342F7C" w:rsidRDefault="00AE0D4F" w:rsidP="00AE0D4F">
            <w:pPr>
              <w:pStyle w:val="EMEANormal"/>
              <w:keepNext/>
              <w:jc w:val="center"/>
              <w:rPr>
                <w:lang w:val="en-GB"/>
              </w:rPr>
            </w:pPr>
            <w:r>
              <w:rPr>
                <w:lang w:val="en-GB"/>
              </w:rPr>
              <w:t>70</w:t>
            </w:r>
            <w:r w:rsidRPr="00342F7C">
              <w:rPr>
                <w:lang w:val="en-GB"/>
              </w:rPr>
              <w:t>%</w:t>
            </w:r>
          </w:p>
        </w:tc>
        <w:tc>
          <w:tcPr>
            <w:tcW w:w="2390" w:type="dxa"/>
          </w:tcPr>
          <w:p w14:paraId="1497F106" w14:textId="77777777" w:rsidR="00AE0D4F" w:rsidRPr="00342F7C" w:rsidRDefault="00AE0D4F" w:rsidP="00AE0D4F">
            <w:pPr>
              <w:pStyle w:val="EMEANormal"/>
              <w:keepNext/>
              <w:jc w:val="center"/>
              <w:rPr>
                <w:lang w:val="en-GB"/>
              </w:rPr>
            </w:pPr>
            <w:r>
              <w:rPr>
                <w:lang w:val="en-GB"/>
              </w:rPr>
              <w:t>48</w:t>
            </w:r>
            <w:r w:rsidRPr="00342F7C">
              <w:rPr>
                <w:lang w:val="en-GB"/>
              </w:rPr>
              <w:t>%</w:t>
            </w:r>
          </w:p>
        </w:tc>
      </w:tr>
      <w:tr w:rsidR="00AE0D4F" w:rsidRPr="00342F7C" w14:paraId="1FBFC39F" w14:textId="77777777" w:rsidTr="003967C0">
        <w:tc>
          <w:tcPr>
            <w:tcW w:w="3000" w:type="dxa"/>
          </w:tcPr>
          <w:p w14:paraId="1CA0DA36" w14:textId="77777777" w:rsidR="00AE0D4F" w:rsidRPr="00342F7C" w:rsidRDefault="00AE0D4F" w:rsidP="00AE0D4F">
            <w:pPr>
              <w:pStyle w:val="EMEANormal"/>
              <w:keepNext/>
              <w:rPr>
                <w:lang w:val="en-GB"/>
              </w:rPr>
            </w:pPr>
            <w:r w:rsidRPr="00342F7C">
              <w:rPr>
                <w:lang w:val="en-GB"/>
              </w:rPr>
              <w:t>Me</w:t>
            </w:r>
            <w:r>
              <w:rPr>
                <w:lang w:val="en-GB"/>
              </w:rPr>
              <w:t>di</w:t>
            </w:r>
            <w:r w:rsidRPr="00342F7C">
              <w:rPr>
                <w:lang w:val="en-GB"/>
              </w:rPr>
              <w:t xml:space="preserve">an </w:t>
            </w:r>
            <w:r>
              <w:rPr>
                <w:lang w:val="en-GB"/>
              </w:rPr>
              <w:t xml:space="preserve">change </w:t>
            </w:r>
            <w:r w:rsidRPr="00342F7C">
              <w:rPr>
                <w:lang w:val="en-GB"/>
              </w:rPr>
              <w:t>from baseline in CD4+ T-cell count (cells/mm</w:t>
            </w:r>
            <w:r w:rsidRPr="00342F7C">
              <w:rPr>
                <w:vertAlign w:val="superscript"/>
                <w:lang w:val="en-GB"/>
              </w:rPr>
              <w:t>3</w:t>
            </w:r>
            <w:r w:rsidRPr="00342F7C">
              <w:rPr>
                <w:lang w:val="en-GB"/>
              </w:rPr>
              <w:t>)</w:t>
            </w:r>
          </w:p>
        </w:tc>
        <w:tc>
          <w:tcPr>
            <w:tcW w:w="2340" w:type="dxa"/>
          </w:tcPr>
          <w:p w14:paraId="61E01525" w14:textId="77777777" w:rsidR="00AE0D4F" w:rsidRPr="00342F7C" w:rsidRDefault="00AE0D4F" w:rsidP="00AE0D4F">
            <w:pPr>
              <w:pStyle w:val="EMEANormal"/>
              <w:keepNext/>
              <w:jc w:val="center"/>
              <w:rPr>
                <w:lang w:val="en-GB"/>
              </w:rPr>
            </w:pPr>
            <w:r>
              <w:rPr>
                <w:lang w:val="en-GB"/>
              </w:rPr>
              <w:t xml:space="preserve">- 1% </w:t>
            </w:r>
            <w:r w:rsidRPr="00393577">
              <w:rPr>
                <w:lang w:val="en-GB"/>
              </w:rPr>
              <w:t xml:space="preserve">(95% CI: -10, 18) </w:t>
            </w:r>
            <w:r>
              <w:rPr>
                <w:lang w:val="en-GB"/>
              </w:rPr>
              <w:t>(n=6)</w:t>
            </w:r>
          </w:p>
        </w:tc>
        <w:tc>
          <w:tcPr>
            <w:tcW w:w="2390" w:type="dxa"/>
          </w:tcPr>
          <w:p w14:paraId="6C9809E0" w14:textId="77777777" w:rsidR="00AE0D4F" w:rsidRPr="00342F7C" w:rsidRDefault="00AE0D4F" w:rsidP="00AE0D4F">
            <w:pPr>
              <w:pStyle w:val="EMEANormal"/>
              <w:keepNext/>
              <w:jc w:val="center"/>
              <w:rPr>
                <w:lang w:val="en-GB"/>
              </w:rPr>
            </w:pPr>
            <w:r>
              <w:rPr>
                <w:lang w:val="en-GB"/>
              </w:rPr>
              <w:t xml:space="preserve">+ 4% </w:t>
            </w:r>
            <w:r w:rsidRPr="00393577">
              <w:rPr>
                <w:lang w:val="en-GB"/>
              </w:rPr>
              <w:t xml:space="preserve">(95% CI: -1, 9) </w:t>
            </w:r>
            <w:r>
              <w:rPr>
                <w:lang w:val="en-GB"/>
              </w:rPr>
              <w:t>(n=19)</w:t>
            </w:r>
          </w:p>
        </w:tc>
      </w:tr>
    </w:tbl>
    <w:p w14:paraId="1AC07E4F" w14:textId="77777777" w:rsidR="00AE0D4F" w:rsidRDefault="00AE0D4F" w:rsidP="00AE0D4F">
      <w:pPr>
        <w:pStyle w:val="EMEANormal"/>
        <w:rPr>
          <w:lang w:val="en-GB"/>
        </w:rPr>
      </w:pPr>
      <w:r>
        <w:rPr>
          <w:lang w:val="en-GB"/>
        </w:rPr>
        <w:tab/>
        <w:t>*Proportion of subjects who had HIV-1 &lt; 400 copies/ml and had remained on study treatment</w:t>
      </w:r>
    </w:p>
    <w:p w14:paraId="65BA647B" w14:textId="77777777" w:rsidR="00AE0D4F" w:rsidRDefault="00AE0D4F" w:rsidP="00AE0D4F">
      <w:pPr>
        <w:pStyle w:val="EMEANormal"/>
        <w:rPr>
          <w:lang w:val="en-GB"/>
        </w:rPr>
      </w:pPr>
    </w:p>
    <w:p w14:paraId="3AAD9CF9" w14:textId="77777777" w:rsidR="00AE0D4F" w:rsidRDefault="00AE0D4F" w:rsidP="00AE0D4F">
      <w:pPr>
        <w:pStyle w:val="EMEANormal"/>
      </w:pPr>
      <w:r w:rsidRPr="00E6365F">
        <w:t>Stud</w:t>
      </w:r>
      <w:r>
        <w:t>y P1060 was a randomis</w:t>
      </w:r>
      <w:r w:rsidRPr="00E6365F">
        <w:t xml:space="preserve">ed </w:t>
      </w:r>
      <w:r>
        <w:t xml:space="preserve">controlled </w:t>
      </w:r>
      <w:r w:rsidRPr="00E6365F">
        <w:t>trial of nevirapine versus lopinavir/ritonavir-based therapy in subjects 2</w:t>
      </w:r>
      <w:r>
        <w:t> </w:t>
      </w:r>
      <w:r w:rsidRPr="00E6365F">
        <w:t>to</w:t>
      </w:r>
      <w:r>
        <w:t> </w:t>
      </w:r>
      <w:r w:rsidRPr="00E6365F">
        <w:t>36 months of age infected with HIV</w:t>
      </w:r>
      <w:r w:rsidR="00913581">
        <w:noBreakHyphen/>
      </w:r>
      <w:r w:rsidRPr="00E6365F">
        <w:t xml:space="preserve">1 who had (Cohort I) and had not (Cohort II) been exposed to nevirapine </w:t>
      </w:r>
      <w:r>
        <w:t xml:space="preserve">during pregnancy </w:t>
      </w:r>
      <w:r w:rsidRPr="00E6365F">
        <w:t>for prevention of mother</w:t>
      </w:r>
      <w:r w:rsidR="00913581">
        <w:noBreakHyphen/>
      </w:r>
      <w:r w:rsidRPr="00E6365F">
        <w:t>to</w:t>
      </w:r>
      <w:r w:rsidR="00913581">
        <w:noBreakHyphen/>
      </w:r>
      <w:r w:rsidRPr="00E6365F">
        <w:t>child transmission.</w:t>
      </w:r>
      <w:r>
        <w:t xml:space="preserve">  </w:t>
      </w:r>
      <w:r w:rsidRPr="00E6365F">
        <w:t>Lopinavir/ritonavir was administered</w:t>
      </w:r>
      <w:r>
        <w:t xml:space="preserve"> twice daily at</w:t>
      </w:r>
      <w:r w:rsidRPr="00E6365F">
        <w:t xml:space="preserve"> 1</w:t>
      </w:r>
      <w:r>
        <w:t>6/4 </w:t>
      </w:r>
      <w:r w:rsidRPr="00E6365F">
        <w:t>mg/kg</w:t>
      </w:r>
      <w:r>
        <w:rPr>
          <w:rFonts w:ascii="TimesNewRoman" w:eastAsia="TimesNewRoman" w:cs="TimesNewRoman"/>
          <w:sz w:val="20"/>
        </w:rPr>
        <w:t xml:space="preserve"> </w:t>
      </w:r>
      <w:r w:rsidRPr="00B947A7">
        <w:t>for subjects 2</w:t>
      </w:r>
      <w:r>
        <w:t> </w:t>
      </w:r>
      <w:r w:rsidRPr="00B947A7">
        <w:t>months</w:t>
      </w:r>
      <w:r>
        <w:t xml:space="preserve"> to </w:t>
      </w:r>
      <w:r w:rsidRPr="00B37BEC">
        <w:t>&lt;</w:t>
      </w:r>
      <w:r>
        <w:t> </w:t>
      </w:r>
      <w:r w:rsidRPr="00B37BEC">
        <w:t>6 months</w:t>
      </w:r>
      <w:r>
        <w:t>, 12/3 mg/kg</w:t>
      </w:r>
      <w:r w:rsidRPr="00B947A7">
        <w:t xml:space="preserve"> for subjects ≥</w:t>
      </w:r>
      <w:r>
        <w:t> </w:t>
      </w:r>
      <w:r w:rsidRPr="00B947A7">
        <w:t>6 months</w:t>
      </w:r>
      <w:r>
        <w:t xml:space="preserve"> </w:t>
      </w:r>
      <w:r w:rsidRPr="00B947A7">
        <w:t>and &lt;</w:t>
      </w:r>
      <w:r>
        <w:t> </w:t>
      </w:r>
      <w:r w:rsidRPr="00B947A7">
        <w:t>15</w:t>
      </w:r>
      <w:r>
        <w:t> </w:t>
      </w:r>
      <w:r w:rsidRPr="00B947A7">
        <w:t>kg</w:t>
      </w:r>
      <w:r>
        <w:t>, 10/2.5 </w:t>
      </w:r>
      <w:r w:rsidRPr="00E6365F">
        <w:t>mg/kg</w:t>
      </w:r>
      <w:r w:rsidRPr="00B947A7">
        <w:t xml:space="preserve"> </w:t>
      </w:r>
      <w:r>
        <w:t>for subjects ≥ 6 months and ≥ 15 kg to &lt; 40 kg, or 400/100 mg for subjects ≥ 40 kg.</w:t>
      </w:r>
      <w:r w:rsidRPr="00E6365F">
        <w:t xml:space="preserve">  </w:t>
      </w:r>
      <w:r>
        <w:t>The nevirapine-based regimen was 160</w:t>
      </w:r>
      <w:r w:rsidR="00913581">
        <w:noBreakHyphen/>
      </w:r>
      <w:r>
        <w:t>200 mg/m</w:t>
      </w:r>
      <w:r w:rsidRPr="004621D4">
        <w:rPr>
          <w:vertAlign w:val="superscript"/>
        </w:rPr>
        <w:t>2</w:t>
      </w:r>
      <w:r>
        <w:t xml:space="preserve"> once daily for 14 days, then 160</w:t>
      </w:r>
      <w:r w:rsidR="00913581">
        <w:noBreakHyphen/>
      </w:r>
      <w:r>
        <w:t>200 mg/m</w:t>
      </w:r>
      <w:r w:rsidRPr="004621D4">
        <w:rPr>
          <w:vertAlign w:val="superscript"/>
        </w:rPr>
        <w:t>2</w:t>
      </w:r>
      <w:r>
        <w:t xml:space="preserve"> every 12 hours.  Both treatment arms included zidovudine 180 mg/m</w:t>
      </w:r>
      <w:r w:rsidRPr="00280362">
        <w:rPr>
          <w:vertAlign w:val="superscript"/>
        </w:rPr>
        <w:t>2</w:t>
      </w:r>
      <w:r>
        <w:t xml:space="preserve"> every 12 </w:t>
      </w:r>
      <w:r w:rsidRPr="0082204B">
        <w:t>hours</w:t>
      </w:r>
      <w:r>
        <w:t xml:space="preserve"> and lamivudine 4 mg/kg every 12 h</w:t>
      </w:r>
      <w:r w:rsidRPr="0082204B">
        <w:t>ours</w:t>
      </w:r>
      <w:r>
        <w:t xml:space="preserve">.  </w:t>
      </w:r>
      <w:r w:rsidRPr="00E6365F">
        <w:t xml:space="preserve">The </w:t>
      </w:r>
      <w:r w:rsidR="00913581">
        <w:t>median follow</w:t>
      </w:r>
      <w:r w:rsidR="00913581">
        <w:noBreakHyphen/>
      </w:r>
      <w:r>
        <w:t>up was 48 </w:t>
      </w:r>
      <w:r w:rsidRPr="00E6365F">
        <w:t>weeks in Coho</w:t>
      </w:r>
      <w:r>
        <w:t>rt I and 72 weeks in Cohort II.</w:t>
      </w:r>
      <w:r w:rsidRPr="00E6365F">
        <w:t xml:space="preserve">  </w:t>
      </w:r>
      <w:r>
        <w:t>At entry, median age was 0.7 </w:t>
      </w:r>
      <w:r w:rsidRPr="00E6365F">
        <w:t>years</w:t>
      </w:r>
      <w:r>
        <w:t xml:space="preserve">, </w:t>
      </w:r>
      <w:r w:rsidRPr="00E6365F">
        <w:t xml:space="preserve">median CD4 </w:t>
      </w:r>
      <w:r>
        <w:t>T</w:t>
      </w:r>
      <w:r w:rsidR="00913581">
        <w:noBreakHyphen/>
      </w:r>
      <w:r>
        <w:t xml:space="preserve">cell </w:t>
      </w:r>
      <w:r w:rsidRPr="00E6365F">
        <w:t>count was 1147</w:t>
      </w:r>
      <w:r>
        <w:t> </w:t>
      </w:r>
      <w:r w:rsidRPr="00E6365F">
        <w:t>cells/mm</w:t>
      </w:r>
      <w:r w:rsidRPr="002854CF">
        <w:rPr>
          <w:vertAlign w:val="superscript"/>
        </w:rPr>
        <w:t>3</w:t>
      </w:r>
      <w:r w:rsidRPr="00E6365F">
        <w:t xml:space="preserve">, median </w:t>
      </w:r>
      <w:r w:rsidRPr="00833268">
        <w:t>CD4</w:t>
      </w:r>
      <w:r w:rsidRPr="00E6365F">
        <w:t xml:space="preserve"> </w:t>
      </w:r>
      <w:r w:rsidR="00913581">
        <w:t>T</w:t>
      </w:r>
      <w:r w:rsidR="00913581">
        <w:noBreakHyphen/>
      </w:r>
      <w:r>
        <w:t xml:space="preserve">cell </w:t>
      </w:r>
      <w:r w:rsidRPr="00E6365F">
        <w:t>was 19%, and median H</w:t>
      </w:r>
      <w:r>
        <w:t>IV</w:t>
      </w:r>
      <w:r w:rsidR="00913581">
        <w:noBreakHyphen/>
      </w:r>
      <w:r>
        <w:t>1 RNA was &gt; 750,000 copies/ml</w:t>
      </w:r>
      <w:r w:rsidRPr="00E6365F">
        <w:t xml:space="preserve">. </w:t>
      </w:r>
      <w:r>
        <w:t xml:space="preserve"> </w:t>
      </w:r>
      <w:r w:rsidRPr="00E6365F">
        <w:t xml:space="preserve">Among </w:t>
      </w:r>
      <w:r>
        <w:t xml:space="preserve">13 </w:t>
      </w:r>
      <w:r w:rsidRPr="00E6365F">
        <w:t>subjects</w:t>
      </w:r>
      <w:r>
        <w:t xml:space="preserve"> with viral failure</w:t>
      </w:r>
      <w:r w:rsidRPr="00E6365F">
        <w:t xml:space="preserve"> in the </w:t>
      </w:r>
      <w:r>
        <w:t>lopinavir/ritonavir</w:t>
      </w:r>
      <w:r w:rsidRPr="00E6365F">
        <w:t xml:space="preserve"> group</w:t>
      </w:r>
      <w:r>
        <w:t xml:space="preserve"> with </w:t>
      </w:r>
      <w:r w:rsidRPr="00E6365F">
        <w:t xml:space="preserve">resistance data available no resistance to lopinavir/ritonavir </w:t>
      </w:r>
      <w:r>
        <w:t>was found</w:t>
      </w:r>
      <w:r w:rsidRPr="00E6365F">
        <w:t>.</w:t>
      </w:r>
    </w:p>
    <w:p w14:paraId="316BD194" w14:textId="77777777" w:rsidR="00AE0D4F" w:rsidRDefault="00AE0D4F" w:rsidP="00AE0D4F">
      <w:pPr>
        <w:pStyle w:val="EMEANormal"/>
      </w:pPr>
    </w:p>
    <w:p w14:paraId="1053DB6F" w14:textId="77777777" w:rsidR="00AE0D4F" w:rsidRDefault="00AE0D4F" w:rsidP="00AE0D4F">
      <w:pPr>
        <w:pStyle w:val="EMEANormal"/>
        <w:keepNext/>
      </w:pPr>
      <w:r>
        <w:t>Table 7</w:t>
      </w:r>
    </w:p>
    <w:p w14:paraId="7C15DB6E" w14:textId="77777777" w:rsidR="00AE0D4F" w:rsidRDefault="00AE0D4F" w:rsidP="00AE0D4F">
      <w:pPr>
        <w:pStyle w:val="EMEANormal"/>
        <w:keepNext/>
      </w:pPr>
    </w:p>
    <w:tbl>
      <w:tblPr>
        <w:tblW w:w="8310"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0"/>
        <w:gridCol w:w="1980"/>
        <w:gridCol w:w="1351"/>
        <w:gridCol w:w="1889"/>
        <w:gridCol w:w="1350"/>
      </w:tblGrid>
      <w:tr w:rsidR="00AE0D4F" w:rsidRPr="00342F7C" w14:paraId="4A81D693" w14:textId="77777777" w:rsidTr="003967C0">
        <w:tc>
          <w:tcPr>
            <w:tcW w:w="8310" w:type="dxa"/>
            <w:gridSpan w:val="5"/>
          </w:tcPr>
          <w:p w14:paraId="6D900E4F" w14:textId="77777777" w:rsidR="00AE0D4F" w:rsidRPr="00342F7C" w:rsidRDefault="00AE0D4F" w:rsidP="00AE0D4F">
            <w:pPr>
              <w:pStyle w:val="EMEANormal"/>
              <w:keepNext/>
              <w:spacing w:before="120" w:after="120"/>
              <w:jc w:val="center"/>
              <w:rPr>
                <w:lang w:val="en-GB"/>
              </w:rPr>
            </w:pPr>
            <w:r w:rsidRPr="00342F7C">
              <w:rPr>
                <w:b/>
                <w:lang w:val="en-GB"/>
              </w:rPr>
              <w:t xml:space="preserve">Outcomes at Week </w:t>
            </w:r>
            <w:r>
              <w:rPr>
                <w:b/>
                <w:lang w:val="en-GB"/>
              </w:rPr>
              <w:t>24</w:t>
            </w:r>
            <w:r w:rsidRPr="00342F7C">
              <w:rPr>
                <w:b/>
                <w:lang w:val="en-GB"/>
              </w:rPr>
              <w:t xml:space="preserve">: Study </w:t>
            </w:r>
            <w:r>
              <w:rPr>
                <w:b/>
                <w:lang w:val="en-GB"/>
              </w:rPr>
              <w:t>P1060</w:t>
            </w:r>
          </w:p>
        </w:tc>
      </w:tr>
      <w:tr w:rsidR="00AE0D4F" w:rsidRPr="00342F7C" w14:paraId="3F294488" w14:textId="77777777" w:rsidTr="003967C0">
        <w:tc>
          <w:tcPr>
            <w:tcW w:w="1740" w:type="dxa"/>
          </w:tcPr>
          <w:p w14:paraId="72119233" w14:textId="77777777" w:rsidR="00AE0D4F" w:rsidRPr="00342F7C" w:rsidRDefault="00AE0D4F" w:rsidP="00AE0D4F">
            <w:pPr>
              <w:pStyle w:val="EMEANormal"/>
              <w:keepNext/>
              <w:rPr>
                <w:lang w:val="en-GB"/>
              </w:rPr>
            </w:pPr>
          </w:p>
        </w:tc>
        <w:tc>
          <w:tcPr>
            <w:tcW w:w="3331" w:type="dxa"/>
            <w:gridSpan w:val="2"/>
          </w:tcPr>
          <w:p w14:paraId="2722B5B3" w14:textId="77777777" w:rsidR="00AE0D4F" w:rsidRPr="00342F7C" w:rsidRDefault="00AE0D4F" w:rsidP="00AE0D4F">
            <w:pPr>
              <w:pStyle w:val="EMEANormal"/>
              <w:keepNext/>
              <w:jc w:val="center"/>
              <w:rPr>
                <w:lang w:val="en-GB"/>
              </w:rPr>
            </w:pPr>
            <w:r>
              <w:rPr>
                <w:b/>
                <w:lang w:val="en-GB"/>
              </w:rPr>
              <w:t>Cohort I</w:t>
            </w:r>
          </w:p>
        </w:tc>
        <w:tc>
          <w:tcPr>
            <w:tcW w:w="3239" w:type="dxa"/>
            <w:gridSpan w:val="2"/>
          </w:tcPr>
          <w:p w14:paraId="79A16193" w14:textId="77777777" w:rsidR="00AE0D4F" w:rsidRPr="00342F7C" w:rsidRDefault="00AE0D4F" w:rsidP="00AE0D4F">
            <w:pPr>
              <w:pStyle w:val="EMEANormal"/>
              <w:keepNext/>
              <w:jc w:val="center"/>
              <w:rPr>
                <w:lang w:val="en-GB"/>
              </w:rPr>
            </w:pPr>
            <w:r>
              <w:rPr>
                <w:b/>
                <w:lang w:val="en-GB"/>
              </w:rPr>
              <w:t>Cohort II</w:t>
            </w:r>
            <w:r w:rsidRPr="00342F7C">
              <w:rPr>
                <w:b/>
                <w:lang w:val="en-GB"/>
              </w:rPr>
              <w:t xml:space="preserve"> </w:t>
            </w:r>
          </w:p>
        </w:tc>
      </w:tr>
      <w:tr w:rsidR="00AE0D4F" w:rsidRPr="00342F7C" w14:paraId="1CD7710B" w14:textId="77777777" w:rsidTr="003967C0">
        <w:tc>
          <w:tcPr>
            <w:tcW w:w="1740" w:type="dxa"/>
          </w:tcPr>
          <w:p w14:paraId="2D36E043" w14:textId="77777777" w:rsidR="00AE0D4F" w:rsidRDefault="00AE0D4F" w:rsidP="00AE0D4F">
            <w:pPr>
              <w:pStyle w:val="EMEANormal"/>
              <w:keepNext/>
              <w:rPr>
                <w:lang w:val="en-GB"/>
              </w:rPr>
            </w:pPr>
          </w:p>
        </w:tc>
        <w:tc>
          <w:tcPr>
            <w:tcW w:w="1980" w:type="dxa"/>
          </w:tcPr>
          <w:p w14:paraId="2D462F6D" w14:textId="77777777" w:rsidR="00AE0D4F" w:rsidRDefault="00AE0D4F" w:rsidP="00AE0D4F">
            <w:pPr>
              <w:pStyle w:val="EMEANormal"/>
              <w:keepNext/>
              <w:jc w:val="center"/>
              <w:rPr>
                <w:lang w:val="en-GB"/>
              </w:rPr>
            </w:pPr>
            <w:r>
              <w:rPr>
                <w:lang w:val="en-GB"/>
              </w:rPr>
              <w:t xml:space="preserve">lopinavir/ritonavir </w:t>
            </w:r>
            <w:r w:rsidRPr="00342F7C">
              <w:rPr>
                <w:b/>
                <w:lang w:val="en-GB"/>
              </w:rPr>
              <w:t>(N=</w:t>
            </w:r>
            <w:r>
              <w:rPr>
                <w:b/>
                <w:lang w:val="en-GB"/>
              </w:rPr>
              <w:t>82</w:t>
            </w:r>
            <w:r w:rsidRPr="00342F7C">
              <w:rPr>
                <w:b/>
                <w:lang w:val="en-GB"/>
              </w:rPr>
              <w:t>)</w:t>
            </w:r>
          </w:p>
        </w:tc>
        <w:tc>
          <w:tcPr>
            <w:tcW w:w="1351" w:type="dxa"/>
          </w:tcPr>
          <w:p w14:paraId="78962E34" w14:textId="77777777" w:rsidR="00AE0D4F" w:rsidRDefault="00AE0D4F" w:rsidP="00AE0D4F">
            <w:pPr>
              <w:pStyle w:val="EMEANormal"/>
              <w:keepNext/>
              <w:jc w:val="center"/>
              <w:rPr>
                <w:lang w:val="en-GB"/>
              </w:rPr>
            </w:pPr>
            <w:r>
              <w:rPr>
                <w:lang w:val="en-GB"/>
              </w:rPr>
              <w:t xml:space="preserve">nevirapine </w:t>
            </w:r>
            <w:r w:rsidRPr="00342F7C">
              <w:rPr>
                <w:b/>
                <w:lang w:val="en-GB"/>
              </w:rPr>
              <w:t>(N=</w:t>
            </w:r>
            <w:r>
              <w:rPr>
                <w:b/>
                <w:lang w:val="en-GB"/>
              </w:rPr>
              <w:t>82</w:t>
            </w:r>
            <w:r w:rsidRPr="00342F7C">
              <w:rPr>
                <w:b/>
                <w:lang w:val="en-GB"/>
              </w:rPr>
              <w:t>)</w:t>
            </w:r>
          </w:p>
        </w:tc>
        <w:tc>
          <w:tcPr>
            <w:tcW w:w="1889" w:type="dxa"/>
          </w:tcPr>
          <w:p w14:paraId="34777747" w14:textId="77777777" w:rsidR="00AE0D4F" w:rsidRDefault="00AE0D4F" w:rsidP="00AE0D4F">
            <w:pPr>
              <w:pStyle w:val="EMEANormal"/>
              <w:keepNext/>
              <w:jc w:val="center"/>
              <w:rPr>
                <w:lang w:val="en-GB"/>
              </w:rPr>
            </w:pPr>
            <w:r>
              <w:rPr>
                <w:lang w:val="en-GB"/>
              </w:rPr>
              <w:t xml:space="preserve">lopinavir/ritonavir </w:t>
            </w:r>
            <w:r w:rsidRPr="00342F7C">
              <w:rPr>
                <w:b/>
                <w:lang w:val="en-GB"/>
              </w:rPr>
              <w:t>(N=</w:t>
            </w:r>
            <w:r>
              <w:rPr>
                <w:b/>
                <w:lang w:val="en-GB"/>
              </w:rPr>
              <w:t>140</w:t>
            </w:r>
            <w:r w:rsidRPr="00342F7C">
              <w:rPr>
                <w:b/>
                <w:lang w:val="en-GB"/>
              </w:rPr>
              <w:t>)</w:t>
            </w:r>
          </w:p>
        </w:tc>
        <w:tc>
          <w:tcPr>
            <w:tcW w:w="1350" w:type="dxa"/>
          </w:tcPr>
          <w:p w14:paraId="6627B855" w14:textId="77777777" w:rsidR="00AE0D4F" w:rsidRDefault="00AE0D4F" w:rsidP="00AE0D4F">
            <w:pPr>
              <w:pStyle w:val="EMEANormal"/>
              <w:keepNext/>
              <w:jc w:val="center"/>
              <w:rPr>
                <w:lang w:val="en-GB"/>
              </w:rPr>
            </w:pPr>
            <w:r>
              <w:rPr>
                <w:lang w:val="en-GB"/>
              </w:rPr>
              <w:t xml:space="preserve">nevirapine </w:t>
            </w:r>
            <w:r w:rsidRPr="00342F7C">
              <w:rPr>
                <w:b/>
                <w:lang w:val="en-GB"/>
              </w:rPr>
              <w:t>(N=</w:t>
            </w:r>
            <w:r>
              <w:rPr>
                <w:b/>
                <w:lang w:val="en-GB"/>
              </w:rPr>
              <w:t>147</w:t>
            </w:r>
            <w:r w:rsidRPr="00342F7C">
              <w:rPr>
                <w:b/>
                <w:lang w:val="en-GB"/>
              </w:rPr>
              <w:t>)</w:t>
            </w:r>
          </w:p>
        </w:tc>
      </w:tr>
      <w:tr w:rsidR="00AE0D4F" w:rsidRPr="00342F7C" w14:paraId="13F35CBF" w14:textId="77777777" w:rsidTr="003967C0">
        <w:tc>
          <w:tcPr>
            <w:tcW w:w="1740" w:type="dxa"/>
          </w:tcPr>
          <w:p w14:paraId="10187682" w14:textId="77777777" w:rsidR="00AE0D4F" w:rsidRPr="00342F7C" w:rsidRDefault="00AE0D4F" w:rsidP="00AE0D4F">
            <w:pPr>
              <w:pStyle w:val="EMEANormal"/>
              <w:keepNext/>
              <w:rPr>
                <w:lang w:val="en-GB"/>
              </w:rPr>
            </w:pPr>
            <w:r>
              <w:rPr>
                <w:lang w:val="en-GB"/>
              </w:rPr>
              <w:t>Virologic failure*</w:t>
            </w:r>
          </w:p>
        </w:tc>
        <w:tc>
          <w:tcPr>
            <w:tcW w:w="1980" w:type="dxa"/>
          </w:tcPr>
          <w:p w14:paraId="158725F5" w14:textId="77777777" w:rsidR="00AE0D4F" w:rsidRPr="00342F7C" w:rsidRDefault="00AE0D4F" w:rsidP="00AE0D4F">
            <w:pPr>
              <w:pStyle w:val="EMEANormal"/>
              <w:keepNext/>
              <w:jc w:val="center"/>
              <w:rPr>
                <w:lang w:val="en-GB"/>
              </w:rPr>
            </w:pPr>
            <w:r w:rsidRPr="00E6365F">
              <w:t>21.7%</w:t>
            </w:r>
          </w:p>
        </w:tc>
        <w:tc>
          <w:tcPr>
            <w:tcW w:w="1351" w:type="dxa"/>
          </w:tcPr>
          <w:p w14:paraId="7CC7DB7A" w14:textId="77777777" w:rsidR="00AE0D4F" w:rsidRPr="00342F7C" w:rsidRDefault="00AE0D4F" w:rsidP="00AE0D4F">
            <w:pPr>
              <w:pStyle w:val="EMEANormal"/>
              <w:keepNext/>
              <w:jc w:val="center"/>
              <w:rPr>
                <w:lang w:val="en-GB"/>
              </w:rPr>
            </w:pPr>
            <w:r>
              <w:rPr>
                <w:lang w:val="en-GB"/>
              </w:rPr>
              <w:t>39.6</w:t>
            </w:r>
            <w:r w:rsidRPr="00342F7C">
              <w:rPr>
                <w:lang w:val="en-GB"/>
              </w:rPr>
              <w:t>%</w:t>
            </w:r>
          </w:p>
        </w:tc>
        <w:tc>
          <w:tcPr>
            <w:tcW w:w="1889" w:type="dxa"/>
          </w:tcPr>
          <w:p w14:paraId="1A3BCF5C" w14:textId="77777777" w:rsidR="00AE0D4F" w:rsidRPr="00342F7C" w:rsidRDefault="00AE0D4F" w:rsidP="00AE0D4F">
            <w:pPr>
              <w:pStyle w:val="EMEANormal"/>
              <w:keepNext/>
              <w:jc w:val="center"/>
              <w:rPr>
                <w:lang w:val="en-GB"/>
              </w:rPr>
            </w:pPr>
            <w:r w:rsidRPr="00E6365F">
              <w:t>19.3%</w:t>
            </w:r>
          </w:p>
        </w:tc>
        <w:tc>
          <w:tcPr>
            <w:tcW w:w="1350" w:type="dxa"/>
          </w:tcPr>
          <w:p w14:paraId="038EAF9A" w14:textId="77777777" w:rsidR="00AE0D4F" w:rsidRPr="00342F7C" w:rsidRDefault="00AE0D4F" w:rsidP="00AE0D4F">
            <w:pPr>
              <w:pStyle w:val="EMEANormal"/>
              <w:keepNext/>
              <w:jc w:val="center"/>
              <w:rPr>
                <w:lang w:val="en-GB"/>
              </w:rPr>
            </w:pPr>
            <w:r w:rsidRPr="00E6365F">
              <w:t>40.8%</w:t>
            </w:r>
          </w:p>
        </w:tc>
      </w:tr>
    </w:tbl>
    <w:p w14:paraId="7A39CEE5" w14:textId="77777777" w:rsidR="00AE0D4F" w:rsidRDefault="00AE0D4F" w:rsidP="00AE0D4F">
      <w:pPr>
        <w:pStyle w:val="EMEANormal"/>
        <w:ind w:left="600"/>
        <w:rPr>
          <w:lang w:val="en-GB"/>
        </w:rPr>
      </w:pPr>
      <w:r>
        <w:rPr>
          <w:lang w:val="en-GB"/>
        </w:rPr>
        <w:t>*Defined as confirmed plasma HIV-1 RNA level &gt; 400 copies/ml at 24 weeks or viral rebound &gt; 4000 copies/ml after Week 24.  Overall failure rate combining the treatment differences across age strata, weighted by the precision of the estimate within each age stratum</w:t>
      </w:r>
    </w:p>
    <w:p w14:paraId="16C31A49" w14:textId="77777777" w:rsidR="00AE0D4F" w:rsidRPr="00342F7C" w:rsidRDefault="00AE0D4F" w:rsidP="00AE0D4F">
      <w:pPr>
        <w:pStyle w:val="EMEANormal"/>
        <w:ind w:left="600"/>
        <w:rPr>
          <w:lang w:val="en-GB"/>
        </w:rPr>
      </w:pPr>
      <w:r w:rsidRPr="00342F7C">
        <w:rPr>
          <w:lang w:val="en-GB"/>
        </w:rPr>
        <w:t>p</w:t>
      </w:r>
      <w:r>
        <w:rPr>
          <w:lang w:val="en-GB"/>
        </w:rPr>
        <w:t>=0.015 (Cohort I); p</w:t>
      </w:r>
      <w:r w:rsidRPr="00342F7C">
        <w:rPr>
          <w:lang w:val="en-GB"/>
        </w:rPr>
        <w:t>&lt; 0.001</w:t>
      </w:r>
      <w:r>
        <w:rPr>
          <w:lang w:val="en-GB"/>
        </w:rPr>
        <w:t xml:space="preserve"> (Cohort II)</w:t>
      </w:r>
    </w:p>
    <w:p w14:paraId="55D415FF" w14:textId="77777777" w:rsidR="00AE0D4F" w:rsidRDefault="00AE0D4F" w:rsidP="00AE0D4F">
      <w:pPr>
        <w:pStyle w:val="EMEANormal"/>
      </w:pPr>
    </w:p>
    <w:p w14:paraId="445CA94F" w14:textId="77777777" w:rsidR="00AE0D4F" w:rsidRDefault="00AE0D4F" w:rsidP="00AE0D4F">
      <w:pPr>
        <w:pStyle w:val="EMEANormal"/>
      </w:pPr>
      <w:r w:rsidRPr="00E6365F">
        <w:t>The CHER study was a randomized, open-label study comparing 3</w:t>
      </w:r>
      <w:r>
        <w:t> </w:t>
      </w:r>
      <w:r w:rsidRPr="00E6365F">
        <w:t>treatment strategies (deferred treatment, early treatment for 40</w:t>
      </w:r>
      <w:r>
        <w:t> </w:t>
      </w:r>
      <w:r w:rsidRPr="00E6365F">
        <w:t>weeks, or early treatment for 96</w:t>
      </w:r>
      <w:r>
        <w:t> </w:t>
      </w:r>
      <w:r w:rsidRPr="00E6365F">
        <w:t>weeks</w:t>
      </w:r>
      <w:r>
        <w:t>)</w:t>
      </w:r>
      <w:r w:rsidRPr="00E6365F">
        <w:t xml:space="preserve"> in children with perinatally acquired HIV</w:t>
      </w:r>
      <w:r w:rsidR="00913581">
        <w:noBreakHyphen/>
      </w:r>
      <w:r w:rsidRPr="00E6365F">
        <w:t xml:space="preserve">1 infection. </w:t>
      </w:r>
      <w:r>
        <w:t xml:space="preserve"> </w:t>
      </w:r>
      <w:r w:rsidRPr="00E6365F">
        <w:t xml:space="preserve">The treatment regimen was zidovudine </w:t>
      </w:r>
      <w:r>
        <w:t>plus</w:t>
      </w:r>
      <w:r w:rsidRPr="00E6365F">
        <w:t xml:space="preserve"> </w:t>
      </w:r>
      <w:r>
        <w:t>lamivudine</w:t>
      </w:r>
      <w:r w:rsidRPr="00E6365F">
        <w:t xml:space="preserve"> </w:t>
      </w:r>
      <w:r>
        <w:t>plus</w:t>
      </w:r>
      <w:r w:rsidRPr="00E6365F">
        <w:t xml:space="preserve"> 300</w:t>
      </w:r>
      <w:r w:rsidR="00F50B0B">
        <w:t> </w:t>
      </w:r>
      <w:r>
        <w:t>mg lopinavir</w:t>
      </w:r>
      <w:r w:rsidRPr="00E6365F">
        <w:t>/75</w:t>
      </w:r>
      <w:r w:rsidR="00F50B0B">
        <w:t> </w:t>
      </w:r>
      <w:r>
        <w:t>mg ritonavir</w:t>
      </w:r>
      <w:r w:rsidRPr="00E6365F">
        <w:t xml:space="preserve"> </w:t>
      </w:r>
      <w:r>
        <w:t xml:space="preserve">per </w:t>
      </w:r>
      <w:r w:rsidRPr="00E6365F">
        <w:t>m</w:t>
      </w:r>
      <w:r w:rsidRPr="00E6365F">
        <w:rPr>
          <w:vertAlign w:val="superscript"/>
        </w:rPr>
        <w:t>2</w:t>
      </w:r>
      <w:r w:rsidRPr="00E6365F">
        <w:t xml:space="preserve"> </w:t>
      </w:r>
      <w:r>
        <w:t>twice daily until 6 months of age, then</w:t>
      </w:r>
      <w:r w:rsidRPr="00E6365F">
        <w:t xml:space="preserve"> 230</w:t>
      </w:r>
      <w:r w:rsidR="00F50B0B">
        <w:t> </w:t>
      </w:r>
      <w:r>
        <w:t>mg lopinavir</w:t>
      </w:r>
      <w:r w:rsidRPr="00E6365F">
        <w:t>/57.5</w:t>
      </w:r>
      <w:r>
        <w:t> </w:t>
      </w:r>
      <w:r w:rsidRPr="00E6365F">
        <w:t>mg</w:t>
      </w:r>
      <w:r>
        <w:t xml:space="preserve"> ritonavir per </w:t>
      </w:r>
      <w:r w:rsidRPr="00E6365F">
        <w:t>m</w:t>
      </w:r>
      <w:r w:rsidRPr="00E6365F">
        <w:rPr>
          <w:vertAlign w:val="superscript"/>
        </w:rPr>
        <w:t>2</w:t>
      </w:r>
      <w:r w:rsidRPr="00E6365F">
        <w:t xml:space="preserve"> </w:t>
      </w:r>
      <w:r>
        <w:t>twice daily</w:t>
      </w:r>
      <w:r w:rsidRPr="00E6365F">
        <w:t xml:space="preserve">. </w:t>
      </w:r>
      <w:r>
        <w:t xml:space="preserve"> </w:t>
      </w:r>
      <w:r w:rsidRPr="00E6365F">
        <w:t xml:space="preserve">There were no reported events of failure attributed to therapy </w:t>
      </w:r>
      <w:r>
        <w:t>limiting toxicity.</w:t>
      </w:r>
    </w:p>
    <w:p w14:paraId="31D81517" w14:textId="77777777" w:rsidR="00AE0D4F" w:rsidRPr="00A11F01" w:rsidRDefault="00AE0D4F" w:rsidP="00AE0D4F">
      <w:pPr>
        <w:pStyle w:val="EMEANormal"/>
      </w:pPr>
    </w:p>
    <w:p w14:paraId="49ADE195" w14:textId="77777777" w:rsidR="00AE0D4F" w:rsidRDefault="00AE0D4F" w:rsidP="00AE0D4F">
      <w:pPr>
        <w:pStyle w:val="EMEANormal"/>
        <w:keepNext/>
      </w:pPr>
      <w:r>
        <w:t>Table 8</w:t>
      </w:r>
    </w:p>
    <w:p w14:paraId="2EB3DCE2" w14:textId="77777777" w:rsidR="00AE0D4F" w:rsidRDefault="00AE0D4F" w:rsidP="00AE0D4F">
      <w:pPr>
        <w:pStyle w:val="EMEANormal"/>
        <w:keepNext/>
      </w:pPr>
    </w:p>
    <w:tbl>
      <w:tblPr>
        <w:tblW w:w="8310"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0"/>
        <w:gridCol w:w="3331"/>
        <w:gridCol w:w="3239"/>
      </w:tblGrid>
      <w:tr w:rsidR="00AE0D4F" w:rsidRPr="00342F7C" w14:paraId="00E35E27" w14:textId="77777777" w:rsidTr="003967C0">
        <w:tc>
          <w:tcPr>
            <w:tcW w:w="8310" w:type="dxa"/>
            <w:gridSpan w:val="3"/>
          </w:tcPr>
          <w:p w14:paraId="452D9614" w14:textId="77777777" w:rsidR="00AE0D4F" w:rsidRPr="00342F7C" w:rsidRDefault="00AE0D4F" w:rsidP="00AE0D4F">
            <w:pPr>
              <w:pStyle w:val="EMEANormal"/>
              <w:keepNext/>
              <w:spacing w:before="120" w:after="120"/>
              <w:jc w:val="center"/>
              <w:rPr>
                <w:lang w:val="en-GB"/>
              </w:rPr>
            </w:pPr>
            <w:r>
              <w:rPr>
                <w:b/>
                <w:lang w:val="en-GB"/>
              </w:rPr>
              <w:t>Hazard Ratio for Death or Failure of First-line Therapy Relative</w:t>
            </w:r>
            <w:r>
              <w:rPr>
                <w:b/>
                <w:lang w:val="en-GB"/>
              </w:rPr>
              <w:br/>
              <w:t xml:space="preserve"> to ART Deferred Treatment: CHER Study</w:t>
            </w:r>
          </w:p>
        </w:tc>
      </w:tr>
      <w:tr w:rsidR="00AE0D4F" w:rsidRPr="00342F7C" w14:paraId="3BA2998A" w14:textId="77777777" w:rsidTr="003967C0">
        <w:tc>
          <w:tcPr>
            <w:tcW w:w="1740" w:type="dxa"/>
          </w:tcPr>
          <w:p w14:paraId="2D9FAC53" w14:textId="77777777" w:rsidR="00AE0D4F" w:rsidRPr="00342F7C" w:rsidRDefault="00AE0D4F" w:rsidP="00AE0D4F">
            <w:pPr>
              <w:pStyle w:val="EMEANormal"/>
              <w:keepNext/>
              <w:rPr>
                <w:lang w:val="en-GB"/>
              </w:rPr>
            </w:pPr>
          </w:p>
        </w:tc>
        <w:tc>
          <w:tcPr>
            <w:tcW w:w="3331" w:type="dxa"/>
          </w:tcPr>
          <w:p w14:paraId="61A2C1CB" w14:textId="77777777" w:rsidR="00AE0D4F" w:rsidRPr="001F3EFC" w:rsidRDefault="00AE0D4F" w:rsidP="00AE0D4F">
            <w:pPr>
              <w:pStyle w:val="EMEANormal"/>
              <w:keepNext/>
              <w:jc w:val="center"/>
              <w:rPr>
                <w:b/>
                <w:lang w:val="en-GB"/>
              </w:rPr>
            </w:pPr>
            <w:r w:rsidRPr="001F3EFC">
              <w:rPr>
                <w:b/>
                <w:lang w:val="en-GB"/>
              </w:rPr>
              <w:t>40 week arm (N=13)</w:t>
            </w:r>
          </w:p>
        </w:tc>
        <w:tc>
          <w:tcPr>
            <w:tcW w:w="3239" w:type="dxa"/>
          </w:tcPr>
          <w:p w14:paraId="3BF185B1" w14:textId="77777777" w:rsidR="00AE0D4F" w:rsidRPr="001F3EFC" w:rsidRDefault="00AE0D4F" w:rsidP="00AE0D4F">
            <w:pPr>
              <w:pStyle w:val="EMEANormal"/>
              <w:keepNext/>
              <w:jc w:val="center"/>
              <w:rPr>
                <w:b/>
                <w:lang w:val="en-GB"/>
              </w:rPr>
            </w:pPr>
            <w:r w:rsidRPr="001F3EFC">
              <w:rPr>
                <w:b/>
                <w:lang w:val="en-GB"/>
              </w:rPr>
              <w:t>96 week arm (N=13)</w:t>
            </w:r>
          </w:p>
        </w:tc>
      </w:tr>
      <w:tr w:rsidR="00AE0D4F" w:rsidRPr="00342F7C" w14:paraId="62158DFF" w14:textId="77777777" w:rsidTr="003967C0">
        <w:tc>
          <w:tcPr>
            <w:tcW w:w="1740" w:type="dxa"/>
          </w:tcPr>
          <w:p w14:paraId="67E90C7C" w14:textId="77777777" w:rsidR="00AE0D4F" w:rsidRPr="00342F7C" w:rsidRDefault="00AE0D4F" w:rsidP="00AE0D4F">
            <w:pPr>
              <w:pStyle w:val="EMEANormal"/>
              <w:keepNext/>
              <w:rPr>
                <w:lang w:val="en-GB"/>
              </w:rPr>
            </w:pPr>
            <w:r>
              <w:rPr>
                <w:lang w:val="en-GB"/>
              </w:rPr>
              <w:t xml:space="preserve">Hazard ratio for death or failure of therapy* </w:t>
            </w:r>
          </w:p>
        </w:tc>
        <w:tc>
          <w:tcPr>
            <w:tcW w:w="3331" w:type="dxa"/>
          </w:tcPr>
          <w:p w14:paraId="7290EA94" w14:textId="77777777" w:rsidR="00AE0D4F" w:rsidRPr="00342F7C" w:rsidRDefault="00AE0D4F" w:rsidP="00AE0D4F">
            <w:pPr>
              <w:pStyle w:val="EMEANormal"/>
              <w:keepNext/>
              <w:jc w:val="center"/>
              <w:rPr>
                <w:lang w:val="en-GB"/>
              </w:rPr>
            </w:pPr>
          </w:p>
          <w:p w14:paraId="3C84216F" w14:textId="77777777" w:rsidR="00AE0D4F" w:rsidRPr="00342F7C" w:rsidRDefault="00AE0D4F" w:rsidP="00AE0D4F">
            <w:pPr>
              <w:pStyle w:val="EMEANormal"/>
              <w:keepNext/>
              <w:jc w:val="center"/>
              <w:rPr>
                <w:lang w:val="en-GB"/>
              </w:rPr>
            </w:pPr>
            <w:r w:rsidRPr="00E6365F">
              <w:t>0.319</w:t>
            </w:r>
          </w:p>
        </w:tc>
        <w:tc>
          <w:tcPr>
            <w:tcW w:w="3239" w:type="dxa"/>
          </w:tcPr>
          <w:p w14:paraId="340367EE" w14:textId="77777777" w:rsidR="00AE0D4F" w:rsidRPr="00342F7C" w:rsidRDefault="00AE0D4F" w:rsidP="00AE0D4F">
            <w:pPr>
              <w:pStyle w:val="EMEANormal"/>
              <w:keepNext/>
              <w:jc w:val="center"/>
              <w:rPr>
                <w:lang w:val="en-GB"/>
              </w:rPr>
            </w:pPr>
          </w:p>
          <w:p w14:paraId="01B6EFAE" w14:textId="77777777" w:rsidR="00AE0D4F" w:rsidRPr="00342F7C" w:rsidRDefault="00AE0D4F" w:rsidP="00AE0D4F">
            <w:pPr>
              <w:pStyle w:val="EMEANormal"/>
              <w:keepNext/>
              <w:jc w:val="center"/>
              <w:rPr>
                <w:lang w:val="en-GB"/>
              </w:rPr>
            </w:pPr>
            <w:r w:rsidRPr="00E6365F">
              <w:t>0.332</w:t>
            </w:r>
          </w:p>
        </w:tc>
      </w:tr>
    </w:tbl>
    <w:p w14:paraId="6FF55AC9" w14:textId="77777777" w:rsidR="00AE0D4F" w:rsidRDefault="00AE0D4F" w:rsidP="00AE0D4F">
      <w:pPr>
        <w:pStyle w:val="EMEANormal"/>
        <w:ind w:left="600"/>
        <w:rPr>
          <w:lang w:val="en-GB"/>
        </w:rPr>
      </w:pPr>
      <w:r>
        <w:rPr>
          <w:lang w:val="en-GB"/>
        </w:rPr>
        <w:t>* Failure defined as clinical, immunological disease progression, virological failure or regimen limiting ART toxicity</w:t>
      </w:r>
    </w:p>
    <w:p w14:paraId="32A8B81F" w14:textId="77777777" w:rsidR="00AE0D4F" w:rsidRDefault="00AE0D4F" w:rsidP="00AE0D4F">
      <w:pPr>
        <w:pStyle w:val="EMEANormal"/>
        <w:ind w:left="600"/>
        <w:rPr>
          <w:lang w:val="en-GB"/>
        </w:rPr>
      </w:pPr>
      <w:r w:rsidRPr="00342F7C">
        <w:rPr>
          <w:lang w:val="en-GB"/>
        </w:rPr>
        <w:t>p</w:t>
      </w:r>
      <w:r>
        <w:rPr>
          <w:lang w:val="en-GB"/>
        </w:rPr>
        <w:t>=0.0005 (40 week arm); p</w:t>
      </w:r>
      <w:r w:rsidRPr="00342F7C">
        <w:rPr>
          <w:lang w:val="en-GB"/>
        </w:rPr>
        <w:t>&lt; 0.00</w:t>
      </w:r>
      <w:r>
        <w:rPr>
          <w:lang w:val="en-GB"/>
        </w:rPr>
        <w:t>08 (96 week arm)</w:t>
      </w:r>
    </w:p>
    <w:p w14:paraId="0DAC54B5" w14:textId="77777777" w:rsidR="00AE0D4F" w:rsidRPr="008B6723" w:rsidRDefault="00AE0D4F" w:rsidP="008B6723">
      <w:pPr>
        <w:pStyle w:val="EMEANormal"/>
        <w:rPr>
          <w:lang w:val="en-GB"/>
        </w:rPr>
      </w:pPr>
    </w:p>
    <w:p w14:paraId="273A5642" w14:textId="77777777" w:rsidR="00D7303D" w:rsidRDefault="00D7303D" w:rsidP="00122AD3">
      <w:pPr>
        <w:pStyle w:val="EMEAHeading2SPC"/>
        <w:spacing w:beforeLines="0" w:before="0" w:afterLines="0" w:after="0"/>
        <w:rPr>
          <w:rFonts w:ascii="Times New Roman" w:hAnsi="Times New Roman"/>
          <w:lang w:val="en-GB"/>
        </w:rPr>
      </w:pPr>
      <w:r w:rsidRPr="00342F7C">
        <w:rPr>
          <w:rFonts w:ascii="Times New Roman" w:hAnsi="Times New Roman"/>
          <w:lang w:val="en-GB"/>
        </w:rPr>
        <w:t>5.2</w:t>
      </w:r>
      <w:r w:rsidRPr="00342F7C">
        <w:rPr>
          <w:rFonts w:ascii="Times New Roman" w:hAnsi="Times New Roman"/>
          <w:lang w:val="en-GB"/>
        </w:rPr>
        <w:tab/>
        <w:t>Pharmacokinetic properties</w:t>
      </w:r>
    </w:p>
    <w:p w14:paraId="040BE5CA" w14:textId="77777777" w:rsidR="00122AD3" w:rsidRPr="00122AD3" w:rsidRDefault="00122AD3" w:rsidP="00122AD3">
      <w:pPr>
        <w:pStyle w:val="EMEANormal"/>
        <w:rPr>
          <w:lang w:val="en-GB"/>
        </w:rPr>
      </w:pPr>
    </w:p>
    <w:p w14:paraId="577B389E" w14:textId="77777777" w:rsidR="00D7303D" w:rsidRPr="00342F7C" w:rsidRDefault="00D7303D">
      <w:pPr>
        <w:pStyle w:val="EMEANormal"/>
        <w:rPr>
          <w:lang w:val="en-GB"/>
        </w:rPr>
      </w:pPr>
      <w:r w:rsidRPr="00342F7C">
        <w:rPr>
          <w:lang w:val="en-GB"/>
        </w:rPr>
        <w:t xml:space="preserve">The pharmacokinetic properties of lopinavir co-administered with ritonavir have been evaluated in healthy adult volunteers and in HIV-infected patients; no substantial differences were observed between the two groups.  Lopinavir is essentially completely metabolised by CYP3A.  Ritonavir inhibits the metabolism of lopinavir, thereby increasing the plasma levels of lopinavir.  Across studies, administration of Kaletra 400/100 mg twice daily yields mean steady-state lopinavir plasma concentrations 15 to 20-fold higher than those of ritonavir in HIV-infected patients.  The plasma levels of ritonavir are less than 7% of those obtained after the ritonavir dose of 600 mg twice daily.  The </w:t>
      </w:r>
      <w:r w:rsidRPr="00342F7C">
        <w:rPr>
          <w:i/>
          <w:lang w:val="en-GB"/>
        </w:rPr>
        <w:t>in vitro</w:t>
      </w:r>
      <w:r w:rsidRPr="00342F7C">
        <w:rPr>
          <w:lang w:val="en-GB"/>
        </w:rPr>
        <w:t xml:space="preserve"> antiviral EC</w:t>
      </w:r>
      <w:r w:rsidRPr="00342F7C">
        <w:rPr>
          <w:vertAlign w:val="subscript"/>
          <w:lang w:val="en-GB"/>
        </w:rPr>
        <w:t>50</w:t>
      </w:r>
      <w:r w:rsidRPr="00342F7C">
        <w:rPr>
          <w:lang w:val="en-GB"/>
        </w:rPr>
        <w:t xml:space="preserve"> of lopinavir is approximately 10-fold lower than that of ritonavir.  Therefore, the antiviral activity of Kaletra is due to lopinavir.</w:t>
      </w:r>
    </w:p>
    <w:p w14:paraId="2D37F51E" w14:textId="77777777" w:rsidR="00D7303D" w:rsidRPr="00342F7C" w:rsidRDefault="00D7303D">
      <w:pPr>
        <w:pStyle w:val="EMEANormal"/>
        <w:rPr>
          <w:lang w:val="en-GB"/>
        </w:rPr>
      </w:pPr>
    </w:p>
    <w:p w14:paraId="56C35311" w14:textId="77777777" w:rsidR="00444801" w:rsidRDefault="00D7303D" w:rsidP="003F4A82">
      <w:pPr>
        <w:pStyle w:val="EMEANormal"/>
        <w:keepNext/>
        <w:keepLines/>
        <w:rPr>
          <w:lang w:val="en-GB"/>
        </w:rPr>
      </w:pPr>
      <w:r w:rsidRPr="00342F7C">
        <w:rPr>
          <w:iCs/>
          <w:u w:val="single"/>
          <w:lang w:val="en-GB"/>
        </w:rPr>
        <w:t>Absorption</w:t>
      </w:r>
    </w:p>
    <w:p w14:paraId="1E56A4D8" w14:textId="77777777" w:rsidR="00D7303D" w:rsidRPr="00342F7C" w:rsidRDefault="00444801" w:rsidP="003F4A82">
      <w:pPr>
        <w:pStyle w:val="EMEANormal"/>
        <w:keepNext/>
        <w:keepLines/>
        <w:rPr>
          <w:lang w:val="en-GB"/>
        </w:rPr>
      </w:pPr>
      <w:r>
        <w:rPr>
          <w:lang w:val="en-GB"/>
        </w:rPr>
        <w:t>M</w:t>
      </w:r>
      <w:r w:rsidR="00D7303D" w:rsidRPr="00342F7C">
        <w:rPr>
          <w:lang w:val="en-GB"/>
        </w:rPr>
        <w:t xml:space="preserve">ultiple dosing with 400/100 mg Kaletra twice daily for 2 weeks and without meal restriction produced a mean </w:t>
      </w:r>
      <w:r w:rsidR="00D7303D" w:rsidRPr="00342F7C">
        <w:rPr>
          <w:lang w:val="en-GB"/>
        </w:rPr>
        <w:sym w:font="Symbol" w:char="F0B1"/>
      </w:r>
      <w:r w:rsidR="00D7303D" w:rsidRPr="00342F7C">
        <w:rPr>
          <w:lang w:val="en-GB"/>
        </w:rPr>
        <w:t xml:space="preserve"> SD lopinavir peak plasma concentration (C</w:t>
      </w:r>
      <w:r w:rsidR="00D7303D" w:rsidRPr="00342F7C">
        <w:rPr>
          <w:vertAlign w:val="subscript"/>
          <w:lang w:val="en-GB"/>
        </w:rPr>
        <w:t>max</w:t>
      </w:r>
      <w:r w:rsidR="00D7303D" w:rsidRPr="00342F7C">
        <w:rPr>
          <w:lang w:val="en-GB"/>
        </w:rPr>
        <w:t>) of 12.3 </w:t>
      </w:r>
      <w:r w:rsidR="00D7303D" w:rsidRPr="00342F7C">
        <w:rPr>
          <w:lang w:val="en-GB"/>
        </w:rPr>
        <w:sym w:font="Symbol" w:char="F0B1"/>
      </w:r>
      <w:r w:rsidR="00D7303D" w:rsidRPr="00342F7C">
        <w:rPr>
          <w:lang w:val="en-GB"/>
        </w:rPr>
        <w:t> 5.4 </w:t>
      </w:r>
      <w:r w:rsidR="00D7303D" w:rsidRPr="00342F7C">
        <w:rPr>
          <w:lang w:val="en-GB"/>
        </w:rPr>
        <w:sym w:font="Symbol" w:char="F06D"/>
      </w:r>
      <w:r w:rsidR="00D7303D" w:rsidRPr="00342F7C">
        <w:rPr>
          <w:lang w:val="en-GB"/>
        </w:rPr>
        <w:t>g/ml, occurring approximately 4 hours after administration.  The mean steady-state trough concentration prior to the morning dose was 8.1 </w:t>
      </w:r>
      <w:r w:rsidR="00D7303D" w:rsidRPr="00342F7C">
        <w:rPr>
          <w:lang w:val="en-GB"/>
        </w:rPr>
        <w:sym w:font="Symbol" w:char="F0B1"/>
      </w:r>
      <w:r w:rsidR="00D7303D" w:rsidRPr="00342F7C">
        <w:rPr>
          <w:lang w:val="en-GB"/>
        </w:rPr>
        <w:t> 5.7 </w:t>
      </w:r>
      <w:r w:rsidR="00D7303D" w:rsidRPr="00342F7C">
        <w:rPr>
          <w:lang w:val="en-GB"/>
        </w:rPr>
        <w:sym w:font="Symbol" w:char="F06D"/>
      </w:r>
      <w:r w:rsidR="00D7303D" w:rsidRPr="00342F7C">
        <w:rPr>
          <w:lang w:val="en-GB"/>
        </w:rPr>
        <w:t>g/ml.  Lopinavir AUC over a 12 hour dosing interval averaged 113.2 </w:t>
      </w:r>
      <w:r w:rsidR="00D7303D" w:rsidRPr="00342F7C">
        <w:rPr>
          <w:lang w:val="en-GB"/>
        </w:rPr>
        <w:sym w:font="Symbol" w:char="F0B1"/>
      </w:r>
      <w:r w:rsidR="00D7303D" w:rsidRPr="00342F7C">
        <w:rPr>
          <w:lang w:val="en-GB"/>
        </w:rPr>
        <w:t> 60.5 </w:t>
      </w:r>
      <w:r w:rsidR="00D7303D" w:rsidRPr="00342F7C">
        <w:rPr>
          <w:lang w:val="en-GB"/>
        </w:rPr>
        <w:sym w:font="Symbol" w:char="F06D"/>
      </w:r>
      <w:r w:rsidR="00D7303D" w:rsidRPr="00342F7C">
        <w:rPr>
          <w:lang w:val="en-GB"/>
        </w:rPr>
        <w:t>g</w:t>
      </w:r>
      <w:r w:rsidR="00D7303D" w:rsidRPr="00342F7C">
        <w:rPr>
          <w:lang w:val="en-GB"/>
        </w:rPr>
        <w:sym w:font="Symbol" w:char="F0B7"/>
      </w:r>
      <w:r w:rsidR="00D7303D" w:rsidRPr="00342F7C">
        <w:rPr>
          <w:lang w:val="en-GB"/>
        </w:rPr>
        <w:t>h/ml.  The absolute bioavailability of lopinavir co-formulated with ritonavir in humans has not been established.</w:t>
      </w:r>
    </w:p>
    <w:p w14:paraId="7CFEBAFF" w14:textId="77777777" w:rsidR="00D7303D" w:rsidRPr="00342F7C" w:rsidRDefault="00D7303D">
      <w:pPr>
        <w:pStyle w:val="EMEANormal"/>
        <w:rPr>
          <w:lang w:val="en-GB"/>
        </w:rPr>
      </w:pPr>
    </w:p>
    <w:p w14:paraId="5358C23F" w14:textId="77777777" w:rsidR="00444801" w:rsidRDefault="00D7303D">
      <w:pPr>
        <w:pStyle w:val="EMEANormal"/>
        <w:rPr>
          <w:lang w:val="en-GB"/>
        </w:rPr>
      </w:pPr>
      <w:r w:rsidRPr="00342F7C">
        <w:rPr>
          <w:iCs/>
          <w:u w:val="single"/>
          <w:lang w:val="en-GB"/>
        </w:rPr>
        <w:t>Effects of food on oral absorption</w:t>
      </w:r>
      <w:r w:rsidRPr="00342F7C">
        <w:rPr>
          <w:lang w:val="en-GB"/>
        </w:rPr>
        <w:t xml:space="preserve"> </w:t>
      </w:r>
    </w:p>
    <w:p w14:paraId="0F20BD3C" w14:textId="77777777" w:rsidR="00D7303D" w:rsidRPr="00342F7C" w:rsidRDefault="00D7303D">
      <w:pPr>
        <w:pStyle w:val="EMEANormal"/>
        <w:rPr>
          <w:lang w:val="en-GB"/>
        </w:rPr>
      </w:pPr>
      <w:r w:rsidRPr="00342F7C">
        <w:rPr>
          <w:lang w:val="en-GB"/>
        </w:rPr>
        <w:t>Kaletra soft capsules and liquid have been shown to be bioequivalent under nonfasting conditions (moderate fat meal).  Administration of a single 400/100 mg dose of Kaletra soft capsules with a moderate fat meal (500 – 682 kcal, 22.7 –25.1% from fat) was associated with a mean increase of 48% and 23% in lopinavir AUC and C</w:t>
      </w:r>
      <w:r w:rsidRPr="00342F7C">
        <w:rPr>
          <w:vertAlign w:val="subscript"/>
          <w:lang w:val="en-GB"/>
        </w:rPr>
        <w:t>max</w:t>
      </w:r>
      <w:r w:rsidRPr="00342F7C">
        <w:rPr>
          <w:lang w:val="en-GB"/>
        </w:rPr>
        <w:t>, respectively, relative to fasting.  For Kaletra oral solution, the corresponding increases in lopinavir AUC and C</w:t>
      </w:r>
      <w:r w:rsidRPr="00342F7C">
        <w:rPr>
          <w:vertAlign w:val="subscript"/>
          <w:lang w:val="en-GB"/>
        </w:rPr>
        <w:t>max</w:t>
      </w:r>
      <w:r w:rsidRPr="00342F7C">
        <w:rPr>
          <w:lang w:val="en-GB"/>
        </w:rPr>
        <w:t xml:space="preserve"> were 80% and 54%, respectively.  Administration of Kaletra with a high fat meal (872 kcal, 55.8% from fat) increased lopinavir AUC and C</w:t>
      </w:r>
      <w:r w:rsidRPr="00342F7C">
        <w:rPr>
          <w:vertAlign w:val="subscript"/>
          <w:lang w:val="en-GB"/>
        </w:rPr>
        <w:t>max</w:t>
      </w:r>
      <w:r w:rsidRPr="00342F7C">
        <w:rPr>
          <w:lang w:val="en-GB"/>
        </w:rPr>
        <w:t xml:space="preserve"> by 96% and 43%, respectively, for soft capsules, and 130% and 56%, respectively, for oral solution.  To enhance bioavailability and minimise variability Kaletra is to be taken with food. </w:t>
      </w:r>
    </w:p>
    <w:p w14:paraId="7608722C" w14:textId="77777777" w:rsidR="00D7303D" w:rsidRPr="00342F7C" w:rsidRDefault="00D7303D">
      <w:pPr>
        <w:pStyle w:val="EMEANormal"/>
        <w:rPr>
          <w:lang w:val="en-GB"/>
        </w:rPr>
      </w:pPr>
    </w:p>
    <w:p w14:paraId="3D10F7D9" w14:textId="77777777" w:rsidR="00444801" w:rsidRDefault="00D7303D">
      <w:pPr>
        <w:pStyle w:val="EMEANormal"/>
        <w:rPr>
          <w:lang w:val="en-GB"/>
        </w:rPr>
      </w:pPr>
      <w:r w:rsidRPr="00342F7C">
        <w:rPr>
          <w:iCs/>
          <w:u w:val="single"/>
          <w:lang w:val="en-GB"/>
        </w:rPr>
        <w:t>Distribution</w:t>
      </w:r>
      <w:r w:rsidRPr="00342F7C">
        <w:rPr>
          <w:lang w:val="en-GB"/>
        </w:rPr>
        <w:t xml:space="preserve"> </w:t>
      </w:r>
    </w:p>
    <w:p w14:paraId="4F010F08" w14:textId="77777777" w:rsidR="00D7303D" w:rsidRPr="00342F7C" w:rsidRDefault="00444801">
      <w:pPr>
        <w:pStyle w:val="EMEANormal"/>
        <w:rPr>
          <w:lang w:val="en-GB"/>
        </w:rPr>
      </w:pPr>
      <w:r>
        <w:rPr>
          <w:lang w:val="en-GB"/>
        </w:rPr>
        <w:t>A</w:t>
      </w:r>
      <w:r w:rsidR="00D7303D" w:rsidRPr="00342F7C">
        <w:rPr>
          <w:lang w:val="en-GB"/>
        </w:rPr>
        <w:t>t steady state, lopinavir is approximately 98  −  99% bound to serum proteins.  Lopinavir binds to both alpha-1-acid glycoprotein (AAG) and albumin however, it has a higher affinity for AAG.  At steady state, lopinavir protein binding remains constant over the range of observed concentrations after 400/100 mg Kaletra twice daily, and is similar between healthy volunteers and HIV-positive patients.</w:t>
      </w:r>
    </w:p>
    <w:p w14:paraId="76AA7F84" w14:textId="77777777" w:rsidR="00D7303D" w:rsidRPr="00342F7C" w:rsidRDefault="00D7303D">
      <w:pPr>
        <w:pStyle w:val="EMEANormal"/>
        <w:rPr>
          <w:lang w:val="en-GB"/>
        </w:rPr>
      </w:pPr>
    </w:p>
    <w:p w14:paraId="05EAF473" w14:textId="77777777" w:rsidR="00444801" w:rsidRDefault="00D7303D">
      <w:pPr>
        <w:pStyle w:val="EMEANormal"/>
        <w:rPr>
          <w:i/>
          <w:lang w:val="en-GB"/>
        </w:rPr>
      </w:pPr>
      <w:r w:rsidRPr="00342F7C">
        <w:rPr>
          <w:iCs/>
          <w:u w:val="single"/>
          <w:lang w:val="en-GB"/>
        </w:rPr>
        <w:t>Biotransformation</w:t>
      </w:r>
      <w:r w:rsidRPr="00342F7C">
        <w:rPr>
          <w:i/>
          <w:lang w:val="en-GB"/>
        </w:rPr>
        <w:t xml:space="preserve"> </w:t>
      </w:r>
    </w:p>
    <w:p w14:paraId="21B09F3E" w14:textId="77777777" w:rsidR="00D7303D" w:rsidRPr="00342F7C" w:rsidRDefault="00444801">
      <w:pPr>
        <w:pStyle w:val="EMEANormal"/>
        <w:rPr>
          <w:lang w:val="en-GB"/>
        </w:rPr>
      </w:pPr>
      <w:r>
        <w:rPr>
          <w:i/>
          <w:lang w:val="en-GB"/>
        </w:rPr>
        <w:t>I</w:t>
      </w:r>
      <w:r w:rsidR="00D7303D" w:rsidRPr="00342F7C">
        <w:rPr>
          <w:i/>
          <w:lang w:val="en-GB"/>
        </w:rPr>
        <w:t>n vitro</w:t>
      </w:r>
      <w:r w:rsidR="00D7303D" w:rsidRPr="00342F7C">
        <w:rPr>
          <w:lang w:val="en-GB"/>
        </w:rPr>
        <w:t xml:space="preserve"> experiments with human hepatic microsomes indicate that lopinavir primarily undergoes oxidative metabolism.  Lopinavir is extensively metabolised by the hepatic cytochrome P450 system, almost exclusively by isozyme CYP3A.  Ritonavir is a potent CYP3A inhibitor which inhibits the metabolism of lopinavir and therefore, increases plasma levels of lopinavir.  A </w:t>
      </w:r>
      <w:r w:rsidR="00D7303D" w:rsidRPr="00342F7C">
        <w:rPr>
          <w:vertAlign w:val="superscript"/>
          <w:lang w:val="en-GB"/>
        </w:rPr>
        <w:t>14</w:t>
      </w:r>
      <w:r w:rsidR="00D7303D" w:rsidRPr="00342F7C">
        <w:rPr>
          <w:lang w:val="en-GB"/>
        </w:rPr>
        <w:t>C</w:t>
      </w:r>
      <w:r w:rsidR="00D7303D" w:rsidRPr="00342F7C">
        <w:rPr>
          <w:lang w:val="en-GB"/>
        </w:rPr>
        <w:noBreakHyphen/>
        <w:t>lopinavir study in humans showed that 89% of the plasma radioactivity after a single 400/100 mg Kaletra dose was due to parent active substance.  At least 13 lopinavir oxidative metabolites have been identified in man.  The 4-oxo and 4-hydroxymetabolite epimeric pair are the major metabolites with antiviral activity, but comprise only minute amounts of total plasma radioactivity.  Ritonavir has been shown to induce metabolic enzymes, resulting in the induction of its own metabolism, and likely the induction of lopinavir metabolism.  Pre-dose lopinavir concentrations decline with time during multiple dosing, stabilising after approximately 10 days to 2 weeks.</w:t>
      </w:r>
    </w:p>
    <w:p w14:paraId="0FD9E199" w14:textId="77777777" w:rsidR="00D7303D" w:rsidRPr="00342F7C" w:rsidRDefault="00D7303D">
      <w:pPr>
        <w:pStyle w:val="EMEANormal"/>
        <w:rPr>
          <w:lang w:val="en-GB"/>
        </w:rPr>
      </w:pPr>
    </w:p>
    <w:p w14:paraId="34B0566B" w14:textId="77777777" w:rsidR="00444801" w:rsidRDefault="00D7303D" w:rsidP="00F240B0">
      <w:pPr>
        <w:pStyle w:val="EMEANormal"/>
        <w:rPr>
          <w:lang w:val="en-GB"/>
        </w:rPr>
      </w:pPr>
      <w:r w:rsidRPr="00342F7C">
        <w:rPr>
          <w:iCs/>
          <w:u w:val="single"/>
          <w:lang w:val="en-GB"/>
        </w:rPr>
        <w:t>Elimination</w:t>
      </w:r>
    </w:p>
    <w:p w14:paraId="6BF0044F" w14:textId="77777777" w:rsidR="00D7303D" w:rsidRDefault="00444801" w:rsidP="00F240B0">
      <w:pPr>
        <w:pStyle w:val="EMEANormal"/>
        <w:rPr>
          <w:lang w:val="en-GB"/>
        </w:rPr>
      </w:pPr>
      <w:r>
        <w:rPr>
          <w:lang w:val="en-GB"/>
        </w:rPr>
        <w:t>A</w:t>
      </w:r>
      <w:r w:rsidR="00D7303D" w:rsidRPr="00342F7C">
        <w:rPr>
          <w:lang w:val="en-GB"/>
        </w:rPr>
        <w:t xml:space="preserve">fter a 400/100 mg </w:t>
      </w:r>
      <w:r w:rsidR="00D7303D" w:rsidRPr="00342F7C">
        <w:rPr>
          <w:vertAlign w:val="superscript"/>
          <w:lang w:val="en-GB"/>
        </w:rPr>
        <w:t>14</w:t>
      </w:r>
      <w:r w:rsidR="00D7303D" w:rsidRPr="00342F7C">
        <w:rPr>
          <w:lang w:val="en-GB"/>
        </w:rPr>
        <w:t>C-lopinavir/ritonavir dose, approximately 10.4 </w:t>
      </w:r>
      <w:r w:rsidR="00D7303D" w:rsidRPr="00342F7C">
        <w:rPr>
          <w:lang w:val="en-GB"/>
        </w:rPr>
        <w:sym w:font="Symbol" w:char="F0B1"/>
      </w:r>
      <w:r w:rsidR="00D7303D" w:rsidRPr="00342F7C">
        <w:rPr>
          <w:lang w:val="en-GB"/>
        </w:rPr>
        <w:t> 2.3% and 82.6 </w:t>
      </w:r>
      <w:r w:rsidR="00D7303D" w:rsidRPr="00342F7C">
        <w:rPr>
          <w:lang w:val="en-GB"/>
        </w:rPr>
        <w:sym w:font="Symbol" w:char="F0B1"/>
      </w:r>
      <w:r w:rsidR="00D7303D" w:rsidRPr="00342F7C">
        <w:rPr>
          <w:lang w:val="en-GB"/>
        </w:rPr>
        <w:t xml:space="preserve"> 2.5% of an administered dose of </w:t>
      </w:r>
      <w:r w:rsidR="00D7303D" w:rsidRPr="00342F7C">
        <w:rPr>
          <w:vertAlign w:val="superscript"/>
          <w:lang w:val="en-GB"/>
        </w:rPr>
        <w:t>14</w:t>
      </w:r>
      <w:r w:rsidR="00D7303D" w:rsidRPr="00342F7C">
        <w:rPr>
          <w:lang w:val="en-GB"/>
        </w:rPr>
        <w:t>C-lopinavir can be accounted for in urine and faeces, respectively.  Unchanged lopinavir accounted for approximately 2.2% and 19.8% of the administered dose in urine and faeces, respectively.  After multiple dosing, less than 3% of the lopinavir dose is excreted unchanged in the urine.  The effective (peak to trough) half-life of lopinavir over a 12 hour dosing interval averaged 5 − 6 hours, and the apparent oral clearance (CL/F) of lopinavir is 6 to 7 l/h.</w:t>
      </w:r>
    </w:p>
    <w:p w14:paraId="71E248CD" w14:textId="77777777" w:rsidR="00122AD3" w:rsidRPr="00342F7C" w:rsidRDefault="00122AD3" w:rsidP="00F240B0">
      <w:pPr>
        <w:pStyle w:val="EMEANormal"/>
        <w:rPr>
          <w:lang w:val="en-GB"/>
        </w:rPr>
      </w:pPr>
    </w:p>
    <w:p w14:paraId="110FD54A" w14:textId="77777777" w:rsidR="00D7303D" w:rsidRPr="0017061C" w:rsidRDefault="00D7303D" w:rsidP="00122AD3">
      <w:pPr>
        <w:pStyle w:val="EMEAHeadingUI"/>
        <w:spacing w:beforeLines="0" w:before="0" w:afterLines="0" w:after="0"/>
        <w:rPr>
          <w:i w:val="0"/>
          <w:lang w:val="en-GB"/>
        </w:rPr>
      </w:pPr>
      <w:r w:rsidRPr="0017061C">
        <w:rPr>
          <w:i w:val="0"/>
          <w:lang w:val="en-GB"/>
        </w:rPr>
        <w:t>Special Populations</w:t>
      </w:r>
    </w:p>
    <w:p w14:paraId="27763241" w14:textId="77777777" w:rsidR="00122AD3" w:rsidRPr="00122AD3" w:rsidRDefault="00122AD3" w:rsidP="00122AD3">
      <w:pPr>
        <w:pStyle w:val="EMEANormal"/>
        <w:rPr>
          <w:lang w:val="en-GB"/>
        </w:rPr>
      </w:pPr>
    </w:p>
    <w:p w14:paraId="7C72AE31" w14:textId="77777777" w:rsidR="00122AD3" w:rsidRPr="00122AD3" w:rsidRDefault="00D7303D" w:rsidP="00444801">
      <w:pPr>
        <w:pStyle w:val="EMEAHeadingItalic"/>
        <w:spacing w:beforeLines="0" w:before="0" w:afterLines="0" w:after="0"/>
        <w:rPr>
          <w:lang w:val="en-GB"/>
        </w:rPr>
      </w:pPr>
      <w:r w:rsidRPr="00342F7C">
        <w:rPr>
          <w:lang w:val="en-GB"/>
        </w:rPr>
        <w:t xml:space="preserve">Paediatrics </w:t>
      </w:r>
    </w:p>
    <w:p w14:paraId="5691920C" w14:textId="77777777" w:rsidR="00D7303D" w:rsidRDefault="009A042B">
      <w:pPr>
        <w:rPr>
          <w:sz w:val="22"/>
          <w:szCs w:val="20"/>
        </w:rPr>
      </w:pPr>
      <w:r w:rsidRPr="003136CD">
        <w:rPr>
          <w:sz w:val="22"/>
          <w:szCs w:val="22"/>
        </w:rPr>
        <w:t>D</w:t>
      </w:r>
      <w:r w:rsidR="00D7303D" w:rsidRPr="003136CD">
        <w:rPr>
          <w:sz w:val="22"/>
          <w:szCs w:val="22"/>
        </w:rPr>
        <w:t xml:space="preserve">ata </w:t>
      </w:r>
      <w:r w:rsidRPr="001C042D">
        <w:rPr>
          <w:sz w:val="22"/>
          <w:szCs w:val="22"/>
        </w:rPr>
        <w:t xml:space="preserve">from clinical trials </w:t>
      </w:r>
      <w:r w:rsidR="00D7303D" w:rsidRPr="00EF7CDD">
        <w:rPr>
          <w:sz w:val="22"/>
          <w:szCs w:val="22"/>
        </w:rPr>
        <w:t>in children below 2 years of age</w:t>
      </w:r>
      <w:r w:rsidRPr="005201D6">
        <w:rPr>
          <w:sz w:val="22"/>
          <w:szCs w:val="22"/>
        </w:rPr>
        <w:t xml:space="preserve"> include the </w:t>
      </w:r>
      <w:r w:rsidR="00D7303D" w:rsidRPr="005201D6">
        <w:rPr>
          <w:sz w:val="22"/>
          <w:szCs w:val="22"/>
        </w:rPr>
        <w:t>pharmacokinetics of Kaletra 300/75 mg/m</w:t>
      </w:r>
      <w:r w:rsidR="00D7303D" w:rsidRPr="005201D6">
        <w:rPr>
          <w:sz w:val="22"/>
          <w:szCs w:val="22"/>
          <w:vertAlign w:val="superscript"/>
        </w:rPr>
        <w:t>2</w:t>
      </w:r>
      <w:r w:rsidR="00D7303D" w:rsidRPr="005201D6">
        <w:rPr>
          <w:sz w:val="22"/>
          <w:szCs w:val="22"/>
        </w:rPr>
        <w:t xml:space="preserve"> twice daily </w:t>
      </w:r>
      <w:r w:rsidR="00D7303D" w:rsidRPr="006D4D8E">
        <w:rPr>
          <w:sz w:val="22"/>
          <w:szCs w:val="22"/>
        </w:rPr>
        <w:t xml:space="preserve">studied in a total of </w:t>
      </w:r>
      <w:r w:rsidRPr="006D4D8E">
        <w:rPr>
          <w:sz w:val="22"/>
          <w:szCs w:val="22"/>
        </w:rPr>
        <w:t>31</w:t>
      </w:r>
      <w:r w:rsidR="001F3D17">
        <w:rPr>
          <w:sz w:val="22"/>
          <w:szCs w:val="22"/>
        </w:rPr>
        <w:t> </w:t>
      </w:r>
      <w:r w:rsidR="00D7303D" w:rsidRPr="007E786E">
        <w:rPr>
          <w:sz w:val="22"/>
          <w:szCs w:val="22"/>
        </w:rPr>
        <w:t xml:space="preserve">paediatric patients, ranging in age from </w:t>
      </w:r>
      <w:r w:rsidRPr="003326C9">
        <w:rPr>
          <w:sz w:val="22"/>
          <w:szCs w:val="22"/>
        </w:rPr>
        <w:t>14</w:t>
      </w:r>
      <w:r w:rsidR="001F3D17">
        <w:rPr>
          <w:sz w:val="22"/>
          <w:szCs w:val="22"/>
        </w:rPr>
        <w:t> </w:t>
      </w:r>
      <w:r w:rsidRPr="003326C9">
        <w:rPr>
          <w:sz w:val="22"/>
          <w:szCs w:val="22"/>
        </w:rPr>
        <w:t xml:space="preserve">days </w:t>
      </w:r>
      <w:r w:rsidR="00D7303D" w:rsidRPr="003326C9">
        <w:rPr>
          <w:sz w:val="22"/>
          <w:szCs w:val="22"/>
        </w:rPr>
        <w:t xml:space="preserve">to </w:t>
      </w:r>
      <w:r w:rsidRPr="003326C9">
        <w:rPr>
          <w:sz w:val="22"/>
          <w:szCs w:val="22"/>
        </w:rPr>
        <w:t>6 months</w:t>
      </w:r>
      <w:r w:rsidR="00D7303D" w:rsidRPr="0044296E">
        <w:rPr>
          <w:sz w:val="22"/>
          <w:szCs w:val="22"/>
        </w:rPr>
        <w:t xml:space="preserve">.  </w:t>
      </w:r>
      <w:r w:rsidRPr="0044296E">
        <w:rPr>
          <w:sz w:val="22"/>
          <w:szCs w:val="22"/>
        </w:rPr>
        <w:t>The pharmacokinetics of Kaletra 300/75 mg/m</w:t>
      </w:r>
      <w:r w:rsidRPr="0044296E">
        <w:rPr>
          <w:sz w:val="22"/>
          <w:szCs w:val="22"/>
          <w:vertAlign w:val="superscript"/>
        </w:rPr>
        <w:t>2</w:t>
      </w:r>
      <w:r w:rsidRPr="0044296E">
        <w:rPr>
          <w:sz w:val="22"/>
          <w:szCs w:val="22"/>
        </w:rPr>
        <w:t xml:space="preserve"> twice daily with nevirapine and 230/57.5 mg/ </w:t>
      </w:r>
      <w:r w:rsidRPr="00E069E0">
        <w:rPr>
          <w:sz w:val="22"/>
          <w:szCs w:val="22"/>
        </w:rPr>
        <w:t>m</w:t>
      </w:r>
      <w:r w:rsidRPr="00BD1CE2">
        <w:rPr>
          <w:sz w:val="22"/>
          <w:szCs w:val="22"/>
          <w:vertAlign w:val="superscript"/>
        </w:rPr>
        <w:t>2</w:t>
      </w:r>
      <w:r w:rsidRPr="00BD1CE2">
        <w:rPr>
          <w:sz w:val="22"/>
          <w:szCs w:val="22"/>
        </w:rPr>
        <w:t xml:space="preserve"> twice daily alone have been studied in 53</w:t>
      </w:r>
      <w:r w:rsidR="001F3D17">
        <w:rPr>
          <w:sz w:val="22"/>
          <w:szCs w:val="22"/>
        </w:rPr>
        <w:t> </w:t>
      </w:r>
      <w:r w:rsidRPr="00BD1CE2">
        <w:rPr>
          <w:sz w:val="22"/>
          <w:szCs w:val="22"/>
        </w:rPr>
        <w:t>paediatric patients ranging in age from 6</w:t>
      </w:r>
      <w:r w:rsidRPr="00DF742B">
        <w:rPr>
          <w:sz w:val="22"/>
          <w:szCs w:val="22"/>
        </w:rPr>
        <w:t> </w:t>
      </w:r>
      <w:r w:rsidRPr="005368ED">
        <w:rPr>
          <w:sz w:val="22"/>
          <w:szCs w:val="22"/>
        </w:rPr>
        <w:t>months to 12 years.</w:t>
      </w:r>
      <w:r w:rsidRPr="003C1687">
        <w:rPr>
          <w:sz w:val="22"/>
          <w:szCs w:val="22"/>
        </w:rPr>
        <w:t xml:space="preserve">  The mean (SD) for the studies are reported in the table below.</w:t>
      </w:r>
      <w:r w:rsidR="00D7303D" w:rsidRPr="003C1687">
        <w:rPr>
          <w:sz w:val="22"/>
          <w:szCs w:val="20"/>
        </w:rPr>
        <w:t xml:space="preserve">  </w:t>
      </w:r>
      <w:r w:rsidR="00D7303D" w:rsidRPr="00342F7C">
        <w:rPr>
          <w:sz w:val="22"/>
          <w:szCs w:val="20"/>
        </w:rPr>
        <w:t>The 230/57.5 mg/m</w:t>
      </w:r>
      <w:r w:rsidR="00D7303D" w:rsidRPr="00342F7C">
        <w:rPr>
          <w:sz w:val="22"/>
          <w:szCs w:val="20"/>
          <w:vertAlign w:val="superscript"/>
        </w:rPr>
        <w:t>2</w:t>
      </w:r>
      <w:r w:rsidR="00D7303D" w:rsidRPr="00342F7C">
        <w:rPr>
          <w:sz w:val="22"/>
          <w:szCs w:val="20"/>
        </w:rPr>
        <w:t xml:space="preserve"> twice daily regimen without nevirapine and the 300/75 mg/m</w:t>
      </w:r>
      <w:r w:rsidR="00D7303D" w:rsidRPr="00342F7C">
        <w:rPr>
          <w:sz w:val="22"/>
          <w:szCs w:val="20"/>
          <w:vertAlign w:val="superscript"/>
        </w:rPr>
        <w:t>2</w:t>
      </w:r>
      <w:r w:rsidR="00D7303D" w:rsidRPr="00342F7C">
        <w:rPr>
          <w:sz w:val="22"/>
          <w:szCs w:val="20"/>
        </w:rPr>
        <w:t xml:space="preserve"> twice daily regimen with nevirapine provided lopinavir plasma concentrations similar to those obtained in</w:t>
      </w:r>
      <w:r w:rsidR="00D7303D" w:rsidRPr="00342F7C">
        <w:rPr>
          <w:sz w:val="22"/>
        </w:rPr>
        <w:t xml:space="preserve"> </w:t>
      </w:r>
      <w:r w:rsidR="00D7303D" w:rsidRPr="00342F7C">
        <w:rPr>
          <w:sz w:val="22"/>
          <w:szCs w:val="20"/>
        </w:rPr>
        <w:t xml:space="preserve">adult patients receiving the 400/100 mg twice daily regimen without nevirapine.  </w:t>
      </w:r>
    </w:p>
    <w:p w14:paraId="299CC721" w14:textId="77777777" w:rsidR="003136CD" w:rsidRDefault="003136CD" w:rsidP="003136CD">
      <w:pPr>
        <w:rPr>
          <w:sz w:val="22"/>
          <w:szCs w:val="20"/>
        </w:rPr>
      </w:pPr>
    </w:p>
    <w:tbl>
      <w:tblPr>
        <w:tblW w:w="8310"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0"/>
        <w:gridCol w:w="3331"/>
        <w:gridCol w:w="3239"/>
      </w:tblGrid>
      <w:tr w:rsidR="003136CD" w:rsidRPr="00342F7C" w14:paraId="7848FC31" w14:textId="77777777" w:rsidTr="003967C0">
        <w:tc>
          <w:tcPr>
            <w:tcW w:w="1740" w:type="dxa"/>
          </w:tcPr>
          <w:p w14:paraId="7E8FFE9F" w14:textId="77777777" w:rsidR="003136CD" w:rsidRPr="00EF4256" w:rsidRDefault="003136CD" w:rsidP="003967C0">
            <w:pPr>
              <w:pStyle w:val="EMEANormal"/>
              <w:rPr>
                <w:b/>
                <w:lang w:val="en-GB"/>
              </w:rPr>
            </w:pPr>
            <w:r w:rsidRPr="00EF4256">
              <w:rPr>
                <w:b/>
                <w:lang w:val="en-GB"/>
              </w:rPr>
              <w:t>C</w:t>
            </w:r>
            <w:r w:rsidRPr="00EF4256">
              <w:rPr>
                <w:b/>
                <w:vertAlign w:val="subscript"/>
                <w:lang w:val="en-GB"/>
              </w:rPr>
              <w:t>max</w:t>
            </w:r>
            <w:r w:rsidRPr="00EF4256">
              <w:rPr>
                <w:b/>
                <w:lang w:val="en-GB"/>
              </w:rPr>
              <w:t xml:space="preserve"> (</w:t>
            </w:r>
            <w:r w:rsidRPr="00EF4256">
              <w:rPr>
                <w:b/>
              </w:rPr>
              <w:sym w:font="Symbol" w:char="F06D"/>
            </w:r>
            <w:r w:rsidRPr="00EF4256">
              <w:rPr>
                <w:b/>
              </w:rPr>
              <w:t>g/ml)</w:t>
            </w:r>
          </w:p>
        </w:tc>
        <w:tc>
          <w:tcPr>
            <w:tcW w:w="3331" w:type="dxa"/>
          </w:tcPr>
          <w:p w14:paraId="75281E75" w14:textId="77777777" w:rsidR="003136CD" w:rsidRPr="00EF4256" w:rsidRDefault="003136CD" w:rsidP="003967C0">
            <w:pPr>
              <w:pStyle w:val="EMEANormal"/>
              <w:jc w:val="center"/>
              <w:rPr>
                <w:b/>
                <w:lang w:val="en-GB"/>
              </w:rPr>
            </w:pPr>
            <w:r w:rsidRPr="00326048">
              <w:rPr>
                <w:b/>
                <w:lang w:val="en-GB"/>
              </w:rPr>
              <w:t>C</w:t>
            </w:r>
            <w:r w:rsidR="005368ED" w:rsidRPr="00326048">
              <w:rPr>
                <w:b/>
                <w:vertAlign w:val="subscript"/>
                <w:lang w:val="en-GB"/>
              </w:rPr>
              <w:t>min</w:t>
            </w:r>
            <w:r w:rsidRPr="00EF4256">
              <w:rPr>
                <w:b/>
                <w:lang w:val="en-GB"/>
              </w:rPr>
              <w:t xml:space="preserve"> (</w:t>
            </w:r>
            <w:r w:rsidRPr="00EF4256">
              <w:rPr>
                <w:b/>
              </w:rPr>
              <w:sym w:font="Symbol" w:char="F06D"/>
            </w:r>
            <w:r w:rsidRPr="00EF4256">
              <w:rPr>
                <w:b/>
              </w:rPr>
              <w:t>g/ml)</w:t>
            </w:r>
          </w:p>
        </w:tc>
        <w:tc>
          <w:tcPr>
            <w:tcW w:w="3239" w:type="dxa"/>
          </w:tcPr>
          <w:p w14:paraId="1F2562B8" w14:textId="77777777" w:rsidR="003136CD" w:rsidRPr="00EF4256" w:rsidRDefault="003136CD" w:rsidP="003967C0">
            <w:pPr>
              <w:pStyle w:val="EMEANormal"/>
              <w:jc w:val="center"/>
              <w:rPr>
                <w:b/>
                <w:lang w:val="en-GB"/>
              </w:rPr>
            </w:pPr>
            <w:r w:rsidRPr="00EF4256">
              <w:rPr>
                <w:b/>
                <w:lang w:val="en-GB"/>
              </w:rPr>
              <w:t>AUC</w:t>
            </w:r>
            <w:r w:rsidRPr="00EF4256">
              <w:rPr>
                <w:b/>
                <w:vertAlign w:val="subscript"/>
                <w:lang w:val="en-GB"/>
              </w:rPr>
              <w:t>12</w:t>
            </w:r>
            <w:r w:rsidRPr="00EF4256">
              <w:rPr>
                <w:b/>
                <w:lang w:val="en-GB"/>
              </w:rPr>
              <w:t xml:space="preserve"> (</w:t>
            </w:r>
            <w:r w:rsidRPr="00EF4256">
              <w:rPr>
                <w:b/>
              </w:rPr>
              <w:sym w:font="Symbol" w:char="F06D"/>
            </w:r>
            <w:r w:rsidRPr="00EF4256">
              <w:rPr>
                <w:b/>
              </w:rPr>
              <w:t>g</w:t>
            </w:r>
            <w:r w:rsidRPr="00EF4256">
              <w:rPr>
                <w:b/>
              </w:rPr>
              <w:sym w:font="Symbol" w:char="F0B7"/>
            </w:r>
            <w:r w:rsidRPr="00EF4256">
              <w:rPr>
                <w:b/>
              </w:rPr>
              <w:t>h/ml)</w:t>
            </w:r>
          </w:p>
        </w:tc>
      </w:tr>
      <w:tr w:rsidR="003136CD" w:rsidRPr="00342F7C" w14:paraId="4A2916BC" w14:textId="77777777" w:rsidTr="003967C0">
        <w:tc>
          <w:tcPr>
            <w:tcW w:w="8310" w:type="dxa"/>
            <w:gridSpan w:val="3"/>
          </w:tcPr>
          <w:p w14:paraId="22FFCB5B" w14:textId="77777777" w:rsidR="003136CD" w:rsidRPr="00EF4256" w:rsidRDefault="003136CD" w:rsidP="003967C0">
            <w:pPr>
              <w:pStyle w:val="EMEANormal"/>
              <w:jc w:val="center"/>
              <w:rPr>
                <w:b/>
                <w:szCs w:val="22"/>
                <w:lang w:val="en-GB"/>
              </w:rPr>
            </w:pPr>
            <w:r w:rsidRPr="00EF4256">
              <w:rPr>
                <w:b/>
                <w:szCs w:val="22"/>
                <w:lang w:val="en-GB"/>
              </w:rPr>
              <w:t xml:space="preserve">Age </w:t>
            </w:r>
            <w:r w:rsidRPr="00C0196A">
              <w:rPr>
                <w:b/>
                <w:bCs/>
                <w:color w:val="2D2926"/>
                <w:szCs w:val="22"/>
              </w:rPr>
              <w:t xml:space="preserve">≥ 14 </w:t>
            </w:r>
            <w:r>
              <w:rPr>
                <w:b/>
                <w:bCs/>
                <w:color w:val="2D2926"/>
                <w:szCs w:val="22"/>
              </w:rPr>
              <w:t>d</w:t>
            </w:r>
            <w:r w:rsidRPr="00C0196A">
              <w:rPr>
                <w:b/>
                <w:bCs/>
                <w:color w:val="2D2926"/>
                <w:szCs w:val="22"/>
              </w:rPr>
              <w:t xml:space="preserve">ays to &lt; 6 </w:t>
            </w:r>
            <w:r>
              <w:rPr>
                <w:b/>
                <w:bCs/>
                <w:color w:val="2D2926"/>
                <w:szCs w:val="22"/>
              </w:rPr>
              <w:t>w</w:t>
            </w:r>
            <w:r w:rsidRPr="00C0196A">
              <w:rPr>
                <w:b/>
                <w:bCs/>
                <w:color w:val="2D2926"/>
                <w:szCs w:val="22"/>
              </w:rPr>
              <w:t xml:space="preserve">eeks </w:t>
            </w:r>
            <w:r>
              <w:rPr>
                <w:b/>
                <w:bCs/>
                <w:color w:val="2D2926"/>
                <w:szCs w:val="22"/>
              </w:rPr>
              <w:t>c</w:t>
            </w:r>
            <w:r w:rsidRPr="00C0196A">
              <w:rPr>
                <w:b/>
                <w:bCs/>
                <w:color w:val="2D2926"/>
                <w:szCs w:val="22"/>
              </w:rPr>
              <w:t>ohort (N = 9):</w:t>
            </w:r>
          </w:p>
        </w:tc>
      </w:tr>
      <w:tr w:rsidR="003136CD" w:rsidRPr="00342F7C" w14:paraId="6B367872" w14:textId="77777777" w:rsidTr="003967C0">
        <w:tc>
          <w:tcPr>
            <w:tcW w:w="1740" w:type="dxa"/>
          </w:tcPr>
          <w:p w14:paraId="2559F860" w14:textId="77777777" w:rsidR="003136CD" w:rsidRPr="00342F7C" w:rsidRDefault="003136CD" w:rsidP="003967C0">
            <w:pPr>
              <w:pStyle w:val="EMEANormal"/>
              <w:rPr>
                <w:lang w:val="en-GB"/>
              </w:rPr>
            </w:pPr>
            <w:r>
              <w:rPr>
                <w:lang w:val="en-GB"/>
              </w:rPr>
              <w:t>5.17 (1.84)</w:t>
            </w:r>
          </w:p>
        </w:tc>
        <w:tc>
          <w:tcPr>
            <w:tcW w:w="3331" w:type="dxa"/>
          </w:tcPr>
          <w:p w14:paraId="079A38B2" w14:textId="77777777" w:rsidR="003136CD" w:rsidRPr="00342F7C" w:rsidRDefault="003136CD" w:rsidP="003967C0">
            <w:pPr>
              <w:pStyle w:val="EMEANormal"/>
              <w:jc w:val="center"/>
              <w:rPr>
                <w:lang w:val="en-GB"/>
              </w:rPr>
            </w:pPr>
            <w:r>
              <w:rPr>
                <w:lang w:val="en-GB"/>
              </w:rPr>
              <w:t>1.40 (0.48)</w:t>
            </w:r>
          </w:p>
        </w:tc>
        <w:tc>
          <w:tcPr>
            <w:tcW w:w="3239" w:type="dxa"/>
          </w:tcPr>
          <w:p w14:paraId="427DB285" w14:textId="77777777" w:rsidR="003136CD" w:rsidRPr="00342F7C" w:rsidRDefault="003136CD" w:rsidP="003967C0">
            <w:pPr>
              <w:pStyle w:val="EMEANormal"/>
              <w:jc w:val="center"/>
              <w:rPr>
                <w:lang w:val="en-GB"/>
              </w:rPr>
            </w:pPr>
            <w:r>
              <w:rPr>
                <w:lang w:val="en-GB"/>
              </w:rPr>
              <w:t>43.39 (14.80)</w:t>
            </w:r>
          </w:p>
        </w:tc>
      </w:tr>
      <w:tr w:rsidR="003136CD" w:rsidRPr="00342F7C" w14:paraId="58CE753F" w14:textId="77777777" w:rsidTr="003967C0">
        <w:tc>
          <w:tcPr>
            <w:tcW w:w="8310" w:type="dxa"/>
            <w:gridSpan w:val="3"/>
          </w:tcPr>
          <w:p w14:paraId="23B7AF57" w14:textId="77777777" w:rsidR="003136CD" w:rsidRPr="00EF4256" w:rsidRDefault="003136CD" w:rsidP="003967C0">
            <w:pPr>
              <w:pStyle w:val="EMEANormal"/>
              <w:jc w:val="center"/>
              <w:rPr>
                <w:b/>
                <w:szCs w:val="22"/>
                <w:lang w:val="en-GB"/>
              </w:rPr>
            </w:pPr>
            <w:r w:rsidRPr="00EF4256">
              <w:rPr>
                <w:b/>
                <w:szCs w:val="22"/>
                <w:lang w:val="en-GB"/>
              </w:rPr>
              <w:t xml:space="preserve">Age </w:t>
            </w:r>
            <w:r w:rsidRPr="00B608BC">
              <w:rPr>
                <w:b/>
                <w:bCs/>
                <w:color w:val="2D2926"/>
                <w:szCs w:val="22"/>
              </w:rPr>
              <w:t xml:space="preserve">≥ </w:t>
            </w:r>
            <w:r>
              <w:rPr>
                <w:b/>
                <w:bCs/>
                <w:color w:val="2D2926"/>
                <w:szCs w:val="22"/>
              </w:rPr>
              <w:t>6 weeks</w:t>
            </w:r>
            <w:r w:rsidRPr="00B608BC">
              <w:rPr>
                <w:b/>
                <w:bCs/>
                <w:color w:val="2D2926"/>
                <w:szCs w:val="22"/>
              </w:rPr>
              <w:t xml:space="preserve"> to &lt; 6 </w:t>
            </w:r>
            <w:r>
              <w:rPr>
                <w:b/>
                <w:bCs/>
                <w:color w:val="2D2926"/>
                <w:szCs w:val="22"/>
              </w:rPr>
              <w:t>months</w:t>
            </w:r>
            <w:r w:rsidRPr="00B608BC">
              <w:rPr>
                <w:b/>
                <w:bCs/>
                <w:color w:val="2D2926"/>
                <w:szCs w:val="22"/>
              </w:rPr>
              <w:t xml:space="preserve"> </w:t>
            </w:r>
            <w:r>
              <w:rPr>
                <w:b/>
                <w:bCs/>
                <w:color w:val="2D2926"/>
                <w:szCs w:val="22"/>
              </w:rPr>
              <w:t>c</w:t>
            </w:r>
            <w:r w:rsidRPr="00B608BC">
              <w:rPr>
                <w:b/>
                <w:bCs/>
                <w:color w:val="2D2926"/>
                <w:szCs w:val="22"/>
              </w:rPr>
              <w:t xml:space="preserve">ohort (N = </w:t>
            </w:r>
            <w:r>
              <w:rPr>
                <w:b/>
                <w:bCs/>
                <w:color w:val="2D2926"/>
                <w:szCs w:val="22"/>
              </w:rPr>
              <w:t>18</w:t>
            </w:r>
            <w:r w:rsidRPr="00B608BC">
              <w:rPr>
                <w:b/>
                <w:bCs/>
                <w:color w:val="2D2926"/>
                <w:szCs w:val="22"/>
              </w:rPr>
              <w:t>):</w:t>
            </w:r>
          </w:p>
        </w:tc>
      </w:tr>
      <w:tr w:rsidR="003136CD" w:rsidRPr="00342F7C" w14:paraId="7FBD69DC" w14:textId="77777777" w:rsidTr="003967C0">
        <w:tc>
          <w:tcPr>
            <w:tcW w:w="1740" w:type="dxa"/>
          </w:tcPr>
          <w:p w14:paraId="0374C729" w14:textId="77777777" w:rsidR="003136CD" w:rsidRPr="00342F7C" w:rsidRDefault="003136CD" w:rsidP="003967C0">
            <w:pPr>
              <w:pStyle w:val="EMEANormal"/>
              <w:rPr>
                <w:lang w:val="en-GB"/>
              </w:rPr>
            </w:pPr>
            <w:r>
              <w:rPr>
                <w:lang w:val="en-GB"/>
              </w:rPr>
              <w:t>9.39 (4.91)</w:t>
            </w:r>
          </w:p>
        </w:tc>
        <w:tc>
          <w:tcPr>
            <w:tcW w:w="3331" w:type="dxa"/>
          </w:tcPr>
          <w:p w14:paraId="32091822" w14:textId="77777777" w:rsidR="003136CD" w:rsidRPr="00342F7C" w:rsidRDefault="003136CD" w:rsidP="003967C0">
            <w:pPr>
              <w:pStyle w:val="EMEANormal"/>
              <w:jc w:val="center"/>
              <w:rPr>
                <w:lang w:val="en-GB"/>
              </w:rPr>
            </w:pPr>
            <w:r>
              <w:rPr>
                <w:lang w:val="en-GB"/>
              </w:rPr>
              <w:t>1.95 (1.80)</w:t>
            </w:r>
          </w:p>
        </w:tc>
        <w:tc>
          <w:tcPr>
            <w:tcW w:w="3239" w:type="dxa"/>
          </w:tcPr>
          <w:p w14:paraId="21EF9896" w14:textId="77777777" w:rsidR="003136CD" w:rsidRPr="00342F7C" w:rsidRDefault="003136CD" w:rsidP="003967C0">
            <w:pPr>
              <w:pStyle w:val="EMEANormal"/>
              <w:jc w:val="center"/>
              <w:rPr>
                <w:lang w:val="en-GB"/>
              </w:rPr>
            </w:pPr>
            <w:r>
              <w:rPr>
                <w:lang w:val="en-GB"/>
              </w:rPr>
              <w:t>74.50 (37.87)</w:t>
            </w:r>
          </w:p>
        </w:tc>
      </w:tr>
      <w:tr w:rsidR="003136CD" w:rsidRPr="00342F7C" w14:paraId="4827370F" w14:textId="77777777" w:rsidTr="003967C0">
        <w:tc>
          <w:tcPr>
            <w:tcW w:w="8310" w:type="dxa"/>
            <w:gridSpan w:val="3"/>
          </w:tcPr>
          <w:p w14:paraId="2093260B" w14:textId="77777777" w:rsidR="003136CD" w:rsidRPr="00EF4256" w:rsidRDefault="003136CD" w:rsidP="003967C0">
            <w:pPr>
              <w:pStyle w:val="EMEANormal"/>
              <w:jc w:val="center"/>
              <w:rPr>
                <w:b/>
                <w:szCs w:val="22"/>
                <w:lang w:val="en-GB"/>
              </w:rPr>
            </w:pPr>
            <w:r w:rsidRPr="00EF4256">
              <w:rPr>
                <w:b/>
                <w:szCs w:val="22"/>
                <w:lang w:val="en-GB"/>
              </w:rPr>
              <w:t xml:space="preserve">Age </w:t>
            </w:r>
            <w:r>
              <w:rPr>
                <w:b/>
                <w:bCs/>
                <w:color w:val="2D2926"/>
                <w:szCs w:val="22"/>
              </w:rPr>
              <w:t>≥ 6 months to &lt; 12 years cohort (N = 53</w:t>
            </w:r>
            <w:r w:rsidRPr="00B608BC">
              <w:rPr>
                <w:b/>
                <w:bCs/>
                <w:color w:val="2D2926"/>
                <w:szCs w:val="22"/>
              </w:rPr>
              <w:t>):</w:t>
            </w:r>
          </w:p>
        </w:tc>
      </w:tr>
      <w:tr w:rsidR="003136CD" w:rsidRPr="00342F7C" w14:paraId="2F7C343C" w14:textId="77777777" w:rsidTr="003967C0">
        <w:tc>
          <w:tcPr>
            <w:tcW w:w="1740" w:type="dxa"/>
          </w:tcPr>
          <w:p w14:paraId="237803BB" w14:textId="77777777" w:rsidR="003136CD" w:rsidRPr="00342F7C" w:rsidRDefault="003136CD" w:rsidP="003967C0">
            <w:pPr>
              <w:pStyle w:val="EMEANormal"/>
              <w:rPr>
                <w:lang w:val="en-GB"/>
              </w:rPr>
            </w:pPr>
            <w:r>
              <w:rPr>
                <w:lang w:val="en-GB"/>
              </w:rPr>
              <w:t>8.2 (2.9)</w:t>
            </w:r>
            <w:r w:rsidRPr="00C0196A">
              <w:rPr>
                <w:vertAlign w:val="superscript"/>
                <w:lang w:val="en-GB"/>
              </w:rPr>
              <w:t>a</w:t>
            </w:r>
          </w:p>
        </w:tc>
        <w:tc>
          <w:tcPr>
            <w:tcW w:w="3331" w:type="dxa"/>
          </w:tcPr>
          <w:p w14:paraId="4E33E923" w14:textId="77777777" w:rsidR="003136CD" w:rsidRPr="00342F7C" w:rsidRDefault="003136CD" w:rsidP="003967C0">
            <w:pPr>
              <w:pStyle w:val="EMEANormal"/>
              <w:jc w:val="center"/>
              <w:rPr>
                <w:lang w:val="en-GB"/>
              </w:rPr>
            </w:pPr>
            <w:r>
              <w:rPr>
                <w:lang w:val="en-GB"/>
              </w:rPr>
              <w:t>3.4 (2.1)</w:t>
            </w:r>
            <w:r w:rsidRPr="00C0196A">
              <w:rPr>
                <w:vertAlign w:val="superscript"/>
                <w:lang w:val="en-GB"/>
              </w:rPr>
              <w:t>a</w:t>
            </w:r>
          </w:p>
        </w:tc>
        <w:tc>
          <w:tcPr>
            <w:tcW w:w="3239" w:type="dxa"/>
          </w:tcPr>
          <w:p w14:paraId="3883B324" w14:textId="77777777" w:rsidR="003136CD" w:rsidRPr="00342F7C" w:rsidRDefault="003136CD" w:rsidP="003967C0">
            <w:pPr>
              <w:pStyle w:val="EMEANormal"/>
              <w:jc w:val="center"/>
              <w:rPr>
                <w:lang w:val="en-GB"/>
              </w:rPr>
            </w:pPr>
            <w:r>
              <w:rPr>
                <w:lang w:val="en-GB"/>
              </w:rPr>
              <w:t>72.6 (31.1)</w:t>
            </w:r>
            <w:r w:rsidRPr="00C0196A">
              <w:rPr>
                <w:vertAlign w:val="superscript"/>
                <w:lang w:val="en-GB"/>
              </w:rPr>
              <w:t>a</w:t>
            </w:r>
          </w:p>
        </w:tc>
      </w:tr>
      <w:tr w:rsidR="003136CD" w:rsidRPr="00342F7C" w14:paraId="03846579" w14:textId="77777777" w:rsidTr="003967C0">
        <w:tc>
          <w:tcPr>
            <w:tcW w:w="1740" w:type="dxa"/>
          </w:tcPr>
          <w:p w14:paraId="4AECB890" w14:textId="77777777" w:rsidR="003136CD" w:rsidRPr="00342F7C" w:rsidRDefault="003136CD" w:rsidP="003967C0">
            <w:pPr>
              <w:pStyle w:val="EMEANormal"/>
              <w:rPr>
                <w:lang w:val="en-GB"/>
              </w:rPr>
            </w:pPr>
            <w:r>
              <w:rPr>
                <w:lang w:val="en-GB"/>
              </w:rPr>
              <w:t>10.0 (3.3)</w:t>
            </w:r>
            <w:r w:rsidRPr="00C0196A">
              <w:rPr>
                <w:vertAlign w:val="superscript"/>
                <w:lang w:val="en-GB"/>
              </w:rPr>
              <w:t>b</w:t>
            </w:r>
          </w:p>
        </w:tc>
        <w:tc>
          <w:tcPr>
            <w:tcW w:w="3331" w:type="dxa"/>
          </w:tcPr>
          <w:p w14:paraId="76715330" w14:textId="77777777" w:rsidR="003136CD" w:rsidRPr="00342F7C" w:rsidRDefault="003136CD" w:rsidP="003967C0">
            <w:pPr>
              <w:pStyle w:val="EMEANormal"/>
              <w:jc w:val="center"/>
              <w:rPr>
                <w:lang w:val="en-GB"/>
              </w:rPr>
            </w:pPr>
            <w:r>
              <w:rPr>
                <w:lang w:val="en-GB"/>
              </w:rPr>
              <w:t>3.6 (3.5)</w:t>
            </w:r>
            <w:r w:rsidRPr="00C0196A">
              <w:rPr>
                <w:vertAlign w:val="superscript"/>
                <w:lang w:val="en-GB"/>
              </w:rPr>
              <w:t>b</w:t>
            </w:r>
          </w:p>
        </w:tc>
        <w:tc>
          <w:tcPr>
            <w:tcW w:w="3239" w:type="dxa"/>
          </w:tcPr>
          <w:p w14:paraId="74914156" w14:textId="77777777" w:rsidR="003136CD" w:rsidRPr="00342F7C" w:rsidRDefault="003136CD" w:rsidP="003967C0">
            <w:pPr>
              <w:pStyle w:val="EMEANormal"/>
              <w:jc w:val="center"/>
              <w:rPr>
                <w:lang w:val="en-GB"/>
              </w:rPr>
            </w:pPr>
            <w:r>
              <w:rPr>
                <w:lang w:val="en-GB"/>
              </w:rPr>
              <w:t>85.8 (36.9)</w:t>
            </w:r>
            <w:r w:rsidRPr="00C0196A">
              <w:rPr>
                <w:vertAlign w:val="superscript"/>
                <w:lang w:val="en-GB"/>
              </w:rPr>
              <w:t>b</w:t>
            </w:r>
          </w:p>
        </w:tc>
      </w:tr>
      <w:tr w:rsidR="00DF0C77" w:rsidRPr="00342F7C" w14:paraId="67BD879D" w14:textId="77777777" w:rsidTr="002C78A1">
        <w:tc>
          <w:tcPr>
            <w:tcW w:w="8310" w:type="dxa"/>
            <w:gridSpan w:val="3"/>
          </w:tcPr>
          <w:p w14:paraId="093595B9" w14:textId="77777777" w:rsidR="00DF0C77" w:rsidRPr="00913581" w:rsidRDefault="00DF0C77" w:rsidP="00C67F1A">
            <w:pPr>
              <w:pStyle w:val="EMEANormal"/>
              <w:jc w:val="center"/>
              <w:rPr>
                <w:b/>
                <w:highlight w:val="yellow"/>
                <w:lang w:val="en-GB"/>
              </w:rPr>
            </w:pPr>
            <w:r w:rsidRPr="00326048">
              <w:rPr>
                <w:b/>
                <w:lang w:val="en-GB"/>
              </w:rPr>
              <w:t>Adult</w:t>
            </w:r>
            <w:r w:rsidR="00C67F1A" w:rsidRPr="00326048">
              <w:rPr>
                <w:vertAlign w:val="superscript"/>
                <w:lang w:val="en-GB"/>
              </w:rPr>
              <w:t>c</w:t>
            </w:r>
          </w:p>
        </w:tc>
      </w:tr>
      <w:tr w:rsidR="00DF0C77" w:rsidRPr="00342F7C" w14:paraId="72923EC1" w14:textId="77777777" w:rsidTr="003967C0">
        <w:tc>
          <w:tcPr>
            <w:tcW w:w="1740" w:type="dxa"/>
          </w:tcPr>
          <w:p w14:paraId="6D086EB8" w14:textId="77777777" w:rsidR="00DF0C77" w:rsidRPr="00326048" w:rsidRDefault="00DF0C77" w:rsidP="003967C0">
            <w:pPr>
              <w:pStyle w:val="EMEANormal"/>
              <w:rPr>
                <w:lang w:val="en-GB"/>
              </w:rPr>
            </w:pPr>
            <w:r w:rsidRPr="00326048">
              <w:rPr>
                <w:lang w:val="en-GB"/>
              </w:rPr>
              <w:t>12.3 (5.4)</w:t>
            </w:r>
          </w:p>
        </w:tc>
        <w:tc>
          <w:tcPr>
            <w:tcW w:w="3331" w:type="dxa"/>
          </w:tcPr>
          <w:p w14:paraId="778C7D21" w14:textId="77777777" w:rsidR="00DF0C77" w:rsidRPr="00326048" w:rsidRDefault="00DF0C77" w:rsidP="003967C0">
            <w:pPr>
              <w:pStyle w:val="EMEANormal"/>
              <w:jc w:val="center"/>
              <w:rPr>
                <w:lang w:val="en-GB"/>
              </w:rPr>
            </w:pPr>
            <w:r w:rsidRPr="00326048">
              <w:rPr>
                <w:lang w:val="en-GB"/>
              </w:rPr>
              <w:t>8.1 (5.7)</w:t>
            </w:r>
          </w:p>
        </w:tc>
        <w:tc>
          <w:tcPr>
            <w:tcW w:w="3239" w:type="dxa"/>
          </w:tcPr>
          <w:p w14:paraId="63A95798" w14:textId="77777777" w:rsidR="00DF0C77" w:rsidRPr="00326048" w:rsidRDefault="00DF0C77" w:rsidP="003967C0">
            <w:pPr>
              <w:pStyle w:val="EMEANormal"/>
              <w:jc w:val="center"/>
              <w:rPr>
                <w:lang w:val="en-GB"/>
              </w:rPr>
            </w:pPr>
            <w:r w:rsidRPr="00326048">
              <w:rPr>
                <w:lang w:val="en-GB"/>
              </w:rPr>
              <w:t>113.2 (60.5)</w:t>
            </w:r>
          </w:p>
        </w:tc>
      </w:tr>
    </w:tbl>
    <w:p w14:paraId="6F7E5876" w14:textId="77777777" w:rsidR="003136CD" w:rsidRDefault="003136CD" w:rsidP="0052761E">
      <w:pPr>
        <w:numPr>
          <w:ilvl w:val="0"/>
          <w:numId w:val="23"/>
        </w:numPr>
        <w:rPr>
          <w:sz w:val="22"/>
          <w:szCs w:val="20"/>
        </w:rPr>
      </w:pPr>
      <w:r>
        <w:rPr>
          <w:sz w:val="22"/>
          <w:szCs w:val="20"/>
        </w:rPr>
        <w:t>Kaletra oral solution 230/57.5 mg</w:t>
      </w:r>
      <w:r w:rsidRPr="00342F7C">
        <w:rPr>
          <w:sz w:val="22"/>
          <w:szCs w:val="20"/>
        </w:rPr>
        <w:t>/m</w:t>
      </w:r>
      <w:r w:rsidRPr="00342F7C">
        <w:rPr>
          <w:sz w:val="22"/>
          <w:szCs w:val="20"/>
          <w:vertAlign w:val="superscript"/>
        </w:rPr>
        <w:t>2</w:t>
      </w:r>
      <w:r w:rsidRPr="00342F7C">
        <w:rPr>
          <w:sz w:val="22"/>
          <w:szCs w:val="20"/>
        </w:rPr>
        <w:t xml:space="preserve"> twice daily regimen without nevirapine</w:t>
      </w:r>
    </w:p>
    <w:p w14:paraId="5D14ABDD" w14:textId="77777777" w:rsidR="009A042B" w:rsidRDefault="003136CD" w:rsidP="0052761E">
      <w:pPr>
        <w:numPr>
          <w:ilvl w:val="0"/>
          <w:numId w:val="23"/>
        </w:numPr>
        <w:rPr>
          <w:sz w:val="22"/>
          <w:szCs w:val="20"/>
        </w:rPr>
      </w:pPr>
      <w:r>
        <w:rPr>
          <w:sz w:val="22"/>
          <w:szCs w:val="20"/>
        </w:rPr>
        <w:t xml:space="preserve">Kaletra oral solution </w:t>
      </w:r>
      <w:r w:rsidRPr="00342F7C">
        <w:rPr>
          <w:sz w:val="22"/>
          <w:szCs w:val="20"/>
        </w:rPr>
        <w:t>300/75 mg/m</w:t>
      </w:r>
      <w:r w:rsidRPr="00342F7C">
        <w:rPr>
          <w:sz w:val="22"/>
          <w:szCs w:val="20"/>
          <w:vertAlign w:val="superscript"/>
        </w:rPr>
        <w:t>2</w:t>
      </w:r>
      <w:r w:rsidRPr="00342F7C">
        <w:rPr>
          <w:sz w:val="22"/>
          <w:szCs w:val="20"/>
        </w:rPr>
        <w:t xml:space="preserve"> twice daily regimen with nevirapine</w:t>
      </w:r>
    </w:p>
    <w:p w14:paraId="7D122701" w14:textId="77777777" w:rsidR="00C67F1A" w:rsidRPr="003C1687" w:rsidRDefault="00C67F1A" w:rsidP="0052761E">
      <w:pPr>
        <w:numPr>
          <w:ilvl w:val="0"/>
          <w:numId w:val="23"/>
        </w:numPr>
        <w:rPr>
          <w:sz w:val="22"/>
          <w:szCs w:val="20"/>
        </w:rPr>
      </w:pPr>
      <w:r w:rsidRPr="003C1687">
        <w:rPr>
          <w:sz w:val="22"/>
          <w:szCs w:val="20"/>
        </w:rPr>
        <w:t>Kaletra film-coated tablets 400/100 mg twice daily at steady state</w:t>
      </w:r>
    </w:p>
    <w:p w14:paraId="3C6F5CE1" w14:textId="77777777" w:rsidR="00122AD3" w:rsidRPr="00342F7C" w:rsidRDefault="00122AD3">
      <w:pPr>
        <w:rPr>
          <w:sz w:val="22"/>
          <w:szCs w:val="20"/>
        </w:rPr>
      </w:pPr>
    </w:p>
    <w:p w14:paraId="174B05F9" w14:textId="77777777" w:rsidR="00D7303D" w:rsidRDefault="00D7303D" w:rsidP="00122AD3">
      <w:pPr>
        <w:pStyle w:val="EMEAHeadingItalic"/>
        <w:spacing w:beforeLines="0" w:before="0" w:afterLines="0" w:after="0"/>
        <w:rPr>
          <w:lang w:val="en-GB"/>
        </w:rPr>
      </w:pPr>
      <w:r w:rsidRPr="00342F7C">
        <w:rPr>
          <w:lang w:val="en-GB"/>
        </w:rPr>
        <w:t xml:space="preserve">Gender, Race and Age  </w:t>
      </w:r>
    </w:p>
    <w:p w14:paraId="3430D9F4" w14:textId="77777777" w:rsidR="00D7303D" w:rsidRDefault="00D7303D">
      <w:pPr>
        <w:pStyle w:val="EMEANormal"/>
        <w:rPr>
          <w:lang w:val="en-GB"/>
        </w:rPr>
      </w:pPr>
      <w:r w:rsidRPr="00342F7C">
        <w:rPr>
          <w:lang w:val="en-GB"/>
        </w:rPr>
        <w:t xml:space="preserve">Kaletra pharmacokinetics have not been studied in </w:t>
      </w:r>
      <w:r w:rsidR="00D4701A">
        <w:rPr>
          <w:lang w:val="en-GB"/>
        </w:rPr>
        <w:t>older people</w:t>
      </w:r>
      <w:r w:rsidRPr="00342F7C">
        <w:rPr>
          <w:lang w:val="en-GB"/>
        </w:rPr>
        <w:t>.  No age or gender related pharmacokinetic differences have been observed in adult patients.  Pharmacokinetic differences due to race have not been identified.</w:t>
      </w:r>
    </w:p>
    <w:p w14:paraId="51263DD5" w14:textId="77777777" w:rsidR="00122AD3" w:rsidRPr="00342F7C" w:rsidRDefault="00122AD3">
      <w:pPr>
        <w:pStyle w:val="EMEANormal"/>
        <w:rPr>
          <w:lang w:val="en-GB"/>
        </w:rPr>
      </w:pPr>
    </w:p>
    <w:p w14:paraId="431EE633" w14:textId="77777777" w:rsidR="00D7303D" w:rsidRDefault="00D7303D" w:rsidP="00122AD3">
      <w:pPr>
        <w:pStyle w:val="EMEAHeadingItalic"/>
        <w:keepNext/>
        <w:spacing w:beforeLines="0" w:before="0" w:afterLines="0" w:after="0"/>
        <w:rPr>
          <w:lang w:val="en-GB"/>
        </w:rPr>
      </w:pPr>
      <w:r w:rsidRPr="00342F7C">
        <w:rPr>
          <w:lang w:val="en-GB"/>
        </w:rPr>
        <w:t xml:space="preserve">Renal Insufficiency  </w:t>
      </w:r>
    </w:p>
    <w:p w14:paraId="137219DB" w14:textId="77777777" w:rsidR="00D7303D" w:rsidRDefault="00D7303D" w:rsidP="00122AD3">
      <w:pPr>
        <w:pStyle w:val="EMEANormal"/>
        <w:keepNext/>
        <w:rPr>
          <w:lang w:val="en-GB"/>
        </w:rPr>
      </w:pPr>
      <w:r w:rsidRPr="00342F7C">
        <w:rPr>
          <w:lang w:val="en-GB"/>
        </w:rPr>
        <w:t>Kaletra pharmacokinetics have not been studied in patients with renal insufficiency; however, since the renal clearance of lopinavir is negligible, a decrease in total body clearance is not expected in patients with renal insufficiency.</w:t>
      </w:r>
    </w:p>
    <w:p w14:paraId="1B56AC8B" w14:textId="77777777" w:rsidR="00122AD3" w:rsidRPr="00342F7C" w:rsidRDefault="00122AD3" w:rsidP="00122AD3">
      <w:pPr>
        <w:pStyle w:val="EMEANormal"/>
        <w:keepNext/>
        <w:rPr>
          <w:lang w:val="en-GB"/>
        </w:rPr>
      </w:pPr>
    </w:p>
    <w:p w14:paraId="67261CFF" w14:textId="77777777" w:rsidR="00D7303D" w:rsidRDefault="00D7303D" w:rsidP="00122AD3">
      <w:pPr>
        <w:pStyle w:val="EMEAHeadingItalic"/>
        <w:spacing w:beforeLines="0" w:before="0" w:afterLines="0" w:after="0"/>
        <w:rPr>
          <w:lang w:val="en-GB"/>
        </w:rPr>
      </w:pPr>
      <w:r w:rsidRPr="00342F7C">
        <w:rPr>
          <w:lang w:val="en-GB"/>
        </w:rPr>
        <w:t xml:space="preserve">Hepatic Insufficiency  </w:t>
      </w:r>
    </w:p>
    <w:p w14:paraId="3C334DEF" w14:textId="77777777" w:rsidR="00D7303D" w:rsidRDefault="00D7303D">
      <w:pPr>
        <w:pStyle w:val="EMEANormal"/>
        <w:rPr>
          <w:lang w:val="en-GB"/>
        </w:rPr>
      </w:pPr>
      <w:r w:rsidRPr="00342F7C">
        <w:rPr>
          <w:lang w:val="en-GB"/>
        </w:rPr>
        <w:t>The steady state pharmacokinetic parameters of lopinavir in HIV-infected patients with mild to moderate hepatic impairment were compared with those of HIV-infected patients with normal hepatic function in a multiple dose study with lopinavir/ritonavir 400/100 mg twice daily.  A limited increase in total lopinavir concentrations of approximately 30% has been observed which is not expected to be of clinical relevance (see section 4.2).</w:t>
      </w:r>
    </w:p>
    <w:p w14:paraId="1741A7DD" w14:textId="77777777" w:rsidR="00122AD3" w:rsidRPr="00342F7C" w:rsidRDefault="00122AD3">
      <w:pPr>
        <w:pStyle w:val="EMEANormal"/>
        <w:rPr>
          <w:lang w:val="en-GB"/>
        </w:rPr>
      </w:pPr>
    </w:p>
    <w:p w14:paraId="4CD17B30" w14:textId="77777777" w:rsidR="00D7303D" w:rsidRDefault="00D7303D" w:rsidP="00306419">
      <w:pPr>
        <w:pStyle w:val="EMEAHeading2SPC"/>
        <w:keepNext/>
        <w:spacing w:beforeLines="0" w:before="0" w:afterLines="0" w:after="0"/>
        <w:rPr>
          <w:rFonts w:ascii="Times New Roman" w:hAnsi="Times New Roman"/>
          <w:lang w:val="en-GB"/>
        </w:rPr>
      </w:pPr>
      <w:r w:rsidRPr="00342F7C">
        <w:rPr>
          <w:rFonts w:ascii="Times New Roman" w:hAnsi="Times New Roman"/>
          <w:lang w:val="en-GB"/>
        </w:rPr>
        <w:t>5.3</w:t>
      </w:r>
      <w:r w:rsidRPr="00342F7C">
        <w:rPr>
          <w:rFonts w:ascii="Times New Roman" w:hAnsi="Times New Roman"/>
          <w:lang w:val="en-GB"/>
        </w:rPr>
        <w:tab/>
        <w:t>Preclinical safety data</w:t>
      </w:r>
    </w:p>
    <w:p w14:paraId="1B6FB93B" w14:textId="77777777" w:rsidR="00122AD3" w:rsidRPr="00122AD3" w:rsidRDefault="00122AD3" w:rsidP="00306419">
      <w:pPr>
        <w:pStyle w:val="EMEANormal"/>
        <w:keepNext/>
        <w:rPr>
          <w:lang w:val="en-GB"/>
        </w:rPr>
      </w:pPr>
    </w:p>
    <w:p w14:paraId="2821C947" w14:textId="77777777" w:rsidR="00D7303D" w:rsidRPr="00342F7C" w:rsidRDefault="00D7303D" w:rsidP="00306419">
      <w:pPr>
        <w:pStyle w:val="EMEANormal"/>
        <w:keepNext/>
        <w:rPr>
          <w:snapToGrid w:val="0"/>
          <w:lang w:val="en-GB"/>
        </w:rPr>
      </w:pPr>
      <w:r w:rsidRPr="00342F7C">
        <w:rPr>
          <w:snapToGrid w:val="0"/>
          <w:lang w:val="en-GB"/>
        </w:rPr>
        <w:t>Repeat-dose toxicity studies in rodents and dogs identified major target organs as the liver, kidney, thyroid, spleen and circulating red blood cells.  Hepatic changes indicated cellular swelling with focal degeneration.  While exposure eliciting these changes were comparable to or below human clinical exposure, dosages in animals were over 6-fold the recommended clinical dose.  Mild renal tubular degeneration was confined to mice exposed with at least twice the recommended human exposure; the kidney was unaffected in rats and dogs.  Reduced serum thyroxin led to an increased release of TSH with resultant follicular cell hypertrophy in the thyroid glands of rats.  These changes were reversible with withdrawal of the active substance and were absent in mice and dogs.  Coombs-negative anisocytosis and poikilocytosis were observed in rats, but not in mice or dogs.  Enlarged spleens with histiocytosis were seen in rats but not other species.  Serum cholesterol was elevated in rodents but not dogs, while triglycerides were elevated only in mice.</w:t>
      </w:r>
    </w:p>
    <w:p w14:paraId="33336F27" w14:textId="77777777" w:rsidR="00D7303D" w:rsidRPr="00342F7C" w:rsidRDefault="00D7303D">
      <w:pPr>
        <w:pStyle w:val="EMEANormal"/>
        <w:rPr>
          <w:snapToGrid w:val="0"/>
          <w:lang w:val="en-GB"/>
        </w:rPr>
      </w:pPr>
    </w:p>
    <w:p w14:paraId="573BF426" w14:textId="77777777" w:rsidR="00D7303D" w:rsidRPr="00342F7C" w:rsidRDefault="00D7303D">
      <w:pPr>
        <w:pStyle w:val="EMEANormal"/>
        <w:rPr>
          <w:lang w:val="en-GB"/>
        </w:rPr>
      </w:pPr>
      <w:r w:rsidRPr="00342F7C">
        <w:rPr>
          <w:lang w:val="en-GB"/>
        </w:rPr>
        <w:t xml:space="preserve">During </w:t>
      </w:r>
      <w:r w:rsidRPr="00342F7C">
        <w:rPr>
          <w:i/>
          <w:iCs/>
          <w:lang w:val="en-GB"/>
        </w:rPr>
        <w:t>in vitro</w:t>
      </w:r>
      <w:r w:rsidRPr="00342F7C">
        <w:rPr>
          <w:lang w:val="en-GB"/>
        </w:rPr>
        <w:t xml:space="preserve"> studies, cloned human cardiac potassium channels (HERG) were inhibited by 30% at the highest concentrations of lopinavir/ritonavir tested, corresponding to a lopinavir exposure 7-fold total and 15-fold free peak plasma levels achieved in humans at the maximum recommended therapeutic dose.  In contrast, similar concentrations of lopinavir/ritonavir demonstrated no repolarisation delay in the canine cardiac Purkinje fibres.  Lower concentrations of lopinavir/ritonavir did not produce significant potassium (HERG) current blockade.  Tissue distribution studies conducted in the rat did not suggest significant cardiac retention of the active substance; 72-hour AUC in heart was approximately 50% of measured plasma AUC.  Therefore, it is reasonable to expect that cardiac lopinavir levels would not be significantly higher than plasma levels.</w:t>
      </w:r>
    </w:p>
    <w:p w14:paraId="32122C7F" w14:textId="77777777" w:rsidR="00D7303D" w:rsidRPr="00342F7C" w:rsidRDefault="00D7303D">
      <w:pPr>
        <w:pStyle w:val="EMEANormal"/>
        <w:rPr>
          <w:snapToGrid w:val="0"/>
          <w:lang w:val="en-GB"/>
        </w:rPr>
      </w:pPr>
    </w:p>
    <w:p w14:paraId="7E41E40B" w14:textId="77777777" w:rsidR="00D7303D" w:rsidRPr="00342F7C" w:rsidRDefault="00D7303D">
      <w:pPr>
        <w:pStyle w:val="EMEANormal"/>
        <w:rPr>
          <w:snapToGrid w:val="0"/>
          <w:lang w:val="en-GB"/>
        </w:rPr>
      </w:pPr>
      <w:r w:rsidRPr="00342F7C">
        <w:rPr>
          <w:snapToGrid w:val="0"/>
          <w:lang w:val="en-GB"/>
        </w:rPr>
        <w:t xml:space="preserve">In dogs, prominent U waves on the electrocardiogram have been observed associated with prolonged PR interval and bradycardia.  These effects have been assumed to be caused by electrolyte disturbance.  </w:t>
      </w:r>
    </w:p>
    <w:p w14:paraId="40D66704" w14:textId="77777777" w:rsidR="00D7303D" w:rsidRPr="00342F7C" w:rsidRDefault="00D7303D">
      <w:pPr>
        <w:pStyle w:val="EMEANormal"/>
        <w:rPr>
          <w:snapToGrid w:val="0"/>
          <w:lang w:val="en-GB"/>
        </w:rPr>
      </w:pPr>
    </w:p>
    <w:p w14:paraId="7C3AE961" w14:textId="77777777" w:rsidR="00D7303D" w:rsidRPr="00342F7C" w:rsidRDefault="00D7303D">
      <w:pPr>
        <w:pStyle w:val="EMEANormal"/>
        <w:rPr>
          <w:snapToGrid w:val="0"/>
          <w:lang w:val="en-GB"/>
        </w:rPr>
      </w:pPr>
      <w:r w:rsidRPr="00342F7C">
        <w:rPr>
          <w:snapToGrid w:val="0"/>
          <w:lang w:val="en-GB"/>
        </w:rPr>
        <w:t xml:space="preserve">The clinical relevance of these preclinical data is unknown, however, the potential cardiac effects of this product in humans cannot be ruled out (see also sections 4.4 and 4.8). </w:t>
      </w:r>
    </w:p>
    <w:p w14:paraId="7B1821C6" w14:textId="77777777" w:rsidR="00D7303D" w:rsidRPr="00342F7C" w:rsidRDefault="00D7303D">
      <w:pPr>
        <w:pStyle w:val="EMEANormal"/>
        <w:rPr>
          <w:snapToGrid w:val="0"/>
          <w:lang w:val="en-GB"/>
        </w:rPr>
      </w:pPr>
    </w:p>
    <w:p w14:paraId="67D4ACBA" w14:textId="77777777" w:rsidR="00D7303D" w:rsidRPr="00342F7C" w:rsidRDefault="00D7303D">
      <w:pPr>
        <w:pStyle w:val="EMEANormal"/>
        <w:rPr>
          <w:snapToGrid w:val="0"/>
          <w:lang w:val="en-GB"/>
        </w:rPr>
      </w:pPr>
      <w:r w:rsidRPr="00342F7C">
        <w:rPr>
          <w:snapToGrid w:val="0"/>
          <w:lang w:val="en-GB"/>
        </w:rPr>
        <w:t>In rats, embryofoetotoxicity (pregnancy loss, decreased foetal viability, decreased foetal body weights, increased frequency of skeletal variations) and postnatal developmental toxicity (decreased survival of pups) was observed at maternally toxic dosages.  The systemic exposure to lopinavir/ritonavir at the maternal and developmental toxic dosages was lower than the intended therapeutic exposure in humans.</w:t>
      </w:r>
    </w:p>
    <w:p w14:paraId="64F348E4" w14:textId="77777777" w:rsidR="00D7303D" w:rsidRPr="00342F7C" w:rsidRDefault="00D7303D">
      <w:pPr>
        <w:pStyle w:val="EMEANormal"/>
        <w:rPr>
          <w:snapToGrid w:val="0"/>
          <w:lang w:val="en-GB"/>
        </w:rPr>
      </w:pPr>
    </w:p>
    <w:p w14:paraId="64402D31" w14:textId="77777777" w:rsidR="00D7303D" w:rsidRPr="00342F7C" w:rsidRDefault="00D7303D" w:rsidP="003F4A82">
      <w:pPr>
        <w:pStyle w:val="EMEANormal"/>
        <w:keepNext/>
        <w:keepLines/>
        <w:rPr>
          <w:lang w:val="en-GB"/>
        </w:rPr>
      </w:pPr>
      <w:r w:rsidRPr="00342F7C">
        <w:rPr>
          <w:snapToGrid w:val="0"/>
          <w:lang w:val="en-GB"/>
        </w:rPr>
        <w:t xml:space="preserve">Long-term carcinogenicity studies of lopinavir/ritonavir in mice revealed a nongenotoxic, mitogenic induction of liver tumours, generally considered to have little relevance to human risk.  Carcinogenicity studies in rats revealed no tumourigenic findings.  Lopinavir/ritonavir was not found to be mutagenic or clastogenic in a battery of </w:t>
      </w:r>
      <w:r w:rsidRPr="00342F7C">
        <w:rPr>
          <w:i/>
          <w:snapToGrid w:val="0"/>
          <w:lang w:val="en-GB"/>
        </w:rPr>
        <w:t>in vitro</w:t>
      </w:r>
      <w:r w:rsidRPr="00342F7C">
        <w:rPr>
          <w:snapToGrid w:val="0"/>
          <w:lang w:val="en-GB"/>
        </w:rPr>
        <w:t xml:space="preserve"> and </w:t>
      </w:r>
      <w:r w:rsidRPr="00342F7C">
        <w:rPr>
          <w:i/>
          <w:snapToGrid w:val="0"/>
          <w:lang w:val="en-GB"/>
        </w:rPr>
        <w:t>in vivo</w:t>
      </w:r>
      <w:r w:rsidRPr="00342F7C">
        <w:rPr>
          <w:snapToGrid w:val="0"/>
          <w:lang w:val="en-GB"/>
        </w:rPr>
        <w:t xml:space="preserve"> assays including the Ames bacterial reverse mutation assay, the mouse lymphoma assay, the mouse micronucleus test and chromosomal aberration assays in human lymphocytes.</w:t>
      </w:r>
    </w:p>
    <w:p w14:paraId="0D128CE4" w14:textId="77777777" w:rsidR="00444801" w:rsidRDefault="00444801" w:rsidP="00122AD3">
      <w:pPr>
        <w:pStyle w:val="EMEAHeading1"/>
        <w:spacing w:beforeLines="0" w:before="0" w:afterLines="0" w:after="0"/>
        <w:rPr>
          <w:rFonts w:ascii="Times New Roman" w:hAnsi="Times New Roman"/>
          <w:lang w:val="en-GB"/>
        </w:rPr>
      </w:pPr>
    </w:p>
    <w:p w14:paraId="1BB3C35F" w14:textId="77777777" w:rsidR="00444801" w:rsidRDefault="00444801" w:rsidP="00122AD3">
      <w:pPr>
        <w:pStyle w:val="EMEAHeading1"/>
        <w:spacing w:beforeLines="0" w:before="0" w:afterLines="0" w:after="0"/>
        <w:rPr>
          <w:rFonts w:ascii="Times New Roman" w:hAnsi="Times New Roman"/>
          <w:lang w:val="en-GB"/>
        </w:rPr>
      </w:pPr>
    </w:p>
    <w:p w14:paraId="5A5AE45C" w14:textId="77777777" w:rsidR="00D7303D" w:rsidRDefault="00D7303D" w:rsidP="00122AD3">
      <w:pPr>
        <w:pStyle w:val="EMEAHeading1"/>
        <w:spacing w:beforeLines="0" w:before="0" w:afterLines="0" w:after="0"/>
        <w:rPr>
          <w:rFonts w:ascii="Times New Roman" w:hAnsi="Times New Roman"/>
          <w:lang w:val="en-GB"/>
        </w:rPr>
      </w:pPr>
      <w:r w:rsidRPr="00342F7C">
        <w:rPr>
          <w:rFonts w:ascii="Times New Roman" w:hAnsi="Times New Roman"/>
          <w:lang w:val="en-GB"/>
        </w:rPr>
        <w:t>6.</w:t>
      </w:r>
      <w:r w:rsidRPr="00342F7C">
        <w:rPr>
          <w:rFonts w:ascii="Times New Roman" w:hAnsi="Times New Roman"/>
          <w:lang w:val="en-GB"/>
        </w:rPr>
        <w:tab/>
        <w:t>Pharmaceutical particulars</w:t>
      </w:r>
    </w:p>
    <w:p w14:paraId="6BF776E2" w14:textId="77777777" w:rsidR="00122AD3" w:rsidRPr="00122AD3" w:rsidRDefault="00122AD3" w:rsidP="00122AD3">
      <w:pPr>
        <w:pStyle w:val="EMEANormal"/>
        <w:rPr>
          <w:lang w:val="en-GB"/>
        </w:rPr>
      </w:pPr>
    </w:p>
    <w:p w14:paraId="0F98B7A9" w14:textId="77777777" w:rsidR="00D7303D" w:rsidRDefault="00D7303D" w:rsidP="00122AD3">
      <w:pPr>
        <w:pStyle w:val="EMEAHeading2SPC"/>
        <w:spacing w:beforeLines="0" w:before="0" w:afterLines="0" w:after="0"/>
        <w:rPr>
          <w:rFonts w:ascii="Times New Roman" w:hAnsi="Times New Roman"/>
          <w:lang w:val="en-GB"/>
        </w:rPr>
      </w:pPr>
      <w:r w:rsidRPr="00342F7C">
        <w:rPr>
          <w:rFonts w:ascii="Times New Roman" w:hAnsi="Times New Roman"/>
          <w:lang w:val="en-GB"/>
        </w:rPr>
        <w:t>6.1</w:t>
      </w:r>
      <w:r w:rsidRPr="00342F7C">
        <w:rPr>
          <w:rFonts w:ascii="Times New Roman" w:hAnsi="Times New Roman"/>
          <w:lang w:val="en-GB"/>
        </w:rPr>
        <w:tab/>
        <w:t>List of excipients</w:t>
      </w:r>
    </w:p>
    <w:p w14:paraId="70CA9619" w14:textId="77777777" w:rsidR="00122AD3" w:rsidRPr="00122AD3" w:rsidRDefault="00122AD3" w:rsidP="00122AD3">
      <w:pPr>
        <w:pStyle w:val="EMEANormal"/>
        <w:rPr>
          <w:lang w:val="en-GB"/>
        </w:rPr>
      </w:pPr>
    </w:p>
    <w:p w14:paraId="26ED36C4" w14:textId="77777777" w:rsidR="00D7303D" w:rsidRPr="00342F7C" w:rsidRDefault="00D7303D">
      <w:pPr>
        <w:pStyle w:val="EMEANormal"/>
        <w:rPr>
          <w:lang w:val="en-GB"/>
        </w:rPr>
      </w:pPr>
      <w:r w:rsidRPr="00342F7C">
        <w:rPr>
          <w:u w:val="single"/>
          <w:lang w:val="en-GB"/>
        </w:rPr>
        <w:t>Oral solution contains</w:t>
      </w:r>
      <w:r w:rsidRPr="00342F7C">
        <w:rPr>
          <w:lang w:val="en-GB"/>
        </w:rPr>
        <w:t xml:space="preserve">: </w:t>
      </w:r>
    </w:p>
    <w:p w14:paraId="755AD671" w14:textId="77777777" w:rsidR="00D7303D" w:rsidRPr="00342F7C" w:rsidRDefault="00D7303D">
      <w:pPr>
        <w:pStyle w:val="EMEANormal"/>
        <w:rPr>
          <w:lang w:val="en-GB"/>
        </w:rPr>
      </w:pPr>
      <w:r w:rsidRPr="00342F7C">
        <w:rPr>
          <w:lang w:val="en-GB"/>
        </w:rPr>
        <w:t>alcohol (42</w:t>
      </w:r>
      <w:r>
        <w:rPr>
          <w:lang w:val="en-GB"/>
        </w:rPr>
        <w:t>.4</w:t>
      </w:r>
      <w:r w:rsidRPr="00342F7C">
        <w:rPr>
          <w:lang w:val="en-GB"/>
        </w:rPr>
        <w:t xml:space="preserve">% v/v), </w:t>
      </w:r>
    </w:p>
    <w:p w14:paraId="38E193B4" w14:textId="77777777" w:rsidR="00D7303D" w:rsidRPr="00342F7C" w:rsidRDefault="00D7303D">
      <w:pPr>
        <w:pStyle w:val="EMEANormal"/>
        <w:rPr>
          <w:lang w:val="en-GB"/>
        </w:rPr>
      </w:pPr>
      <w:r w:rsidRPr="00342F7C">
        <w:rPr>
          <w:lang w:val="en-GB"/>
        </w:rPr>
        <w:t xml:space="preserve">high fructose corn syrup, </w:t>
      </w:r>
    </w:p>
    <w:p w14:paraId="40EC3489" w14:textId="77777777" w:rsidR="00D7303D" w:rsidRPr="00342F7C" w:rsidRDefault="00D7303D">
      <w:pPr>
        <w:pStyle w:val="EMEANormal"/>
        <w:rPr>
          <w:lang w:val="en-GB"/>
        </w:rPr>
      </w:pPr>
      <w:r w:rsidRPr="00342F7C">
        <w:rPr>
          <w:lang w:val="en-GB"/>
        </w:rPr>
        <w:t>propylene glycol</w:t>
      </w:r>
      <w:r>
        <w:rPr>
          <w:lang w:val="en-GB"/>
        </w:rPr>
        <w:t xml:space="preserve"> (15.3% w/v)</w:t>
      </w:r>
      <w:r w:rsidRPr="00342F7C">
        <w:rPr>
          <w:lang w:val="en-GB"/>
        </w:rPr>
        <w:t xml:space="preserve">, </w:t>
      </w:r>
    </w:p>
    <w:p w14:paraId="40A844EF" w14:textId="77777777" w:rsidR="00D7303D" w:rsidRPr="00342F7C" w:rsidRDefault="00D7303D">
      <w:pPr>
        <w:pStyle w:val="EMEANormal"/>
        <w:rPr>
          <w:lang w:val="en-GB"/>
        </w:rPr>
      </w:pPr>
      <w:r w:rsidRPr="00342F7C">
        <w:rPr>
          <w:lang w:val="en-GB"/>
        </w:rPr>
        <w:t xml:space="preserve">purified water, </w:t>
      </w:r>
    </w:p>
    <w:p w14:paraId="12696483" w14:textId="77777777" w:rsidR="00D7303D" w:rsidRPr="00342F7C" w:rsidRDefault="00D7303D">
      <w:pPr>
        <w:pStyle w:val="EMEANormal"/>
        <w:rPr>
          <w:lang w:val="en-GB"/>
        </w:rPr>
      </w:pPr>
      <w:r w:rsidRPr="00342F7C">
        <w:rPr>
          <w:lang w:val="en-GB"/>
        </w:rPr>
        <w:t xml:space="preserve">glycerol, </w:t>
      </w:r>
    </w:p>
    <w:p w14:paraId="7041A757" w14:textId="77777777" w:rsidR="00D7303D" w:rsidRPr="00342F7C" w:rsidRDefault="00D7303D">
      <w:pPr>
        <w:pStyle w:val="EMEANormal"/>
        <w:rPr>
          <w:lang w:val="en-GB"/>
        </w:rPr>
      </w:pPr>
      <w:r w:rsidRPr="00342F7C">
        <w:rPr>
          <w:lang w:val="en-GB"/>
        </w:rPr>
        <w:t xml:space="preserve">povidone, </w:t>
      </w:r>
    </w:p>
    <w:p w14:paraId="21BDA5D3" w14:textId="77777777" w:rsidR="00D7303D" w:rsidRPr="00342F7C" w:rsidRDefault="00D7303D">
      <w:pPr>
        <w:pStyle w:val="EMEANormal"/>
        <w:rPr>
          <w:lang w:val="en-GB"/>
        </w:rPr>
      </w:pPr>
      <w:r w:rsidRPr="00342F7C">
        <w:rPr>
          <w:lang w:val="en-GB"/>
        </w:rPr>
        <w:t xml:space="preserve">magnasweet-110 flavour (mixture of monoammonium glycyrrhizinate and glycerol), </w:t>
      </w:r>
    </w:p>
    <w:p w14:paraId="038F54D1" w14:textId="77777777" w:rsidR="00D7303D" w:rsidRPr="00342F7C" w:rsidRDefault="00D7303D">
      <w:pPr>
        <w:pStyle w:val="EMEANormal"/>
        <w:rPr>
          <w:lang w:val="en-GB"/>
        </w:rPr>
      </w:pPr>
      <w:r w:rsidRPr="00342F7C">
        <w:rPr>
          <w:lang w:val="en-GB"/>
        </w:rPr>
        <w:t>vanilla flavour (containing p-hydroxybenzoic acid, p-hydroxybenzaldehyde, vanillic acid, vanillin, heliotrop</w:t>
      </w:r>
      <w:r w:rsidR="00AF7897">
        <w:rPr>
          <w:lang w:val="en-GB"/>
        </w:rPr>
        <w:t>in</w:t>
      </w:r>
      <w:r w:rsidRPr="00342F7C">
        <w:rPr>
          <w:lang w:val="en-GB"/>
        </w:rPr>
        <w:t xml:space="preserve">, ethyl vanillin), </w:t>
      </w:r>
    </w:p>
    <w:p w14:paraId="2CB57C24" w14:textId="77777777" w:rsidR="00D7303D" w:rsidRPr="00342F7C" w:rsidRDefault="00D7303D">
      <w:pPr>
        <w:pStyle w:val="EMEANormal"/>
        <w:rPr>
          <w:lang w:val="en-GB"/>
        </w:rPr>
      </w:pPr>
      <w:r w:rsidRPr="00342F7C">
        <w:rPr>
          <w:lang w:val="en-GB"/>
        </w:rPr>
        <w:t xml:space="preserve">polyoxyl 40 hydrogenated castor oil, </w:t>
      </w:r>
    </w:p>
    <w:p w14:paraId="49683CFB" w14:textId="77777777" w:rsidR="00D7303D" w:rsidRPr="00342F7C" w:rsidRDefault="00D7303D">
      <w:pPr>
        <w:pStyle w:val="EMEANormal"/>
        <w:rPr>
          <w:lang w:val="en-GB"/>
        </w:rPr>
      </w:pPr>
      <w:r w:rsidRPr="00342F7C">
        <w:rPr>
          <w:lang w:val="en-GB"/>
        </w:rPr>
        <w:t xml:space="preserve">cotton candy flavour (containing ethyl maltol, ethyl vanillin, acetoin, dihydrocoumarin, propylene glycol), </w:t>
      </w:r>
    </w:p>
    <w:p w14:paraId="3EF84319" w14:textId="77777777" w:rsidR="00D7303D" w:rsidRPr="00342F7C" w:rsidRDefault="00D7303D">
      <w:pPr>
        <w:pStyle w:val="EMEANormal"/>
        <w:rPr>
          <w:lang w:val="en-GB"/>
        </w:rPr>
      </w:pPr>
      <w:r w:rsidRPr="00342F7C">
        <w:rPr>
          <w:lang w:val="en-GB"/>
        </w:rPr>
        <w:t xml:space="preserve">acesulfame potassium, </w:t>
      </w:r>
    </w:p>
    <w:p w14:paraId="5532EEB9" w14:textId="77777777" w:rsidR="00D7303D" w:rsidRPr="00342F7C" w:rsidRDefault="00D7303D">
      <w:pPr>
        <w:pStyle w:val="EMEANormal"/>
        <w:rPr>
          <w:lang w:val="en-GB"/>
        </w:rPr>
      </w:pPr>
      <w:r w:rsidRPr="00342F7C">
        <w:rPr>
          <w:lang w:val="en-GB"/>
        </w:rPr>
        <w:t xml:space="preserve">saccharin sodium, </w:t>
      </w:r>
    </w:p>
    <w:p w14:paraId="1DFD047A" w14:textId="77777777" w:rsidR="00D7303D" w:rsidRPr="00342F7C" w:rsidRDefault="00D7303D">
      <w:pPr>
        <w:pStyle w:val="EMEANormal"/>
        <w:rPr>
          <w:lang w:val="en-GB"/>
        </w:rPr>
      </w:pPr>
      <w:r w:rsidRPr="00342F7C">
        <w:rPr>
          <w:lang w:val="en-GB"/>
        </w:rPr>
        <w:t xml:space="preserve">sodium chloride, </w:t>
      </w:r>
    </w:p>
    <w:p w14:paraId="0EA18AEC" w14:textId="77777777" w:rsidR="00D7303D" w:rsidRPr="00342F7C" w:rsidRDefault="00D7303D">
      <w:pPr>
        <w:pStyle w:val="EMEANormal"/>
        <w:rPr>
          <w:lang w:val="en-GB"/>
        </w:rPr>
      </w:pPr>
      <w:r w:rsidRPr="00342F7C">
        <w:rPr>
          <w:lang w:val="en-GB"/>
        </w:rPr>
        <w:t xml:space="preserve">peppermint oil, </w:t>
      </w:r>
    </w:p>
    <w:p w14:paraId="665B47F7" w14:textId="77777777" w:rsidR="00D7303D" w:rsidRPr="00342F7C" w:rsidRDefault="00D7303D">
      <w:pPr>
        <w:pStyle w:val="EMEANormal"/>
        <w:rPr>
          <w:lang w:val="en-GB"/>
        </w:rPr>
      </w:pPr>
      <w:r w:rsidRPr="00342F7C">
        <w:rPr>
          <w:lang w:val="en-GB"/>
        </w:rPr>
        <w:t xml:space="preserve">sodium citrate, </w:t>
      </w:r>
    </w:p>
    <w:p w14:paraId="56E4AC77" w14:textId="77777777" w:rsidR="00D7303D" w:rsidRPr="00342F7C" w:rsidRDefault="00D7303D">
      <w:pPr>
        <w:pStyle w:val="EMEANormal"/>
        <w:rPr>
          <w:lang w:val="en-GB"/>
        </w:rPr>
      </w:pPr>
      <w:r w:rsidRPr="00342F7C">
        <w:rPr>
          <w:lang w:val="en-GB"/>
        </w:rPr>
        <w:t xml:space="preserve">citric acid, </w:t>
      </w:r>
    </w:p>
    <w:p w14:paraId="1DB933FD" w14:textId="77777777" w:rsidR="00D7303D" w:rsidRDefault="00AF7897">
      <w:pPr>
        <w:pStyle w:val="EMEANormal"/>
        <w:rPr>
          <w:lang w:val="en-GB"/>
        </w:rPr>
      </w:pPr>
      <w:r>
        <w:rPr>
          <w:lang w:val="en-GB"/>
        </w:rPr>
        <w:t>levo</w:t>
      </w:r>
      <w:r w:rsidR="00D7303D" w:rsidRPr="00342F7C">
        <w:rPr>
          <w:lang w:val="en-GB"/>
        </w:rPr>
        <w:t>menthol.</w:t>
      </w:r>
    </w:p>
    <w:p w14:paraId="650C33D2" w14:textId="77777777" w:rsidR="00122AD3" w:rsidRPr="00342F7C" w:rsidRDefault="00122AD3">
      <w:pPr>
        <w:pStyle w:val="EMEANormal"/>
        <w:rPr>
          <w:lang w:val="en-GB"/>
        </w:rPr>
      </w:pPr>
    </w:p>
    <w:p w14:paraId="202CE0FF" w14:textId="77777777" w:rsidR="00D7303D" w:rsidRDefault="00D7303D" w:rsidP="00122AD3">
      <w:pPr>
        <w:pStyle w:val="EMEAHeading2SPC"/>
        <w:spacing w:beforeLines="0" w:before="0" w:afterLines="0" w:after="0"/>
        <w:rPr>
          <w:rFonts w:ascii="Times New Roman" w:hAnsi="Times New Roman"/>
          <w:lang w:val="en-GB"/>
        </w:rPr>
      </w:pPr>
      <w:r w:rsidRPr="00342F7C">
        <w:rPr>
          <w:rFonts w:ascii="Times New Roman" w:hAnsi="Times New Roman"/>
          <w:lang w:val="en-GB"/>
        </w:rPr>
        <w:t>6.2</w:t>
      </w:r>
      <w:r w:rsidRPr="00342F7C">
        <w:rPr>
          <w:rFonts w:ascii="Times New Roman" w:hAnsi="Times New Roman"/>
          <w:lang w:val="en-GB"/>
        </w:rPr>
        <w:tab/>
        <w:t>Incompatibilities</w:t>
      </w:r>
    </w:p>
    <w:p w14:paraId="74C06B14" w14:textId="77777777" w:rsidR="00122AD3" w:rsidRPr="00122AD3" w:rsidRDefault="00122AD3" w:rsidP="00122AD3">
      <w:pPr>
        <w:pStyle w:val="EMEANormal"/>
        <w:rPr>
          <w:lang w:val="en-GB"/>
        </w:rPr>
      </w:pPr>
    </w:p>
    <w:p w14:paraId="14D8D34E" w14:textId="77777777" w:rsidR="00D7303D" w:rsidRDefault="00D7303D">
      <w:pPr>
        <w:pStyle w:val="EMEANormal"/>
        <w:rPr>
          <w:lang w:val="en-GB"/>
        </w:rPr>
      </w:pPr>
      <w:r w:rsidRPr="00342F7C">
        <w:rPr>
          <w:lang w:val="en-GB"/>
        </w:rPr>
        <w:t>Not applicable.</w:t>
      </w:r>
    </w:p>
    <w:p w14:paraId="5D2F26AF" w14:textId="77777777" w:rsidR="00122AD3" w:rsidRPr="00342F7C" w:rsidRDefault="00122AD3">
      <w:pPr>
        <w:pStyle w:val="EMEANormal"/>
        <w:rPr>
          <w:lang w:val="en-GB"/>
        </w:rPr>
      </w:pPr>
    </w:p>
    <w:p w14:paraId="74EBEF1F" w14:textId="77777777" w:rsidR="00D7303D" w:rsidRDefault="00D7303D" w:rsidP="00122AD3">
      <w:pPr>
        <w:pStyle w:val="EMEAHeading2SPC"/>
        <w:spacing w:beforeLines="0" w:before="0" w:afterLines="0" w:after="0"/>
        <w:rPr>
          <w:rFonts w:ascii="Times New Roman" w:hAnsi="Times New Roman"/>
          <w:lang w:val="en-GB"/>
        </w:rPr>
      </w:pPr>
      <w:r w:rsidRPr="00342F7C">
        <w:rPr>
          <w:rFonts w:ascii="Times New Roman" w:hAnsi="Times New Roman"/>
          <w:lang w:val="en-GB"/>
        </w:rPr>
        <w:t>6.3</w:t>
      </w:r>
      <w:r w:rsidRPr="00342F7C">
        <w:rPr>
          <w:rFonts w:ascii="Times New Roman" w:hAnsi="Times New Roman"/>
          <w:lang w:val="en-GB"/>
        </w:rPr>
        <w:tab/>
        <w:t>Shelf life</w:t>
      </w:r>
    </w:p>
    <w:p w14:paraId="1A417984" w14:textId="77777777" w:rsidR="00122AD3" w:rsidRPr="00122AD3" w:rsidRDefault="00122AD3" w:rsidP="00122AD3">
      <w:pPr>
        <w:pStyle w:val="EMEANormal"/>
        <w:rPr>
          <w:lang w:val="en-GB"/>
        </w:rPr>
      </w:pPr>
    </w:p>
    <w:p w14:paraId="5CDF7D2A" w14:textId="77777777" w:rsidR="00D7303D" w:rsidRDefault="00D7303D">
      <w:pPr>
        <w:pStyle w:val="EMEANormal"/>
        <w:rPr>
          <w:lang w:val="en-GB"/>
        </w:rPr>
      </w:pPr>
      <w:r w:rsidRPr="00342F7C">
        <w:rPr>
          <w:lang w:val="en-GB"/>
        </w:rPr>
        <w:t>2 years</w:t>
      </w:r>
    </w:p>
    <w:p w14:paraId="04D1A7A7" w14:textId="77777777" w:rsidR="00122AD3" w:rsidRPr="00342F7C" w:rsidRDefault="00122AD3">
      <w:pPr>
        <w:pStyle w:val="EMEANormal"/>
        <w:rPr>
          <w:lang w:val="en-GB"/>
        </w:rPr>
      </w:pPr>
    </w:p>
    <w:p w14:paraId="7A195AA7" w14:textId="77777777" w:rsidR="00D7303D" w:rsidRDefault="00D7303D" w:rsidP="00122AD3">
      <w:pPr>
        <w:pStyle w:val="EMEAHeading2SPC"/>
        <w:spacing w:beforeLines="0" w:before="0" w:afterLines="0" w:after="0"/>
        <w:rPr>
          <w:rFonts w:ascii="Times New Roman" w:hAnsi="Times New Roman"/>
          <w:lang w:val="en-GB"/>
        </w:rPr>
      </w:pPr>
      <w:r w:rsidRPr="00342F7C">
        <w:rPr>
          <w:rFonts w:ascii="Times New Roman" w:hAnsi="Times New Roman"/>
          <w:lang w:val="en-GB"/>
        </w:rPr>
        <w:t>6.4</w:t>
      </w:r>
      <w:r w:rsidRPr="00342F7C">
        <w:rPr>
          <w:rFonts w:ascii="Times New Roman" w:hAnsi="Times New Roman"/>
          <w:lang w:val="en-GB"/>
        </w:rPr>
        <w:tab/>
        <w:t>Special precautions for storage</w:t>
      </w:r>
    </w:p>
    <w:p w14:paraId="39B7A038" w14:textId="77777777" w:rsidR="00122AD3" w:rsidRPr="00122AD3" w:rsidRDefault="00122AD3" w:rsidP="00122AD3">
      <w:pPr>
        <w:pStyle w:val="EMEANormal"/>
        <w:rPr>
          <w:lang w:val="en-GB"/>
        </w:rPr>
      </w:pPr>
    </w:p>
    <w:p w14:paraId="548A5F61" w14:textId="77777777" w:rsidR="00D7303D" w:rsidRPr="00342F7C" w:rsidRDefault="00D7303D">
      <w:pPr>
        <w:pStyle w:val="EMEANormal"/>
        <w:rPr>
          <w:lang w:val="en-GB"/>
        </w:rPr>
      </w:pPr>
      <w:r w:rsidRPr="00342F7C">
        <w:rPr>
          <w:lang w:val="en-GB"/>
        </w:rPr>
        <w:t xml:space="preserve">Store in a refrigerator (2°C - 8°C).  </w:t>
      </w:r>
    </w:p>
    <w:p w14:paraId="5B7A00AD" w14:textId="77777777" w:rsidR="00D7303D" w:rsidRPr="00342F7C" w:rsidRDefault="00D7303D">
      <w:pPr>
        <w:pStyle w:val="EMEANormal"/>
        <w:rPr>
          <w:lang w:val="en-GB"/>
        </w:rPr>
      </w:pPr>
      <w:r w:rsidRPr="00342F7C">
        <w:rPr>
          <w:lang w:val="en-GB"/>
        </w:rPr>
        <w:t>In use storage:  If kept outside of the refrigerator, do not store above 25</w:t>
      </w:r>
      <w:r w:rsidRPr="00342F7C">
        <w:rPr>
          <w:lang w:val="en-GB"/>
        </w:rPr>
        <w:sym w:font="Symbol" w:char="F0B0"/>
      </w:r>
      <w:r w:rsidRPr="00342F7C">
        <w:rPr>
          <w:lang w:val="en-GB"/>
        </w:rPr>
        <w:t xml:space="preserve">C and discard any unused contents after 42 days (6 weeks).  It is advised to write the date of removal from the refrigerator on the package. </w:t>
      </w:r>
    </w:p>
    <w:p w14:paraId="7278D106" w14:textId="77777777" w:rsidR="00122AD3" w:rsidRPr="00342F7C" w:rsidRDefault="00122AD3">
      <w:pPr>
        <w:pStyle w:val="EMEANormal"/>
        <w:rPr>
          <w:lang w:val="en-GB"/>
        </w:rPr>
      </w:pPr>
    </w:p>
    <w:p w14:paraId="1FF7CDC4" w14:textId="77777777" w:rsidR="00D7303D" w:rsidRDefault="00D7303D" w:rsidP="00122AD3">
      <w:pPr>
        <w:pStyle w:val="EMEAHeading2SPC"/>
        <w:spacing w:beforeLines="0" w:before="0" w:afterLines="0" w:after="0"/>
        <w:rPr>
          <w:rFonts w:ascii="Times New Roman" w:hAnsi="Times New Roman"/>
          <w:lang w:val="en-GB"/>
        </w:rPr>
      </w:pPr>
      <w:r w:rsidRPr="00342F7C">
        <w:rPr>
          <w:rFonts w:ascii="Times New Roman" w:hAnsi="Times New Roman"/>
          <w:lang w:val="en-GB"/>
        </w:rPr>
        <w:t>6.5</w:t>
      </w:r>
      <w:r w:rsidRPr="00342F7C">
        <w:rPr>
          <w:rFonts w:ascii="Times New Roman" w:hAnsi="Times New Roman"/>
          <w:lang w:val="en-GB"/>
        </w:rPr>
        <w:tab/>
        <w:t>Nature and content</w:t>
      </w:r>
      <w:r w:rsidR="00034F0D">
        <w:rPr>
          <w:rFonts w:ascii="Times New Roman" w:hAnsi="Times New Roman"/>
          <w:lang w:val="en-GB"/>
        </w:rPr>
        <w:t>s</w:t>
      </w:r>
      <w:r w:rsidRPr="00342F7C">
        <w:rPr>
          <w:rFonts w:ascii="Times New Roman" w:hAnsi="Times New Roman"/>
          <w:lang w:val="en-GB"/>
        </w:rPr>
        <w:t xml:space="preserve"> of container</w:t>
      </w:r>
    </w:p>
    <w:p w14:paraId="009D91FA" w14:textId="77777777" w:rsidR="00122AD3" w:rsidRPr="00122AD3" w:rsidRDefault="00122AD3" w:rsidP="00122AD3">
      <w:pPr>
        <w:pStyle w:val="EMEANormal"/>
        <w:rPr>
          <w:lang w:val="en-GB"/>
        </w:rPr>
      </w:pPr>
    </w:p>
    <w:p w14:paraId="37F5D905" w14:textId="77777777" w:rsidR="00895A35" w:rsidRDefault="003136CD">
      <w:pPr>
        <w:pStyle w:val="EMEANormal"/>
        <w:rPr>
          <w:lang w:val="en-GB"/>
        </w:rPr>
      </w:pPr>
      <w:r>
        <w:rPr>
          <w:lang w:val="en-GB"/>
        </w:rPr>
        <w:t>Kaletra oral solution is supplied in a</w:t>
      </w:r>
      <w:r w:rsidR="00D7303D" w:rsidRPr="00342F7C">
        <w:rPr>
          <w:lang w:val="en-GB"/>
        </w:rPr>
        <w:t>mber coloured multiple-dose polyethylene terephthalate (PET) bottles in a 60 ml size.</w:t>
      </w:r>
    </w:p>
    <w:p w14:paraId="6D936D4E" w14:textId="77777777" w:rsidR="005F7244" w:rsidRDefault="005F7244">
      <w:pPr>
        <w:pStyle w:val="EMEANormal"/>
        <w:rPr>
          <w:lang w:val="en-GB"/>
        </w:rPr>
      </w:pPr>
    </w:p>
    <w:p w14:paraId="4BD5427F" w14:textId="77777777" w:rsidR="003136CD" w:rsidRPr="00F217C8" w:rsidRDefault="003136CD" w:rsidP="003136CD">
      <w:pPr>
        <w:pStyle w:val="EMEANormal"/>
        <w:rPr>
          <w:lang w:val="en-GB"/>
        </w:rPr>
      </w:pPr>
      <w:r w:rsidRPr="00F217C8">
        <w:rPr>
          <w:lang w:val="en-GB"/>
        </w:rPr>
        <w:t>Two pack sizes are available for Kaletra oral solution:</w:t>
      </w:r>
    </w:p>
    <w:p w14:paraId="4F64D109" w14:textId="77777777" w:rsidR="003136CD" w:rsidRPr="00F217C8" w:rsidRDefault="003136CD" w:rsidP="003136CD">
      <w:pPr>
        <w:pStyle w:val="EMEANormal"/>
        <w:tabs>
          <w:tab w:val="clear" w:pos="562"/>
          <w:tab w:val="left" w:pos="284"/>
        </w:tabs>
        <w:ind w:left="284" w:hanging="284"/>
        <w:rPr>
          <w:lang w:val="en-GB"/>
        </w:rPr>
      </w:pPr>
      <w:r w:rsidRPr="00F217C8">
        <w:rPr>
          <w:lang w:val="en-GB"/>
        </w:rPr>
        <w:t>-</w:t>
      </w:r>
      <w:r w:rsidRPr="00F217C8">
        <w:rPr>
          <w:lang w:val="en-GB"/>
        </w:rPr>
        <w:tab/>
        <w:t>120</w:t>
      </w:r>
      <w:r>
        <w:rPr>
          <w:lang w:val="en-GB"/>
        </w:rPr>
        <w:t xml:space="preserve"> ml (2 bottles </w:t>
      </w:r>
      <w:r w:rsidR="00602905">
        <w:rPr>
          <w:lang w:val="en-GB"/>
        </w:rPr>
        <w:t>x</w:t>
      </w:r>
      <w:r>
        <w:rPr>
          <w:lang w:val="en-GB"/>
        </w:rPr>
        <w:t xml:space="preserve"> 60 ml) with 2 x 2 </w:t>
      </w:r>
      <w:r w:rsidRPr="00F217C8">
        <w:rPr>
          <w:lang w:val="en-GB"/>
        </w:rPr>
        <w:t>m</w:t>
      </w:r>
      <w:r>
        <w:rPr>
          <w:lang w:val="en-GB"/>
        </w:rPr>
        <w:t>l</w:t>
      </w:r>
      <w:r w:rsidRPr="00F217C8">
        <w:rPr>
          <w:lang w:val="en-GB"/>
        </w:rPr>
        <w:t xml:space="preserve"> syringes with </w:t>
      </w:r>
      <w:r>
        <w:rPr>
          <w:lang w:val="en-GB"/>
        </w:rPr>
        <w:t>0.1 </w:t>
      </w:r>
      <w:r w:rsidRPr="00F217C8">
        <w:rPr>
          <w:lang w:val="en-GB"/>
        </w:rPr>
        <w:t>m</w:t>
      </w:r>
      <w:r>
        <w:rPr>
          <w:lang w:val="en-GB"/>
        </w:rPr>
        <w:t>l</w:t>
      </w:r>
      <w:r w:rsidR="009E1C61">
        <w:rPr>
          <w:lang w:val="en-GB"/>
        </w:rPr>
        <w:t xml:space="preserve"> graduations</w:t>
      </w:r>
      <w:r w:rsidR="009E1C61">
        <w:rPr>
          <w:lang w:val="en-GB"/>
        </w:rPr>
        <w:br/>
      </w:r>
      <w:r w:rsidR="009E1C61" w:rsidRPr="00F11D9D">
        <w:rPr>
          <w:u w:val="single"/>
          <w:lang w:val="en-GB"/>
        </w:rPr>
        <w:t>For volumes up to 2 ml.  For larger volumes an alternative pack is available.</w:t>
      </w:r>
      <w:r w:rsidRPr="00F217C8">
        <w:rPr>
          <w:lang w:val="en-GB"/>
        </w:rPr>
        <w:t xml:space="preserve"> </w:t>
      </w:r>
    </w:p>
    <w:p w14:paraId="69B42A5F" w14:textId="77777777" w:rsidR="00D7303D" w:rsidRDefault="003136CD" w:rsidP="003136CD">
      <w:pPr>
        <w:pStyle w:val="EMEANormal"/>
        <w:tabs>
          <w:tab w:val="clear" w:pos="562"/>
          <w:tab w:val="left" w:pos="284"/>
        </w:tabs>
        <w:ind w:left="284" w:hanging="284"/>
        <w:rPr>
          <w:lang w:val="en-GB"/>
        </w:rPr>
      </w:pPr>
      <w:r w:rsidRPr="00F217C8">
        <w:rPr>
          <w:lang w:val="en-GB"/>
        </w:rPr>
        <w:t>-</w:t>
      </w:r>
      <w:r w:rsidRPr="00F217C8">
        <w:rPr>
          <w:lang w:val="en-GB"/>
        </w:rPr>
        <w:tab/>
      </w:r>
      <w:r>
        <w:rPr>
          <w:lang w:val="en-GB"/>
        </w:rPr>
        <w:t xml:space="preserve">300 ml (5 bottles </w:t>
      </w:r>
      <w:r w:rsidR="00602905">
        <w:rPr>
          <w:lang w:val="en-GB"/>
        </w:rPr>
        <w:t>x</w:t>
      </w:r>
      <w:r>
        <w:rPr>
          <w:lang w:val="en-GB"/>
        </w:rPr>
        <w:t> </w:t>
      </w:r>
      <w:r w:rsidRPr="00F217C8">
        <w:rPr>
          <w:lang w:val="en-GB"/>
        </w:rPr>
        <w:t>60 ml) with 5 x 5 m</w:t>
      </w:r>
      <w:r>
        <w:rPr>
          <w:lang w:val="en-GB"/>
        </w:rPr>
        <w:t>l</w:t>
      </w:r>
      <w:r w:rsidRPr="00F217C8">
        <w:rPr>
          <w:lang w:val="en-GB"/>
        </w:rPr>
        <w:t xml:space="preserve"> s</w:t>
      </w:r>
      <w:r w:rsidRPr="00F11D9D">
        <w:rPr>
          <w:lang w:val="en-GB"/>
        </w:rPr>
        <w:t xml:space="preserve">yringes with 0.1 ml graduations </w:t>
      </w:r>
      <w:r w:rsidR="009E1C61" w:rsidRPr="00F11D9D">
        <w:rPr>
          <w:lang w:val="en-GB"/>
        </w:rPr>
        <w:br/>
      </w:r>
      <w:r w:rsidR="009E1C61" w:rsidRPr="00F11D9D">
        <w:rPr>
          <w:u w:val="single"/>
          <w:lang w:val="en-GB"/>
        </w:rPr>
        <w:t>For volumes greater than 2 ml.  For smaller volumes an alternative pack is available.</w:t>
      </w:r>
    </w:p>
    <w:p w14:paraId="3FCA7220" w14:textId="77777777" w:rsidR="00122AD3" w:rsidRPr="00342F7C" w:rsidRDefault="00122AD3">
      <w:pPr>
        <w:pStyle w:val="EMEANormal"/>
        <w:rPr>
          <w:lang w:val="en-GB"/>
        </w:rPr>
      </w:pPr>
    </w:p>
    <w:p w14:paraId="548919E1" w14:textId="77777777" w:rsidR="00D7303D" w:rsidRDefault="00D7303D" w:rsidP="00D16035">
      <w:pPr>
        <w:pStyle w:val="EMEAHeading2SPC"/>
        <w:keepNext/>
        <w:spacing w:beforeLines="0" w:before="0" w:afterLines="0" w:after="0"/>
        <w:rPr>
          <w:rFonts w:ascii="Times New Roman" w:hAnsi="Times New Roman"/>
          <w:lang w:val="en-GB"/>
        </w:rPr>
      </w:pPr>
      <w:r w:rsidRPr="00342F7C">
        <w:rPr>
          <w:rFonts w:ascii="Times New Roman" w:hAnsi="Times New Roman"/>
          <w:lang w:val="en-GB"/>
        </w:rPr>
        <w:t>6.6</w:t>
      </w:r>
      <w:r w:rsidRPr="00342F7C">
        <w:rPr>
          <w:rFonts w:ascii="Times New Roman" w:hAnsi="Times New Roman"/>
          <w:lang w:val="en-GB"/>
        </w:rPr>
        <w:tab/>
        <w:t>Special precautions for disposal</w:t>
      </w:r>
    </w:p>
    <w:p w14:paraId="2AB2A7ED" w14:textId="77777777" w:rsidR="00122AD3" w:rsidRPr="00122AD3" w:rsidRDefault="00122AD3" w:rsidP="00D16035">
      <w:pPr>
        <w:pStyle w:val="EMEANormal"/>
        <w:keepNext/>
        <w:rPr>
          <w:lang w:val="en-GB"/>
        </w:rPr>
      </w:pPr>
    </w:p>
    <w:p w14:paraId="22E10B1D" w14:textId="77777777" w:rsidR="00D7303D" w:rsidRDefault="00D7303D" w:rsidP="00D16035">
      <w:pPr>
        <w:pStyle w:val="EMEANormal"/>
        <w:keepNext/>
        <w:rPr>
          <w:lang w:val="en-GB"/>
        </w:rPr>
      </w:pPr>
      <w:r w:rsidRPr="00342F7C">
        <w:rPr>
          <w:lang w:val="en-GB"/>
        </w:rPr>
        <w:t>No special requirements.</w:t>
      </w:r>
    </w:p>
    <w:p w14:paraId="2E740D1C" w14:textId="77777777" w:rsidR="00122AD3" w:rsidRDefault="00122AD3">
      <w:pPr>
        <w:pStyle w:val="EMEANormal"/>
        <w:rPr>
          <w:lang w:val="en-GB"/>
        </w:rPr>
      </w:pPr>
    </w:p>
    <w:p w14:paraId="3527C024" w14:textId="77777777" w:rsidR="00122AD3" w:rsidRPr="00342F7C" w:rsidRDefault="00122AD3">
      <w:pPr>
        <w:pStyle w:val="EMEANormal"/>
        <w:rPr>
          <w:lang w:val="en-GB"/>
        </w:rPr>
      </w:pPr>
    </w:p>
    <w:p w14:paraId="5102FE2B" w14:textId="77777777" w:rsidR="00D7303D" w:rsidRDefault="00D7303D" w:rsidP="00D16035">
      <w:pPr>
        <w:pStyle w:val="EMEAHeading1"/>
        <w:spacing w:beforeLines="0" w:before="0" w:afterLines="0" w:after="0"/>
        <w:rPr>
          <w:rFonts w:ascii="Times New Roman" w:hAnsi="Times New Roman"/>
          <w:lang w:val="en-GB"/>
        </w:rPr>
      </w:pPr>
      <w:r w:rsidRPr="00342F7C">
        <w:rPr>
          <w:rFonts w:ascii="Times New Roman" w:hAnsi="Times New Roman"/>
          <w:lang w:val="en-GB"/>
        </w:rPr>
        <w:t>7.</w:t>
      </w:r>
      <w:r w:rsidRPr="00342F7C">
        <w:rPr>
          <w:rFonts w:ascii="Times New Roman" w:hAnsi="Times New Roman"/>
          <w:lang w:val="en-GB"/>
        </w:rPr>
        <w:tab/>
        <w:t>MARKETING AUTHORISATION HOLDER</w:t>
      </w:r>
    </w:p>
    <w:p w14:paraId="7ADD9055" w14:textId="77777777" w:rsidR="00122AD3" w:rsidRPr="00122AD3" w:rsidRDefault="00122AD3" w:rsidP="00D16035">
      <w:pPr>
        <w:pStyle w:val="EMEANormal"/>
        <w:rPr>
          <w:lang w:val="en-GB"/>
        </w:rPr>
      </w:pPr>
    </w:p>
    <w:p w14:paraId="20F70F7B" w14:textId="77777777" w:rsidR="00A118F7" w:rsidRPr="00A118F7" w:rsidRDefault="00A118F7" w:rsidP="00A118F7">
      <w:pPr>
        <w:keepNext/>
        <w:autoSpaceDE w:val="0"/>
        <w:autoSpaceDN w:val="0"/>
        <w:adjustRightInd w:val="0"/>
        <w:spacing w:line="240" w:lineRule="atLeast"/>
        <w:rPr>
          <w:sz w:val="22"/>
          <w:szCs w:val="22"/>
          <w:lang w:eastAsia="en-GB"/>
        </w:rPr>
      </w:pPr>
      <w:r w:rsidRPr="00A118F7">
        <w:rPr>
          <w:sz w:val="22"/>
          <w:szCs w:val="22"/>
          <w:lang w:eastAsia="en-GB"/>
        </w:rPr>
        <w:t>AbbVie Deutschland GmbH &amp; Co. KG</w:t>
      </w:r>
    </w:p>
    <w:p w14:paraId="4119AC3D" w14:textId="77777777" w:rsidR="00A118F7" w:rsidRPr="00A118F7" w:rsidRDefault="00A118F7" w:rsidP="00A118F7">
      <w:pPr>
        <w:keepNext/>
        <w:autoSpaceDE w:val="0"/>
        <w:autoSpaceDN w:val="0"/>
        <w:adjustRightInd w:val="0"/>
        <w:spacing w:line="240" w:lineRule="atLeast"/>
        <w:rPr>
          <w:sz w:val="22"/>
          <w:szCs w:val="22"/>
          <w:lang w:eastAsia="en-GB"/>
        </w:rPr>
      </w:pPr>
      <w:r w:rsidRPr="00A118F7">
        <w:rPr>
          <w:sz w:val="22"/>
          <w:szCs w:val="22"/>
          <w:lang w:eastAsia="en-GB"/>
        </w:rPr>
        <w:t>Knollstrasse</w:t>
      </w:r>
    </w:p>
    <w:p w14:paraId="10F16FBD" w14:textId="77777777" w:rsidR="00A118F7" w:rsidRPr="00A118F7" w:rsidRDefault="00A118F7" w:rsidP="00A118F7">
      <w:pPr>
        <w:keepNext/>
        <w:autoSpaceDE w:val="0"/>
        <w:autoSpaceDN w:val="0"/>
        <w:adjustRightInd w:val="0"/>
        <w:spacing w:line="240" w:lineRule="atLeast"/>
        <w:rPr>
          <w:sz w:val="22"/>
          <w:szCs w:val="22"/>
          <w:lang w:eastAsia="en-GB"/>
        </w:rPr>
      </w:pPr>
      <w:r w:rsidRPr="00A118F7">
        <w:rPr>
          <w:sz w:val="22"/>
          <w:szCs w:val="22"/>
          <w:lang w:eastAsia="en-GB"/>
        </w:rPr>
        <w:t>67061 Ludwigshafen</w:t>
      </w:r>
    </w:p>
    <w:p w14:paraId="19585564" w14:textId="77777777" w:rsidR="00D7303D" w:rsidRPr="00A118F7" w:rsidRDefault="00A118F7" w:rsidP="00A118F7">
      <w:pPr>
        <w:pStyle w:val="EMEANormal"/>
        <w:rPr>
          <w:szCs w:val="22"/>
          <w:lang w:val="en-GB"/>
        </w:rPr>
      </w:pPr>
      <w:r w:rsidRPr="00A118F7">
        <w:rPr>
          <w:szCs w:val="22"/>
          <w:lang w:val="en-GB" w:eastAsia="en-GB"/>
        </w:rPr>
        <w:t>Germany</w:t>
      </w:r>
    </w:p>
    <w:p w14:paraId="6CD0ABDA" w14:textId="77777777" w:rsidR="00122AD3" w:rsidRDefault="00122AD3" w:rsidP="00D16035">
      <w:pPr>
        <w:pStyle w:val="EMEANormal"/>
        <w:rPr>
          <w:lang w:val="en-GB"/>
        </w:rPr>
      </w:pPr>
    </w:p>
    <w:p w14:paraId="1C5DB1D3" w14:textId="77777777" w:rsidR="00122AD3" w:rsidRDefault="00122AD3" w:rsidP="00D16035">
      <w:pPr>
        <w:pStyle w:val="EMEANormal"/>
        <w:rPr>
          <w:lang w:val="en-GB"/>
        </w:rPr>
      </w:pPr>
    </w:p>
    <w:p w14:paraId="517BA738" w14:textId="77777777" w:rsidR="00D7303D" w:rsidRDefault="00D7303D" w:rsidP="00D16035">
      <w:pPr>
        <w:pStyle w:val="EMEAHeading1"/>
        <w:spacing w:beforeLines="0" w:before="0" w:afterLines="0" w:after="0"/>
        <w:rPr>
          <w:rFonts w:ascii="Times New Roman" w:hAnsi="Times New Roman"/>
          <w:lang w:val="en-GB"/>
        </w:rPr>
      </w:pPr>
      <w:r w:rsidRPr="00342F7C">
        <w:rPr>
          <w:rFonts w:ascii="Times New Roman" w:hAnsi="Times New Roman"/>
          <w:lang w:val="en-GB"/>
        </w:rPr>
        <w:t>8.</w:t>
      </w:r>
      <w:r w:rsidRPr="00342F7C">
        <w:rPr>
          <w:rFonts w:ascii="Times New Roman" w:hAnsi="Times New Roman"/>
          <w:lang w:val="en-GB"/>
        </w:rPr>
        <w:tab/>
        <w:t>MARKETING AUTHORISATION NUMBER</w:t>
      </w:r>
    </w:p>
    <w:p w14:paraId="0FCAF8B2" w14:textId="77777777" w:rsidR="00122AD3" w:rsidRPr="00122AD3" w:rsidRDefault="00122AD3" w:rsidP="00122AD3">
      <w:pPr>
        <w:pStyle w:val="EMEANormal"/>
        <w:rPr>
          <w:lang w:val="en-GB"/>
        </w:rPr>
      </w:pPr>
    </w:p>
    <w:p w14:paraId="78B386F9" w14:textId="77777777" w:rsidR="00D7303D" w:rsidRDefault="00D7303D">
      <w:pPr>
        <w:pStyle w:val="EMEANormal"/>
        <w:rPr>
          <w:lang w:val="en-GB"/>
        </w:rPr>
      </w:pPr>
      <w:r w:rsidRPr="00342F7C">
        <w:rPr>
          <w:lang w:val="en-GB"/>
        </w:rPr>
        <w:t>EU/1/01/172/003</w:t>
      </w:r>
    </w:p>
    <w:p w14:paraId="1A4DF525" w14:textId="77777777" w:rsidR="003136CD" w:rsidRDefault="003136CD">
      <w:pPr>
        <w:pStyle w:val="EMEANormal"/>
        <w:rPr>
          <w:lang w:val="en-GB"/>
        </w:rPr>
      </w:pPr>
      <w:r w:rsidRPr="00342F7C">
        <w:rPr>
          <w:lang w:val="en-GB"/>
        </w:rPr>
        <w:t>EU/1/01/172/00</w:t>
      </w:r>
      <w:r>
        <w:rPr>
          <w:lang w:val="en-GB"/>
        </w:rPr>
        <w:t>9</w:t>
      </w:r>
    </w:p>
    <w:p w14:paraId="3BC25B7E" w14:textId="77777777" w:rsidR="00122AD3" w:rsidRDefault="00122AD3">
      <w:pPr>
        <w:pStyle w:val="EMEANormal"/>
        <w:rPr>
          <w:lang w:val="en-GB"/>
        </w:rPr>
      </w:pPr>
    </w:p>
    <w:p w14:paraId="2A3CBC74" w14:textId="77777777" w:rsidR="00122AD3" w:rsidRPr="00342F7C" w:rsidRDefault="00122AD3">
      <w:pPr>
        <w:pStyle w:val="EMEANormal"/>
        <w:rPr>
          <w:lang w:val="en-GB"/>
        </w:rPr>
      </w:pPr>
    </w:p>
    <w:p w14:paraId="77167326" w14:textId="77777777" w:rsidR="00D7303D" w:rsidRDefault="00D7303D" w:rsidP="00122AD3">
      <w:pPr>
        <w:pStyle w:val="EMEAHeading1"/>
        <w:spacing w:beforeLines="0" w:before="0" w:afterLines="0" w:after="0"/>
        <w:rPr>
          <w:rFonts w:ascii="Times New Roman" w:hAnsi="Times New Roman"/>
          <w:lang w:val="en-GB"/>
        </w:rPr>
      </w:pPr>
      <w:r w:rsidRPr="00342F7C">
        <w:rPr>
          <w:rFonts w:ascii="Times New Roman" w:hAnsi="Times New Roman"/>
          <w:lang w:val="en-GB"/>
        </w:rPr>
        <w:t>9.</w:t>
      </w:r>
      <w:r w:rsidRPr="00342F7C">
        <w:rPr>
          <w:rFonts w:ascii="Times New Roman" w:hAnsi="Times New Roman"/>
          <w:lang w:val="en-GB"/>
        </w:rPr>
        <w:tab/>
        <w:t>Date of first authorisation/renewal of THE authorisation</w:t>
      </w:r>
    </w:p>
    <w:p w14:paraId="334C5DCF" w14:textId="77777777" w:rsidR="00122AD3" w:rsidRPr="00122AD3" w:rsidRDefault="00122AD3" w:rsidP="00122AD3">
      <w:pPr>
        <w:pStyle w:val="EMEANormal"/>
        <w:rPr>
          <w:lang w:val="en-GB"/>
        </w:rPr>
      </w:pPr>
    </w:p>
    <w:p w14:paraId="13B7A259" w14:textId="77777777" w:rsidR="00D7303D" w:rsidRPr="00342F7C" w:rsidRDefault="00D7303D">
      <w:pPr>
        <w:pStyle w:val="EMEANormal"/>
        <w:rPr>
          <w:lang w:val="en-GB"/>
        </w:rPr>
      </w:pPr>
      <w:r w:rsidRPr="00342F7C">
        <w:rPr>
          <w:lang w:val="en-GB"/>
        </w:rPr>
        <w:t>Date of first authorisation: 20 March 2001</w:t>
      </w:r>
    </w:p>
    <w:p w14:paraId="06DBE323" w14:textId="77777777" w:rsidR="00D7303D" w:rsidRDefault="00D7303D">
      <w:pPr>
        <w:pStyle w:val="EMEANormal"/>
        <w:rPr>
          <w:lang w:val="en-GB"/>
        </w:rPr>
      </w:pPr>
      <w:r w:rsidRPr="00342F7C">
        <w:rPr>
          <w:lang w:val="en-GB"/>
        </w:rPr>
        <w:t xml:space="preserve">Date of latest renewal: </w:t>
      </w:r>
      <w:r>
        <w:rPr>
          <w:lang w:val="en-GB"/>
        </w:rPr>
        <w:t>20 March</w:t>
      </w:r>
      <w:r w:rsidRPr="00342F7C">
        <w:rPr>
          <w:lang w:val="en-GB"/>
        </w:rPr>
        <w:t xml:space="preserve"> 2011</w:t>
      </w:r>
    </w:p>
    <w:p w14:paraId="3CA56F09" w14:textId="77777777" w:rsidR="00122AD3" w:rsidRDefault="00122AD3">
      <w:pPr>
        <w:pStyle w:val="EMEANormal"/>
        <w:rPr>
          <w:lang w:val="en-GB"/>
        </w:rPr>
      </w:pPr>
    </w:p>
    <w:p w14:paraId="31A18463" w14:textId="77777777" w:rsidR="00122AD3" w:rsidRPr="00342F7C" w:rsidRDefault="00122AD3">
      <w:pPr>
        <w:pStyle w:val="EMEANormal"/>
        <w:rPr>
          <w:lang w:val="en-GB"/>
        </w:rPr>
      </w:pPr>
    </w:p>
    <w:p w14:paraId="1C6094D2" w14:textId="77777777" w:rsidR="00D7303D" w:rsidRDefault="00D7303D" w:rsidP="00122AD3">
      <w:pPr>
        <w:pStyle w:val="EMEAHeading1"/>
        <w:spacing w:beforeLines="0" w:before="0" w:afterLines="0" w:after="0"/>
        <w:rPr>
          <w:rFonts w:ascii="Times New Roman" w:hAnsi="Times New Roman"/>
          <w:lang w:val="en-GB"/>
        </w:rPr>
      </w:pPr>
      <w:r w:rsidRPr="00342F7C">
        <w:rPr>
          <w:rFonts w:ascii="Times New Roman" w:hAnsi="Times New Roman"/>
          <w:lang w:val="en-GB"/>
        </w:rPr>
        <w:t>10.</w:t>
      </w:r>
      <w:r w:rsidRPr="00342F7C">
        <w:rPr>
          <w:rFonts w:ascii="Times New Roman" w:hAnsi="Times New Roman"/>
          <w:lang w:val="en-GB"/>
        </w:rPr>
        <w:tab/>
        <w:t>Date of revision of the text</w:t>
      </w:r>
    </w:p>
    <w:p w14:paraId="403A0160" w14:textId="77777777" w:rsidR="00122AD3" w:rsidRPr="00122AD3" w:rsidRDefault="00122AD3" w:rsidP="00122AD3">
      <w:pPr>
        <w:pStyle w:val="EMEANormal"/>
        <w:rPr>
          <w:lang w:val="en-GB"/>
        </w:rPr>
      </w:pPr>
    </w:p>
    <w:p w14:paraId="0C53857D" w14:textId="77777777" w:rsidR="001B28FA" w:rsidRPr="00342F7C" w:rsidRDefault="001B28FA" w:rsidP="00132FBF">
      <w:pPr>
        <w:pStyle w:val="EMEANormal"/>
        <w:rPr>
          <w:iCs/>
          <w:noProof/>
          <w:szCs w:val="22"/>
          <w:lang w:val="en-GB"/>
        </w:rPr>
      </w:pPr>
    </w:p>
    <w:p w14:paraId="7B34B611" w14:textId="77777777" w:rsidR="00D7303D" w:rsidRPr="00342F7C" w:rsidRDefault="00D7303D" w:rsidP="00132FBF">
      <w:pPr>
        <w:pStyle w:val="EMEANormal"/>
        <w:tabs>
          <w:tab w:val="clear" w:pos="562"/>
          <w:tab w:val="left" w:pos="7340"/>
        </w:tabs>
        <w:suppressAutoHyphens w:val="0"/>
        <w:rPr>
          <w:b/>
          <w:bCs/>
          <w:lang w:val="en-GB"/>
        </w:rPr>
      </w:pPr>
      <w:r w:rsidRPr="00342F7C">
        <w:rPr>
          <w:iCs/>
          <w:noProof/>
          <w:szCs w:val="22"/>
          <w:lang w:val="en-GB"/>
        </w:rPr>
        <w:t xml:space="preserve">Detailed information on this product </w:t>
      </w:r>
      <w:r w:rsidRPr="00342F7C">
        <w:rPr>
          <w:noProof/>
          <w:szCs w:val="22"/>
          <w:lang w:val="en-GB"/>
        </w:rPr>
        <w:t xml:space="preserve">is available on the website of the European Medicines Agency </w:t>
      </w:r>
      <w:hyperlink r:id="rId12" w:history="1">
        <w:r w:rsidRPr="00342F7C">
          <w:rPr>
            <w:rStyle w:val="Hyperlink"/>
            <w:noProof/>
            <w:szCs w:val="22"/>
            <w:lang w:val="en-GB"/>
          </w:rPr>
          <w:t>http://www.ema.europa.eu</w:t>
        </w:r>
      </w:hyperlink>
    </w:p>
    <w:p w14:paraId="3039AA14" w14:textId="77777777" w:rsidR="00D7303D" w:rsidRDefault="00D7303D" w:rsidP="006448FB">
      <w:pPr>
        <w:pStyle w:val="EMEAHeading1Para1"/>
        <w:spacing w:afterLines="0" w:after="0"/>
        <w:rPr>
          <w:rFonts w:ascii="Times New Roman" w:hAnsi="Times New Roman"/>
          <w:lang w:val="en-GB"/>
        </w:rPr>
      </w:pPr>
      <w:r w:rsidRPr="00342F7C">
        <w:rPr>
          <w:rFonts w:ascii="Times New Roman" w:hAnsi="Times New Roman"/>
          <w:b w:val="0"/>
          <w:bCs/>
          <w:lang w:val="en-GB"/>
        </w:rPr>
        <w:br w:type="page"/>
      </w:r>
      <w:r w:rsidRPr="00342F7C">
        <w:rPr>
          <w:rFonts w:ascii="Times New Roman" w:hAnsi="Times New Roman"/>
          <w:lang w:val="en-GB"/>
        </w:rPr>
        <w:t>1.</w:t>
      </w:r>
      <w:r w:rsidRPr="00342F7C">
        <w:rPr>
          <w:rFonts w:ascii="Times New Roman" w:hAnsi="Times New Roman"/>
          <w:lang w:val="en-GB"/>
        </w:rPr>
        <w:tab/>
        <w:t xml:space="preserve">Name of the medicinal product </w:t>
      </w:r>
    </w:p>
    <w:p w14:paraId="2F3E9D81" w14:textId="77777777" w:rsidR="006448FB" w:rsidRPr="006448FB" w:rsidRDefault="006448FB" w:rsidP="006448FB">
      <w:pPr>
        <w:pStyle w:val="EMEANormal"/>
        <w:rPr>
          <w:lang w:val="en-GB"/>
        </w:rPr>
      </w:pPr>
    </w:p>
    <w:p w14:paraId="102D2858" w14:textId="77777777" w:rsidR="00D7303D" w:rsidRDefault="00D7303D">
      <w:pPr>
        <w:pStyle w:val="EMEANormal"/>
        <w:rPr>
          <w:lang w:val="en-GB"/>
        </w:rPr>
      </w:pPr>
      <w:r w:rsidRPr="00342F7C">
        <w:rPr>
          <w:lang w:val="en-GB"/>
        </w:rPr>
        <w:t>Kaletra 200 mg/50 mg film-coated tablets</w:t>
      </w:r>
    </w:p>
    <w:p w14:paraId="2F718093" w14:textId="77777777" w:rsidR="006448FB" w:rsidRDefault="006448FB">
      <w:pPr>
        <w:pStyle w:val="EMEANormal"/>
        <w:rPr>
          <w:lang w:val="en-GB"/>
        </w:rPr>
      </w:pPr>
    </w:p>
    <w:p w14:paraId="305E619E" w14:textId="77777777" w:rsidR="006448FB" w:rsidRPr="00342F7C" w:rsidRDefault="006448FB">
      <w:pPr>
        <w:pStyle w:val="EMEANormal"/>
        <w:rPr>
          <w:lang w:val="en-GB"/>
        </w:rPr>
      </w:pPr>
    </w:p>
    <w:p w14:paraId="2FD3B88D" w14:textId="77777777" w:rsidR="00D7303D" w:rsidRDefault="00D7303D" w:rsidP="006448FB">
      <w:pPr>
        <w:pStyle w:val="EMEAHeading1"/>
        <w:spacing w:beforeLines="0" w:before="0" w:afterLines="0" w:after="0"/>
        <w:rPr>
          <w:rFonts w:ascii="Times New Roman" w:hAnsi="Times New Roman"/>
          <w:lang w:val="en-GB"/>
        </w:rPr>
      </w:pPr>
      <w:r w:rsidRPr="00342F7C">
        <w:rPr>
          <w:rFonts w:ascii="Times New Roman" w:hAnsi="Times New Roman"/>
          <w:lang w:val="en-GB"/>
        </w:rPr>
        <w:t>2.</w:t>
      </w:r>
      <w:r w:rsidRPr="00342F7C">
        <w:rPr>
          <w:rFonts w:ascii="Times New Roman" w:hAnsi="Times New Roman"/>
          <w:lang w:val="en-GB"/>
        </w:rPr>
        <w:tab/>
        <w:t xml:space="preserve">Qualitative and quantitative composition </w:t>
      </w:r>
    </w:p>
    <w:p w14:paraId="685BBE01" w14:textId="77777777" w:rsidR="006448FB" w:rsidRPr="006448FB" w:rsidRDefault="006448FB" w:rsidP="006448FB">
      <w:pPr>
        <w:pStyle w:val="EMEANormal"/>
        <w:rPr>
          <w:lang w:val="en-GB"/>
        </w:rPr>
      </w:pPr>
    </w:p>
    <w:p w14:paraId="229522D4" w14:textId="77777777" w:rsidR="00D7303D" w:rsidRPr="00342F7C" w:rsidRDefault="00D7303D">
      <w:pPr>
        <w:pStyle w:val="EMEANormal"/>
        <w:rPr>
          <w:lang w:val="en-GB"/>
        </w:rPr>
      </w:pPr>
      <w:r w:rsidRPr="00342F7C">
        <w:rPr>
          <w:lang w:val="en-GB"/>
        </w:rPr>
        <w:t>Each film-coated tablet contains 200 mg of lopinavir co-formulated with 50 mg of ritonavir as a pharmacokinetic enhancer.</w:t>
      </w:r>
    </w:p>
    <w:p w14:paraId="4E65D929" w14:textId="77777777" w:rsidR="00D7303D" w:rsidRPr="00342F7C" w:rsidRDefault="00D7303D">
      <w:pPr>
        <w:pStyle w:val="EMEANormal"/>
        <w:rPr>
          <w:lang w:val="en-GB"/>
        </w:rPr>
      </w:pPr>
    </w:p>
    <w:p w14:paraId="3448D1F0" w14:textId="77777777" w:rsidR="00D7303D" w:rsidRDefault="00D7303D">
      <w:pPr>
        <w:pStyle w:val="EMEANormal"/>
        <w:rPr>
          <w:lang w:val="en-GB"/>
        </w:rPr>
      </w:pPr>
      <w:r w:rsidRPr="00342F7C">
        <w:rPr>
          <w:lang w:val="en-GB"/>
        </w:rPr>
        <w:t xml:space="preserve">For </w:t>
      </w:r>
      <w:r w:rsidR="003D60DD">
        <w:rPr>
          <w:lang w:val="en-GB"/>
        </w:rPr>
        <w:t>the</w:t>
      </w:r>
      <w:r w:rsidR="003D60DD" w:rsidRPr="00342F7C">
        <w:rPr>
          <w:lang w:val="en-GB"/>
        </w:rPr>
        <w:t xml:space="preserve"> </w:t>
      </w:r>
      <w:r w:rsidRPr="00342F7C">
        <w:rPr>
          <w:lang w:val="en-GB"/>
        </w:rPr>
        <w:t xml:space="preserve">full list of excipients, see section 6.1. </w:t>
      </w:r>
    </w:p>
    <w:p w14:paraId="68AAA812" w14:textId="77777777" w:rsidR="006448FB" w:rsidRDefault="006448FB">
      <w:pPr>
        <w:pStyle w:val="EMEANormal"/>
        <w:rPr>
          <w:lang w:val="en-GB"/>
        </w:rPr>
      </w:pPr>
    </w:p>
    <w:p w14:paraId="75FEAA1B" w14:textId="77777777" w:rsidR="006448FB" w:rsidRPr="00342F7C" w:rsidRDefault="006448FB">
      <w:pPr>
        <w:pStyle w:val="EMEANormal"/>
        <w:rPr>
          <w:lang w:val="en-GB"/>
        </w:rPr>
      </w:pPr>
    </w:p>
    <w:p w14:paraId="45D0B968" w14:textId="77777777" w:rsidR="00D7303D" w:rsidRDefault="00D7303D" w:rsidP="006448FB">
      <w:pPr>
        <w:pStyle w:val="EMEAHeading1"/>
        <w:spacing w:beforeLines="0" w:before="0" w:afterLines="0" w:after="0"/>
        <w:rPr>
          <w:rFonts w:ascii="Times New Roman" w:hAnsi="Times New Roman"/>
          <w:i/>
          <w:lang w:val="en-GB"/>
        </w:rPr>
      </w:pPr>
      <w:r w:rsidRPr="00342F7C">
        <w:rPr>
          <w:rFonts w:ascii="Times New Roman" w:hAnsi="Times New Roman"/>
          <w:lang w:val="en-GB"/>
        </w:rPr>
        <w:t>3.</w:t>
      </w:r>
      <w:r w:rsidRPr="00342F7C">
        <w:rPr>
          <w:rFonts w:ascii="Times New Roman" w:hAnsi="Times New Roman"/>
          <w:lang w:val="en-GB"/>
        </w:rPr>
        <w:tab/>
        <w:t>Pharmaceutical Form</w:t>
      </w:r>
      <w:r w:rsidRPr="00342F7C">
        <w:rPr>
          <w:rFonts w:ascii="Times New Roman" w:hAnsi="Times New Roman"/>
          <w:i/>
          <w:lang w:val="en-GB"/>
        </w:rPr>
        <w:t xml:space="preserve"> </w:t>
      </w:r>
    </w:p>
    <w:p w14:paraId="73659E53" w14:textId="77777777" w:rsidR="006448FB" w:rsidRPr="006448FB" w:rsidRDefault="006448FB" w:rsidP="006448FB">
      <w:pPr>
        <w:pStyle w:val="EMEANormal"/>
        <w:rPr>
          <w:lang w:val="en-GB"/>
        </w:rPr>
      </w:pPr>
    </w:p>
    <w:p w14:paraId="1C77C44D" w14:textId="77777777" w:rsidR="00D7303D" w:rsidRPr="00342F7C" w:rsidRDefault="00D7303D">
      <w:pPr>
        <w:pStyle w:val="EMEANormal"/>
        <w:rPr>
          <w:lang w:val="en-GB"/>
        </w:rPr>
      </w:pPr>
      <w:r w:rsidRPr="00342F7C">
        <w:rPr>
          <w:lang w:val="en-GB"/>
        </w:rPr>
        <w:t>Film-coated tablet</w:t>
      </w:r>
    </w:p>
    <w:p w14:paraId="39B2720C" w14:textId="77777777" w:rsidR="00D7303D" w:rsidRPr="00342F7C" w:rsidRDefault="00D7303D">
      <w:pPr>
        <w:pStyle w:val="EMEANormal"/>
        <w:rPr>
          <w:lang w:val="en-GB"/>
        </w:rPr>
      </w:pPr>
    </w:p>
    <w:p w14:paraId="0DCE196B" w14:textId="0F1AFEAC" w:rsidR="00D7303D" w:rsidRDefault="00A523DF">
      <w:pPr>
        <w:pStyle w:val="EMEANormal"/>
        <w:rPr>
          <w:lang w:val="en-GB"/>
        </w:rPr>
      </w:pPr>
      <w:r w:rsidRPr="00C15E8E">
        <w:rPr>
          <w:lang w:val="en-GB"/>
        </w:rPr>
        <w:t xml:space="preserve">Red </w:t>
      </w:r>
      <w:r w:rsidR="00900D81">
        <w:rPr>
          <w:lang w:val="en-GB"/>
        </w:rPr>
        <w:t>d</w:t>
      </w:r>
      <w:r w:rsidRPr="00C15E8E">
        <w:rPr>
          <w:lang w:val="en-GB"/>
        </w:rPr>
        <w:t>ebossed with [Abbott logo] and “AL”.</w:t>
      </w:r>
    </w:p>
    <w:p w14:paraId="36B1D64B" w14:textId="77777777" w:rsidR="006448FB" w:rsidRDefault="006448FB">
      <w:pPr>
        <w:pStyle w:val="EMEANormal"/>
        <w:rPr>
          <w:lang w:val="en-GB"/>
        </w:rPr>
      </w:pPr>
    </w:p>
    <w:p w14:paraId="5F76CC77" w14:textId="77777777" w:rsidR="006448FB" w:rsidRPr="00342F7C" w:rsidRDefault="006448FB">
      <w:pPr>
        <w:pStyle w:val="EMEANormal"/>
        <w:rPr>
          <w:lang w:val="en-GB"/>
        </w:rPr>
      </w:pPr>
    </w:p>
    <w:p w14:paraId="6B8EED89" w14:textId="77777777" w:rsidR="00D7303D" w:rsidRDefault="00D7303D" w:rsidP="006448FB">
      <w:pPr>
        <w:pStyle w:val="EMEAHeading1"/>
        <w:spacing w:beforeLines="0" w:before="0" w:afterLines="0" w:after="0"/>
        <w:rPr>
          <w:rFonts w:ascii="Times New Roman" w:hAnsi="Times New Roman"/>
          <w:lang w:val="en-GB"/>
        </w:rPr>
      </w:pPr>
      <w:r w:rsidRPr="00342F7C">
        <w:rPr>
          <w:rFonts w:ascii="Times New Roman" w:hAnsi="Times New Roman"/>
          <w:lang w:val="en-GB"/>
        </w:rPr>
        <w:t>4.</w:t>
      </w:r>
      <w:r w:rsidRPr="00342F7C">
        <w:rPr>
          <w:rFonts w:ascii="Times New Roman" w:hAnsi="Times New Roman"/>
          <w:lang w:val="en-GB"/>
        </w:rPr>
        <w:tab/>
        <w:t>Clinical Particulars</w:t>
      </w:r>
    </w:p>
    <w:p w14:paraId="653B87B8" w14:textId="77777777" w:rsidR="006448FB" w:rsidRPr="006448FB" w:rsidRDefault="006448FB" w:rsidP="006448FB">
      <w:pPr>
        <w:pStyle w:val="EMEANormal"/>
        <w:rPr>
          <w:lang w:val="en-GB"/>
        </w:rPr>
      </w:pPr>
    </w:p>
    <w:p w14:paraId="37D28DDD" w14:textId="77777777" w:rsidR="00D7303D" w:rsidRDefault="009100DA" w:rsidP="006448FB">
      <w:pPr>
        <w:pStyle w:val="EMEAHeading2SPCEmpty"/>
        <w:spacing w:afterLines="0" w:after="0"/>
        <w:rPr>
          <w:rFonts w:ascii="Times New Roman" w:hAnsi="Times New Roman"/>
          <w:lang w:val="en-GB"/>
        </w:rPr>
      </w:pPr>
      <w:r>
        <w:rPr>
          <w:rFonts w:ascii="Times New Roman" w:hAnsi="Times New Roman"/>
          <w:lang w:val="en-GB"/>
        </w:rPr>
        <w:t>4.1</w:t>
      </w:r>
      <w:r w:rsidR="00D7303D" w:rsidRPr="00342F7C">
        <w:rPr>
          <w:rFonts w:ascii="Times New Roman" w:hAnsi="Times New Roman"/>
          <w:lang w:val="en-GB"/>
        </w:rPr>
        <w:tab/>
        <w:t>Therapeutic indications</w:t>
      </w:r>
    </w:p>
    <w:p w14:paraId="23991FF8" w14:textId="77777777" w:rsidR="006448FB" w:rsidRPr="006448FB" w:rsidRDefault="006448FB" w:rsidP="006448FB">
      <w:pPr>
        <w:pStyle w:val="EMEANormal"/>
        <w:rPr>
          <w:lang w:val="en-GB"/>
        </w:rPr>
      </w:pPr>
    </w:p>
    <w:p w14:paraId="446C27EA" w14:textId="77777777" w:rsidR="00D7303D" w:rsidRPr="00342F7C" w:rsidRDefault="00D7303D">
      <w:pPr>
        <w:pStyle w:val="EMEANormal"/>
        <w:rPr>
          <w:lang w:val="en-GB"/>
        </w:rPr>
      </w:pPr>
      <w:r w:rsidRPr="00342F7C">
        <w:rPr>
          <w:lang w:val="en-GB"/>
        </w:rPr>
        <w:t xml:space="preserve">Kaletra is indicated in combination with other antiretroviral medicinal products for the treatment of human immunodeficiency virus (HIV-1) infected adults, adolescents and children above the age of 2 years. </w:t>
      </w:r>
    </w:p>
    <w:p w14:paraId="0444060A" w14:textId="77777777" w:rsidR="00D7303D" w:rsidRPr="00342F7C" w:rsidRDefault="00D7303D">
      <w:pPr>
        <w:pStyle w:val="EMEANormal"/>
        <w:rPr>
          <w:lang w:val="en-GB"/>
        </w:rPr>
      </w:pPr>
    </w:p>
    <w:p w14:paraId="40A872CB" w14:textId="77777777" w:rsidR="00D7303D" w:rsidRDefault="00D7303D">
      <w:pPr>
        <w:pStyle w:val="EMEANormal"/>
        <w:rPr>
          <w:lang w:val="en-GB"/>
        </w:rPr>
      </w:pPr>
      <w:r w:rsidRPr="00342F7C">
        <w:rPr>
          <w:lang w:val="en-GB"/>
        </w:rPr>
        <w:t>The choice of Kaletra to treat protease inhibitor experienced HIV-1 infected patients should be based on individual viral resistance testing and treatment history of patients (see sections 4.4 and 5.1).</w:t>
      </w:r>
    </w:p>
    <w:p w14:paraId="1948A253" w14:textId="77777777" w:rsidR="006448FB" w:rsidRPr="00342F7C" w:rsidRDefault="006448FB">
      <w:pPr>
        <w:pStyle w:val="EMEANormal"/>
        <w:rPr>
          <w:lang w:val="en-GB"/>
        </w:rPr>
      </w:pPr>
    </w:p>
    <w:p w14:paraId="1288160F" w14:textId="77777777" w:rsidR="00D7303D" w:rsidRDefault="009100DA" w:rsidP="006448FB">
      <w:pPr>
        <w:pStyle w:val="EMEAHeading2SPC"/>
        <w:spacing w:beforeLines="0" w:before="0" w:afterLines="0" w:after="0"/>
        <w:rPr>
          <w:rFonts w:ascii="Times New Roman" w:hAnsi="Times New Roman"/>
          <w:lang w:val="en-GB"/>
        </w:rPr>
      </w:pPr>
      <w:r>
        <w:rPr>
          <w:rFonts w:ascii="Times New Roman" w:hAnsi="Times New Roman"/>
          <w:lang w:val="en-GB"/>
        </w:rPr>
        <w:t>4.2</w:t>
      </w:r>
      <w:r w:rsidR="00D7303D" w:rsidRPr="00342F7C">
        <w:rPr>
          <w:rFonts w:ascii="Times New Roman" w:hAnsi="Times New Roman"/>
          <w:lang w:val="en-GB"/>
        </w:rPr>
        <w:tab/>
        <w:t>Posology and method of administration</w:t>
      </w:r>
    </w:p>
    <w:p w14:paraId="09C2F101" w14:textId="77777777" w:rsidR="006448FB" w:rsidRPr="006448FB" w:rsidRDefault="006448FB" w:rsidP="006448FB">
      <w:pPr>
        <w:pStyle w:val="EMEANormal"/>
        <w:rPr>
          <w:lang w:val="en-GB"/>
        </w:rPr>
      </w:pPr>
    </w:p>
    <w:p w14:paraId="16A465A5" w14:textId="77777777" w:rsidR="00D7303D" w:rsidRPr="00342F7C" w:rsidRDefault="00D7303D">
      <w:pPr>
        <w:pStyle w:val="EMEANormal"/>
        <w:rPr>
          <w:lang w:val="en-GB"/>
        </w:rPr>
      </w:pPr>
      <w:r w:rsidRPr="00342F7C">
        <w:rPr>
          <w:lang w:val="en-GB"/>
        </w:rPr>
        <w:t>Kaletra should be prescribed by physicians who are experienced in the treatment of HIV infection.</w:t>
      </w:r>
    </w:p>
    <w:p w14:paraId="3BDC19D9" w14:textId="77777777" w:rsidR="00D7303D" w:rsidRPr="00342F7C" w:rsidRDefault="00D7303D">
      <w:pPr>
        <w:pStyle w:val="EMEANormal"/>
        <w:rPr>
          <w:lang w:val="en-GB"/>
        </w:rPr>
      </w:pPr>
    </w:p>
    <w:p w14:paraId="05D86870" w14:textId="77777777" w:rsidR="00D7303D" w:rsidRPr="00342F7C" w:rsidRDefault="00D7303D">
      <w:pPr>
        <w:pStyle w:val="EMEANormal"/>
        <w:rPr>
          <w:lang w:val="en-GB"/>
        </w:rPr>
      </w:pPr>
      <w:r w:rsidRPr="00342F7C">
        <w:rPr>
          <w:lang w:val="en-GB"/>
        </w:rPr>
        <w:t>Kaletra tablets must be swallowed whole and not chewed, broken or crushed.</w:t>
      </w:r>
    </w:p>
    <w:p w14:paraId="5A2B328E" w14:textId="77777777" w:rsidR="00D7303D" w:rsidRPr="00342F7C" w:rsidRDefault="00D7303D">
      <w:pPr>
        <w:pStyle w:val="EMEANormal"/>
        <w:rPr>
          <w:lang w:val="en-GB"/>
        </w:rPr>
      </w:pPr>
    </w:p>
    <w:p w14:paraId="463F4F52" w14:textId="77777777" w:rsidR="00D7303D" w:rsidRPr="00342F7C" w:rsidRDefault="00D7303D">
      <w:pPr>
        <w:pStyle w:val="EMEANormal"/>
        <w:rPr>
          <w:u w:val="single"/>
          <w:lang w:val="en-GB"/>
        </w:rPr>
      </w:pPr>
      <w:r w:rsidRPr="00342F7C">
        <w:rPr>
          <w:u w:val="single"/>
          <w:lang w:val="en-GB"/>
        </w:rPr>
        <w:t>Posology</w:t>
      </w:r>
    </w:p>
    <w:p w14:paraId="05D2DF8C" w14:textId="77777777" w:rsidR="00D7303D" w:rsidRPr="00342F7C" w:rsidRDefault="00D7303D">
      <w:pPr>
        <w:pStyle w:val="EMEANormal"/>
        <w:rPr>
          <w:lang w:val="en-GB"/>
        </w:rPr>
      </w:pPr>
    </w:p>
    <w:p w14:paraId="05D6C0C6" w14:textId="77777777" w:rsidR="003D60DD" w:rsidRDefault="00D7303D">
      <w:pPr>
        <w:pStyle w:val="EMEANormal"/>
        <w:rPr>
          <w:lang w:val="en-GB"/>
        </w:rPr>
      </w:pPr>
      <w:r w:rsidRPr="00342F7C">
        <w:rPr>
          <w:i/>
          <w:lang w:val="en-GB"/>
        </w:rPr>
        <w:t>Adult</w:t>
      </w:r>
      <w:r w:rsidR="003D60DD">
        <w:rPr>
          <w:i/>
          <w:lang w:val="en-GB"/>
        </w:rPr>
        <w:t>s</w:t>
      </w:r>
      <w:r w:rsidRPr="00342F7C">
        <w:rPr>
          <w:i/>
          <w:lang w:val="en-GB"/>
        </w:rPr>
        <w:t xml:space="preserve"> and adolescent</w:t>
      </w:r>
      <w:r w:rsidR="003D60DD">
        <w:rPr>
          <w:i/>
          <w:lang w:val="en-GB"/>
        </w:rPr>
        <w:t>s</w:t>
      </w:r>
      <w:r w:rsidRPr="00342F7C">
        <w:rPr>
          <w:lang w:val="en-GB"/>
        </w:rPr>
        <w:t xml:space="preserve"> </w:t>
      </w:r>
    </w:p>
    <w:p w14:paraId="1AAE2747" w14:textId="77777777" w:rsidR="00D7303D" w:rsidRPr="00342F7C" w:rsidRDefault="003D60DD">
      <w:pPr>
        <w:pStyle w:val="EMEANormal"/>
        <w:rPr>
          <w:lang w:val="en-GB"/>
        </w:rPr>
      </w:pPr>
      <w:r>
        <w:rPr>
          <w:lang w:val="en-GB"/>
        </w:rPr>
        <w:t>T</w:t>
      </w:r>
      <w:r w:rsidR="00D7303D" w:rsidRPr="00342F7C">
        <w:rPr>
          <w:lang w:val="en-GB"/>
        </w:rPr>
        <w:t>he standard recommended dosage of Kaletra tablets is 400/100 mg (two 200/50 mg) tablets twice daily taken with or without food.  In adult patients, in cases where once</w:t>
      </w:r>
      <w:r w:rsidR="00A54853">
        <w:rPr>
          <w:lang w:val="en-GB"/>
        </w:rPr>
        <w:noBreakHyphen/>
      </w:r>
      <w:r w:rsidR="00D7303D" w:rsidRPr="00342F7C">
        <w:rPr>
          <w:lang w:val="en-GB"/>
        </w:rPr>
        <w:t>daily dosing is considered necessary for the management of the patient, Kaletra tablets may be administered as 800/200 mg (four 200/50 mg tablets) once</w:t>
      </w:r>
      <w:r w:rsidR="00DA1428">
        <w:rPr>
          <w:lang w:val="en-GB"/>
        </w:rPr>
        <w:t xml:space="preserve"> </w:t>
      </w:r>
      <w:r w:rsidR="00D7303D" w:rsidRPr="00342F7C">
        <w:rPr>
          <w:lang w:val="en-GB"/>
        </w:rPr>
        <w:t>daily with or without food.  The use of a once</w:t>
      </w:r>
      <w:r w:rsidR="00A54853">
        <w:rPr>
          <w:lang w:val="en-GB"/>
        </w:rPr>
        <w:noBreakHyphen/>
      </w:r>
      <w:r w:rsidR="00D7303D" w:rsidRPr="00342F7C">
        <w:rPr>
          <w:lang w:val="en-GB"/>
        </w:rPr>
        <w:t>daily dosing should be limited to those adult patients having only very few protease inhibitor (PI) associated mutations (i.e. less than 3 PI mutations in line with clinical trial results, see section 5.1 for the full description of the population) and should take into account the risk of a lesser sustainability of the virologic suppression (see section 5.1) and higher risk of diarrhoea (see section 4.8) compared to the recommended standard twice</w:t>
      </w:r>
      <w:r w:rsidR="00A54853">
        <w:rPr>
          <w:lang w:val="en-GB"/>
        </w:rPr>
        <w:noBreakHyphen/>
      </w:r>
      <w:r w:rsidR="00D7303D" w:rsidRPr="00342F7C">
        <w:rPr>
          <w:lang w:val="en-GB"/>
        </w:rPr>
        <w:t>daily dosing.  An oral solution is available to patients who have difficulty swallowing.  Refer to the Summary of Product Characteristics for Kaletra oral solution for dosing instructions.</w:t>
      </w:r>
    </w:p>
    <w:p w14:paraId="26257CE0" w14:textId="77777777" w:rsidR="00D7303D" w:rsidRPr="00342F7C" w:rsidRDefault="00D7303D">
      <w:pPr>
        <w:pStyle w:val="EMEANormal"/>
        <w:rPr>
          <w:lang w:val="en-GB"/>
        </w:rPr>
      </w:pPr>
    </w:p>
    <w:p w14:paraId="07346C0E" w14:textId="77777777" w:rsidR="003D60DD" w:rsidRDefault="00D7303D" w:rsidP="00D16035">
      <w:pPr>
        <w:pStyle w:val="EMEANormal"/>
        <w:keepNext/>
        <w:keepLines/>
        <w:rPr>
          <w:lang w:val="en-GB"/>
        </w:rPr>
      </w:pPr>
      <w:r w:rsidRPr="00342F7C">
        <w:rPr>
          <w:i/>
          <w:lang w:val="en-GB"/>
        </w:rPr>
        <w:t xml:space="preserve">Paediatric </w:t>
      </w:r>
      <w:r w:rsidR="003D60DD">
        <w:rPr>
          <w:i/>
          <w:lang w:val="en-GB"/>
        </w:rPr>
        <w:t>population</w:t>
      </w:r>
      <w:r w:rsidR="003D60DD" w:rsidRPr="00342F7C">
        <w:rPr>
          <w:i/>
          <w:lang w:val="en-GB"/>
        </w:rPr>
        <w:t xml:space="preserve"> </w:t>
      </w:r>
      <w:r w:rsidRPr="00342F7C">
        <w:rPr>
          <w:i/>
          <w:lang w:val="en-GB"/>
        </w:rPr>
        <w:t>(2 years of age and above)</w:t>
      </w:r>
      <w:r w:rsidRPr="00342F7C">
        <w:rPr>
          <w:lang w:val="en-GB"/>
        </w:rPr>
        <w:t xml:space="preserve"> </w:t>
      </w:r>
    </w:p>
    <w:p w14:paraId="0121FDED" w14:textId="77777777" w:rsidR="00D7303D" w:rsidRPr="00342F7C" w:rsidRDefault="003D60DD" w:rsidP="00D16035">
      <w:pPr>
        <w:pStyle w:val="EMEANormal"/>
        <w:keepNext/>
        <w:keepLines/>
        <w:rPr>
          <w:lang w:val="en-GB"/>
        </w:rPr>
      </w:pPr>
      <w:r>
        <w:rPr>
          <w:lang w:val="en-GB"/>
        </w:rPr>
        <w:t>T</w:t>
      </w:r>
      <w:r w:rsidR="00D7303D" w:rsidRPr="00342F7C">
        <w:rPr>
          <w:lang w:val="en-GB"/>
        </w:rPr>
        <w:t>he adult dose of Kaletra tablets (400/100 mg twice daily) may be used in children 40 kg or greater or with a Body Surface Area (BSA)* greater than 1.4 m</w:t>
      </w:r>
      <w:r w:rsidR="00D7303D" w:rsidRPr="00342F7C">
        <w:rPr>
          <w:vertAlign w:val="superscript"/>
          <w:lang w:val="en-GB"/>
        </w:rPr>
        <w:t>2</w:t>
      </w:r>
      <w:r w:rsidR="00D7303D" w:rsidRPr="00342F7C">
        <w:rPr>
          <w:lang w:val="en-GB"/>
        </w:rPr>
        <w:t>.  For children weighing less than 40 kg or with a BSA between 0.5 and 1.4 m</w:t>
      </w:r>
      <w:r w:rsidR="00D7303D" w:rsidRPr="00342F7C">
        <w:rPr>
          <w:vertAlign w:val="superscript"/>
          <w:lang w:val="en-GB"/>
        </w:rPr>
        <w:t>2</w:t>
      </w:r>
      <w:r w:rsidR="00D7303D" w:rsidRPr="00342F7C">
        <w:rPr>
          <w:lang w:val="en-GB"/>
        </w:rPr>
        <w:t xml:space="preserve"> and able to swallow tablets, please refer to the Kaletra 100 mg/25 mg tablets Summary of Product Characteristics.  For children unable to swallow tablets, please refer to the Kaletra oral solution Summary of Product Characteristics.  </w:t>
      </w:r>
      <w:r w:rsidR="009C757F">
        <w:rPr>
          <w:lang w:val="en-GB"/>
        </w:rPr>
        <w:t xml:space="preserve">Based on the </w:t>
      </w:r>
      <w:r w:rsidR="003C4A95">
        <w:rPr>
          <w:lang w:val="en-GB"/>
        </w:rPr>
        <w:t>current</w:t>
      </w:r>
      <w:r w:rsidR="009C757F">
        <w:rPr>
          <w:lang w:val="en-GB"/>
        </w:rPr>
        <w:t xml:space="preserve"> data available, </w:t>
      </w:r>
      <w:r w:rsidR="00D7303D" w:rsidRPr="00342F7C">
        <w:rPr>
          <w:lang w:val="en-GB"/>
        </w:rPr>
        <w:t xml:space="preserve">Kaletra </w:t>
      </w:r>
      <w:r w:rsidR="00CA08D8">
        <w:rPr>
          <w:lang w:val="en-GB"/>
        </w:rPr>
        <w:t>should not be administered once</w:t>
      </w:r>
      <w:r w:rsidR="004F2509">
        <w:rPr>
          <w:lang w:val="en-GB"/>
        </w:rPr>
        <w:t xml:space="preserve"> </w:t>
      </w:r>
      <w:r w:rsidR="00CA08D8">
        <w:rPr>
          <w:lang w:val="en-GB"/>
        </w:rPr>
        <w:t>daily</w:t>
      </w:r>
      <w:r w:rsidR="00CA08D8" w:rsidRPr="00C15E8E">
        <w:rPr>
          <w:lang w:val="en-GB"/>
        </w:rPr>
        <w:t xml:space="preserve"> </w:t>
      </w:r>
      <w:r w:rsidR="00D7303D" w:rsidRPr="00FE7FF3">
        <w:rPr>
          <w:lang w:val="en-GB"/>
        </w:rPr>
        <w:t>in paediatric patients</w:t>
      </w:r>
      <w:r w:rsidR="009C757F">
        <w:rPr>
          <w:lang w:val="en-GB"/>
        </w:rPr>
        <w:t xml:space="preserve"> (see section 5.1)</w:t>
      </w:r>
      <w:r w:rsidR="00D7303D" w:rsidRPr="00FE7FF3">
        <w:rPr>
          <w:lang w:val="en-GB"/>
        </w:rPr>
        <w:t>.</w:t>
      </w:r>
    </w:p>
    <w:p w14:paraId="1017205A" w14:textId="77777777" w:rsidR="00D7303D" w:rsidRPr="00342F7C" w:rsidRDefault="00D7303D">
      <w:pPr>
        <w:pStyle w:val="EMEANormal"/>
        <w:rPr>
          <w:lang w:val="en-GB"/>
        </w:rPr>
      </w:pPr>
    </w:p>
    <w:p w14:paraId="6240D976" w14:textId="77777777" w:rsidR="00D7303D" w:rsidRPr="00342F7C" w:rsidRDefault="00D7303D">
      <w:pPr>
        <w:pStyle w:val="EMEANormal"/>
        <w:tabs>
          <w:tab w:val="clear" w:pos="562"/>
          <w:tab w:val="left" w:pos="220"/>
        </w:tabs>
        <w:rPr>
          <w:lang w:val="en-GB"/>
        </w:rPr>
      </w:pPr>
      <w:r w:rsidRPr="00342F7C">
        <w:rPr>
          <w:lang w:val="en-GB"/>
        </w:rPr>
        <w:t>*</w:t>
      </w:r>
      <w:r w:rsidRPr="00342F7C">
        <w:rPr>
          <w:lang w:val="en-GB"/>
        </w:rPr>
        <w:tab/>
        <w:t>Body surface area can be calculated with the following equation:</w:t>
      </w:r>
    </w:p>
    <w:p w14:paraId="6CE3751E" w14:textId="77777777" w:rsidR="00D7303D" w:rsidRPr="00342F7C" w:rsidRDefault="00D7303D">
      <w:pPr>
        <w:pStyle w:val="EMEANormal"/>
        <w:rPr>
          <w:lang w:val="en-GB"/>
        </w:rPr>
      </w:pPr>
    </w:p>
    <w:p w14:paraId="6D1101F9" w14:textId="77777777" w:rsidR="00D7303D" w:rsidRPr="00342F7C" w:rsidRDefault="00D7303D">
      <w:pPr>
        <w:pStyle w:val="EMEANormal"/>
        <w:jc w:val="center"/>
        <w:rPr>
          <w:lang w:val="en-GB"/>
        </w:rPr>
      </w:pPr>
      <w:r w:rsidRPr="00342F7C">
        <w:rPr>
          <w:lang w:val="en-GB"/>
        </w:rPr>
        <w:t>BSA (m</w:t>
      </w:r>
      <w:r w:rsidRPr="00342F7C">
        <w:rPr>
          <w:vertAlign w:val="superscript"/>
          <w:lang w:val="en-GB"/>
        </w:rPr>
        <w:t>2</w:t>
      </w:r>
      <w:r w:rsidRPr="00342F7C">
        <w:rPr>
          <w:lang w:val="en-GB"/>
        </w:rPr>
        <w:t xml:space="preserve">) = </w:t>
      </w:r>
      <w:r w:rsidRPr="00342F7C">
        <w:rPr>
          <w:lang w:val="en-GB"/>
        </w:rPr>
        <w:sym w:font="Symbol" w:char="F0D6"/>
      </w:r>
      <w:r w:rsidRPr="00342F7C">
        <w:rPr>
          <w:lang w:val="en-GB"/>
        </w:rPr>
        <w:t xml:space="preserve"> (Height (cm) X Weight (kg) / 3600)</w:t>
      </w:r>
    </w:p>
    <w:p w14:paraId="408593E2" w14:textId="77777777" w:rsidR="00D7303D" w:rsidRPr="00342F7C" w:rsidRDefault="00D7303D">
      <w:pPr>
        <w:pStyle w:val="EMEANormal"/>
        <w:rPr>
          <w:lang w:val="en-GB"/>
        </w:rPr>
      </w:pPr>
    </w:p>
    <w:p w14:paraId="5F872AA1" w14:textId="77777777" w:rsidR="005C5A30" w:rsidRDefault="00D7303D">
      <w:pPr>
        <w:pStyle w:val="EMEANormal"/>
        <w:rPr>
          <w:lang w:val="en-GB"/>
        </w:rPr>
      </w:pPr>
      <w:r w:rsidRPr="00342F7C">
        <w:rPr>
          <w:i/>
          <w:lang w:val="en-GB"/>
        </w:rPr>
        <w:t>Children less than 2 years of age</w:t>
      </w:r>
      <w:r w:rsidRPr="00342F7C">
        <w:rPr>
          <w:lang w:val="en-GB"/>
        </w:rPr>
        <w:t xml:space="preserve"> </w:t>
      </w:r>
    </w:p>
    <w:p w14:paraId="5F7B410C" w14:textId="77777777" w:rsidR="00D7303D" w:rsidRPr="00342F7C" w:rsidRDefault="005C5A30">
      <w:pPr>
        <w:pStyle w:val="EMEANormal"/>
        <w:rPr>
          <w:lang w:val="en-GB"/>
        </w:rPr>
      </w:pPr>
      <w:r>
        <w:rPr>
          <w:lang w:val="en-GB"/>
        </w:rPr>
        <w:t>T</w:t>
      </w:r>
      <w:r w:rsidR="00D7303D" w:rsidRPr="00342F7C">
        <w:rPr>
          <w:lang w:val="en-GB"/>
        </w:rPr>
        <w:t xml:space="preserve">he safety and efficacy of Kaletra in children aged less than 2 years have not yet been established.  Currently available data are described in section 5.2 but no recommendation on a posology can be made. </w:t>
      </w:r>
    </w:p>
    <w:p w14:paraId="167B4C0B" w14:textId="77777777" w:rsidR="00D7303D" w:rsidRPr="00342F7C" w:rsidRDefault="00D7303D">
      <w:pPr>
        <w:pStyle w:val="EMEANormal"/>
        <w:rPr>
          <w:lang w:val="en-GB"/>
        </w:rPr>
      </w:pPr>
    </w:p>
    <w:p w14:paraId="1320FDF1" w14:textId="77777777" w:rsidR="00D7303D" w:rsidRPr="00342F7C" w:rsidRDefault="00D7303D">
      <w:pPr>
        <w:pStyle w:val="EMEANormal"/>
        <w:rPr>
          <w:i/>
          <w:iCs/>
          <w:lang w:val="en-GB"/>
        </w:rPr>
      </w:pPr>
      <w:r w:rsidRPr="00342F7C">
        <w:rPr>
          <w:i/>
          <w:iCs/>
          <w:lang w:val="en-GB"/>
        </w:rPr>
        <w:t>Concomitant Therapy: Efavirenz or nevirapine</w:t>
      </w:r>
    </w:p>
    <w:p w14:paraId="73BAC603" w14:textId="77777777" w:rsidR="00D7303D" w:rsidRPr="00342F7C" w:rsidRDefault="00D7303D">
      <w:pPr>
        <w:pStyle w:val="EMEANormal"/>
        <w:rPr>
          <w:lang w:val="en-GB"/>
        </w:rPr>
      </w:pPr>
      <w:r w:rsidRPr="00342F7C">
        <w:rPr>
          <w:lang w:val="en-GB"/>
        </w:rPr>
        <w:t>The following table contains dosing guidelines for Kaletra tablets based on BSA when used in combination with efavirenz or nevirapine in children.</w:t>
      </w:r>
    </w:p>
    <w:p w14:paraId="5F4B5B85" w14:textId="77777777" w:rsidR="00D7303D" w:rsidRPr="00342F7C" w:rsidRDefault="00D7303D">
      <w:pPr>
        <w:pStyle w:val="EMEANormal"/>
        <w:rPr>
          <w:lang w:val="en-GB"/>
        </w:rPr>
      </w:pPr>
    </w:p>
    <w:tbl>
      <w:tblPr>
        <w:tblW w:w="69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0"/>
        <w:gridCol w:w="4185"/>
      </w:tblGrid>
      <w:tr w:rsidR="00D7303D" w:rsidRPr="00342F7C" w14:paraId="2A126E3C" w14:textId="77777777">
        <w:trPr>
          <w:cantSplit/>
          <w:jc w:val="center"/>
        </w:trPr>
        <w:tc>
          <w:tcPr>
            <w:tcW w:w="6935" w:type="dxa"/>
            <w:gridSpan w:val="2"/>
          </w:tcPr>
          <w:p w14:paraId="6902F606" w14:textId="77777777" w:rsidR="00D7303D" w:rsidRPr="00342F7C" w:rsidRDefault="00D7303D">
            <w:pPr>
              <w:pStyle w:val="Heading1"/>
              <w:spacing w:before="120"/>
              <w:jc w:val="center"/>
            </w:pPr>
            <w:r w:rsidRPr="00342F7C">
              <w:t xml:space="preserve">Paediatric dosing guidelines with </w:t>
            </w:r>
          </w:p>
          <w:p w14:paraId="31A535EC" w14:textId="77777777" w:rsidR="00D7303D" w:rsidRPr="00342F7C" w:rsidRDefault="00D7303D">
            <w:pPr>
              <w:pStyle w:val="Heading1"/>
              <w:spacing w:after="120"/>
              <w:jc w:val="center"/>
              <w:rPr>
                <w:b w:val="0"/>
                <w:bCs/>
              </w:rPr>
            </w:pPr>
            <w:r w:rsidRPr="00342F7C">
              <w:t>concomitant efavirenz or nevirapine</w:t>
            </w:r>
          </w:p>
        </w:tc>
      </w:tr>
      <w:tr w:rsidR="00D7303D" w:rsidRPr="00342F7C" w14:paraId="7917CAC9" w14:textId="77777777">
        <w:trPr>
          <w:cantSplit/>
          <w:jc w:val="center"/>
        </w:trPr>
        <w:tc>
          <w:tcPr>
            <w:tcW w:w="2750" w:type="dxa"/>
          </w:tcPr>
          <w:p w14:paraId="201BC2EC" w14:textId="77777777" w:rsidR="00D7303D" w:rsidRPr="00342F7C" w:rsidRDefault="00D7303D">
            <w:pPr>
              <w:autoSpaceDE w:val="0"/>
              <w:autoSpaceDN w:val="0"/>
              <w:adjustRightInd w:val="0"/>
              <w:spacing w:before="120" w:line="240" w:lineRule="atLeast"/>
              <w:jc w:val="center"/>
              <w:rPr>
                <w:sz w:val="22"/>
              </w:rPr>
            </w:pPr>
            <w:r w:rsidRPr="00342F7C">
              <w:rPr>
                <w:sz w:val="22"/>
              </w:rPr>
              <w:t>Body Surface Area (m</w:t>
            </w:r>
            <w:r w:rsidRPr="00342F7C">
              <w:rPr>
                <w:sz w:val="22"/>
                <w:vertAlign w:val="superscript"/>
              </w:rPr>
              <w:t>2</w:t>
            </w:r>
            <w:r w:rsidRPr="00342F7C">
              <w:rPr>
                <w:sz w:val="22"/>
              </w:rPr>
              <w:t>)</w:t>
            </w:r>
          </w:p>
        </w:tc>
        <w:tc>
          <w:tcPr>
            <w:tcW w:w="4185" w:type="dxa"/>
          </w:tcPr>
          <w:p w14:paraId="6411AA61" w14:textId="77777777" w:rsidR="00D7303D" w:rsidRPr="00342F7C" w:rsidRDefault="00D7303D">
            <w:pPr>
              <w:pStyle w:val="BodyText"/>
            </w:pPr>
            <w:r w:rsidRPr="00342F7C">
              <w:t xml:space="preserve">Recommended lopinavir/ritonavir dosing (mg) twice daily.  </w:t>
            </w:r>
          </w:p>
          <w:p w14:paraId="14C2327E" w14:textId="77777777" w:rsidR="00D7303D" w:rsidRPr="00342F7C" w:rsidRDefault="00D7303D">
            <w:pPr>
              <w:autoSpaceDE w:val="0"/>
              <w:autoSpaceDN w:val="0"/>
              <w:adjustRightInd w:val="0"/>
              <w:spacing w:after="120" w:line="240" w:lineRule="atLeast"/>
              <w:jc w:val="center"/>
              <w:rPr>
                <w:sz w:val="22"/>
              </w:rPr>
            </w:pPr>
            <w:r w:rsidRPr="00342F7C">
              <w:rPr>
                <w:sz w:val="22"/>
              </w:rPr>
              <w:t>The adequate dosing may be achieved with the two available strengths of Kaletra tablets: 100/25 mg and 200/50 mg.*</w:t>
            </w:r>
          </w:p>
        </w:tc>
      </w:tr>
      <w:tr w:rsidR="00D7303D" w:rsidRPr="00342F7C" w14:paraId="5EB63713" w14:textId="77777777">
        <w:trPr>
          <w:jc w:val="center"/>
        </w:trPr>
        <w:tc>
          <w:tcPr>
            <w:tcW w:w="2750" w:type="dxa"/>
          </w:tcPr>
          <w:p w14:paraId="20CB7802" w14:textId="77777777" w:rsidR="00D7303D" w:rsidRPr="00342F7C" w:rsidRDefault="00D7303D">
            <w:pPr>
              <w:pStyle w:val="Header"/>
              <w:tabs>
                <w:tab w:val="clear" w:pos="4320"/>
                <w:tab w:val="clear" w:pos="8640"/>
              </w:tabs>
              <w:autoSpaceDE w:val="0"/>
              <w:autoSpaceDN w:val="0"/>
              <w:adjustRightInd w:val="0"/>
              <w:spacing w:line="240" w:lineRule="atLeast"/>
              <w:jc w:val="center"/>
              <w:rPr>
                <w:lang w:val="en-GB"/>
              </w:rPr>
            </w:pPr>
            <w:r w:rsidRPr="00342F7C">
              <w:rPr>
                <w:lang w:val="en-GB"/>
              </w:rPr>
              <w:sym w:font="Symbol" w:char="F0B3"/>
            </w:r>
            <w:r w:rsidRPr="00342F7C">
              <w:rPr>
                <w:lang w:val="en-GB"/>
              </w:rPr>
              <w:t> 0.5 to &lt; 0.8</w:t>
            </w:r>
          </w:p>
        </w:tc>
        <w:tc>
          <w:tcPr>
            <w:tcW w:w="4185" w:type="dxa"/>
          </w:tcPr>
          <w:p w14:paraId="38C7A949" w14:textId="77777777" w:rsidR="00D7303D" w:rsidRPr="00342F7C" w:rsidRDefault="00D7303D">
            <w:pPr>
              <w:autoSpaceDE w:val="0"/>
              <w:autoSpaceDN w:val="0"/>
              <w:adjustRightInd w:val="0"/>
              <w:spacing w:line="240" w:lineRule="atLeast"/>
              <w:jc w:val="center"/>
              <w:rPr>
                <w:sz w:val="22"/>
              </w:rPr>
            </w:pPr>
            <w:r w:rsidRPr="00342F7C">
              <w:rPr>
                <w:sz w:val="22"/>
              </w:rPr>
              <w:t>200/50 mg</w:t>
            </w:r>
          </w:p>
        </w:tc>
      </w:tr>
      <w:tr w:rsidR="00D7303D" w:rsidRPr="00342F7C" w14:paraId="31444D48" w14:textId="77777777">
        <w:trPr>
          <w:jc w:val="center"/>
        </w:trPr>
        <w:tc>
          <w:tcPr>
            <w:tcW w:w="2750" w:type="dxa"/>
          </w:tcPr>
          <w:p w14:paraId="0F6BC0C7" w14:textId="77777777" w:rsidR="00D7303D" w:rsidRPr="00342F7C" w:rsidRDefault="00D7303D">
            <w:pPr>
              <w:autoSpaceDE w:val="0"/>
              <w:autoSpaceDN w:val="0"/>
              <w:adjustRightInd w:val="0"/>
              <w:spacing w:line="240" w:lineRule="atLeast"/>
              <w:jc w:val="center"/>
              <w:rPr>
                <w:sz w:val="22"/>
              </w:rPr>
            </w:pPr>
            <w:r w:rsidRPr="00342F7C">
              <w:rPr>
                <w:sz w:val="22"/>
              </w:rPr>
              <w:sym w:font="Symbol" w:char="F0B3"/>
            </w:r>
            <w:r w:rsidRPr="00342F7C">
              <w:rPr>
                <w:sz w:val="22"/>
              </w:rPr>
              <w:t> 0.8 to &lt; 1.2</w:t>
            </w:r>
          </w:p>
        </w:tc>
        <w:tc>
          <w:tcPr>
            <w:tcW w:w="4185" w:type="dxa"/>
          </w:tcPr>
          <w:p w14:paraId="33CF42D9" w14:textId="77777777" w:rsidR="00D7303D" w:rsidRPr="00342F7C" w:rsidRDefault="00D7303D">
            <w:pPr>
              <w:autoSpaceDE w:val="0"/>
              <w:autoSpaceDN w:val="0"/>
              <w:adjustRightInd w:val="0"/>
              <w:spacing w:line="240" w:lineRule="atLeast"/>
              <w:jc w:val="center"/>
              <w:rPr>
                <w:sz w:val="22"/>
              </w:rPr>
            </w:pPr>
            <w:r w:rsidRPr="00342F7C">
              <w:rPr>
                <w:sz w:val="22"/>
              </w:rPr>
              <w:t>300/75 mg</w:t>
            </w:r>
          </w:p>
        </w:tc>
      </w:tr>
      <w:tr w:rsidR="00D7303D" w:rsidRPr="00342F7C" w14:paraId="623DB823" w14:textId="77777777">
        <w:trPr>
          <w:jc w:val="center"/>
        </w:trPr>
        <w:tc>
          <w:tcPr>
            <w:tcW w:w="2750" w:type="dxa"/>
          </w:tcPr>
          <w:p w14:paraId="2455A3D1" w14:textId="77777777" w:rsidR="00D7303D" w:rsidRPr="00342F7C" w:rsidRDefault="00D7303D">
            <w:pPr>
              <w:autoSpaceDE w:val="0"/>
              <w:autoSpaceDN w:val="0"/>
              <w:adjustRightInd w:val="0"/>
              <w:spacing w:line="240" w:lineRule="atLeast"/>
              <w:jc w:val="center"/>
              <w:rPr>
                <w:sz w:val="22"/>
              </w:rPr>
            </w:pPr>
            <w:r w:rsidRPr="00342F7C">
              <w:rPr>
                <w:sz w:val="22"/>
              </w:rPr>
              <w:sym w:font="Symbol" w:char="F0B3"/>
            </w:r>
            <w:r w:rsidRPr="00342F7C">
              <w:rPr>
                <w:sz w:val="22"/>
              </w:rPr>
              <w:t> 1.2 to &lt; 1.4</w:t>
            </w:r>
          </w:p>
        </w:tc>
        <w:tc>
          <w:tcPr>
            <w:tcW w:w="4185" w:type="dxa"/>
          </w:tcPr>
          <w:p w14:paraId="047A488B" w14:textId="77777777" w:rsidR="00D7303D" w:rsidRPr="00342F7C" w:rsidRDefault="00D7303D">
            <w:pPr>
              <w:autoSpaceDE w:val="0"/>
              <w:autoSpaceDN w:val="0"/>
              <w:adjustRightInd w:val="0"/>
              <w:spacing w:line="240" w:lineRule="atLeast"/>
              <w:jc w:val="center"/>
              <w:rPr>
                <w:sz w:val="22"/>
              </w:rPr>
            </w:pPr>
            <w:r w:rsidRPr="00342F7C">
              <w:rPr>
                <w:sz w:val="22"/>
              </w:rPr>
              <w:t>400/100 mg</w:t>
            </w:r>
          </w:p>
        </w:tc>
      </w:tr>
      <w:tr w:rsidR="00D7303D" w:rsidRPr="00342F7C" w14:paraId="109559B8" w14:textId="77777777">
        <w:trPr>
          <w:jc w:val="center"/>
        </w:trPr>
        <w:tc>
          <w:tcPr>
            <w:tcW w:w="2750" w:type="dxa"/>
          </w:tcPr>
          <w:p w14:paraId="74CE0708" w14:textId="77777777" w:rsidR="00D7303D" w:rsidRPr="00342F7C" w:rsidRDefault="00D7303D">
            <w:pPr>
              <w:autoSpaceDE w:val="0"/>
              <w:autoSpaceDN w:val="0"/>
              <w:adjustRightInd w:val="0"/>
              <w:spacing w:line="240" w:lineRule="atLeast"/>
              <w:jc w:val="center"/>
              <w:rPr>
                <w:sz w:val="22"/>
              </w:rPr>
            </w:pPr>
            <w:r w:rsidRPr="00342F7C">
              <w:rPr>
                <w:sz w:val="22"/>
              </w:rPr>
              <w:sym w:font="Symbol" w:char="F0B3"/>
            </w:r>
            <w:r w:rsidRPr="00342F7C">
              <w:rPr>
                <w:sz w:val="22"/>
              </w:rPr>
              <w:t> 1.4</w:t>
            </w:r>
          </w:p>
        </w:tc>
        <w:tc>
          <w:tcPr>
            <w:tcW w:w="4185" w:type="dxa"/>
          </w:tcPr>
          <w:p w14:paraId="1EF0A276" w14:textId="77777777" w:rsidR="00D7303D" w:rsidRPr="00342F7C" w:rsidRDefault="00D7303D">
            <w:pPr>
              <w:autoSpaceDE w:val="0"/>
              <w:autoSpaceDN w:val="0"/>
              <w:adjustRightInd w:val="0"/>
              <w:spacing w:line="240" w:lineRule="atLeast"/>
              <w:jc w:val="center"/>
              <w:rPr>
                <w:sz w:val="22"/>
              </w:rPr>
            </w:pPr>
            <w:r w:rsidRPr="00342F7C">
              <w:rPr>
                <w:sz w:val="22"/>
              </w:rPr>
              <w:t>500/125 mg</w:t>
            </w:r>
          </w:p>
        </w:tc>
      </w:tr>
    </w:tbl>
    <w:p w14:paraId="4C9F9AF2" w14:textId="77777777" w:rsidR="00D7303D" w:rsidRPr="00342F7C" w:rsidRDefault="00D7303D">
      <w:pPr>
        <w:pStyle w:val="EMEANormal"/>
        <w:ind w:left="1080"/>
        <w:rPr>
          <w:lang w:val="en-GB"/>
        </w:rPr>
      </w:pPr>
      <w:r w:rsidRPr="00342F7C">
        <w:rPr>
          <w:lang w:val="en-GB"/>
        </w:rPr>
        <w:t>* Kaletra tablets must not be chewed, broken or crushed.</w:t>
      </w:r>
    </w:p>
    <w:p w14:paraId="22080B1C" w14:textId="77777777" w:rsidR="00D7303D" w:rsidRPr="00342F7C" w:rsidRDefault="00D7303D">
      <w:pPr>
        <w:pStyle w:val="EMEANormal"/>
        <w:rPr>
          <w:lang w:val="en-GB"/>
        </w:rPr>
      </w:pPr>
    </w:p>
    <w:p w14:paraId="299EF8CE" w14:textId="77777777" w:rsidR="003749E7" w:rsidRDefault="00D7303D">
      <w:pPr>
        <w:pStyle w:val="EMEANormal"/>
        <w:rPr>
          <w:lang w:val="en-GB"/>
        </w:rPr>
      </w:pPr>
      <w:r w:rsidRPr="00342F7C">
        <w:rPr>
          <w:i/>
          <w:iCs/>
          <w:lang w:val="en-GB"/>
        </w:rPr>
        <w:t>Hepatic impairment</w:t>
      </w:r>
    </w:p>
    <w:p w14:paraId="52BBC330" w14:textId="77777777" w:rsidR="00D7303D" w:rsidRPr="00342F7C" w:rsidRDefault="00D7303D">
      <w:pPr>
        <w:pStyle w:val="EMEANormal"/>
        <w:rPr>
          <w:lang w:val="en-GB"/>
        </w:rPr>
      </w:pPr>
      <w:r w:rsidRPr="00342F7C">
        <w:rPr>
          <w:lang w:val="en-GB"/>
        </w:rPr>
        <w:t>In HIV-infected patients with mild to moderate hepatic impairment, an increase of approximately 30% in lopinavir exposure has been observed but is not expected to be of clinical relevance (see section 5.2).  No data are available in patients with severe hepatic impairment.  Kaletra must not be given to these patients (see section 4.3).</w:t>
      </w:r>
    </w:p>
    <w:p w14:paraId="083BE5CD" w14:textId="77777777" w:rsidR="00D7303D" w:rsidRPr="00342F7C" w:rsidRDefault="00D7303D">
      <w:pPr>
        <w:pStyle w:val="EMEANormal"/>
        <w:rPr>
          <w:lang w:val="en-GB"/>
        </w:rPr>
      </w:pPr>
    </w:p>
    <w:p w14:paraId="7CEBA962" w14:textId="77777777" w:rsidR="003749E7" w:rsidRDefault="00D7303D">
      <w:pPr>
        <w:pStyle w:val="EMEANormal"/>
        <w:rPr>
          <w:lang w:val="en-GB"/>
        </w:rPr>
      </w:pPr>
      <w:r w:rsidRPr="00342F7C">
        <w:rPr>
          <w:i/>
          <w:lang w:val="en-GB"/>
        </w:rPr>
        <w:t>Renal impairment</w:t>
      </w:r>
    </w:p>
    <w:p w14:paraId="77CE127A" w14:textId="77777777" w:rsidR="00D7303D" w:rsidRPr="00342F7C" w:rsidRDefault="003749E7">
      <w:pPr>
        <w:pStyle w:val="EMEANormal"/>
        <w:rPr>
          <w:lang w:val="en-GB"/>
        </w:rPr>
      </w:pPr>
      <w:r>
        <w:rPr>
          <w:lang w:val="en-GB"/>
        </w:rPr>
        <w:t>S</w:t>
      </w:r>
      <w:r w:rsidR="00D7303D" w:rsidRPr="00342F7C">
        <w:rPr>
          <w:lang w:val="en-GB"/>
        </w:rPr>
        <w:t xml:space="preserve">ince the renal clearance of lopinavir and ritonavir is negligible, increased plasma concentrations are not expected in patients with renal impairment.  Because lopinavir and ritonavir are highly protein bound, it is unlikely that they will be significantly removed by haemodialysis or peritoneal dialysis.  </w:t>
      </w:r>
    </w:p>
    <w:p w14:paraId="37A7D885" w14:textId="77777777" w:rsidR="00D7303D" w:rsidRPr="00342F7C" w:rsidRDefault="00D7303D">
      <w:pPr>
        <w:pStyle w:val="EMEANormal"/>
        <w:rPr>
          <w:lang w:val="en-GB"/>
        </w:rPr>
      </w:pPr>
    </w:p>
    <w:p w14:paraId="3D2A2615" w14:textId="77777777" w:rsidR="00E9743C" w:rsidRPr="00E9743C" w:rsidRDefault="00E9743C" w:rsidP="00E9743C">
      <w:pPr>
        <w:pStyle w:val="EMEANormal"/>
        <w:rPr>
          <w:i/>
        </w:rPr>
      </w:pPr>
      <w:r w:rsidRPr="00E9743C">
        <w:rPr>
          <w:i/>
        </w:rPr>
        <w:t>Pregnancy and postpartum</w:t>
      </w:r>
    </w:p>
    <w:p w14:paraId="1503BD36" w14:textId="77777777" w:rsidR="00E9743C" w:rsidRPr="00E9743C" w:rsidRDefault="00E9743C" w:rsidP="0052761E">
      <w:pPr>
        <w:pStyle w:val="EMEANormal"/>
        <w:numPr>
          <w:ilvl w:val="0"/>
          <w:numId w:val="18"/>
        </w:numPr>
        <w:tabs>
          <w:tab w:val="clear" w:pos="562"/>
          <w:tab w:val="left" w:pos="284"/>
        </w:tabs>
        <w:ind w:left="284" w:hanging="284"/>
      </w:pPr>
      <w:r w:rsidRPr="00E9743C">
        <w:t>No dose adjustment is required for lopinavir/ritonavir during pregnancy and postpartum.</w:t>
      </w:r>
    </w:p>
    <w:p w14:paraId="4B7E8254" w14:textId="77777777" w:rsidR="00E9743C" w:rsidRPr="00E9743C" w:rsidRDefault="00E9743C" w:rsidP="0052761E">
      <w:pPr>
        <w:pStyle w:val="EMEANormal"/>
        <w:numPr>
          <w:ilvl w:val="0"/>
          <w:numId w:val="18"/>
        </w:numPr>
        <w:tabs>
          <w:tab w:val="clear" w:pos="562"/>
          <w:tab w:val="left" w:pos="284"/>
        </w:tabs>
        <w:ind w:left="284" w:hanging="284"/>
      </w:pPr>
      <w:r w:rsidRPr="00E9743C">
        <w:t>Once</w:t>
      </w:r>
      <w:r w:rsidR="00A54853">
        <w:noBreakHyphen/>
      </w:r>
      <w:r w:rsidRPr="00E9743C">
        <w:t>daily administration of lopinavir/ritonavir is not recommended for pregnant women</w:t>
      </w:r>
      <w:r w:rsidR="00444B6C">
        <w:t xml:space="preserve"> due to the lack of pharmacokinetic and clinical data</w:t>
      </w:r>
      <w:r w:rsidRPr="00E9743C">
        <w:t>.</w:t>
      </w:r>
    </w:p>
    <w:p w14:paraId="4F5AB5D1" w14:textId="77777777" w:rsidR="00E9743C" w:rsidRDefault="00E9743C">
      <w:pPr>
        <w:pStyle w:val="EMEANormal"/>
        <w:rPr>
          <w:u w:val="single"/>
          <w:lang w:val="en-GB"/>
        </w:rPr>
      </w:pPr>
    </w:p>
    <w:p w14:paraId="65FE02F1" w14:textId="77777777" w:rsidR="00D7303D" w:rsidRPr="00342F7C" w:rsidRDefault="00D7303D">
      <w:pPr>
        <w:pStyle w:val="EMEANormal"/>
        <w:rPr>
          <w:u w:val="single"/>
          <w:lang w:val="en-GB"/>
        </w:rPr>
      </w:pPr>
      <w:r w:rsidRPr="00342F7C">
        <w:rPr>
          <w:u w:val="single"/>
          <w:lang w:val="en-GB"/>
        </w:rPr>
        <w:t>Method of administration</w:t>
      </w:r>
    </w:p>
    <w:p w14:paraId="5CC3C698" w14:textId="77777777" w:rsidR="00D7303D" w:rsidRPr="00342F7C" w:rsidRDefault="00D7303D">
      <w:pPr>
        <w:pStyle w:val="EMEANormal"/>
        <w:rPr>
          <w:u w:val="single"/>
          <w:lang w:val="en-GB"/>
        </w:rPr>
      </w:pPr>
    </w:p>
    <w:p w14:paraId="5DA69666" w14:textId="77777777" w:rsidR="00D7303D" w:rsidRDefault="00D7303D">
      <w:pPr>
        <w:pStyle w:val="EMEANormal"/>
        <w:rPr>
          <w:lang w:val="en-GB"/>
        </w:rPr>
      </w:pPr>
      <w:r w:rsidRPr="00285200">
        <w:rPr>
          <w:lang w:val="en-GB"/>
        </w:rPr>
        <w:t xml:space="preserve">Kaletra tablets are administered orally and </w:t>
      </w:r>
      <w:r w:rsidRPr="00342F7C">
        <w:rPr>
          <w:lang w:val="en-GB"/>
        </w:rPr>
        <w:t>must be swallowed whole and not chewed, broken or crushed.  Kaletra tablets can be taken with or without food.</w:t>
      </w:r>
    </w:p>
    <w:p w14:paraId="5AE4B772" w14:textId="77777777" w:rsidR="006448FB" w:rsidRPr="00342F7C" w:rsidRDefault="006448FB">
      <w:pPr>
        <w:pStyle w:val="EMEANormal"/>
        <w:rPr>
          <w:u w:val="single"/>
          <w:lang w:val="en-GB"/>
        </w:rPr>
      </w:pPr>
    </w:p>
    <w:p w14:paraId="135E7BF0" w14:textId="77777777" w:rsidR="00D7303D" w:rsidRDefault="009100DA" w:rsidP="006448FB">
      <w:pPr>
        <w:pStyle w:val="EMEAHeading2SPC"/>
        <w:spacing w:beforeLines="0" w:before="0" w:afterLines="0" w:after="0"/>
        <w:rPr>
          <w:rFonts w:ascii="Times New Roman" w:hAnsi="Times New Roman"/>
          <w:lang w:val="en-GB"/>
        </w:rPr>
      </w:pPr>
      <w:r>
        <w:rPr>
          <w:rFonts w:ascii="Times New Roman" w:hAnsi="Times New Roman"/>
          <w:lang w:val="en-GB"/>
        </w:rPr>
        <w:t>4.3</w:t>
      </w:r>
      <w:r w:rsidR="00D7303D" w:rsidRPr="00342F7C">
        <w:rPr>
          <w:rFonts w:ascii="Times New Roman" w:hAnsi="Times New Roman"/>
          <w:lang w:val="en-GB"/>
        </w:rPr>
        <w:tab/>
        <w:t>Contraindications</w:t>
      </w:r>
    </w:p>
    <w:p w14:paraId="2AC572C4" w14:textId="77777777" w:rsidR="006448FB" w:rsidRPr="006448FB" w:rsidRDefault="006448FB" w:rsidP="006448FB">
      <w:pPr>
        <w:pStyle w:val="EMEANormal"/>
        <w:rPr>
          <w:lang w:val="en-GB"/>
        </w:rPr>
      </w:pPr>
    </w:p>
    <w:p w14:paraId="73D0951A" w14:textId="77777777" w:rsidR="00D7303D" w:rsidRPr="00342F7C" w:rsidRDefault="00D7303D">
      <w:pPr>
        <w:pStyle w:val="EMEANormal"/>
        <w:rPr>
          <w:lang w:val="en-GB"/>
        </w:rPr>
      </w:pPr>
      <w:r w:rsidRPr="00342F7C">
        <w:rPr>
          <w:lang w:val="en-GB"/>
        </w:rPr>
        <w:t>Hypersensitivity to the active substances or to any of the excipients</w:t>
      </w:r>
      <w:r w:rsidR="00D80FE9">
        <w:rPr>
          <w:lang w:val="en-GB"/>
        </w:rPr>
        <w:t xml:space="preserve"> listed in section 6.1</w:t>
      </w:r>
      <w:r w:rsidRPr="00342F7C">
        <w:rPr>
          <w:lang w:val="en-GB"/>
        </w:rPr>
        <w:t>.</w:t>
      </w:r>
    </w:p>
    <w:p w14:paraId="23F506B9" w14:textId="77777777" w:rsidR="00D7303D" w:rsidRPr="00342F7C" w:rsidRDefault="00D7303D">
      <w:pPr>
        <w:pStyle w:val="EMEANormal"/>
        <w:rPr>
          <w:lang w:val="en-GB"/>
        </w:rPr>
      </w:pPr>
    </w:p>
    <w:p w14:paraId="0A0FBFDA" w14:textId="77777777" w:rsidR="00D7303D" w:rsidRPr="00342F7C" w:rsidRDefault="00D7303D">
      <w:pPr>
        <w:pStyle w:val="EMEANormal"/>
        <w:rPr>
          <w:lang w:val="en-GB"/>
        </w:rPr>
      </w:pPr>
      <w:r w:rsidRPr="00342F7C">
        <w:rPr>
          <w:lang w:val="en-GB"/>
        </w:rPr>
        <w:t xml:space="preserve">Severe hepatic insufficiency. </w:t>
      </w:r>
    </w:p>
    <w:p w14:paraId="193FBD1A" w14:textId="77777777" w:rsidR="00D7303D" w:rsidRPr="00342F7C" w:rsidRDefault="00D7303D">
      <w:pPr>
        <w:pStyle w:val="EMEANormal"/>
        <w:rPr>
          <w:lang w:val="en-GB"/>
        </w:rPr>
      </w:pPr>
    </w:p>
    <w:p w14:paraId="3D465D0C" w14:textId="77777777" w:rsidR="00D7303D" w:rsidRDefault="00D7303D">
      <w:pPr>
        <w:pStyle w:val="EMEANormal"/>
        <w:rPr>
          <w:lang w:val="en-GB"/>
        </w:rPr>
      </w:pPr>
      <w:r w:rsidRPr="00342F7C">
        <w:rPr>
          <w:lang w:val="en-GB"/>
        </w:rPr>
        <w:t>Kaletra contains lopinavir and ritonavir, both of which are inhibitors of the P450 isoform CYP3A.  Kaletra should not be co-administered with medicinal products that are highly dependent on CYP3A for clearance and for which elevated plasma concentrations are associated with serious and/or life threatening events.  These medicinal products include</w:t>
      </w:r>
      <w:r>
        <w:rPr>
          <w:lang w:val="en-GB"/>
        </w:rPr>
        <w:t>:</w:t>
      </w:r>
      <w:r w:rsidRPr="00342F7C">
        <w:rPr>
          <w:lang w:val="en-GB"/>
        </w:rPr>
        <w:t xml:space="preserve"> </w:t>
      </w:r>
    </w:p>
    <w:p w14:paraId="4F6C5D97" w14:textId="77777777" w:rsidR="00D7303D" w:rsidRDefault="00D7303D">
      <w:pPr>
        <w:pStyle w:val="EMEANormal"/>
        <w:rPr>
          <w:lang w:val="en-GB"/>
        </w:rPr>
      </w:pPr>
    </w:p>
    <w:tbl>
      <w:tblPr>
        <w:tblW w:w="0" w:type="auto"/>
        <w:tblLook w:val="0000" w:firstRow="0" w:lastRow="0" w:firstColumn="0" w:lastColumn="0" w:noHBand="0" w:noVBand="0"/>
      </w:tblPr>
      <w:tblGrid>
        <w:gridCol w:w="2214"/>
        <w:gridCol w:w="3112"/>
        <w:gridCol w:w="3674"/>
        <w:gridCol w:w="70"/>
      </w:tblGrid>
      <w:tr w:rsidR="00D7303D" w:rsidRPr="007750BF" w14:paraId="4AD2E8B2" w14:textId="77777777" w:rsidTr="006E1FDC">
        <w:trPr>
          <w:cantSplit/>
        </w:trPr>
        <w:tc>
          <w:tcPr>
            <w:tcW w:w="2237" w:type="dxa"/>
            <w:tcBorders>
              <w:top w:val="single" w:sz="4" w:space="0" w:color="auto"/>
              <w:bottom w:val="single" w:sz="4" w:space="0" w:color="auto"/>
            </w:tcBorders>
          </w:tcPr>
          <w:p w14:paraId="0B4F4798" w14:textId="77777777" w:rsidR="00D7303D" w:rsidRPr="00E25432" w:rsidRDefault="00D7303D" w:rsidP="003C2268">
            <w:pPr>
              <w:tabs>
                <w:tab w:val="left" w:pos="567"/>
              </w:tabs>
              <w:spacing w:before="120" w:after="120"/>
              <w:rPr>
                <w:b/>
                <w:bCs/>
                <w:sz w:val="22"/>
                <w:szCs w:val="22"/>
              </w:rPr>
            </w:pPr>
            <w:r w:rsidRPr="00E25432">
              <w:rPr>
                <w:b/>
                <w:bCs/>
                <w:sz w:val="22"/>
                <w:szCs w:val="22"/>
              </w:rPr>
              <w:t>Medicinal product class</w:t>
            </w:r>
          </w:p>
        </w:tc>
        <w:tc>
          <w:tcPr>
            <w:tcW w:w="3112" w:type="dxa"/>
            <w:tcBorders>
              <w:top w:val="single" w:sz="4" w:space="0" w:color="auto"/>
              <w:bottom w:val="single" w:sz="4" w:space="0" w:color="auto"/>
            </w:tcBorders>
          </w:tcPr>
          <w:p w14:paraId="7B7A4E9C" w14:textId="77777777" w:rsidR="00D7303D" w:rsidRPr="00E25432" w:rsidRDefault="00D7303D" w:rsidP="003C2268">
            <w:pPr>
              <w:tabs>
                <w:tab w:val="left" w:pos="567"/>
              </w:tabs>
              <w:spacing w:before="120" w:after="120"/>
              <w:rPr>
                <w:b/>
                <w:bCs/>
                <w:sz w:val="22"/>
                <w:szCs w:val="22"/>
              </w:rPr>
            </w:pPr>
            <w:r w:rsidRPr="00E25432">
              <w:rPr>
                <w:b/>
                <w:bCs/>
                <w:sz w:val="22"/>
                <w:szCs w:val="22"/>
              </w:rPr>
              <w:t>Medicinal products within class</w:t>
            </w:r>
          </w:p>
        </w:tc>
        <w:tc>
          <w:tcPr>
            <w:tcW w:w="3937" w:type="dxa"/>
            <w:gridSpan w:val="2"/>
            <w:tcBorders>
              <w:top w:val="single" w:sz="4" w:space="0" w:color="auto"/>
              <w:bottom w:val="single" w:sz="4" w:space="0" w:color="auto"/>
            </w:tcBorders>
          </w:tcPr>
          <w:p w14:paraId="1E269FF3" w14:textId="77777777" w:rsidR="00D7303D" w:rsidRPr="00E25432" w:rsidRDefault="00D7303D" w:rsidP="003C2268">
            <w:pPr>
              <w:pStyle w:val="Heading7"/>
              <w:spacing w:before="120" w:after="120"/>
              <w:rPr>
                <w:b/>
                <w:bCs/>
                <w:sz w:val="22"/>
                <w:szCs w:val="22"/>
              </w:rPr>
            </w:pPr>
            <w:r w:rsidRPr="00E25432">
              <w:rPr>
                <w:b/>
                <w:bCs/>
                <w:sz w:val="22"/>
                <w:szCs w:val="22"/>
              </w:rPr>
              <w:t>Rationale</w:t>
            </w:r>
          </w:p>
        </w:tc>
      </w:tr>
      <w:tr w:rsidR="00D7303D" w:rsidRPr="007750BF" w14:paraId="637C59D1" w14:textId="77777777" w:rsidTr="00D33C9D">
        <w:trPr>
          <w:cantSplit/>
        </w:trPr>
        <w:tc>
          <w:tcPr>
            <w:tcW w:w="9286" w:type="dxa"/>
            <w:gridSpan w:val="4"/>
            <w:tcBorders>
              <w:top w:val="single" w:sz="4" w:space="0" w:color="auto"/>
              <w:bottom w:val="single" w:sz="4" w:space="0" w:color="auto"/>
            </w:tcBorders>
          </w:tcPr>
          <w:p w14:paraId="1835D014" w14:textId="77777777" w:rsidR="00D7303D" w:rsidRPr="00E25432" w:rsidRDefault="00D7303D" w:rsidP="003C2268">
            <w:pPr>
              <w:pStyle w:val="Heading7"/>
              <w:spacing w:before="120" w:after="120"/>
              <w:rPr>
                <w:bCs/>
                <w:sz w:val="22"/>
                <w:szCs w:val="22"/>
              </w:rPr>
            </w:pPr>
            <w:r w:rsidRPr="00E25432">
              <w:rPr>
                <w:bCs/>
                <w:sz w:val="22"/>
                <w:szCs w:val="22"/>
              </w:rPr>
              <w:t>Concomitant medicinal product levels increased</w:t>
            </w:r>
          </w:p>
        </w:tc>
      </w:tr>
      <w:tr w:rsidR="00D7303D" w:rsidRPr="007750BF" w14:paraId="57E45B77" w14:textId="77777777" w:rsidTr="006E1FDC">
        <w:trPr>
          <w:cantSplit/>
        </w:trPr>
        <w:tc>
          <w:tcPr>
            <w:tcW w:w="2237" w:type="dxa"/>
            <w:tcBorders>
              <w:top w:val="single" w:sz="4" w:space="0" w:color="auto"/>
              <w:bottom w:val="single" w:sz="4" w:space="0" w:color="auto"/>
            </w:tcBorders>
          </w:tcPr>
          <w:p w14:paraId="348E9CDD" w14:textId="77777777" w:rsidR="00D7303D" w:rsidRPr="00E25432" w:rsidRDefault="00D7303D" w:rsidP="003C2268">
            <w:pPr>
              <w:tabs>
                <w:tab w:val="left" w:pos="567"/>
              </w:tabs>
              <w:rPr>
                <w:sz w:val="22"/>
                <w:szCs w:val="22"/>
              </w:rPr>
            </w:pPr>
            <w:r w:rsidRPr="00E25432">
              <w:rPr>
                <w:sz w:val="22"/>
                <w:szCs w:val="22"/>
              </w:rPr>
              <w:t>Alpha</w:t>
            </w:r>
            <w:r w:rsidRPr="00E25432">
              <w:rPr>
                <w:sz w:val="22"/>
                <w:szCs w:val="22"/>
                <w:vertAlign w:val="subscript"/>
              </w:rPr>
              <w:t>1</w:t>
            </w:r>
            <w:r w:rsidRPr="00E25432">
              <w:rPr>
                <w:sz w:val="22"/>
                <w:szCs w:val="22"/>
              </w:rPr>
              <w:t>-adrenoreceptor antagonist</w:t>
            </w:r>
          </w:p>
        </w:tc>
        <w:tc>
          <w:tcPr>
            <w:tcW w:w="3112" w:type="dxa"/>
            <w:tcBorders>
              <w:top w:val="single" w:sz="4" w:space="0" w:color="auto"/>
              <w:bottom w:val="single" w:sz="4" w:space="0" w:color="auto"/>
            </w:tcBorders>
          </w:tcPr>
          <w:p w14:paraId="5E24A060" w14:textId="77777777" w:rsidR="00D7303D" w:rsidRPr="00E25432" w:rsidRDefault="00D7303D" w:rsidP="003C2268">
            <w:pPr>
              <w:tabs>
                <w:tab w:val="left" w:pos="567"/>
              </w:tabs>
              <w:rPr>
                <w:sz w:val="22"/>
                <w:szCs w:val="22"/>
              </w:rPr>
            </w:pPr>
            <w:r w:rsidRPr="00E25432">
              <w:rPr>
                <w:sz w:val="22"/>
                <w:szCs w:val="22"/>
              </w:rPr>
              <w:t>Alfuzosin</w:t>
            </w:r>
          </w:p>
        </w:tc>
        <w:tc>
          <w:tcPr>
            <w:tcW w:w="3937" w:type="dxa"/>
            <w:gridSpan w:val="2"/>
            <w:tcBorders>
              <w:top w:val="single" w:sz="4" w:space="0" w:color="auto"/>
              <w:bottom w:val="single" w:sz="4" w:space="0" w:color="auto"/>
            </w:tcBorders>
          </w:tcPr>
          <w:p w14:paraId="3E2977C3" w14:textId="77777777" w:rsidR="00D7303D" w:rsidRPr="00E25432" w:rsidRDefault="00D7303D" w:rsidP="003C2268">
            <w:pPr>
              <w:tabs>
                <w:tab w:val="left" w:pos="567"/>
              </w:tabs>
              <w:rPr>
                <w:sz w:val="22"/>
                <w:szCs w:val="22"/>
              </w:rPr>
            </w:pPr>
            <w:r w:rsidRPr="00A95936">
              <w:rPr>
                <w:sz w:val="22"/>
                <w:szCs w:val="22"/>
              </w:rPr>
              <w:t>Increased plasma concentrations of alfuzosin which may lead to severe hypotension.  The concomitant administration with alfuzosin is contraindicated (see section 4.5).</w:t>
            </w:r>
          </w:p>
        </w:tc>
      </w:tr>
      <w:tr w:rsidR="00C05E7A" w:rsidRPr="007750BF" w14:paraId="5D566785" w14:textId="77777777" w:rsidTr="005F7244">
        <w:trPr>
          <w:gridAfter w:val="1"/>
          <w:wAfter w:w="76" w:type="dxa"/>
          <w:cantSplit/>
        </w:trPr>
        <w:tc>
          <w:tcPr>
            <w:tcW w:w="2237" w:type="dxa"/>
            <w:tcBorders>
              <w:bottom w:val="single" w:sz="4" w:space="0" w:color="auto"/>
            </w:tcBorders>
          </w:tcPr>
          <w:p w14:paraId="6E95C616" w14:textId="77777777" w:rsidR="00C05E7A" w:rsidRPr="00E25432" w:rsidRDefault="00C05E7A" w:rsidP="00E271FB">
            <w:pPr>
              <w:tabs>
                <w:tab w:val="left" w:pos="567"/>
              </w:tabs>
              <w:rPr>
                <w:sz w:val="22"/>
                <w:szCs w:val="22"/>
              </w:rPr>
            </w:pPr>
            <w:r>
              <w:rPr>
                <w:sz w:val="22"/>
                <w:szCs w:val="22"/>
              </w:rPr>
              <w:t>Antianginal</w:t>
            </w:r>
          </w:p>
        </w:tc>
        <w:tc>
          <w:tcPr>
            <w:tcW w:w="3112" w:type="dxa"/>
            <w:tcBorders>
              <w:bottom w:val="single" w:sz="4" w:space="0" w:color="auto"/>
            </w:tcBorders>
          </w:tcPr>
          <w:p w14:paraId="02DD1C61" w14:textId="77777777" w:rsidR="00C05E7A" w:rsidRPr="00E25432" w:rsidRDefault="00C05E7A" w:rsidP="00E271FB">
            <w:pPr>
              <w:tabs>
                <w:tab w:val="left" w:pos="567"/>
              </w:tabs>
              <w:rPr>
                <w:sz w:val="22"/>
                <w:szCs w:val="22"/>
              </w:rPr>
            </w:pPr>
            <w:r>
              <w:rPr>
                <w:sz w:val="22"/>
                <w:szCs w:val="22"/>
                <w:lang w:val="es-MX"/>
              </w:rPr>
              <w:t>Ranolazine</w:t>
            </w:r>
          </w:p>
        </w:tc>
        <w:tc>
          <w:tcPr>
            <w:tcW w:w="3861" w:type="dxa"/>
            <w:tcBorders>
              <w:bottom w:val="single" w:sz="4" w:space="0" w:color="auto"/>
            </w:tcBorders>
          </w:tcPr>
          <w:p w14:paraId="77965561" w14:textId="77777777" w:rsidR="00C05E7A" w:rsidRPr="00E25432" w:rsidRDefault="00C05E7A" w:rsidP="00E271FB">
            <w:pPr>
              <w:tabs>
                <w:tab w:val="left" w:pos="567"/>
              </w:tabs>
              <w:rPr>
                <w:sz w:val="22"/>
                <w:szCs w:val="22"/>
              </w:rPr>
            </w:pPr>
            <w:r>
              <w:rPr>
                <w:sz w:val="22"/>
                <w:szCs w:val="22"/>
              </w:rPr>
              <w:t>Increased plasma concentrations of ranolazine which may increase the potential for serious and/or life-threatening reactions (see section 4.5).</w:t>
            </w:r>
          </w:p>
        </w:tc>
      </w:tr>
      <w:tr w:rsidR="00D7303D" w:rsidRPr="007750BF" w14:paraId="2CA45B04" w14:textId="77777777" w:rsidTr="006E1FDC">
        <w:trPr>
          <w:cantSplit/>
        </w:trPr>
        <w:tc>
          <w:tcPr>
            <w:tcW w:w="2237" w:type="dxa"/>
            <w:tcBorders>
              <w:top w:val="single" w:sz="4" w:space="0" w:color="auto"/>
              <w:bottom w:val="single" w:sz="4" w:space="0" w:color="auto"/>
            </w:tcBorders>
          </w:tcPr>
          <w:p w14:paraId="56CE3ED8" w14:textId="77777777" w:rsidR="00D7303D" w:rsidRPr="00E25432" w:rsidRDefault="00D7303D" w:rsidP="00180DDD">
            <w:pPr>
              <w:tabs>
                <w:tab w:val="left" w:pos="567"/>
              </w:tabs>
              <w:rPr>
                <w:sz w:val="22"/>
                <w:szCs w:val="22"/>
              </w:rPr>
            </w:pPr>
            <w:r w:rsidRPr="00E25432">
              <w:rPr>
                <w:sz w:val="22"/>
                <w:szCs w:val="22"/>
              </w:rPr>
              <w:t>Antiarr</w:t>
            </w:r>
            <w:r w:rsidR="00180DDD">
              <w:rPr>
                <w:sz w:val="22"/>
                <w:szCs w:val="22"/>
              </w:rPr>
              <w:t>hy</w:t>
            </w:r>
            <w:r w:rsidRPr="00E25432">
              <w:rPr>
                <w:sz w:val="22"/>
                <w:szCs w:val="22"/>
              </w:rPr>
              <w:t>thmics</w:t>
            </w:r>
          </w:p>
        </w:tc>
        <w:tc>
          <w:tcPr>
            <w:tcW w:w="3112" w:type="dxa"/>
            <w:tcBorders>
              <w:top w:val="single" w:sz="4" w:space="0" w:color="auto"/>
              <w:bottom w:val="single" w:sz="4" w:space="0" w:color="auto"/>
            </w:tcBorders>
          </w:tcPr>
          <w:p w14:paraId="414DC307" w14:textId="77777777" w:rsidR="00D7303D" w:rsidRPr="00E25432" w:rsidRDefault="00D7303D" w:rsidP="003C2268">
            <w:pPr>
              <w:tabs>
                <w:tab w:val="left" w:pos="567"/>
              </w:tabs>
              <w:rPr>
                <w:sz w:val="22"/>
                <w:szCs w:val="22"/>
                <w:lang w:val="es-MX"/>
              </w:rPr>
            </w:pPr>
            <w:r w:rsidRPr="00E25432">
              <w:rPr>
                <w:sz w:val="22"/>
                <w:szCs w:val="22"/>
                <w:lang w:val="es-MX"/>
              </w:rPr>
              <w:t>Amiodarone</w:t>
            </w:r>
            <w:r w:rsidR="002610DE">
              <w:rPr>
                <w:sz w:val="22"/>
                <w:szCs w:val="22"/>
                <w:lang w:val="es-MX"/>
              </w:rPr>
              <w:t>, dronedarone</w:t>
            </w:r>
          </w:p>
        </w:tc>
        <w:tc>
          <w:tcPr>
            <w:tcW w:w="3937" w:type="dxa"/>
            <w:gridSpan w:val="2"/>
            <w:tcBorders>
              <w:top w:val="single" w:sz="4" w:space="0" w:color="auto"/>
              <w:bottom w:val="single" w:sz="4" w:space="0" w:color="auto"/>
            </w:tcBorders>
          </w:tcPr>
          <w:p w14:paraId="5F3FC639" w14:textId="77777777" w:rsidR="00D7303D" w:rsidRPr="00E25432" w:rsidRDefault="00D7303D" w:rsidP="003C2268">
            <w:pPr>
              <w:tabs>
                <w:tab w:val="left" w:pos="567"/>
              </w:tabs>
              <w:rPr>
                <w:sz w:val="22"/>
                <w:szCs w:val="22"/>
              </w:rPr>
            </w:pPr>
            <w:r w:rsidRPr="00E25432">
              <w:rPr>
                <w:sz w:val="22"/>
                <w:szCs w:val="22"/>
              </w:rPr>
              <w:t>Increased plasma concentrations of amiodarone</w:t>
            </w:r>
            <w:r w:rsidR="002610DE">
              <w:rPr>
                <w:sz w:val="22"/>
                <w:szCs w:val="22"/>
              </w:rPr>
              <w:t xml:space="preserve"> and dronedarone</w:t>
            </w:r>
            <w:r w:rsidRPr="00E25432">
              <w:rPr>
                <w:sz w:val="22"/>
                <w:szCs w:val="22"/>
              </w:rPr>
              <w:t>.  Thereby, increasing the risk of arrhythmias or other serious adverse reactions</w:t>
            </w:r>
            <w:r w:rsidR="00D33C9D">
              <w:rPr>
                <w:sz w:val="22"/>
                <w:szCs w:val="22"/>
              </w:rPr>
              <w:t xml:space="preserve"> (see section 4.5)</w:t>
            </w:r>
            <w:r w:rsidRPr="00E25432">
              <w:rPr>
                <w:sz w:val="22"/>
                <w:szCs w:val="22"/>
              </w:rPr>
              <w:t>.</w:t>
            </w:r>
          </w:p>
        </w:tc>
      </w:tr>
      <w:tr w:rsidR="00D7303D" w:rsidRPr="007750BF" w14:paraId="543117B1" w14:textId="77777777" w:rsidTr="000818DA">
        <w:trPr>
          <w:cantSplit/>
        </w:trPr>
        <w:tc>
          <w:tcPr>
            <w:tcW w:w="2237" w:type="dxa"/>
            <w:tcBorders>
              <w:bottom w:val="single" w:sz="4" w:space="0" w:color="auto"/>
            </w:tcBorders>
          </w:tcPr>
          <w:p w14:paraId="384467EB" w14:textId="77777777" w:rsidR="00D7303D" w:rsidRPr="00E25432" w:rsidRDefault="00D7303D" w:rsidP="003C2268">
            <w:pPr>
              <w:tabs>
                <w:tab w:val="left" w:pos="567"/>
              </w:tabs>
              <w:rPr>
                <w:sz w:val="22"/>
                <w:szCs w:val="22"/>
              </w:rPr>
            </w:pPr>
            <w:r w:rsidRPr="00E25432">
              <w:rPr>
                <w:sz w:val="22"/>
                <w:szCs w:val="22"/>
              </w:rPr>
              <w:t>Antibiotic</w:t>
            </w:r>
          </w:p>
        </w:tc>
        <w:tc>
          <w:tcPr>
            <w:tcW w:w="3112" w:type="dxa"/>
          </w:tcPr>
          <w:p w14:paraId="33537671" w14:textId="77777777" w:rsidR="00D7303D" w:rsidRPr="00E25432" w:rsidRDefault="00D7303D" w:rsidP="003C2268">
            <w:pPr>
              <w:tabs>
                <w:tab w:val="left" w:pos="567"/>
              </w:tabs>
              <w:rPr>
                <w:sz w:val="22"/>
                <w:szCs w:val="22"/>
              </w:rPr>
            </w:pPr>
            <w:r w:rsidRPr="00E25432">
              <w:rPr>
                <w:sz w:val="22"/>
                <w:szCs w:val="22"/>
              </w:rPr>
              <w:t>Fusidic Acid</w:t>
            </w:r>
          </w:p>
        </w:tc>
        <w:tc>
          <w:tcPr>
            <w:tcW w:w="3937" w:type="dxa"/>
            <w:gridSpan w:val="2"/>
          </w:tcPr>
          <w:p w14:paraId="23F39F40" w14:textId="77777777" w:rsidR="00D7303D" w:rsidRPr="00E25432" w:rsidRDefault="00D7303D" w:rsidP="00FD2437">
            <w:pPr>
              <w:tabs>
                <w:tab w:val="left" w:pos="567"/>
              </w:tabs>
              <w:rPr>
                <w:sz w:val="22"/>
                <w:szCs w:val="22"/>
              </w:rPr>
            </w:pPr>
            <w:r w:rsidRPr="00A95936">
              <w:rPr>
                <w:sz w:val="22"/>
                <w:szCs w:val="22"/>
              </w:rPr>
              <w:t>Increased plasma concentrations of fusidic acid. The concomitant administration with fusidic acid is contraindicated in dermatological infections (see section 4.5).</w:t>
            </w:r>
          </w:p>
        </w:tc>
      </w:tr>
      <w:tr w:rsidR="000818DA" w:rsidRPr="007750BF" w14:paraId="0EBBFD5F" w14:textId="77777777" w:rsidTr="000818DA">
        <w:trPr>
          <w:gridAfter w:val="1"/>
          <w:wAfter w:w="76" w:type="dxa"/>
          <w:cantSplit/>
        </w:trPr>
        <w:tc>
          <w:tcPr>
            <w:tcW w:w="2237" w:type="dxa"/>
            <w:vMerge w:val="restart"/>
            <w:tcBorders>
              <w:top w:val="single" w:sz="4" w:space="0" w:color="auto"/>
            </w:tcBorders>
          </w:tcPr>
          <w:p w14:paraId="7A66B90A" w14:textId="77777777" w:rsidR="000818DA" w:rsidRPr="00610E32" w:rsidRDefault="000818DA" w:rsidP="005766B5">
            <w:pPr>
              <w:tabs>
                <w:tab w:val="left" w:pos="567"/>
              </w:tabs>
              <w:rPr>
                <w:sz w:val="22"/>
                <w:szCs w:val="22"/>
              </w:rPr>
            </w:pPr>
            <w:r>
              <w:rPr>
                <w:sz w:val="22"/>
                <w:szCs w:val="22"/>
              </w:rPr>
              <w:t>Anticancer</w:t>
            </w:r>
          </w:p>
        </w:tc>
        <w:tc>
          <w:tcPr>
            <w:tcW w:w="3112" w:type="dxa"/>
            <w:tcBorders>
              <w:top w:val="single" w:sz="4" w:space="0" w:color="auto"/>
              <w:bottom w:val="single" w:sz="4" w:space="0" w:color="auto"/>
            </w:tcBorders>
          </w:tcPr>
          <w:p w14:paraId="51D5A95F" w14:textId="77777777" w:rsidR="000818DA" w:rsidRPr="00610E32" w:rsidRDefault="000818DA" w:rsidP="005766B5">
            <w:pPr>
              <w:tabs>
                <w:tab w:val="left" w:pos="567"/>
              </w:tabs>
              <w:rPr>
                <w:sz w:val="22"/>
                <w:szCs w:val="22"/>
              </w:rPr>
            </w:pPr>
            <w:r>
              <w:rPr>
                <w:sz w:val="22"/>
                <w:szCs w:val="22"/>
              </w:rPr>
              <w:t>Neratinib</w:t>
            </w:r>
          </w:p>
        </w:tc>
        <w:tc>
          <w:tcPr>
            <w:tcW w:w="3861" w:type="dxa"/>
            <w:tcBorders>
              <w:top w:val="single" w:sz="4" w:space="0" w:color="auto"/>
              <w:bottom w:val="single" w:sz="4" w:space="0" w:color="auto"/>
            </w:tcBorders>
          </w:tcPr>
          <w:p w14:paraId="0CCF7B5B" w14:textId="77777777" w:rsidR="000818DA" w:rsidRPr="00610E32" w:rsidRDefault="000818DA" w:rsidP="005766B5">
            <w:pPr>
              <w:tabs>
                <w:tab w:val="left" w:pos="567"/>
              </w:tabs>
              <w:rPr>
                <w:sz w:val="22"/>
                <w:szCs w:val="22"/>
              </w:rPr>
            </w:pPr>
            <w:r>
              <w:rPr>
                <w:sz w:val="22"/>
                <w:szCs w:val="22"/>
              </w:rPr>
              <w:t>Increased plasma concentrations of neratinib which may increase the potential for serious and/or life</w:t>
            </w:r>
            <w:r>
              <w:rPr>
                <w:sz w:val="22"/>
                <w:szCs w:val="22"/>
              </w:rPr>
              <w:noBreakHyphen/>
              <w:t>threatening reactions (see section 4.5).</w:t>
            </w:r>
          </w:p>
        </w:tc>
      </w:tr>
      <w:tr w:rsidR="000818DA" w:rsidRPr="007750BF" w14:paraId="49333F53" w14:textId="77777777" w:rsidTr="000818DA">
        <w:trPr>
          <w:gridAfter w:val="1"/>
          <w:wAfter w:w="76" w:type="dxa"/>
          <w:cantSplit/>
        </w:trPr>
        <w:tc>
          <w:tcPr>
            <w:tcW w:w="2237" w:type="dxa"/>
            <w:vMerge/>
            <w:tcBorders>
              <w:bottom w:val="single" w:sz="4" w:space="0" w:color="auto"/>
            </w:tcBorders>
          </w:tcPr>
          <w:p w14:paraId="5CF3D889" w14:textId="77777777" w:rsidR="000818DA" w:rsidRPr="00610E32" w:rsidRDefault="000818DA" w:rsidP="005766B5">
            <w:pPr>
              <w:tabs>
                <w:tab w:val="left" w:pos="567"/>
              </w:tabs>
              <w:rPr>
                <w:sz w:val="22"/>
                <w:szCs w:val="22"/>
              </w:rPr>
            </w:pPr>
          </w:p>
        </w:tc>
        <w:tc>
          <w:tcPr>
            <w:tcW w:w="3112" w:type="dxa"/>
            <w:tcBorders>
              <w:top w:val="single" w:sz="4" w:space="0" w:color="auto"/>
              <w:bottom w:val="single" w:sz="4" w:space="0" w:color="auto"/>
            </w:tcBorders>
          </w:tcPr>
          <w:p w14:paraId="11C6F45C" w14:textId="77777777" w:rsidR="000818DA" w:rsidRPr="00610E32" w:rsidRDefault="000818DA" w:rsidP="005766B5">
            <w:pPr>
              <w:tabs>
                <w:tab w:val="left" w:pos="567"/>
              </w:tabs>
              <w:rPr>
                <w:sz w:val="22"/>
                <w:szCs w:val="22"/>
              </w:rPr>
            </w:pPr>
            <w:r w:rsidRPr="00610E32">
              <w:rPr>
                <w:sz w:val="22"/>
                <w:szCs w:val="22"/>
              </w:rPr>
              <w:t>Venetoclax</w:t>
            </w:r>
          </w:p>
        </w:tc>
        <w:tc>
          <w:tcPr>
            <w:tcW w:w="3861" w:type="dxa"/>
            <w:tcBorders>
              <w:top w:val="single" w:sz="4" w:space="0" w:color="auto"/>
              <w:bottom w:val="single" w:sz="4" w:space="0" w:color="auto"/>
            </w:tcBorders>
          </w:tcPr>
          <w:p w14:paraId="1899392D" w14:textId="77777777" w:rsidR="000818DA" w:rsidRPr="00610E32" w:rsidRDefault="000818DA" w:rsidP="005766B5">
            <w:pPr>
              <w:tabs>
                <w:tab w:val="left" w:pos="567"/>
              </w:tabs>
              <w:rPr>
                <w:sz w:val="22"/>
                <w:szCs w:val="22"/>
              </w:rPr>
            </w:pPr>
            <w:r w:rsidRPr="00610E32">
              <w:rPr>
                <w:sz w:val="22"/>
                <w:szCs w:val="22"/>
              </w:rPr>
              <w:t>Increased plasma concentrations of venetoclax.  Increased risk of tumor lysis syndrome at the dose initiation and during the ramp-up phase (see section 4.5).</w:t>
            </w:r>
          </w:p>
        </w:tc>
      </w:tr>
      <w:tr w:rsidR="002610DE" w:rsidRPr="007750BF" w14:paraId="7B08FF9E" w14:textId="77777777" w:rsidTr="006E1FDC">
        <w:trPr>
          <w:cantSplit/>
        </w:trPr>
        <w:tc>
          <w:tcPr>
            <w:tcW w:w="2237" w:type="dxa"/>
            <w:tcBorders>
              <w:top w:val="single" w:sz="4" w:space="0" w:color="auto"/>
              <w:bottom w:val="single" w:sz="4" w:space="0" w:color="auto"/>
            </w:tcBorders>
          </w:tcPr>
          <w:p w14:paraId="4E113409" w14:textId="77777777" w:rsidR="002610DE" w:rsidRPr="00E25432" w:rsidRDefault="002610DE" w:rsidP="00B65447">
            <w:pPr>
              <w:tabs>
                <w:tab w:val="left" w:pos="567"/>
              </w:tabs>
              <w:rPr>
                <w:sz w:val="22"/>
                <w:szCs w:val="22"/>
              </w:rPr>
            </w:pPr>
            <w:r>
              <w:rPr>
                <w:sz w:val="22"/>
                <w:szCs w:val="22"/>
              </w:rPr>
              <w:t>Anti-gout</w:t>
            </w:r>
          </w:p>
        </w:tc>
        <w:tc>
          <w:tcPr>
            <w:tcW w:w="3112" w:type="dxa"/>
            <w:tcBorders>
              <w:top w:val="single" w:sz="4" w:space="0" w:color="auto"/>
              <w:bottom w:val="single" w:sz="4" w:space="0" w:color="auto"/>
            </w:tcBorders>
          </w:tcPr>
          <w:p w14:paraId="050611CB" w14:textId="77777777" w:rsidR="002610DE" w:rsidRPr="00E25432" w:rsidRDefault="002610DE" w:rsidP="00B65447">
            <w:pPr>
              <w:tabs>
                <w:tab w:val="left" w:pos="567"/>
              </w:tabs>
              <w:rPr>
                <w:sz w:val="22"/>
                <w:szCs w:val="22"/>
              </w:rPr>
            </w:pPr>
            <w:r>
              <w:rPr>
                <w:sz w:val="22"/>
                <w:szCs w:val="22"/>
              </w:rPr>
              <w:t>Colchicine</w:t>
            </w:r>
          </w:p>
        </w:tc>
        <w:tc>
          <w:tcPr>
            <w:tcW w:w="3937" w:type="dxa"/>
            <w:gridSpan w:val="2"/>
            <w:tcBorders>
              <w:top w:val="single" w:sz="4" w:space="0" w:color="auto"/>
              <w:bottom w:val="single" w:sz="4" w:space="0" w:color="auto"/>
            </w:tcBorders>
          </w:tcPr>
          <w:p w14:paraId="54E54806" w14:textId="77777777" w:rsidR="002610DE" w:rsidRPr="00E25432" w:rsidRDefault="002610DE" w:rsidP="00B65447">
            <w:pPr>
              <w:tabs>
                <w:tab w:val="left" w:pos="567"/>
              </w:tabs>
              <w:rPr>
                <w:sz w:val="22"/>
                <w:szCs w:val="22"/>
              </w:rPr>
            </w:pPr>
            <w:r>
              <w:rPr>
                <w:sz w:val="22"/>
                <w:szCs w:val="22"/>
              </w:rPr>
              <w:t>Increased plasma concentrations of colchicine.  Potential for serious and/or life-threatening reactions in patients with renal and/or hepatic impairment (see sections 4.4 and 4.5).</w:t>
            </w:r>
          </w:p>
        </w:tc>
      </w:tr>
      <w:tr w:rsidR="00D7303D" w:rsidRPr="007750BF" w14:paraId="394328E8" w14:textId="77777777" w:rsidTr="006E1FDC">
        <w:trPr>
          <w:cantSplit/>
        </w:trPr>
        <w:tc>
          <w:tcPr>
            <w:tcW w:w="2237" w:type="dxa"/>
            <w:tcBorders>
              <w:top w:val="single" w:sz="4" w:space="0" w:color="auto"/>
              <w:bottom w:val="single" w:sz="4" w:space="0" w:color="auto"/>
            </w:tcBorders>
          </w:tcPr>
          <w:p w14:paraId="234350C1" w14:textId="77777777" w:rsidR="00D7303D" w:rsidRPr="00E25432" w:rsidRDefault="00D7303D" w:rsidP="003C2268">
            <w:pPr>
              <w:tabs>
                <w:tab w:val="left" w:pos="567"/>
              </w:tabs>
              <w:rPr>
                <w:sz w:val="22"/>
                <w:szCs w:val="22"/>
              </w:rPr>
            </w:pPr>
            <w:r w:rsidRPr="00E25432">
              <w:rPr>
                <w:sz w:val="22"/>
                <w:szCs w:val="22"/>
              </w:rPr>
              <w:t>Antihistamines</w:t>
            </w:r>
          </w:p>
        </w:tc>
        <w:tc>
          <w:tcPr>
            <w:tcW w:w="3112" w:type="dxa"/>
            <w:tcBorders>
              <w:top w:val="single" w:sz="4" w:space="0" w:color="auto"/>
              <w:bottom w:val="single" w:sz="4" w:space="0" w:color="auto"/>
            </w:tcBorders>
          </w:tcPr>
          <w:p w14:paraId="687DB56E" w14:textId="77777777" w:rsidR="00D7303D" w:rsidRPr="00E25432" w:rsidRDefault="00D7303D" w:rsidP="003C2268">
            <w:pPr>
              <w:tabs>
                <w:tab w:val="left" w:pos="567"/>
              </w:tabs>
              <w:rPr>
                <w:sz w:val="22"/>
                <w:szCs w:val="22"/>
              </w:rPr>
            </w:pPr>
            <w:r w:rsidRPr="00E25432">
              <w:rPr>
                <w:sz w:val="22"/>
                <w:szCs w:val="22"/>
              </w:rPr>
              <w:t>Astemizole, terfenadine</w:t>
            </w:r>
          </w:p>
        </w:tc>
        <w:tc>
          <w:tcPr>
            <w:tcW w:w="3937" w:type="dxa"/>
            <w:gridSpan w:val="2"/>
            <w:tcBorders>
              <w:top w:val="single" w:sz="4" w:space="0" w:color="auto"/>
              <w:bottom w:val="single" w:sz="4" w:space="0" w:color="auto"/>
            </w:tcBorders>
          </w:tcPr>
          <w:p w14:paraId="39A63B71" w14:textId="77777777" w:rsidR="00D7303D" w:rsidRPr="00E25432" w:rsidRDefault="00D7303D" w:rsidP="003C2268">
            <w:pPr>
              <w:tabs>
                <w:tab w:val="left" w:pos="567"/>
              </w:tabs>
              <w:rPr>
                <w:sz w:val="22"/>
                <w:szCs w:val="22"/>
              </w:rPr>
            </w:pPr>
            <w:r w:rsidRPr="00E25432">
              <w:rPr>
                <w:sz w:val="22"/>
                <w:szCs w:val="22"/>
              </w:rPr>
              <w:t>Increased plasma concentrations of astemizole and terfenadine.  Thereby, increasing the risk of serious arrhythmias from these agents</w:t>
            </w:r>
            <w:r w:rsidR="00D33C9D">
              <w:rPr>
                <w:sz w:val="22"/>
                <w:szCs w:val="22"/>
              </w:rPr>
              <w:t xml:space="preserve"> (see section 4.5)</w:t>
            </w:r>
            <w:r w:rsidRPr="00E25432">
              <w:rPr>
                <w:sz w:val="22"/>
                <w:szCs w:val="22"/>
              </w:rPr>
              <w:t>.</w:t>
            </w:r>
          </w:p>
        </w:tc>
      </w:tr>
      <w:tr w:rsidR="00C00C6C" w:rsidRPr="007750BF" w14:paraId="0C896A0B" w14:textId="77777777" w:rsidTr="006E1FDC">
        <w:trPr>
          <w:cantSplit/>
        </w:trPr>
        <w:tc>
          <w:tcPr>
            <w:tcW w:w="2237" w:type="dxa"/>
            <w:vMerge w:val="restart"/>
            <w:tcBorders>
              <w:top w:val="single" w:sz="4" w:space="0" w:color="auto"/>
            </w:tcBorders>
          </w:tcPr>
          <w:p w14:paraId="6085115D" w14:textId="77777777" w:rsidR="00C00C6C" w:rsidRPr="00E25432" w:rsidRDefault="00C00C6C" w:rsidP="003C2268">
            <w:pPr>
              <w:tabs>
                <w:tab w:val="left" w:pos="567"/>
              </w:tabs>
              <w:rPr>
                <w:sz w:val="22"/>
                <w:szCs w:val="22"/>
              </w:rPr>
            </w:pPr>
            <w:r w:rsidRPr="00E25432">
              <w:rPr>
                <w:sz w:val="22"/>
                <w:szCs w:val="22"/>
              </w:rPr>
              <w:t>Antipsychotics/ Neuroleptics</w:t>
            </w:r>
          </w:p>
        </w:tc>
        <w:tc>
          <w:tcPr>
            <w:tcW w:w="3112" w:type="dxa"/>
            <w:tcBorders>
              <w:top w:val="single" w:sz="4" w:space="0" w:color="auto"/>
              <w:bottom w:val="single" w:sz="4" w:space="0" w:color="auto"/>
            </w:tcBorders>
          </w:tcPr>
          <w:p w14:paraId="6BF808C1" w14:textId="77777777" w:rsidR="00C00C6C" w:rsidRPr="00E25432" w:rsidRDefault="00C00C6C" w:rsidP="003C2268">
            <w:pPr>
              <w:tabs>
                <w:tab w:val="left" w:pos="567"/>
              </w:tabs>
              <w:rPr>
                <w:sz w:val="22"/>
                <w:szCs w:val="22"/>
              </w:rPr>
            </w:pPr>
            <w:r>
              <w:rPr>
                <w:sz w:val="22"/>
                <w:szCs w:val="22"/>
              </w:rPr>
              <w:t>Lurasidone</w:t>
            </w:r>
          </w:p>
        </w:tc>
        <w:tc>
          <w:tcPr>
            <w:tcW w:w="3937" w:type="dxa"/>
            <w:gridSpan w:val="2"/>
            <w:tcBorders>
              <w:top w:val="single" w:sz="4" w:space="0" w:color="auto"/>
              <w:bottom w:val="single" w:sz="4" w:space="0" w:color="auto"/>
            </w:tcBorders>
          </w:tcPr>
          <w:p w14:paraId="2574CA80" w14:textId="77777777" w:rsidR="00C00C6C" w:rsidRPr="00E25432" w:rsidRDefault="00C00C6C" w:rsidP="003C2268">
            <w:pPr>
              <w:tabs>
                <w:tab w:val="left" w:pos="567"/>
              </w:tabs>
              <w:rPr>
                <w:sz w:val="22"/>
                <w:szCs w:val="22"/>
              </w:rPr>
            </w:pPr>
            <w:r>
              <w:rPr>
                <w:sz w:val="22"/>
                <w:szCs w:val="22"/>
              </w:rPr>
              <w:t>Increased plasma concentrations of lurasidone which may increase the potential for serious and/or life-threatening reactions (see section 4.5).</w:t>
            </w:r>
          </w:p>
        </w:tc>
      </w:tr>
      <w:tr w:rsidR="00C00C6C" w:rsidRPr="007750BF" w14:paraId="2A29C340" w14:textId="77777777" w:rsidTr="006E1FDC">
        <w:trPr>
          <w:cantSplit/>
        </w:trPr>
        <w:tc>
          <w:tcPr>
            <w:tcW w:w="2237" w:type="dxa"/>
            <w:vMerge/>
          </w:tcPr>
          <w:p w14:paraId="0EB5DDCC" w14:textId="77777777" w:rsidR="00C00C6C" w:rsidRPr="00E25432" w:rsidRDefault="00C00C6C" w:rsidP="003C2268">
            <w:pPr>
              <w:tabs>
                <w:tab w:val="left" w:pos="567"/>
              </w:tabs>
              <w:rPr>
                <w:sz w:val="22"/>
                <w:szCs w:val="22"/>
              </w:rPr>
            </w:pPr>
          </w:p>
        </w:tc>
        <w:tc>
          <w:tcPr>
            <w:tcW w:w="3112" w:type="dxa"/>
            <w:tcBorders>
              <w:top w:val="single" w:sz="4" w:space="0" w:color="auto"/>
              <w:bottom w:val="single" w:sz="4" w:space="0" w:color="auto"/>
            </w:tcBorders>
          </w:tcPr>
          <w:p w14:paraId="720A9E9E" w14:textId="77777777" w:rsidR="00C00C6C" w:rsidRPr="00E25432" w:rsidRDefault="00C00C6C" w:rsidP="003C2268">
            <w:pPr>
              <w:tabs>
                <w:tab w:val="left" w:pos="567"/>
              </w:tabs>
              <w:rPr>
                <w:sz w:val="22"/>
                <w:szCs w:val="22"/>
              </w:rPr>
            </w:pPr>
            <w:r w:rsidRPr="00E25432">
              <w:rPr>
                <w:sz w:val="22"/>
                <w:szCs w:val="22"/>
              </w:rPr>
              <w:t>Pimozide</w:t>
            </w:r>
          </w:p>
        </w:tc>
        <w:tc>
          <w:tcPr>
            <w:tcW w:w="3937" w:type="dxa"/>
            <w:gridSpan w:val="2"/>
            <w:tcBorders>
              <w:top w:val="single" w:sz="4" w:space="0" w:color="auto"/>
              <w:bottom w:val="single" w:sz="4" w:space="0" w:color="auto"/>
            </w:tcBorders>
          </w:tcPr>
          <w:p w14:paraId="1C74067E" w14:textId="77777777" w:rsidR="00C00C6C" w:rsidRPr="00E25432" w:rsidRDefault="00C00C6C" w:rsidP="003C2268">
            <w:pPr>
              <w:tabs>
                <w:tab w:val="left" w:pos="567"/>
              </w:tabs>
              <w:rPr>
                <w:sz w:val="22"/>
                <w:szCs w:val="22"/>
              </w:rPr>
            </w:pPr>
            <w:r w:rsidRPr="00E25432">
              <w:rPr>
                <w:sz w:val="22"/>
                <w:szCs w:val="22"/>
              </w:rPr>
              <w:t>Increased plasma concentrations of pimozide.  Thereby, increasing the risk of serious haematologic abnormalities, or other serious adverse effects from this agent</w:t>
            </w:r>
            <w:r w:rsidR="00D33C9D">
              <w:rPr>
                <w:sz w:val="22"/>
                <w:szCs w:val="22"/>
              </w:rPr>
              <w:t xml:space="preserve"> (see section 4.5)</w:t>
            </w:r>
            <w:r w:rsidRPr="00E25432">
              <w:rPr>
                <w:sz w:val="22"/>
                <w:szCs w:val="22"/>
              </w:rPr>
              <w:t>.</w:t>
            </w:r>
          </w:p>
        </w:tc>
      </w:tr>
      <w:tr w:rsidR="00C00C6C" w:rsidRPr="00B8664C" w14:paraId="61FB75F2" w14:textId="77777777" w:rsidTr="006E1FDC">
        <w:trPr>
          <w:cantSplit/>
        </w:trPr>
        <w:tc>
          <w:tcPr>
            <w:tcW w:w="2237" w:type="dxa"/>
            <w:vMerge/>
            <w:tcBorders>
              <w:bottom w:val="single" w:sz="4" w:space="0" w:color="auto"/>
            </w:tcBorders>
          </w:tcPr>
          <w:p w14:paraId="1F343FED" w14:textId="77777777" w:rsidR="00C00C6C" w:rsidRPr="00797BFA" w:rsidRDefault="00C00C6C" w:rsidP="003C2268">
            <w:pPr>
              <w:tabs>
                <w:tab w:val="left" w:pos="567"/>
              </w:tabs>
              <w:rPr>
                <w:sz w:val="22"/>
                <w:szCs w:val="22"/>
              </w:rPr>
            </w:pPr>
          </w:p>
        </w:tc>
        <w:tc>
          <w:tcPr>
            <w:tcW w:w="3112" w:type="dxa"/>
            <w:tcBorders>
              <w:top w:val="single" w:sz="4" w:space="0" w:color="auto"/>
              <w:bottom w:val="single" w:sz="4" w:space="0" w:color="auto"/>
            </w:tcBorders>
          </w:tcPr>
          <w:p w14:paraId="32851A20" w14:textId="77777777" w:rsidR="00C00C6C" w:rsidRPr="00797BFA" w:rsidRDefault="00C00C6C" w:rsidP="003C2268">
            <w:pPr>
              <w:tabs>
                <w:tab w:val="left" w:pos="567"/>
              </w:tabs>
              <w:rPr>
                <w:sz w:val="22"/>
                <w:szCs w:val="22"/>
              </w:rPr>
            </w:pPr>
            <w:r w:rsidRPr="00797BFA">
              <w:rPr>
                <w:sz w:val="22"/>
                <w:szCs w:val="22"/>
              </w:rPr>
              <w:t>Quetiapine</w:t>
            </w:r>
          </w:p>
        </w:tc>
        <w:tc>
          <w:tcPr>
            <w:tcW w:w="3937" w:type="dxa"/>
            <w:gridSpan w:val="2"/>
            <w:tcBorders>
              <w:top w:val="single" w:sz="4" w:space="0" w:color="auto"/>
              <w:bottom w:val="single" w:sz="4" w:space="0" w:color="auto"/>
            </w:tcBorders>
          </w:tcPr>
          <w:p w14:paraId="37480BDA" w14:textId="77777777" w:rsidR="00C00C6C" w:rsidRPr="00797BFA" w:rsidRDefault="00C00C6C" w:rsidP="003C2268">
            <w:pPr>
              <w:tabs>
                <w:tab w:val="left" w:pos="567"/>
              </w:tabs>
              <w:rPr>
                <w:sz w:val="22"/>
                <w:szCs w:val="22"/>
              </w:rPr>
            </w:pPr>
            <w:r w:rsidRPr="00797BFA">
              <w:rPr>
                <w:sz w:val="22"/>
                <w:szCs w:val="22"/>
              </w:rPr>
              <w:t>Increased plasma concentrations of quetiapine which may lead to coma.  The concomitant administration with quetiapine is contraindicated (see section 4.5).</w:t>
            </w:r>
          </w:p>
        </w:tc>
      </w:tr>
      <w:tr w:rsidR="00C00C6C" w:rsidRPr="007750BF" w14:paraId="504C8FAC" w14:textId="77777777" w:rsidTr="006E1FDC">
        <w:trPr>
          <w:cantSplit/>
        </w:trPr>
        <w:tc>
          <w:tcPr>
            <w:tcW w:w="2237" w:type="dxa"/>
            <w:tcBorders>
              <w:top w:val="single" w:sz="4" w:space="0" w:color="auto"/>
              <w:bottom w:val="single" w:sz="4" w:space="0" w:color="auto"/>
            </w:tcBorders>
          </w:tcPr>
          <w:p w14:paraId="06E8B742" w14:textId="77777777" w:rsidR="00C00C6C" w:rsidRPr="00E25432" w:rsidRDefault="00C00C6C" w:rsidP="003C2268">
            <w:pPr>
              <w:tabs>
                <w:tab w:val="left" w:pos="567"/>
              </w:tabs>
              <w:rPr>
                <w:sz w:val="22"/>
                <w:szCs w:val="22"/>
              </w:rPr>
            </w:pPr>
            <w:r w:rsidRPr="00E25432">
              <w:rPr>
                <w:sz w:val="22"/>
                <w:szCs w:val="22"/>
              </w:rPr>
              <w:t>Ergot alkaloids</w:t>
            </w:r>
          </w:p>
        </w:tc>
        <w:tc>
          <w:tcPr>
            <w:tcW w:w="3112" w:type="dxa"/>
            <w:tcBorders>
              <w:top w:val="single" w:sz="4" w:space="0" w:color="auto"/>
              <w:bottom w:val="single" w:sz="4" w:space="0" w:color="auto"/>
            </w:tcBorders>
          </w:tcPr>
          <w:p w14:paraId="28CB197F" w14:textId="77777777" w:rsidR="00C00C6C" w:rsidRPr="00E25432" w:rsidRDefault="00C00C6C" w:rsidP="003C2268">
            <w:pPr>
              <w:tabs>
                <w:tab w:val="left" w:pos="567"/>
              </w:tabs>
              <w:rPr>
                <w:sz w:val="22"/>
                <w:szCs w:val="22"/>
              </w:rPr>
            </w:pPr>
            <w:r w:rsidRPr="00E25432">
              <w:rPr>
                <w:sz w:val="22"/>
                <w:szCs w:val="22"/>
              </w:rPr>
              <w:t>Dihydroergotamine, ergonovine, ergotamine, methylergonovine</w:t>
            </w:r>
          </w:p>
        </w:tc>
        <w:tc>
          <w:tcPr>
            <w:tcW w:w="3937" w:type="dxa"/>
            <w:gridSpan w:val="2"/>
            <w:tcBorders>
              <w:top w:val="single" w:sz="4" w:space="0" w:color="auto"/>
              <w:bottom w:val="single" w:sz="4" w:space="0" w:color="auto"/>
            </w:tcBorders>
          </w:tcPr>
          <w:p w14:paraId="129DF1A9" w14:textId="77777777" w:rsidR="00C00C6C" w:rsidRPr="00E25432" w:rsidRDefault="00C00C6C" w:rsidP="003C2268">
            <w:pPr>
              <w:tabs>
                <w:tab w:val="left" w:pos="567"/>
              </w:tabs>
              <w:rPr>
                <w:sz w:val="22"/>
                <w:szCs w:val="22"/>
              </w:rPr>
            </w:pPr>
            <w:r w:rsidRPr="00E25432">
              <w:rPr>
                <w:sz w:val="22"/>
                <w:szCs w:val="22"/>
              </w:rPr>
              <w:t>Increased plasma concentrations of ergot derivatives leading to acute ergot toxicity, including vasospasm and ischaemia</w:t>
            </w:r>
            <w:r w:rsidR="00D33C9D">
              <w:rPr>
                <w:sz w:val="22"/>
                <w:szCs w:val="22"/>
              </w:rPr>
              <w:t xml:space="preserve"> (see section 4.5)</w:t>
            </w:r>
            <w:r w:rsidRPr="00E25432">
              <w:rPr>
                <w:sz w:val="22"/>
                <w:szCs w:val="22"/>
              </w:rPr>
              <w:t>.</w:t>
            </w:r>
          </w:p>
        </w:tc>
      </w:tr>
      <w:tr w:rsidR="00C00C6C" w:rsidRPr="007750BF" w14:paraId="5E88A417" w14:textId="77777777" w:rsidTr="006E1FDC">
        <w:trPr>
          <w:cantSplit/>
        </w:trPr>
        <w:tc>
          <w:tcPr>
            <w:tcW w:w="2237" w:type="dxa"/>
            <w:tcBorders>
              <w:top w:val="single" w:sz="4" w:space="0" w:color="auto"/>
              <w:bottom w:val="single" w:sz="4" w:space="0" w:color="auto"/>
            </w:tcBorders>
          </w:tcPr>
          <w:p w14:paraId="2430AAEE" w14:textId="77777777" w:rsidR="00C00C6C" w:rsidRPr="00E25432" w:rsidRDefault="00C00C6C" w:rsidP="003C2268">
            <w:pPr>
              <w:tabs>
                <w:tab w:val="left" w:pos="567"/>
              </w:tabs>
              <w:rPr>
                <w:sz w:val="22"/>
                <w:szCs w:val="22"/>
              </w:rPr>
            </w:pPr>
            <w:r w:rsidRPr="00E25432">
              <w:rPr>
                <w:sz w:val="22"/>
                <w:szCs w:val="22"/>
              </w:rPr>
              <w:t>GI motility agent</w:t>
            </w:r>
          </w:p>
        </w:tc>
        <w:tc>
          <w:tcPr>
            <w:tcW w:w="3112" w:type="dxa"/>
            <w:tcBorders>
              <w:top w:val="single" w:sz="4" w:space="0" w:color="auto"/>
              <w:bottom w:val="single" w:sz="4" w:space="0" w:color="auto"/>
            </w:tcBorders>
          </w:tcPr>
          <w:p w14:paraId="7A1A2015" w14:textId="77777777" w:rsidR="00C00C6C" w:rsidRPr="00E25432" w:rsidRDefault="00C00C6C" w:rsidP="003C2268">
            <w:pPr>
              <w:tabs>
                <w:tab w:val="left" w:pos="567"/>
              </w:tabs>
              <w:rPr>
                <w:sz w:val="22"/>
                <w:szCs w:val="22"/>
              </w:rPr>
            </w:pPr>
            <w:r w:rsidRPr="00E25432">
              <w:rPr>
                <w:sz w:val="22"/>
                <w:szCs w:val="22"/>
              </w:rPr>
              <w:t>Cisapride</w:t>
            </w:r>
          </w:p>
        </w:tc>
        <w:tc>
          <w:tcPr>
            <w:tcW w:w="3937" w:type="dxa"/>
            <w:gridSpan w:val="2"/>
            <w:tcBorders>
              <w:top w:val="single" w:sz="4" w:space="0" w:color="auto"/>
              <w:bottom w:val="single" w:sz="4" w:space="0" w:color="auto"/>
            </w:tcBorders>
          </w:tcPr>
          <w:p w14:paraId="574DCB99" w14:textId="77777777" w:rsidR="00C00C6C" w:rsidRPr="00E25432" w:rsidRDefault="00C00C6C" w:rsidP="003C2268">
            <w:pPr>
              <w:tabs>
                <w:tab w:val="left" w:pos="567"/>
              </w:tabs>
              <w:rPr>
                <w:sz w:val="22"/>
                <w:szCs w:val="22"/>
              </w:rPr>
            </w:pPr>
            <w:r w:rsidRPr="00E25432">
              <w:rPr>
                <w:sz w:val="22"/>
                <w:szCs w:val="22"/>
              </w:rPr>
              <w:t>Increased plasma concentrations of cisapride.  Thereby, increasing the risk of serious arrhythmias from this agent</w:t>
            </w:r>
            <w:r w:rsidR="00D33C9D">
              <w:rPr>
                <w:sz w:val="22"/>
                <w:szCs w:val="22"/>
              </w:rPr>
              <w:t xml:space="preserve"> (see section 4.5)</w:t>
            </w:r>
            <w:r w:rsidRPr="00E25432">
              <w:rPr>
                <w:sz w:val="22"/>
                <w:szCs w:val="22"/>
              </w:rPr>
              <w:t>.</w:t>
            </w:r>
          </w:p>
        </w:tc>
      </w:tr>
      <w:tr w:rsidR="00580178" w:rsidRPr="007750BF" w14:paraId="202CA6FF" w14:textId="77777777" w:rsidTr="005F7244">
        <w:trPr>
          <w:gridAfter w:val="1"/>
          <w:wAfter w:w="76" w:type="dxa"/>
          <w:cantSplit/>
        </w:trPr>
        <w:tc>
          <w:tcPr>
            <w:tcW w:w="2237" w:type="dxa"/>
            <w:vMerge w:val="restart"/>
            <w:tcBorders>
              <w:top w:val="single" w:sz="4" w:space="0" w:color="auto"/>
            </w:tcBorders>
          </w:tcPr>
          <w:p w14:paraId="3B0BFBB2" w14:textId="77777777" w:rsidR="00580178" w:rsidRPr="008C6B79" w:rsidRDefault="00580178" w:rsidP="005766B5">
            <w:pPr>
              <w:tabs>
                <w:tab w:val="left" w:pos="567"/>
              </w:tabs>
              <w:rPr>
                <w:sz w:val="22"/>
                <w:szCs w:val="22"/>
              </w:rPr>
            </w:pPr>
            <w:r>
              <w:rPr>
                <w:sz w:val="22"/>
                <w:szCs w:val="22"/>
              </w:rPr>
              <w:t>Hepatitis C virus direct acting</w:t>
            </w:r>
            <w:r w:rsidRPr="008C6B79">
              <w:rPr>
                <w:sz w:val="22"/>
                <w:szCs w:val="22"/>
              </w:rPr>
              <w:t xml:space="preserve"> antivirals</w:t>
            </w:r>
          </w:p>
        </w:tc>
        <w:tc>
          <w:tcPr>
            <w:tcW w:w="3112" w:type="dxa"/>
            <w:tcBorders>
              <w:top w:val="single" w:sz="4" w:space="0" w:color="auto"/>
              <w:bottom w:val="single" w:sz="4" w:space="0" w:color="auto"/>
            </w:tcBorders>
          </w:tcPr>
          <w:p w14:paraId="55C3A05F" w14:textId="77777777" w:rsidR="00580178" w:rsidRPr="008C6B79" w:rsidRDefault="00580178" w:rsidP="005766B5">
            <w:pPr>
              <w:tabs>
                <w:tab w:val="left" w:pos="567"/>
              </w:tabs>
              <w:rPr>
                <w:sz w:val="22"/>
                <w:szCs w:val="22"/>
              </w:rPr>
            </w:pPr>
            <w:r w:rsidRPr="008C6B79">
              <w:rPr>
                <w:sz w:val="22"/>
                <w:szCs w:val="22"/>
              </w:rPr>
              <w:t>Elbasvir/grazoprevir</w:t>
            </w:r>
          </w:p>
        </w:tc>
        <w:tc>
          <w:tcPr>
            <w:tcW w:w="3861" w:type="dxa"/>
            <w:tcBorders>
              <w:top w:val="single" w:sz="4" w:space="0" w:color="auto"/>
              <w:bottom w:val="single" w:sz="4" w:space="0" w:color="auto"/>
            </w:tcBorders>
          </w:tcPr>
          <w:p w14:paraId="4CEC4C01" w14:textId="77777777" w:rsidR="00580178" w:rsidRPr="00E25432" w:rsidRDefault="00580178" w:rsidP="005766B5">
            <w:pPr>
              <w:tabs>
                <w:tab w:val="left" w:pos="567"/>
              </w:tabs>
              <w:rPr>
                <w:sz w:val="22"/>
                <w:szCs w:val="22"/>
              </w:rPr>
            </w:pPr>
            <w:r w:rsidRPr="008C6B79">
              <w:rPr>
                <w:sz w:val="22"/>
                <w:szCs w:val="22"/>
              </w:rPr>
              <w:t>Increased risk of al</w:t>
            </w:r>
            <w:r>
              <w:rPr>
                <w:sz w:val="22"/>
                <w:szCs w:val="22"/>
              </w:rPr>
              <w:t>a</w:t>
            </w:r>
            <w:r w:rsidRPr="008C6B79">
              <w:rPr>
                <w:sz w:val="22"/>
                <w:szCs w:val="22"/>
              </w:rPr>
              <w:t>nine transaminase (ALT) elevations (see section 4.5).</w:t>
            </w:r>
          </w:p>
        </w:tc>
      </w:tr>
      <w:tr w:rsidR="00580178" w:rsidRPr="007750BF" w14:paraId="1294C629" w14:textId="77777777" w:rsidTr="005F7244">
        <w:trPr>
          <w:gridAfter w:val="1"/>
          <w:wAfter w:w="76" w:type="dxa"/>
          <w:cantSplit/>
        </w:trPr>
        <w:tc>
          <w:tcPr>
            <w:tcW w:w="2237" w:type="dxa"/>
            <w:vMerge/>
            <w:tcBorders>
              <w:bottom w:val="single" w:sz="4" w:space="0" w:color="auto"/>
            </w:tcBorders>
          </w:tcPr>
          <w:p w14:paraId="6C0F35F0" w14:textId="77777777" w:rsidR="00580178" w:rsidRDefault="00580178" w:rsidP="005766B5">
            <w:pPr>
              <w:tabs>
                <w:tab w:val="left" w:pos="567"/>
              </w:tabs>
              <w:rPr>
                <w:sz w:val="22"/>
                <w:szCs w:val="22"/>
              </w:rPr>
            </w:pPr>
          </w:p>
        </w:tc>
        <w:tc>
          <w:tcPr>
            <w:tcW w:w="3112" w:type="dxa"/>
            <w:tcBorders>
              <w:top w:val="single" w:sz="4" w:space="0" w:color="auto"/>
              <w:bottom w:val="single" w:sz="4" w:space="0" w:color="auto"/>
            </w:tcBorders>
          </w:tcPr>
          <w:p w14:paraId="1E9525F6" w14:textId="77777777" w:rsidR="00580178" w:rsidRPr="008C6B79" w:rsidRDefault="00580178" w:rsidP="005766B5">
            <w:pPr>
              <w:tabs>
                <w:tab w:val="left" w:pos="567"/>
              </w:tabs>
              <w:rPr>
                <w:sz w:val="22"/>
                <w:szCs w:val="22"/>
              </w:rPr>
            </w:pPr>
            <w:r>
              <w:rPr>
                <w:sz w:val="22"/>
                <w:szCs w:val="22"/>
              </w:rPr>
              <w:t>Ombitasvir/paritaprevir/ritonavir with or without dasabuvir</w:t>
            </w:r>
          </w:p>
        </w:tc>
        <w:tc>
          <w:tcPr>
            <w:tcW w:w="3861" w:type="dxa"/>
            <w:tcBorders>
              <w:top w:val="single" w:sz="4" w:space="0" w:color="auto"/>
              <w:bottom w:val="single" w:sz="4" w:space="0" w:color="auto"/>
            </w:tcBorders>
          </w:tcPr>
          <w:p w14:paraId="5ADE05E3" w14:textId="77777777" w:rsidR="00580178" w:rsidRPr="008C6B79" w:rsidRDefault="00580178" w:rsidP="005766B5">
            <w:pPr>
              <w:tabs>
                <w:tab w:val="left" w:pos="567"/>
              </w:tabs>
              <w:rPr>
                <w:sz w:val="22"/>
                <w:szCs w:val="22"/>
              </w:rPr>
            </w:pPr>
            <w:r>
              <w:rPr>
                <w:sz w:val="22"/>
                <w:szCs w:val="22"/>
              </w:rPr>
              <w:t>Increased plasma concentrations of paritaprevir; thereby, increasing the risk of alanine transaminase (ALT) elevations (see section 4.5).</w:t>
            </w:r>
          </w:p>
        </w:tc>
      </w:tr>
      <w:tr w:rsidR="00214829" w:rsidRPr="007750BF" w14:paraId="64A626A9" w14:textId="77777777" w:rsidTr="006D2C49">
        <w:trPr>
          <w:cantSplit/>
        </w:trPr>
        <w:tc>
          <w:tcPr>
            <w:tcW w:w="5349" w:type="dxa"/>
            <w:gridSpan w:val="2"/>
            <w:tcBorders>
              <w:top w:val="single" w:sz="4" w:space="0" w:color="auto"/>
            </w:tcBorders>
          </w:tcPr>
          <w:p w14:paraId="7082CD90" w14:textId="77777777" w:rsidR="00214829" w:rsidRPr="00B52503" w:rsidRDefault="00214829" w:rsidP="003C2268">
            <w:pPr>
              <w:tabs>
                <w:tab w:val="left" w:pos="567"/>
              </w:tabs>
              <w:rPr>
                <w:sz w:val="22"/>
                <w:szCs w:val="22"/>
              </w:rPr>
            </w:pPr>
            <w:r w:rsidRPr="00B52503">
              <w:rPr>
                <w:sz w:val="22"/>
                <w:szCs w:val="22"/>
              </w:rPr>
              <w:t>Lipid-modifying agents</w:t>
            </w:r>
          </w:p>
          <w:p w14:paraId="6514EFC4" w14:textId="77777777" w:rsidR="00214829" w:rsidRPr="00E25432" w:rsidRDefault="00214829" w:rsidP="003C2268">
            <w:pPr>
              <w:tabs>
                <w:tab w:val="left" w:pos="567"/>
              </w:tabs>
              <w:rPr>
                <w:sz w:val="22"/>
                <w:szCs w:val="22"/>
              </w:rPr>
            </w:pPr>
          </w:p>
        </w:tc>
        <w:tc>
          <w:tcPr>
            <w:tcW w:w="3937" w:type="dxa"/>
            <w:gridSpan w:val="2"/>
            <w:tcBorders>
              <w:top w:val="single" w:sz="4" w:space="0" w:color="auto"/>
            </w:tcBorders>
          </w:tcPr>
          <w:p w14:paraId="6F3F261D" w14:textId="77777777" w:rsidR="00214829" w:rsidRPr="00E25432" w:rsidRDefault="00214829" w:rsidP="003C2268">
            <w:pPr>
              <w:tabs>
                <w:tab w:val="left" w:pos="567"/>
              </w:tabs>
              <w:rPr>
                <w:sz w:val="22"/>
                <w:szCs w:val="22"/>
              </w:rPr>
            </w:pPr>
          </w:p>
        </w:tc>
      </w:tr>
      <w:tr w:rsidR="00C00C6C" w:rsidRPr="007750BF" w14:paraId="13A7C30A" w14:textId="77777777" w:rsidTr="005F7244">
        <w:trPr>
          <w:cantSplit/>
        </w:trPr>
        <w:tc>
          <w:tcPr>
            <w:tcW w:w="2237" w:type="dxa"/>
          </w:tcPr>
          <w:p w14:paraId="5526129C" w14:textId="77777777" w:rsidR="00C00C6C" w:rsidRPr="00E25432" w:rsidRDefault="00C00C6C" w:rsidP="003C2268">
            <w:pPr>
              <w:tabs>
                <w:tab w:val="left" w:pos="567"/>
              </w:tabs>
              <w:rPr>
                <w:sz w:val="22"/>
                <w:szCs w:val="22"/>
              </w:rPr>
            </w:pPr>
            <w:r w:rsidRPr="00E25432">
              <w:rPr>
                <w:sz w:val="22"/>
                <w:szCs w:val="22"/>
              </w:rPr>
              <w:t>HMG Co-A Reductase Inhibitors</w:t>
            </w:r>
          </w:p>
        </w:tc>
        <w:tc>
          <w:tcPr>
            <w:tcW w:w="3112" w:type="dxa"/>
          </w:tcPr>
          <w:p w14:paraId="30A4D61F" w14:textId="77777777" w:rsidR="00C00C6C" w:rsidRPr="00E25432" w:rsidRDefault="00C00C6C" w:rsidP="003C2268">
            <w:pPr>
              <w:tabs>
                <w:tab w:val="left" w:pos="567"/>
              </w:tabs>
              <w:rPr>
                <w:sz w:val="22"/>
                <w:szCs w:val="22"/>
              </w:rPr>
            </w:pPr>
            <w:r w:rsidRPr="00E25432">
              <w:rPr>
                <w:sz w:val="22"/>
                <w:szCs w:val="22"/>
              </w:rPr>
              <w:t>Lovastatin, simvastatin</w:t>
            </w:r>
          </w:p>
        </w:tc>
        <w:tc>
          <w:tcPr>
            <w:tcW w:w="3937" w:type="dxa"/>
            <w:gridSpan w:val="2"/>
          </w:tcPr>
          <w:p w14:paraId="3EB728DF" w14:textId="77777777" w:rsidR="00C00C6C" w:rsidRPr="00E25432" w:rsidRDefault="00C00C6C" w:rsidP="003C2268">
            <w:pPr>
              <w:tabs>
                <w:tab w:val="left" w:pos="567"/>
              </w:tabs>
              <w:rPr>
                <w:sz w:val="22"/>
                <w:szCs w:val="22"/>
              </w:rPr>
            </w:pPr>
            <w:r w:rsidRPr="00E25432">
              <w:rPr>
                <w:sz w:val="22"/>
                <w:szCs w:val="22"/>
              </w:rPr>
              <w:t>Increased plasma concentrations of lovastatin and simvastatin; thereby, increasing the risk of myopathy including rhabdomyolysis (see section 4.5).</w:t>
            </w:r>
          </w:p>
        </w:tc>
      </w:tr>
      <w:tr w:rsidR="00214829" w:rsidRPr="007750BF" w14:paraId="43B00D56" w14:textId="77777777" w:rsidTr="00A963FB">
        <w:trPr>
          <w:cantSplit/>
        </w:trPr>
        <w:tc>
          <w:tcPr>
            <w:tcW w:w="2237" w:type="dxa"/>
          </w:tcPr>
          <w:p w14:paraId="25F209D0" w14:textId="77777777" w:rsidR="00214829" w:rsidRPr="00214829" w:rsidRDefault="00214829" w:rsidP="006D2C49">
            <w:pPr>
              <w:tabs>
                <w:tab w:val="left" w:pos="567"/>
              </w:tabs>
              <w:rPr>
                <w:sz w:val="22"/>
                <w:szCs w:val="22"/>
              </w:rPr>
            </w:pPr>
            <w:r w:rsidRPr="00214829">
              <w:rPr>
                <w:sz w:val="22"/>
                <w:szCs w:val="22"/>
              </w:rPr>
              <w:t>Microsomal triglyceride transfer protein (MTTP) inhibitor</w:t>
            </w:r>
          </w:p>
        </w:tc>
        <w:tc>
          <w:tcPr>
            <w:tcW w:w="3112" w:type="dxa"/>
          </w:tcPr>
          <w:p w14:paraId="516F265C" w14:textId="77777777" w:rsidR="00214829" w:rsidRPr="00214829" w:rsidRDefault="00214829" w:rsidP="006D2C49">
            <w:pPr>
              <w:tabs>
                <w:tab w:val="left" w:pos="567"/>
              </w:tabs>
              <w:rPr>
                <w:sz w:val="22"/>
                <w:szCs w:val="22"/>
              </w:rPr>
            </w:pPr>
            <w:r w:rsidRPr="00214829">
              <w:rPr>
                <w:sz w:val="22"/>
                <w:szCs w:val="22"/>
              </w:rPr>
              <w:t>Lomitapide</w:t>
            </w:r>
          </w:p>
        </w:tc>
        <w:tc>
          <w:tcPr>
            <w:tcW w:w="3937" w:type="dxa"/>
            <w:gridSpan w:val="2"/>
          </w:tcPr>
          <w:p w14:paraId="301F814C" w14:textId="77777777" w:rsidR="00214829" w:rsidRPr="00214829" w:rsidRDefault="009B600A" w:rsidP="004369D8">
            <w:pPr>
              <w:tabs>
                <w:tab w:val="left" w:pos="567"/>
              </w:tabs>
              <w:rPr>
                <w:sz w:val="22"/>
                <w:szCs w:val="22"/>
              </w:rPr>
            </w:pPr>
            <w:r>
              <w:rPr>
                <w:sz w:val="22"/>
                <w:szCs w:val="22"/>
              </w:rPr>
              <w:t>Increased plasma concentrations of lomitapide</w:t>
            </w:r>
            <w:r w:rsidRPr="00214829">
              <w:rPr>
                <w:sz w:val="22"/>
                <w:szCs w:val="22"/>
              </w:rPr>
              <w:t xml:space="preserve"> (see section 4.5).</w:t>
            </w:r>
          </w:p>
        </w:tc>
      </w:tr>
      <w:tr w:rsidR="00C00C6C" w:rsidRPr="007750BF" w14:paraId="05AAF204" w14:textId="77777777" w:rsidTr="006E1FDC">
        <w:trPr>
          <w:cantSplit/>
        </w:trPr>
        <w:tc>
          <w:tcPr>
            <w:tcW w:w="2237" w:type="dxa"/>
            <w:vMerge w:val="restart"/>
            <w:tcBorders>
              <w:top w:val="single" w:sz="4" w:space="0" w:color="auto"/>
            </w:tcBorders>
          </w:tcPr>
          <w:p w14:paraId="53FC7615" w14:textId="77777777" w:rsidR="00C00C6C" w:rsidRDefault="00C00C6C" w:rsidP="003C2268">
            <w:pPr>
              <w:tabs>
                <w:tab w:val="left" w:pos="567"/>
              </w:tabs>
              <w:rPr>
                <w:sz w:val="22"/>
                <w:szCs w:val="22"/>
              </w:rPr>
            </w:pPr>
            <w:r>
              <w:rPr>
                <w:sz w:val="22"/>
                <w:szCs w:val="22"/>
              </w:rPr>
              <w:t>Phosphodiesterase (</w:t>
            </w:r>
            <w:r w:rsidRPr="00E25432">
              <w:rPr>
                <w:sz w:val="22"/>
                <w:szCs w:val="22"/>
              </w:rPr>
              <w:t>PDE5</w:t>
            </w:r>
            <w:r>
              <w:rPr>
                <w:sz w:val="22"/>
                <w:szCs w:val="22"/>
              </w:rPr>
              <w:t>)</w:t>
            </w:r>
            <w:r w:rsidRPr="00E25432">
              <w:rPr>
                <w:sz w:val="22"/>
                <w:szCs w:val="22"/>
              </w:rPr>
              <w:t xml:space="preserve"> inhibitors</w:t>
            </w:r>
          </w:p>
        </w:tc>
        <w:tc>
          <w:tcPr>
            <w:tcW w:w="3112" w:type="dxa"/>
            <w:tcBorders>
              <w:top w:val="single" w:sz="4" w:space="0" w:color="auto"/>
              <w:bottom w:val="single" w:sz="4" w:space="0" w:color="auto"/>
            </w:tcBorders>
          </w:tcPr>
          <w:p w14:paraId="174AD54E" w14:textId="77777777" w:rsidR="00C00C6C" w:rsidRPr="00E25432" w:rsidRDefault="00C00C6C" w:rsidP="003C2268">
            <w:pPr>
              <w:tabs>
                <w:tab w:val="left" w:pos="567"/>
              </w:tabs>
              <w:rPr>
                <w:sz w:val="22"/>
                <w:szCs w:val="22"/>
              </w:rPr>
            </w:pPr>
            <w:r>
              <w:rPr>
                <w:sz w:val="22"/>
                <w:szCs w:val="22"/>
              </w:rPr>
              <w:t>Avanafil</w:t>
            </w:r>
          </w:p>
        </w:tc>
        <w:tc>
          <w:tcPr>
            <w:tcW w:w="3937" w:type="dxa"/>
            <w:gridSpan w:val="2"/>
            <w:tcBorders>
              <w:top w:val="single" w:sz="4" w:space="0" w:color="auto"/>
              <w:bottom w:val="single" w:sz="4" w:space="0" w:color="auto"/>
            </w:tcBorders>
          </w:tcPr>
          <w:p w14:paraId="2CE5C45D" w14:textId="77777777" w:rsidR="00C00C6C" w:rsidRPr="00E25432" w:rsidRDefault="00C00C6C" w:rsidP="00881017">
            <w:pPr>
              <w:tabs>
                <w:tab w:val="left" w:pos="567"/>
              </w:tabs>
              <w:rPr>
                <w:sz w:val="22"/>
                <w:szCs w:val="22"/>
              </w:rPr>
            </w:pPr>
            <w:r w:rsidRPr="00E25432">
              <w:rPr>
                <w:sz w:val="22"/>
                <w:szCs w:val="22"/>
              </w:rPr>
              <w:t xml:space="preserve">Increased plasma concentrations of </w:t>
            </w:r>
            <w:r>
              <w:rPr>
                <w:sz w:val="22"/>
                <w:szCs w:val="22"/>
              </w:rPr>
              <w:t>avanafil</w:t>
            </w:r>
            <w:r w:rsidRPr="00E25432">
              <w:rPr>
                <w:sz w:val="22"/>
                <w:szCs w:val="22"/>
              </w:rPr>
              <w:t xml:space="preserve"> (see section</w:t>
            </w:r>
            <w:r>
              <w:rPr>
                <w:sz w:val="22"/>
                <w:szCs w:val="22"/>
              </w:rPr>
              <w:t>s</w:t>
            </w:r>
            <w:r w:rsidRPr="00E25432">
              <w:rPr>
                <w:sz w:val="22"/>
                <w:szCs w:val="22"/>
              </w:rPr>
              <w:t xml:space="preserve"> 4.4 and 4.5)</w:t>
            </w:r>
          </w:p>
        </w:tc>
      </w:tr>
      <w:tr w:rsidR="00C00C6C" w:rsidRPr="007750BF" w14:paraId="5BBFBFA1" w14:textId="77777777" w:rsidTr="006E1FDC">
        <w:trPr>
          <w:cantSplit/>
        </w:trPr>
        <w:tc>
          <w:tcPr>
            <w:tcW w:w="2237" w:type="dxa"/>
            <w:vMerge/>
          </w:tcPr>
          <w:p w14:paraId="0A1328D9" w14:textId="77777777" w:rsidR="00C00C6C" w:rsidRPr="00E25432" w:rsidRDefault="00C00C6C" w:rsidP="003C2268">
            <w:pPr>
              <w:tabs>
                <w:tab w:val="left" w:pos="567"/>
              </w:tabs>
              <w:rPr>
                <w:sz w:val="22"/>
                <w:szCs w:val="22"/>
              </w:rPr>
            </w:pPr>
          </w:p>
        </w:tc>
        <w:tc>
          <w:tcPr>
            <w:tcW w:w="3112" w:type="dxa"/>
            <w:tcBorders>
              <w:top w:val="single" w:sz="4" w:space="0" w:color="auto"/>
              <w:bottom w:val="single" w:sz="4" w:space="0" w:color="auto"/>
            </w:tcBorders>
          </w:tcPr>
          <w:p w14:paraId="1C12B273" w14:textId="77777777" w:rsidR="00C00C6C" w:rsidRPr="00E25432" w:rsidRDefault="00C00C6C" w:rsidP="003C2268">
            <w:pPr>
              <w:tabs>
                <w:tab w:val="left" w:pos="567"/>
              </w:tabs>
              <w:rPr>
                <w:sz w:val="22"/>
                <w:szCs w:val="22"/>
              </w:rPr>
            </w:pPr>
            <w:r w:rsidRPr="00E25432">
              <w:rPr>
                <w:sz w:val="22"/>
                <w:szCs w:val="22"/>
              </w:rPr>
              <w:t>Sildenafil</w:t>
            </w:r>
          </w:p>
          <w:p w14:paraId="1454A04D" w14:textId="77777777" w:rsidR="00C00C6C" w:rsidRPr="00E25432" w:rsidRDefault="00C00C6C" w:rsidP="003C2268">
            <w:pPr>
              <w:tabs>
                <w:tab w:val="left" w:pos="567"/>
              </w:tabs>
              <w:rPr>
                <w:sz w:val="22"/>
                <w:szCs w:val="22"/>
              </w:rPr>
            </w:pPr>
          </w:p>
        </w:tc>
        <w:tc>
          <w:tcPr>
            <w:tcW w:w="3937" w:type="dxa"/>
            <w:gridSpan w:val="2"/>
            <w:tcBorders>
              <w:top w:val="single" w:sz="4" w:space="0" w:color="auto"/>
              <w:bottom w:val="single" w:sz="4" w:space="0" w:color="auto"/>
            </w:tcBorders>
          </w:tcPr>
          <w:p w14:paraId="0D965822" w14:textId="77777777" w:rsidR="00C00C6C" w:rsidRPr="00E25432" w:rsidRDefault="00C00C6C" w:rsidP="003C2268">
            <w:pPr>
              <w:tabs>
                <w:tab w:val="left" w:pos="567"/>
              </w:tabs>
              <w:rPr>
                <w:sz w:val="22"/>
                <w:szCs w:val="22"/>
              </w:rPr>
            </w:pPr>
            <w:r w:rsidRPr="00E25432">
              <w:rPr>
                <w:sz w:val="22"/>
                <w:szCs w:val="22"/>
              </w:rPr>
              <w:t>Contraindicated when used for the treatment of pulmonary arterial hypertension (PAH) only.  Increased plasma concentrations of sildenafil.  Thereby, increasing the potential for sildenafil-associated adverse events (which include hypotension and syncope).  See section 4.4 and section 4.5 for co</w:t>
            </w:r>
            <w:r>
              <w:rPr>
                <w:sz w:val="22"/>
                <w:szCs w:val="22"/>
              </w:rPr>
              <w:noBreakHyphen/>
            </w:r>
            <w:r w:rsidRPr="00E25432">
              <w:rPr>
                <w:sz w:val="22"/>
                <w:szCs w:val="22"/>
              </w:rPr>
              <w:t>administration of sildenafil in patients with erectile dysfunction.</w:t>
            </w:r>
          </w:p>
        </w:tc>
      </w:tr>
      <w:tr w:rsidR="00C00C6C" w:rsidRPr="007750BF" w14:paraId="00FE5E1E" w14:textId="77777777" w:rsidTr="006E1FDC">
        <w:trPr>
          <w:cantSplit/>
        </w:trPr>
        <w:tc>
          <w:tcPr>
            <w:tcW w:w="2237" w:type="dxa"/>
            <w:vMerge/>
            <w:tcBorders>
              <w:bottom w:val="single" w:sz="4" w:space="0" w:color="auto"/>
            </w:tcBorders>
          </w:tcPr>
          <w:p w14:paraId="662774ED" w14:textId="77777777" w:rsidR="00C00C6C" w:rsidRPr="00E25432" w:rsidRDefault="00C00C6C" w:rsidP="003C2268">
            <w:pPr>
              <w:tabs>
                <w:tab w:val="left" w:pos="567"/>
              </w:tabs>
              <w:rPr>
                <w:sz w:val="22"/>
                <w:szCs w:val="22"/>
                <w:highlight w:val="yellow"/>
              </w:rPr>
            </w:pPr>
          </w:p>
        </w:tc>
        <w:tc>
          <w:tcPr>
            <w:tcW w:w="3112" w:type="dxa"/>
            <w:tcBorders>
              <w:top w:val="single" w:sz="4" w:space="0" w:color="auto"/>
              <w:bottom w:val="single" w:sz="4" w:space="0" w:color="auto"/>
            </w:tcBorders>
          </w:tcPr>
          <w:p w14:paraId="12BDA874" w14:textId="77777777" w:rsidR="00C00C6C" w:rsidRPr="00E25432" w:rsidRDefault="00C00C6C" w:rsidP="003C2268">
            <w:pPr>
              <w:tabs>
                <w:tab w:val="left" w:pos="567"/>
              </w:tabs>
              <w:rPr>
                <w:sz w:val="22"/>
                <w:szCs w:val="22"/>
              </w:rPr>
            </w:pPr>
            <w:r w:rsidRPr="00E25432">
              <w:rPr>
                <w:sz w:val="22"/>
                <w:szCs w:val="22"/>
              </w:rPr>
              <w:t>Vardenafil</w:t>
            </w:r>
          </w:p>
        </w:tc>
        <w:tc>
          <w:tcPr>
            <w:tcW w:w="3937" w:type="dxa"/>
            <w:gridSpan w:val="2"/>
            <w:tcBorders>
              <w:top w:val="single" w:sz="4" w:space="0" w:color="auto"/>
              <w:bottom w:val="single" w:sz="4" w:space="0" w:color="auto"/>
            </w:tcBorders>
          </w:tcPr>
          <w:p w14:paraId="10F42364" w14:textId="77777777" w:rsidR="00C00C6C" w:rsidRPr="00E25432" w:rsidRDefault="00C00C6C" w:rsidP="003C2268">
            <w:pPr>
              <w:tabs>
                <w:tab w:val="left" w:pos="567"/>
              </w:tabs>
              <w:rPr>
                <w:sz w:val="22"/>
                <w:szCs w:val="22"/>
              </w:rPr>
            </w:pPr>
            <w:r w:rsidRPr="00E25432">
              <w:rPr>
                <w:sz w:val="22"/>
                <w:szCs w:val="22"/>
              </w:rPr>
              <w:t>Increased plasma concentrations of vardenafil (see section</w:t>
            </w:r>
            <w:r>
              <w:rPr>
                <w:sz w:val="22"/>
                <w:szCs w:val="22"/>
              </w:rPr>
              <w:t>s</w:t>
            </w:r>
            <w:r w:rsidRPr="00E25432">
              <w:rPr>
                <w:sz w:val="22"/>
                <w:szCs w:val="22"/>
              </w:rPr>
              <w:t xml:space="preserve"> 4.4 and 4.5)</w:t>
            </w:r>
          </w:p>
        </w:tc>
      </w:tr>
      <w:tr w:rsidR="00C00C6C" w:rsidRPr="007750BF" w14:paraId="642361D7" w14:textId="77777777" w:rsidTr="006E1FDC">
        <w:trPr>
          <w:cantSplit/>
        </w:trPr>
        <w:tc>
          <w:tcPr>
            <w:tcW w:w="2237" w:type="dxa"/>
            <w:tcBorders>
              <w:top w:val="single" w:sz="4" w:space="0" w:color="auto"/>
              <w:bottom w:val="single" w:sz="4" w:space="0" w:color="auto"/>
            </w:tcBorders>
          </w:tcPr>
          <w:p w14:paraId="396D4D83" w14:textId="77777777" w:rsidR="00C00C6C" w:rsidRPr="00E25432" w:rsidRDefault="00C00C6C" w:rsidP="003C2268">
            <w:pPr>
              <w:tabs>
                <w:tab w:val="left" w:pos="567"/>
              </w:tabs>
              <w:rPr>
                <w:sz w:val="22"/>
                <w:szCs w:val="22"/>
              </w:rPr>
            </w:pPr>
            <w:r w:rsidRPr="00E25432">
              <w:rPr>
                <w:sz w:val="22"/>
                <w:szCs w:val="22"/>
              </w:rPr>
              <w:t>Sedatives/hypnotics</w:t>
            </w:r>
          </w:p>
        </w:tc>
        <w:tc>
          <w:tcPr>
            <w:tcW w:w="3112" w:type="dxa"/>
            <w:tcBorders>
              <w:top w:val="single" w:sz="4" w:space="0" w:color="auto"/>
              <w:bottom w:val="single" w:sz="4" w:space="0" w:color="auto"/>
            </w:tcBorders>
          </w:tcPr>
          <w:p w14:paraId="31435F4D" w14:textId="77777777" w:rsidR="00C00C6C" w:rsidRPr="00E25432" w:rsidRDefault="00C00C6C" w:rsidP="003C2268">
            <w:pPr>
              <w:tabs>
                <w:tab w:val="left" w:pos="567"/>
              </w:tabs>
              <w:rPr>
                <w:sz w:val="22"/>
                <w:szCs w:val="22"/>
              </w:rPr>
            </w:pPr>
            <w:r w:rsidRPr="00E25432">
              <w:rPr>
                <w:sz w:val="22"/>
                <w:szCs w:val="22"/>
              </w:rPr>
              <w:t>Oral midazolam, triazolam</w:t>
            </w:r>
          </w:p>
        </w:tc>
        <w:tc>
          <w:tcPr>
            <w:tcW w:w="3937" w:type="dxa"/>
            <w:gridSpan w:val="2"/>
            <w:tcBorders>
              <w:top w:val="single" w:sz="4" w:space="0" w:color="auto"/>
              <w:bottom w:val="single" w:sz="4" w:space="0" w:color="auto"/>
            </w:tcBorders>
          </w:tcPr>
          <w:p w14:paraId="00ABE192" w14:textId="77777777" w:rsidR="00C00C6C" w:rsidRPr="00E25432" w:rsidRDefault="00C00C6C" w:rsidP="003C2268">
            <w:pPr>
              <w:tabs>
                <w:tab w:val="left" w:pos="567"/>
              </w:tabs>
              <w:rPr>
                <w:sz w:val="22"/>
                <w:szCs w:val="22"/>
              </w:rPr>
            </w:pPr>
            <w:r w:rsidRPr="00E25432">
              <w:rPr>
                <w:sz w:val="22"/>
                <w:szCs w:val="22"/>
              </w:rPr>
              <w:t xml:space="preserve">Increased plasma concentrations of oral midazolam and triazolam.  Thereby, increasing the risk of extreme sedation and respiratory depression from these agents.  </w:t>
            </w:r>
          </w:p>
          <w:p w14:paraId="5CF95449" w14:textId="77777777" w:rsidR="00C00C6C" w:rsidRPr="00E25432" w:rsidRDefault="00C00C6C" w:rsidP="003C2268">
            <w:pPr>
              <w:tabs>
                <w:tab w:val="left" w:pos="567"/>
              </w:tabs>
              <w:rPr>
                <w:sz w:val="22"/>
                <w:szCs w:val="22"/>
              </w:rPr>
            </w:pPr>
            <w:r w:rsidRPr="00E25432">
              <w:rPr>
                <w:sz w:val="22"/>
                <w:szCs w:val="22"/>
              </w:rPr>
              <w:t>For caution on parenterally administered midazolam, see section 4.5.</w:t>
            </w:r>
          </w:p>
        </w:tc>
      </w:tr>
      <w:tr w:rsidR="00C00C6C" w:rsidRPr="007750BF" w14:paraId="4A4656E5" w14:textId="77777777" w:rsidTr="00D33C9D">
        <w:trPr>
          <w:cantSplit/>
        </w:trPr>
        <w:tc>
          <w:tcPr>
            <w:tcW w:w="9286" w:type="dxa"/>
            <w:gridSpan w:val="4"/>
            <w:tcBorders>
              <w:top w:val="single" w:sz="4" w:space="0" w:color="auto"/>
              <w:bottom w:val="single" w:sz="4" w:space="0" w:color="auto"/>
            </w:tcBorders>
          </w:tcPr>
          <w:p w14:paraId="3C6D5AEF" w14:textId="77777777" w:rsidR="00C00C6C" w:rsidRPr="00E25432" w:rsidRDefault="00C00C6C" w:rsidP="003C2268">
            <w:pPr>
              <w:tabs>
                <w:tab w:val="left" w:pos="567"/>
              </w:tabs>
              <w:spacing w:before="120" w:after="120"/>
              <w:rPr>
                <w:b/>
                <w:bCs/>
                <w:sz w:val="22"/>
                <w:szCs w:val="22"/>
              </w:rPr>
            </w:pPr>
            <w:r>
              <w:rPr>
                <w:b/>
                <w:bCs/>
                <w:sz w:val="22"/>
                <w:szCs w:val="22"/>
              </w:rPr>
              <w:t>Lopinavir/r</w:t>
            </w:r>
            <w:r w:rsidRPr="00E25432">
              <w:rPr>
                <w:b/>
                <w:bCs/>
                <w:sz w:val="22"/>
                <w:szCs w:val="22"/>
              </w:rPr>
              <w:t>itonavir medicinal product level decreased</w:t>
            </w:r>
          </w:p>
        </w:tc>
      </w:tr>
      <w:tr w:rsidR="00C00C6C" w:rsidRPr="007750BF" w14:paraId="6EED9412" w14:textId="77777777" w:rsidTr="006E1FDC">
        <w:trPr>
          <w:cantSplit/>
        </w:trPr>
        <w:tc>
          <w:tcPr>
            <w:tcW w:w="2237" w:type="dxa"/>
            <w:tcBorders>
              <w:top w:val="single" w:sz="4" w:space="0" w:color="auto"/>
              <w:bottom w:val="single" w:sz="4" w:space="0" w:color="auto"/>
            </w:tcBorders>
          </w:tcPr>
          <w:p w14:paraId="07806164" w14:textId="77777777" w:rsidR="00C00C6C" w:rsidRPr="00E25432" w:rsidRDefault="00C00C6C" w:rsidP="003C2268">
            <w:pPr>
              <w:tabs>
                <w:tab w:val="left" w:pos="567"/>
              </w:tabs>
              <w:rPr>
                <w:sz w:val="22"/>
                <w:szCs w:val="22"/>
              </w:rPr>
            </w:pPr>
            <w:r w:rsidRPr="00E25432">
              <w:rPr>
                <w:sz w:val="22"/>
                <w:szCs w:val="22"/>
              </w:rPr>
              <w:t xml:space="preserve">Herbal </w:t>
            </w:r>
            <w:r>
              <w:rPr>
                <w:sz w:val="22"/>
                <w:szCs w:val="22"/>
              </w:rPr>
              <w:t>products</w:t>
            </w:r>
          </w:p>
        </w:tc>
        <w:tc>
          <w:tcPr>
            <w:tcW w:w="3112" w:type="dxa"/>
            <w:tcBorders>
              <w:top w:val="single" w:sz="4" w:space="0" w:color="auto"/>
              <w:bottom w:val="single" w:sz="4" w:space="0" w:color="auto"/>
            </w:tcBorders>
          </w:tcPr>
          <w:p w14:paraId="6324F6C4" w14:textId="77777777" w:rsidR="00C00C6C" w:rsidRPr="00E25432" w:rsidRDefault="00C00C6C" w:rsidP="003C2268">
            <w:pPr>
              <w:tabs>
                <w:tab w:val="left" w:pos="567"/>
              </w:tabs>
              <w:rPr>
                <w:sz w:val="22"/>
                <w:szCs w:val="22"/>
              </w:rPr>
            </w:pPr>
            <w:smartTag w:uri="urn:schemas-microsoft-com:office:smarttags" w:element="City">
              <w:smartTag w:uri="urn:schemas-microsoft-com:office:smarttags" w:element="place">
                <w:r w:rsidRPr="00E25432">
                  <w:rPr>
                    <w:sz w:val="22"/>
                    <w:szCs w:val="22"/>
                  </w:rPr>
                  <w:t>St. John’s</w:t>
                </w:r>
              </w:smartTag>
            </w:smartTag>
            <w:r>
              <w:rPr>
                <w:sz w:val="22"/>
                <w:szCs w:val="22"/>
              </w:rPr>
              <w:t xml:space="preserve"> w</w:t>
            </w:r>
            <w:r w:rsidRPr="00E25432">
              <w:rPr>
                <w:sz w:val="22"/>
                <w:szCs w:val="22"/>
              </w:rPr>
              <w:t>ort</w:t>
            </w:r>
          </w:p>
        </w:tc>
        <w:tc>
          <w:tcPr>
            <w:tcW w:w="3937" w:type="dxa"/>
            <w:gridSpan w:val="2"/>
            <w:tcBorders>
              <w:top w:val="single" w:sz="4" w:space="0" w:color="auto"/>
              <w:bottom w:val="single" w:sz="4" w:space="0" w:color="auto"/>
            </w:tcBorders>
          </w:tcPr>
          <w:p w14:paraId="1C1BBB4F" w14:textId="77777777" w:rsidR="00C00C6C" w:rsidRPr="00E25432" w:rsidRDefault="00C00C6C" w:rsidP="003C2268">
            <w:pPr>
              <w:tabs>
                <w:tab w:val="left" w:pos="567"/>
              </w:tabs>
              <w:rPr>
                <w:sz w:val="22"/>
                <w:szCs w:val="22"/>
              </w:rPr>
            </w:pPr>
            <w:r w:rsidRPr="00E25432">
              <w:rPr>
                <w:sz w:val="22"/>
                <w:szCs w:val="22"/>
              </w:rPr>
              <w:t xml:space="preserve">Herbal preparations containing </w:t>
            </w:r>
            <w:smartTag w:uri="urn:schemas-microsoft-com:office:smarttags" w:element="City">
              <w:smartTag w:uri="urn:schemas-microsoft-com:office:smarttags" w:element="place">
                <w:r w:rsidRPr="00E25432">
                  <w:rPr>
                    <w:sz w:val="22"/>
                    <w:szCs w:val="22"/>
                  </w:rPr>
                  <w:t>St John’s</w:t>
                </w:r>
              </w:smartTag>
            </w:smartTag>
            <w:r w:rsidRPr="00E25432">
              <w:rPr>
                <w:sz w:val="22"/>
                <w:szCs w:val="22"/>
              </w:rPr>
              <w:t xml:space="preserve"> wort (</w:t>
            </w:r>
            <w:r w:rsidRPr="00E25432">
              <w:rPr>
                <w:i/>
                <w:sz w:val="22"/>
                <w:szCs w:val="22"/>
              </w:rPr>
              <w:t>Hypericum perforatum)</w:t>
            </w:r>
            <w:r w:rsidRPr="00E25432">
              <w:rPr>
                <w:sz w:val="22"/>
                <w:szCs w:val="22"/>
              </w:rPr>
              <w:t xml:space="preserve"> due to the risk of decreased plasma concentrations and reduced clinical effects of lopinavir and ritonavir (see section 4.5).</w:t>
            </w:r>
          </w:p>
        </w:tc>
      </w:tr>
    </w:tbl>
    <w:p w14:paraId="2B567698" w14:textId="77777777" w:rsidR="006448FB" w:rsidRDefault="006448FB" w:rsidP="006448FB">
      <w:pPr>
        <w:pStyle w:val="EMEAHeading2SPC"/>
        <w:spacing w:beforeLines="0" w:before="0" w:afterLines="0" w:after="0"/>
        <w:rPr>
          <w:rFonts w:ascii="Times New Roman" w:hAnsi="Times New Roman"/>
          <w:lang w:val="en-GB"/>
        </w:rPr>
      </w:pPr>
    </w:p>
    <w:p w14:paraId="2F106908" w14:textId="77777777" w:rsidR="00D7303D" w:rsidRDefault="009100DA" w:rsidP="006448FB">
      <w:pPr>
        <w:pStyle w:val="EMEAHeading2SPC"/>
        <w:spacing w:beforeLines="0" w:before="0" w:afterLines="0" w:after="0"/>
        <w:rPr>
          <w:rFonts w:ascii="Times New Roman" w:hAnsi="Times New Roman"/>
          <w:lang w:val="en-GB"/>
        </w:rPr>
      </w:pPr>
      <w:r>
        <w:rPr>
          <w:rFonts w:ascii="Times New Roman" w:hAnsi="Times New Roman"/>
          <w:lang w:val="en-GB"/>
        </w:rPr>
        <w:t>4.4</w:t>
      </w:r>
      <w:r w:rsidR="00D7303D" w:rsidRPr="00342F7C">
        <w:rPr>
          <w:rFonts w:ascii="Times New Roman" w:hAnsi="Times New Roman"/>
          <w:lang w:val="en-GB"/>
        </w:rPr>
        <w:tab/>
        <w:t xml:space="preserve">Special warnings and precautions for use </w:t>
      </w:r>
    </w:p>
    <w:p w14:paraId="239A1A25" w14:textId="77777777" w:rsidR="006D4377" w:rsidRPr="006448FB" w:rsidRDefault="006D4377" w:rsidP="006448FB">
      <w:pPr>
        <w:pStyle w:val="EMEANormal"/>
        <w:rPr>
          <w:lang w:val="en-GB"/>
        </w:rPr>
      </w:pPr>
    </w:p>
    <w:p w14:paraId="69E9C6CB" w14:textId="77777777" w:rsidR="00D7303D" w:rsidRPr="0017061C" w:rsidRDefault="00D7303D" w:rsidP="006448FB">
      <w:pPr>
        <w:pStyle w:val="EMEAHeadingUI"/>
        <w:spacing w:beforeLines="0" w:before="0" w:afterLines="0" w:after="0"/>
        <w:rPr>
          <w:u w:val="none"/>
          <w:lang w:val="en-GB"/>
        </w:rPr>
      </w:pPr>
      <w:r w:rsidRPr="0017061C">
        <w:rPr>
          <w:u w:val="none"/>
          <w:lang w:val="en-GB"/>
        </w:rPr>
        <w:t>Patients with coexisting conditions</w:t>
      </w:r>
    </w:p>
    <w:p w14:paraId="487C5348" w14:textId="77777777" w:rsidR="006448FB" w:rsidRPr="006448FB" w:rsidRDefault="006448FB" w:rsidP="006448FB">
      <w:pPr>
        <w:pStyle w:val="EMEANormal"/>
        <w:rPr>
          <w:lang w:val="en-GB"/>
        </w:rPr>
      </w:pPr>
    </w:p>
    <w:p w14:paraId="6493BC75" w14:textId="77777777" w:rsidR="003749E7" w:rsidRDefault="00D7303D">
      <w:pPr>
        <w:pStyle w:val="EMEANormal"/>
        <w:rPr>
          <w:bCs/>
          <w:lang w:val="en-GB"/>
        </w:rPr>
      </w:pPr>
      <w:r w:rsidRPr="0017061C">
        <w:rPr>
          <w:bCs/>
          <w:iCs/>
          <w:u w:val="single"/>
          <w:lang w:val="en-GB"/>
        </w:rPr>
        <w:t>Hepatic impairment</w:t>
      </w:r>
      <w:r w:rsidRPr="00EC18FE">
        <w:rPr>
          <w:bCs/>
          <w:u w:val="single"/>
          <w:lang w:val="en-GB"/>
        </w:rPr>
        <w:t>:</w:t>
      </w:r>
      <w:r w:rsidRPr="00342F7C">
        <w:rPr>
          <w:bCs/>
          <w:lang w:val="en-GB"/>
        </w:rPr>
        <w:t xml:space="preserve"> </w:t>
      </w:r>
    </w:p>
    <w:p w14:paraId="12B1C367" w14:textId="77777777" w:rsidR="00D7303D" w:rsidRPr="00342F7C" w:rsidRDefault="003749E7">
      <w:pPr>
        <w:pStyle w:val="EMEANormal"/>
        <w:rPr>
          <w:bCs/>
          <w:lang w:val="en-GB"/>
        </w:rPr>
      </w:pPr>
      <w:r>
        <w:rPr>
          <w:bCs/>
          <w:lang w:val="en-GB"/>
        </w:rPr>
        <w:t>T</w:t>
      </w:r>
      <w:r w:rsidR="00D7303D" w:rsidRPr="00342F7C">
        <w:rPr>
          <w:bCs/>
          <w:lang w:val="en-GB"/>
        </w:rPr>
        <w:t>he safety and efficacy of Kaletra has not been established in patients with significant underlying liver disorders.  Kaletra is contraindicated in patients with severe liver impairment (see section 4.3).  Patients with chronic hepatitis B or C and treated with combination antiretroviral therapy are at an increased risk for severe and potentially fatal hepatic adverse reactions.  In case of concomitant antiviral therapy for hepatitis B or C, please refer to the relevant product information for these medicinal products.</w:t>
      </w:r>
    </w:p>
    <w:p w14:paraId="48A1F34D" w14:textId="77777777" w:rsidR="00D7303D" w:rsidRPr="00342F7C" w:rsidRDefault="00D7303D">
      <w:pPr>
        <w:pStyle w:val="EMEANormal"/>
        <w:rPr>
          <w:lang w:val="en-GB"/>
        </w:rPr>
      </w:pPr>
    </w:p>
    <w:p w14:paraId="07FFA33F" w14:textId="77777777" w:rsidR="00D7303D" w:rsidRPr="00342F7C" w:rsidRDefault="00D7303D" w:rsidP="00BD7D49">
      <w:pPr>
        <w:pStyle w:val="EMEANormal"/>
        <w:rPr>
          <w:lang w:val="en-GB"/>
        </w:rPr>
      </w:pPr>
      <w:r w:rsidRPr="00342F7C">
        <w:rPr>
          <w:lang w:val="en-GB"/>
        </w:rPr>
        <w:t xml:space="preserve">Patients with pre-existing liver dysfunction including chronic hepatitis have an increased frequency of liver function abnormalities during combination antiretroviral therapy and should be monitored according to standard practice.  If there is evidence of worsening liver disease in such patients, interruption or discontinuation of treatment should be considered. </w:t>
      </w:r>
    </w:p>
    <w:p w14:paraId="75266C4B" w14:textId="77777777" w:rsidR="00D7303D" w:rsidRPr="00342F7C" w:rsidRDefault="00D7303D" w:rsidP="00BD7D49">
      <w:pPr>
        <w:pStyle w:val="EMEANormal"/>
        <w:rPr>
          <w:lang w:val="en-GB"/>
        </w:rPr>
      </w:pPr>
    </w:p>
    <w:p w14:paraId="5E15733A" w14:textId="77777777" w:rsidR="00D7303D" w:rsidRPr="00342F7C" w:rsidRDefault="00D7303D" w:rsidP="00BD7D49">
      <w:pPr>
        <w:pStyle w:val="EMEANormal"/>
        <w:rPr>
          <w:lang w:val="en-GB"/>
        </w:rPr>
      </w:pPr>
      <w:r w:rsidRPr="00342F7C">
        <w:rPr>
          <w:lang w:val="en-GB"/>
        </w:rPr>
        <w:t>Elevated transaminases with or without elevated bilirubin levels have been reported in HIV-1 mono</w:t>
      </w:r>
      <w:r w:rsidRPr="00342F7C">
        <w:rPr>
          <w:lang w:val="en-GB"/>
        </w:rPr>
        <w:noBreakHyphen/>
        <w:t>infected and in individuals treated for post-exposure prophylaxis as early as 7 days after the initiation of lopinavir/ritonavir in conjunction with other antiretroviral agents.  In some cases the hepatic dysfunction was serious.</w:t>
      </w:r>
    </w:p>
    <w:p w14:paraId="77F26D2E" w14:textId="77777777" w:rsidR="00D7303D" w:rsidRPr="00342F7C" w:rsidRDefault="00D7303D" w:rsidP="00BD7D49">
      <w:pPr>
        <w:pStyle w:val="EMEANormal"/>
        <w:rPr>
          <w:lang w:val="en-GB"/>
        </w:rPr>
      </w:pPr>
    </w:p>
    <w:p w14:paraId="2A537A3E" w14:textId="77777777" w:rsidR="00D7303D" w:rsidRPr="00342F7C" w:rsidRDefault="00D7303D" w:rsidP="00BD7D49">
      <w:pPr>
        <w:pStyle w:val="EMEANormal"/>
        <w:rPr>
          <w:lang w:val="en-GB"/>
        </w:rPr>
      </w:pPr>
      <w:r w:rsidRPr="00342F7C">
        <w:rPr>
          <w:lang w:val="en-GB"/>
        </w:rPr>
        <w:t>Appropriate laboratory testing should be conducted prior to initiating therapy with lopinavir/ritonavir and close monitoring should be performed during treatment.</w:t>
      </w:r>
    </w:p>
    <w:p w14:paraId="5F85722A" w14:textId="77777777" w:rsidR="00D7303D" w:rsidRPr="00342F7C" w:rsidRDefault="00D7303D">
      <w:pPr>
        <w:pStyle w:val="EMEANormal"/>
        <w:rPr>
          <w:lang w:val="en-GB"/>
        </w:rPr>
      </w:pPr>
    </w:p>
    <w:p w14:paraId="1D79A6B4" w14:textId="77777777" w:rsidR="003749E7" w:rsidRPr="0017061C" w:rsidRDefault="00D7303D" w:rsidP="00D16035">
      <w:pPr>
        <w:pStyle w:val="EMEANormal"/>
        <w:keepNext/>
        <w:rPr>
          <w:iCs/>
          <w:u w:val="single"/>
          <w:lang w:val="en-GB"/>
        </w:rPr>
      </w:pPr>
      <w:r w:rsidRPr="0017061C">
        <w:rPr>
          <w:iCs/>
          <w:u w:val="single"/>
          <w:lang w:val="en-GB"/>
        </w:rPr>
        <w:t>Renal impairment</w:t>
      </w:r>
    </w:p>
    <w:p w14:paraId="5EFCFB04" w14:textId="77777777" w:rsidR="00D7303D" w:rsidRPr="00342F7C" w:rsidRDefault="003749E7" w:rsidP="00D16035">
      <w:pPr>
        <w:pStyle w:val="EMEANormal"/>
        <w:keepNext/>
        <w:rPr>
          <w:lang w:val="en-GB"/>
        </w:rPr>
      </w:pPr>
      <w:r>
        <w:rPr>
          <w:lang w:val="en-GB"/>
        </w:rPr>
        <w:t>S</w:t>
      </w:r>
      <w:r w:rsidR="00D7303D" w:rsidRPr="00342F7C">
        <w:rPr>
          <w:lang w:val="en-GB"/>
        </w:rPr>
        <w:t>ince the renal clearance of lopinavir and ritonavir is negligible, increased plasma concentrations are not expected in patients with renal impairment.  Because lopinavir and ritonavir are highly protein bound, it is unlikely that they will be significantly removed by haemodialysis or peritoneal dialysis.</w:t>
      </w:r>
    </w:p>
    <w:p w14:paraId="2A36A810" w14:textId="77777777" w:rsidR="00D7303D" w:rsidRPr="00342F7C" w:rsidRDefault="00D7303D">
      <w:pPr>
        <w:pStyle w:val="EMEANormal"/>
        <w:rPr>
          <w:lang w:val="en-GB"/>
        </w:rPr>
      </w:pPr>
    </w:p>
    <w:p w14:paraId="0DDA3EF7" w14:textId="77777777" w:rsidR="003749E7" w:rsidRDefault="00D7303D">
      <w:pPr>
        <w:pStyle w:val="EMEANormal"/>
        <w:rPr>
          <w:i/>
          <w:iCs/>
          <w:lang w:val="en-GB"/>
        </w:rPr>
      </w:pPr>
      <w:r w:rsidRPr="0017061C">
        <w:rPr>
          <w:iCs/>
          <w:u w:val="single"/>
          <w:lang w:val="en-GB"/>
        </w:rPr>
        <w:t>Haemophilia</w:t>
      </w:r>
    </w:p>
    <w:p w14:paraId="08AE3258" w14:textId="77777777" w:rsidR="00D7303D" w:rsidRDefault="003749E7">
      <w:pPr>
        <w:pStyle w:val="EMEANormal"/>
        <w:rPr>
          <w:lang w:val="en-GB"/>
        </w:rPr>
      </w:pPr>
      <w:r>
        <w:rPr>
          <w:lang w:val="en-GB"/>
        </w:rPr>
        <w:t>T</w:t>
      </w:r>
      <w:r w:rsidR="00D7303D" w:rsidRPr="00342F7C">
        <w:rPr>
          <w:lang w:val="en-GB"/>
        </w:rPr>
        <w:t>here have been reports of increased bleeding, including spontaneous skin haematomas and haemarthrosis in patients with haemophilia type A and B treated with protease inhibitors.  In some patients additional factor VIII was given.  In more than half of the reported cases, treatment with protease inhibitors was continued or reintroduced if treatment had been discontinued.  A causal relationship had been evoked, although the mechanism of action had not been elucidated.  Haemophiliac patients should therefore be made aware of the possibility of increased bleeding.</w:t>
      </w:r>
    </w:p>
    <w:p w14:paraId="1DCE1EAE" w14:textId="77777777" w:rsidR="000F64FB" w:rsidRPr="00342F7C" w:rsidRDefault="000F64FB">
      <w:pPr>
        <w:pStyle w:val="EMEANormal"/>
        <w:rPr>
          <w:lang w:val="en-GB"/>
        </w:rPr>
      </w:pPr>
    </w:p>
    <w:p w14:paraId="077BC258" w14:textId="77777777" w:rsidR="00D7303D" w:rsidRPr="0017061C" w:rsidRDefault="00D7303D" w:rsidP="00573B91">
      <w:pPr>
        <w:pStyle w:val="EMEAHeadingUI"/>
        <w:keepNext/>
        <w:spacing w:beforeLines="0" w:before="0" w:afterLines="0" w:after="0"/>
        <w:rPr>
          <w:i w:val="0"/>
          <w:lang w:val="en-GB"/>
        </w:rPr>
      </w:pPr>
      <w:r w:rsidRPr="0017061C">
        <w:rPr>
          <w:i w:val="0"/>
          <w:lang w:val="en-GB"/>
        </w:rPr>
        <w:t>Pancreatitis</w:t>
      </w:r>
    </w:p>
    <w:p w14:paraId="31DB683C" w14:textId="77777777" w:rsidR="00D7303D" w:rsidRPr="00342F7C" w:rsidRDefault="00D7303D" w:rsidP="00573B91">
      <w:pPr>
        <w:pStyle w:val="EMEANormal"/>
        <w:keepNext/>
        <w:rPr>
          <w:lang w:val="en-GB"/>
        </w:rPr>
      </w:pPr>
      <w:r w:rsidRPr="00342F7C">
        <w:rPr>
          <w:lang w:val="en-GB"/>
        </w:rPr>
        <w:t>Cases of pancreatitis have been reported in patients receiving Kaletra, including those who developed hypertriglyceridaemia.  In most of these cases patients have had a prior history of pancreatitis and/or concurrent therapy with other medicinal products associated with pancreatitis.  Marked triglyceride elevation is a risk factor for development of pancreatitis.  Patients with advanced HIV disease may be at risk of elevated triglycerides and pancreatitis</w:t>
      </w:r>
    </w:p>
    <w:p w14:paraId="493A9D76" w14:textId="77777777" w:rsidR="00D7303D" w:rsidRPr="00342F7C" w:rsidRDefault="00D7303D">
      <w:pPr>
        <w:pStyle w:val="EMEANormal"/>
        <w:rPr>
          <w:lang w:val="en-GB"/>
        </w:rPr>
      </w:pPr>
    </w:p>
    <w:p w14:paraId="68B7A5A3" w14:textId="77777777" w:rsidR="00D7303D" w:rsidRDefault="00D7303D">
      <w:pPr>
        <w:pStyle w:val="EMEANormal"/>
        <w:rPr>
          <w:lang w:val="en-GB"/>
        </w:rPr>
      </w:pPr>
      <w:r w:rsidRPr="00342F7C">
        <w:rPr>
          <w:lang w:val="en-GB"/>
        </w:rPr>
        <w:t xml:space="preserve">Pancreatitis should be considered if clinical symptoms (nausea, vomiting, abdominal pain) or abnormalities in laboratory values (such as increased serum lipase or amylase values) suggestive of pancreatitis should occur.  Patients who exhibit these signs or symptoms should be evaluated and Kaletra therapy should be suspended if a diagnosis of pancreatitis is made (see section 4.8). </w:t>
      </w:r>
    </w:p>
    <w:p w14:paraId="685A3C06" w14:textId="77777777" w:rsidR="000F64FB" w:rsidRPr="00342F7C" w:rsidRDefault="000F64FB">
      <w:pPr>
        <w:pStyle w:val="EMEANormal"/>
        <w:rPr>
          <w:lang w:val="en-GB"/>
        </w:rPr>
      </w:pPr>
    </w:p>
    <w:p w14:paraId="68BD9BE7" w14:textId="77777777" w:rsidR="00D7303D" w:rsidRPr="0017061C" w:rsidRDefault="00D7303D" w:rsidP="000F64FB">
      <w:pPr>
        <w:pStyle w:val="EMEAHeadingUI"/>
        <w:spacing w:beforeLines="0" w:before="0" w:afterLines="0" w:after="0"/>
        <w:rPr>
          <w:i w:val="0"/>
          <w:lang w:val="en-GB"/>
        </w:rPr>
      </w:pPr>
      <w:r w:rsidRPr="0017061C">
        <w:rPr>
          <w:i w:val="0"/>
          <w:lang w:val="en-GB"/>
        </w:rPr>
        <w:t xml:space="preserve">Immune </w:t>
      </w:r>
      <w:r w:rsidR="00BC3636">
        <w:rPr>
          <w:i w:val="0"/>
          <w:lang w:val="en-GB"/>
        </w:rPr>
        <w:t>R</w:t>
      </w:r>
      <w:r w:rsidR="00BC3636" w:rsidRPr="00FC25FF">
        <w:rPr>
          <w:i w:val="0"/>
          <w:lang w:val="en-GB"/>
        </w:rPr>
        <w:t xml:space="preserve">econstitution </w:t>
      </w:r>
      <w:r w:rsidR="00BC3636">
        <w:rPr>
          <w:i w:val="0"/>
          <w:lang w:val="en-GB"/>
        </w:rPr>
        <w:t>I</w:t>
      </w:r>
      <w:r w:rsidR="00BC3636" w:rsidRPr="00FC25FF">
        <w:rPr>
          <w:i w:val="0"/>
          <w:lang w:val="en-GB"/>
        </w:rPr>
        <w:t xml:space="preserve">nflammatory </w:t>
      </w:r>
      <w:r w:rsidRPr="0017061C">
        <w:rPr>
          <w:i w:val="0"/>
          <w:lang w:val="en-GB"/>
        </w:rPr>
        <w:t>Syndrome</w:t>
      </w:r>
    </w:p>
    <w:p w14:paraId="4D12D212" w14:textId="77777777" w:rsidR="00D7303D" w:rsidRDefault="00D7303D">
      <w:pPr>
        <w:pStyle w:val="EMEANormal"/>
        <w:rPr>
          <w:lang w:val="en-GB"/>
        </w:rPr>
      </w:pPr>
      <w:r w:rsidRPr="00342F7C">
        <w:rPr>
          <w:lang w:val="en-GB"/>
        </w:rPr>
        <w:t xml:space="preserve">In HIV-infected patients with severe immune deficiency at the time of institution of combination antiretroviral therapy (CART), an inflammatory reaction to asymtomatic or residual opportunistic pathogens may arise and cause serious clinical conditions, or aggravation of symptoms.  Typically, such reactions have been observed within the first few weeks or months of initiation of CART.  Relevant examples are cytomegalovirus retinitis, generalised and/or focal mycobacterial infections, and </w:t>
      </w:r>
      <w:r w:rsidRPr="00342F7C">
        <w:rPr>
          <w:i/>
          <w:lang w:val="en-GB"/>
        </w:rPr>
        <w:t>Pneumocystis jiroveci pneumonia</w:t>
      </w:r>
      <w:r w:rsidRPr="00342F7C">
        <w:rPr>
          <w:lang w:val="en-GB"/>
        </w:rPr>
        <w:t>.  Any inflammatory symptoms should be evaluated and treatment instituted when necessary.</w:t>
      </w:r>
    </w:p>
    <w:p w14:paraId="6611DE9E" w14:textId="77777777" w:rsidR="00D7303D" w:rsidRDefault="00D7303D">
      <w:pPr>
        <w:pStyle w:val="EMEANormal"/>
        <w:rPr>
          <w:lang w:val="en-GB"/>
        </w:rPr>
      </w:pPr>
    </w:p>
    <w:p w14:paraId="56964AAF" w14:textId="77777777" w:rsidR="00D7303D" w:rsidRPr="00342F7C" w:rsidRDefault="00D7303D">
      <w:pPr>
        <w:pStyle w:val="EMEANormal"/>
        <w:rPr>
          <w:lang w:val="en-GB"/>
        </w:rPr>
      </w:pPr>
      <w:r w:rsidRPr="00575ABB">
        <w:t>Autoimmune disorders (such as Graves’ disease</w:t>
      </w:r>
      <w:r w:rsidR="008168DF">
        <w:t xml:space="preserve"> </w:t>
      </w:r>
      <w:r w:rsidR="008168DF">
        <w:rPr>
          <w:lang w:val="en-GB"/>
        </w:rPr>
        <w:t>and autoimmune hepatitis</w:t>
      </w:r>
      <w:r w:rsidRPr="00575ABB">
        <w:t xml:space="preserve">) have also been reported to occur in the setting of immune </w:t>
      </w:r>
      <w:r w:rsidR="00FC25FF">
        <w:t>reconstitution</w:t>
      </w:r>
      <w:r w:rsidRPr="00575ABB">
        <w:t>; however, the reported time to onset is more variable and can occur many months after initiation of treatment.</w:t>
      </w:r>
    </w:p>
    <w:p w14:paraId="5EBBFC01" w14:textId="77777777" w:rsidR="00D7303D" w:rsidRPr="00342F7C" w:rsidRDefault="00D7303D">
      <w:pPr>
        <w:pStyle w:val="EMEANormal"/>
        <w:rPr>
          <w:lang w:val="en-GB"/>
        </w:rPr>
      </w:pPr>
    </w:p>
    <w:p w14:paraId="6CBFA9CC" w14:textId="77777777" w:rsidR="00AB0DC4" w:rsidRDefault="00D7303D">
      <w:pPr>
        <w:pStyle w:val="EMEANormal"/>
        <w:rPr>
          <w:iCs/>
          <w:u w:val="single"/>
          <w:lang w:val="en-GB"/>
        </w:rPr>
      </w:pPr>
      <w:r w:rsidRPr="0017061C">
        <w:rPr>
          <w:iCs/>
          <w:u w:val="single"/>
          <w:lang w:val="en-GB"/>
        </w:rPr>
        <w:t>Osteonecrosis</w:t>
      </w:r>
    </w:p>
    <w:p w14:paraId="0FE1E57B" w14:textId="77777777" w:rsidR="00D7303D" w:rsidRPr="00342F7C" w:rsidRDefault="00D7303D">
      <w:pPr>
        <w:pStyle w:val="EMEANormal"/>
        <w:rPr>
          <w:lang w:val="en-GB"/>
        </w:rPr>
      </w:pPr>
      <w:r w:rsidRPr="00342F7C">
        <w:rPr>
          <w:lang w:val="en-GB"/>
        </w:rPr>
        <w:t>Although the etiology is considered to be multifactorial (including corticosteroid use, alcohol consumption, severe immunosuppression, higher body mass index), cases of osteonecrosis have been reported particularly in patients with advanced HIV</w:t>
      </w:r>
      <w:r w:rsidRPr="00342F7C">
        <w:rPr>
          <w:lang w:val="en-GB"/>
        </w:rPr>
        <w:noBreakHyphen/>
        <w:t>disease and/or long</w:t>
      </w:r>
      <w:r w:rsidRPr="00342F7C">
        <w:rPr>
          <w:lang w:val="en-GB"/>
        </w:rPr>
        <w:noBreakHyphen/>
        <w:t>term exposure to combination antiretroviral therapy (CART).  Patients should be advised to seek medical advice if they experience joint aches and pain, joint stiffness or difficulty in movement.</w:t>
      </w:r>
    </w:p>
    <w:p w14:paraId="682D6896" w14:textId="77777777" w:rsidR="0022428C" w:rsidRDefault="0022428C" w:rsidP="000F64FB">
      <w:pPr>
        <w:pStyle w:val="EMEAHeadingUI"/>
        <w:spacing w:beforeLines="0" w:before="0" w:afterLines="0" w:after="0"/>
        <w:rPr>
          <w:lang w:val="en-GB"/>
        </w:rPr>
      </w:pPr>
    </w:p>
    <w:p w14:paraId="31123895" w14:textId="77777777" w:rsidR="00D7303D" w:rsidRPr="0017061C" w:rsidRDefault="00D7303D" w:rsidP="000F64FB">
      <w:pPr>
        <w:pStyle w:val="EMEAHeadingUI"/>
        <w:spacing w:beforeLines="0" w:before="0" w:afterLines="0" w:after="0"/>
        <w:rPr>
          <w:i w:val="0"/>
          <w:lang w:val="en-GB"/>
        </w:rPr>
      </w:pPr>
      <w:r w:rsidRPr="0017061C">
        <w:rPr>
          <w:i w:val="0"/>
          <w:lang w:val="en-GB"/>
        </w:rPr>
        <w:t xml:space="preserve">PR interval prolongation </w:t>
      </w:r>
    </w:p>
    <w:p w14:paraId="231169CC" w14:textId="77777777" w:rsidR="00D7303D" w:rsidRDefault="00D7303D">
      <w:pPr>
        <w:pStyle w:val="EMEANormal"/>
        <w:rPr>
          <w:lang w:val="en-GB"/>
        </w:rPr>
      </w:pPr>
      <w:r w:rsidRPr="00342F7C">
        <w:rPr>
          <w:lang w:val="en-GB"/>
        </w:rPr>
        <w:t>Lopinavir/ritonavir has been shown to cause modest asymptomatic prolongation of the PR interval in some healthy adult subjects.  Rare reports of 2</w:t>
      </w:r>
      <w:r w:rsidRPr="00342F7C">
        <w:rPr>
          <w:vertAlign w:val="superscript"/>
          <w:lang w:val="en-GB"/>
        </w:rPr>
        <w:t>nd</w:t>
      </w:r>
      <w:r w:rsidRPr="00342F7C">
        <w:rPr>
          <w:lang w:val="en-GB"/>
        </w:rPr>
        <w:t xml:space="preserve"> or 3</w:t>
      </w:r>
      <w:r w:rsidRPr="00342F7C">
        <w:rPr>
          <w:vertAlign w:val="superscript"/>
          <w:lang w:val="en-GB"/>
        </w:rPr>
        <w:t>rd</w:t>
      </w:r>
      <w:r w:rsidRPr="00342F7C">
        <w:rPr>
          <w:lang w:val="en-GB"/>
        </w:rPr>
        <w:t xml:space="preserve"> degree atroventricular block in patients with underlying structural heart disease and pre-existing conduction system abnormalities or in patients receiving drugs known to prolong the PR interval (such as verapamil or atazanavir) have been reported in patients receiving lopinavir/ritonavir.  Kaletra should be used with caution in such patients (see section 5.1).</w:t>
      </w:r>
    </w:p>
    <w:p w14:paraId="6E147D64" w14:textId="77777777" w:rsidR="00CA7C65" w:rsidRDefault="00CA7C65">
      <w:pPr>
        <w:pStyle w:val="EMEANormal"/>
        <w:rPr>
          <w:lang w:val="en-GB"/>
        </w:rPr>
      </w:pPr>
    </w:p>
    <w:p w14:paraId="231B4DB5" w14:textId="77777777" w:rsidR="00CA7C65" w:rsidRPr="00CA7C65" w:rsidRDefault="00CA7C65" w:rsidP="00D16035">
      <w:pPr>
        <w:pStyle w:val="EMEANormal"/>
        <w:keepNext/>
        <w:keepLines/>
        <w:rPr>
          <w:u w:val="single"/>
          <w:lang w:val="en-GB"/>
        </w:rPr>
      </w:pPr>
      <w:r w:rsidRPr="00CA7C65">
        <w:rPr>
          <w:u w:val="single"/>
          <w:lang w:val="en-GB"/>
        </w:rPr>
        <w:t>Weight and metabolic parameters</w:t>
      </w:r>
    </w:p>
    <w:p w14:paraId="6980CD47" w14:textId="77777777" w:rsidR="00CA7C65" w:rsidRPr="00483C55" w:rsidRDefault="00CA7C65" w:rsidP="00D16035">
      <w:pPr>
        <w:pStyle w:val="EMEANormal"/>
        <w:keepNext/>
        <w:keepLines/>
        <w:rPr>
          <w:lang w:val="en-GB"/>
        </w:rPr>
      </w:pPr>
      <w:r>
        <w:rPr>
          <w:lang w:val="en-GB"/>
        </w:rPr>
        <w:t>An increase in weight and in levels of blood lipids and glucose may occur during antiretroviral therapy.  Such changes may in part be linked to disease control and life style.  For lipids, there is in some cases evidence for a treatment effect, while for weight gain there is no strong evidence relating this to any particular treatment.  For monitoring of blood lipids and glucose, reference is made to established HIV treatment guidelines.  Lipid disorders should be managed as clinically appropriate.</w:t>
      </w:r>
    </w:p>
    <w:p w14:paraId="0D50034C" w14:textId="77777777" w:rsidR="000F64FB" w:rsidRPr="00342F7C" w:rsidRDefault="000F64FB">
      <w:pPr>
        <w:pStyle w:val="EMEANormal"/>
        <w:rPr>
          <w:lang w:val="en-GB"/>
        </w:rPr>
      </w:pPr>
    </w:p>
    <w:p w14:paraId="519B40AB" w14:textId="77777777" w:rsidR="00D7303D" w:rsidRPr="0017061C" w:rsidRDefault="00D7303D" w:rsidP="003C1BB0">
      <w:pPr>
        <w:pStyle w:val="EMEAHeadingUI"/>
        <w:keepNext/>
        <w:spacing w:beforeLines="0" w:before="0" w:afterLines="0" w:after="0"/>
        <w:rPr>
          <w:i w:val="0"/>
          <w:lang w:val="en-GB"/>
        </w:rPr>
      </w:pPr>
      <w:r w:rsidRPr="0017061C">
        <w:rPr>
          <w:i w:val="0"/>
          <w:lang w:val="en-GB"/>
        </w:rPr>
        <w:t>Interactions with medicinal products</w:t>
      </w:r>
    </w:p>
    <w:p w14:paraId="4C0CB397" w14:textId="77777777" w:rsidR="000F64FB" w:rsidRPr="000F64FB" w:rsidRDefault="000F64FB" w:rsidP="003C1BB0">
      <w:pPr>
        <w:pStyle w:val="EMEANormal"/>
        <w:keepNext/>
        <w:rPr>
          <w:lang w:val="en-GB"/>
        </w:rPr>
      </w:pPr>
    </w:p>
    <w:p w14:paraId="1E528F09" w14:textId="77777777" w:rsidR="00D7303D" w:rsidRDefault="00D7303D" w:rsidP="003C1BB0">
      <w:pPr>
        <w:pStyle w:val="EMEANormal"/>
        <w:keepNext/>
        <w:rPr>
          <w:lang w:val="en-GB"/>
        </w:rPr>
      </w:pPr>
      <w:r w:rsidRPr="00342F7C">
        <w:rPr>
          <w:lang w:val="en-GB"/>
        </w:rPr>
        <w:t>Kaletra contains lopinavir and ritonavir, both of which are inhibitors of the P450 isoform CYP3A.  Kaletra is likely to increase plasma concentrations of medicinal products that are primarily metabolised by CYP3A.  These increases of plasma concentrations of co-administered medicinal products could increase or prolong their therapeutic effect and adverse events (see sections 4.3 and 4.5).</w:t>
      </w:r>
    </w:p>
    <w:p w14:paraId="60460450" w14:textId="77777777" w:rsidR="003B7630" w:rsidRDefault="003B7630">
      <w:pPr>
        <w:pStyle w:val="EMEANormal"/>
        <w:rPr>
          <w:lang w:val="en-GB"/>
        </w:rPr>
      </w:pPr>
    </w:p>
    <w:p w14:paraId="79206C2B" w14:textId="77777777" w:rsidR="00617545" w:rsidRDefault="00C965C5" w:rsidP="00C965C5">
      <w:pPr>
        <w:pStyle w:val="EMEANormal"/>
        <w:rPr>
          <w:lang w:val="en-GB"/>
        </w:rPr>
      </w:pPr>
      <w:r>
        <w:rPr>
          <w:lang w:val="en-GB"/>
        </w:rPr>
        <w:t>Strong CYP3A4 inhibitors such as protease inhibitors may increase bedaquiline exposure which could potentially increase the risk of bedaquiline</w:t>
      </w:r>
      <w:r>
        <w:rPr>
          <w:lang w:val="en-GB"/>
        </w:rPr>
        <w:noBreakHyphen/>
        <w:t>related adverse reactions.  Therefore, combination of bedaquiline with lopinavir/ritonavir should be avoided.  However, if the benefit outweighs the risk, co</w:t>
      </w:r>
      <w:r>
        <w:rPr>
          <w:lang w:val="en-GB"/>
        </w:rPr>
        <w:noBreakHyphen/>
        <w:t>administration of bedaquiline with lopinavir/ritonavir</w:t>
      </w:r>
      <w:r w:rsidRPr="00C965C5">
        <w:rPr>
          <w:lang w:val="en-GB"/>
        </w:rPr>
        <w:t xml:space="preserve"> </w:t>
      </w:r>
      <w:r>
        <w:rPr>
          <w:lang w:val="en-GB"/>
        </w:rPr>
        <w:t>must be done with caution.  More frequent electrocardiogram monitoring and monitoring of transaminases is recommended (see section 4.5 and refer to the bedaquiline SmPC).</w:t>
      </w:r>
    </w:p>
    <w:p w14:paraId="6BE2982B" w14:textId="77777777" w:rsidR="007F1AFC" w:rsidRDefault="007F1AFC" w:rsidP="00C965C5">
      <w:pPr>
        <w:pStyle w:val="EMEANormal"/>
        <w:rPr>
          <w:lang w:val="en-GB"/>
        </w:rPr>
      </w:pPr>
    </w:p>
    <w:p w14:paraId="6EF48ED9" w14:textId="77777777" w:rsidR="001D629D" w:rsidRPr="00342F7C" w:rsidRDefault="007F1AFC" w:rsidP="00C965C5">
      <w:pPr>
        <w:pStyle w:val="EMEANormal"/>
        <w:rPr>
          <w:lang w:val="en-GB"/>
        </w:rPr>
      </w:pPr>
      <w:r>
        <w:rPr>
          <w:lang w:val="en-GB"/>
        </w:rPr>
        <w:t>Co</w:t>
      </w:r>
      <w:r>
        <w:rPr>
          <w:lang w:val="en-GB"/>
        </w:rPr>
        <w:noBreakHyphen/>
        <w:t>administration of delamanid with a strong inhibitor of CYP3A (</w:t>
      </w:r>
      <w:r w:rsidR="00983852" w:rsidRPr="0056654E">
        <w:rPr>
          <w:lang w:val="en-GB"/>
        </w:rPr>
        <w:t>as</w:t>
      </w:r>
      <w:r w:rsidR="00983852">
        <w:rPr>
          <w:lang w:val="en-GB"/>
        </w:rPr>
        <w:t xml:space="preserve"> </w:t>
      </w:r>
      <w:r>
        <w:rPr>
          <w:lang w:val="en-GB"/>
        </w:rPr>
        <w:t xml:space="preserve">lopinavir/ritonavir) may increase exposure to delamanid metabolite, which has been associated with QTc prolongation.  Therefore, if co-administration of delamanid with lopinavir/ritonavir is considered necessary, </w:t>
      </w:r>
      <w:r w:rsidR="00983852" w:rsidRPr="0056654E">
        <w:rPr>
          <w:lang w:val="en-GB"/>
        </w:rPr>
        <w:t>very</w:t>
      </w:r>
      <w:r w:rsidR="00983852">
        <w:rPr>
          <w:lang w:val="en-GB"/>
        </w:rPr>
        <w:t xml:space="preserve"> </w:t>
      </w:r>
      <w:r>
        <w:rPr>
          <w:lang w:val="en-GB"/>
        </w:rPr>
        <w:t>frequent ECG monitoring throughout the full delamanid treatment period is recommended (see section 4.5 and refer to the delamanid SmPC).</w:t>
      </w:r>
    </w:p>
    <w:p w14:paraId="371903F5" w14:textId="77777777" w:rsidR="00D7303D" w:rsidRDefault="00D7303D" w:rsidP="0071232B">
      <w:pPr>
        <w:pStyle w:val="EMEANormal"/>
        <w:rPr>
          <w:lang w:val="en-GB"/>
        </w:rPr>
      </w:pPr>
    </w:p>
    <w:p w14:paraId="55B9A1D9" w14:textId="77777777" w:rsidR="00D7303D" w:rsidRDefault="002610DE" w:rsidP="000F64FB">
      <w:pPr>
        <w:pStyle w:val="EMEANormal"/>
        <w:rPr>
          <w:lang w:val="en-GB"/>
        </w:rPr>
      </w:pPr>
      <w:r>
        <w:rPr>
          <w:lang w:val="en-GB"/>
        </w:rPr>
        <w:t xml:space="preserve">Life-threatening and fatal drug interactions have been reported in patients treated with colchicine and strong inhibitors of CYP3A like ritonavir.  </w:t>
      </w:r>
      <w:r w:rsidR="00D7303D" w:rsidRPr="00A95936">
        <w:rPr>
          <w:lang w:val="en-GB"/>
        </w:rPr>
        <w:t>Concomitant administration with colchicine</w:t>
      </w:r>
      <w:r w:rsidR="00451218">
        <w:rPr>
          <w:lang w:val="en-GB"/>
        </w:rPr>
        <w:t xml:space="preserve"> is contraindicated</w:t>
      </w:r>
      <w:r w:rsidR="00D7303D" w:rsidRPr="00A95936">
        <w:rPr>
          <w:lang w:val="en-GB"/>
        </w:rPr>
        <w:t xml:space="preserve"> in patients with renal </w:t>
      </w:r>
      <w:r w:rsidR="00B529BE">
        <w:rPr>
          <w:lang w:val="en-GB"/>
        </w:rPr>
        <w:t>and/</w:t>
      </w:r>
      <w:r w:rsidR="00D7303D" w:rsidRPr="00A95936">
        <w:rPr>
          <w:lang w:val="en-GB"/>
        </w:rPr>
        <w:t>or hepatic impairment (see section</w:t>
      </w:r>
      <w:r>
        <w:rPr>
          <w:lang w:val="en-GB"/>
        </w:rPr>
        <w:t>s 4.3 and</w:t>
      </w:r>
      <w:r w:rsidR="00D7303D" w:rsidRPr="00A95936">
        <w:rPr>
          <w:lang w:val="en-GB"/>
        </w:rPr>
        <w:t xml:space="preserve"> 4.5).</w:t>
      </w:r>
    </w:p>
    <w:p w14:paraId="4D82E57C" w14:textId="77777777" w:rsidR="000F64FB" w:rsidRPr="00A95936" w:rsidRDefault="000F64FB" w:rsidP="000F64FB">
      <w:pPr>
        <w:pStyle w:val="EMEANormal"/>
        <w:rPr>
          <w:lang w:val="en-GB"/>
        </w:rPr>
      </w:pPr>
    </w:p>
    <w:p w14:paraId="31AAB637" w14:textId="77777777" w:rsidR="00D7303D" w:rsidRPr="00A95936" w:rsidRDefault="00D7303D" w:rsidP="0071232B">
      <w:pPr>
        <w:pStyle w:val="EMEANormal"/>
        <w:rPr>
          <w:lang w:val="en-GB"/>
        </w:rPr>
      </w:pPr>
      <w:r w:rsidRPr="00A95936">
        <w:rPr>
          <w:lang w:val="en-GB"/>
        </w:rPr>
        <w:t xml:space="preserve">The combination of Kaletra with: </w:t>
      </w:r>
    </w:p>
    <w:p w14:paraId="7D1D3298" w14:textId="77777777" w:rsidR="007574EF" w:rsidRDefault="00D7303D" w:rsidP="004F672B">
      <w:pPr>
        <w:pStyle w:val="EMEANormal"/>
        <w:tabs>
          <w:tab w:val="clear" w:pos="562"/>
          <w:tab w:val="left" w:pos="567"/>
        </w:tabs>
        <w:ind w:left="567" w:hanging="567"/>
        <w:rPr>
          <w:lang w:val="en-GB"/>
        </w:rPr>
      </w:pPr>
      <w:r w:rsidRPr="00A95936">
        <w:rPr>
          <w:lang w:val="en-GB"/>
        </w:rPr>
        <w:t>-</w:t>
      </w:r>
      <w:r w:rsidRPr="00A95936">
        <w:rPr>
          <w:lang w:val="en-GB"/>
        </w:rPr>
        <w:tab/>
        <w:t>tadalafil, indicated for the treatment of pulmonary arterial hypertension, is not recommended (see section 4.5);</w:t>
      </w:r>
      <w:r w:rsidR="007574EF" w:rsidRPr="007574EF">
        <w:rPr>
          <w:lang w:val="en-GB"/>
        </w:rPr>
        <w:t xml:space="preserve"> </w:t>
      </w:r>
    </w:p>
    <w:p w14:paraId="642AF085" w14:textId="77777777" w:rsidR="00D7303D" w:rsidRDefault="007574EF" w:rsidP="004F672B">
      <w:pPr>
        <w:pStyle w:val="EMEANormal"/>
        <w:tabs>
          <w:tab w:val="clear" w:pos="562"/>
          <w:tab w:val="left" w:pos="567"/>
        </w:tabs>
        <w:ind w:left="567" w:hanging="567"/>
        <w:rPr>
          <w:lang w:val="en-GB"/>
        </w:rPr>
      </w:pPr>
      <w:r>
        <w:rPr>
          <w:lang w:val="en-GB"/>
        </w:rPr>
        <w:t>-</w:t>
      </w:r>
      <w:r>
        <w:rPr>
          <w:lang w:val="en-GB"/>
        </w:rPr>
        <w:tab/>
        <w:t>riociguat is not recommended (see section 4.5);</w:t>
      </w:r>
    </w:p>
    <w:p w14:paraId="5E5A0F88" w14:textId="77777777" w:rsidR="00F60FB1" w:rsidRDefault="00F60FB1" w:rsidP="004F672B">
      <w:pPr>
        <w:pStyle w:val="EMEANormal"/>
        <w:tabs>
          <w:tab w:val="clear" w:pos="562"/>
          <w:tab w:val="left" w:pos="567"/>
          <w:tab w:val="left" w:pos="600"/>
        </w:tabs>
        <w:ind w:left="567" w:hanging="567"/>
        <w:rPr>
          <w:lang w:val="en-GB"/>
        </w:rPr>
      </w:pPr>
      <w:r>
        <w:rPr>
          <w:lang w:val="en-GB"/>
        </w:rPr>
        <w:t>-</w:t>
      </w:r>
      <w:r>
        <w:rPr>
          <w:lang w:val="en-GB"/>
        </w:rPr>
        <w:tab/>
        <w:t>vorapaxar is not recommended (see section 4.5);</w:t>
      </w:r>
    </w:p>
    <w:p w14:paraId="4012BFDB" w14:textId="77777777" w:rsidR="00D7303D" w:rsidRPr="00A95936" w:rsidRDefault="00D7303D" w:rsidP="004F672B">
      <w:pPr>
        <w:pStyle w:val="EMEANormal"/>
        <w:tabs>
          <w:tab w:val="clear" w:pos="562"/>
          <w:tab w:val="left" w:pos="567"/>
          <w:tab w:val="left" w:pos="600"/>
        </w:tabs>
        <w:ind w:left="567" w:hanging="567"/>
        <w:rPr>
          <w:lang w:val="en-GB"/>
        </w:rPr>
      </w:pPr>
      <w:r w:rsidRPr="00A95936">
        <w:rPr>
          <w:lang w:val="en-GB"/>
        </w:rPr>
        <w:t>-</w:t>
      </w:r>
      <w:r w:rsidRPr="00A95936">
        <w:rPr>
          <w:lang w:val="en-GB"/>
        </w:rPr>
        <w:tab/>
        <w:t>fusidic acid in osteo-articular infections is not recommended (see section 4.5);</w:t>
      </w:r>
    </w:p>
    <w:p w14:paraId="2A56FA2B" w14:textId="77777777" w:rsidR="00D7303D" w:rsidRDefault="00D7303D" w:rsidP="004F672B">
      <w:pPr>
        <w:pStyle w:val="EMEANormal"/>
        <w:tabs>
          <w:tab w:val="clear" w:pos="562"/>
          <w:tab w:val="left" w:pos="567"/>
        </w:tabs>
        <w:ind w:left="567" w:hanging="567"/>
        <w:rPr>
          <w:lang w:val="en-GB"/>
        </w:rPr>
      </w:pPr>
      <w:r w:rsidRPr="00A95936">
        <w:rPr>
          <w:lang w:val="en-GB"/>
        </w:rPr>
        <w:t>-</w:t>
      </w:r>
      <w:r w:rsidRPr="00A95936">
        <w:rPr>
          <w:lang w:val="en-GB"/>
        </w:rPr>
        <w:tab/>
        <w:t>salmeterol is not recommended (see section 4.5)</w:t>
      </w:r>
      <w:r>
        <w:rPr>
          <w:lang w:val="en-GB"/>
        </w:rPr>
        <w:t>;</w:t>
      </w:r>
    </w:p>
    <w:p w14:paraId="65C813A4" w14:textId="77777777" w:rsidR="00D7303D" w:rsidRDefault="00D7303D" w:rsidP="004F672B">
      <w:pPr>
        <w:pStyle w:val="EMEANormal"/>
        <w:tabs>
          <w:tab w:val="clear" w:pos="562"/>
          <w:tab w:val="left" w:pos="567"/>
        </w:tabs>
        <w:ind w:left="567" w:hanging="567"/>
        <w:rPr>
          <w:lang w:val="en-GB"/>
        </w:rPr>
      </w:pPr>
      <w:r>
        <w:rPr>
          <w:lang w:val="en-GB"/>
        </w:rPr>
        <w:t xml:space="preserve">- </w:t>
      </w:r>
      <w:r>
        <w:rPr>
          <w:lang w:val="en-GB"/>
        </w:rPr>
        <w:tab/>
        <w:t>rivaroxaban is not recommended (see section 4.5)</w:t>
      </w:r>
      <w:r w:rsidRPr="00A95936">
        <w:rPr>
          <w:lang w:val="en-GB"/>
        </w:rPr>
        <w:t>.</w:t>
      </w:r>
    </w:p>
    <w:p w14:paraId="47A67A7B" w14:textId="77777777" w:rsidR="00D7303D" w:rsidRPr="00342F7C" w:rsidRDefault="00D7303D">
      <w:pPr>
        <w:pStyle w:val="EMEANormal"/>
        <w:rPr>
          <w:lang w:val="en-GB"/>
        </w:rPr>
      </w:pPr>
    </w:p>
    <w:p w14:paraId="58B59CD8" w14:textId="77777777" w:rsidR="00D7303D" w:rsidRPr="00342F7C" w:rsidRDefault="00D7303D">
      <w:pPr>
        <w:pStyle w:val="EMEANormal"/>
        <w:rPr>
          <w:lang w:val="en-GB"/>
        </w:rPr>
      </w:pPr>
      <w:r w:rsidRPr="00342F7C">
        <w:rPr>
          <w:lang w:val="en-GB"/>
        </w:rPr>
        <w:t>The combination of Kaletra with atorvastatin is not recommended.  If the use of atorvastatin is considered strictly necessary, the lowest possible dose of atorvastatin should be administered with careful safety monitoring.  Caution must also be exercised and reduced doses should be considered if Kaletra is used concurrently with rosuvastatin.  If treatment with a HMG-CoA reductase inhibitor is indicated, pravastatin or fluvastatin is recommended (see section 4.5).</w:t>
      </w:r>
    </w:p>
    <w:p w14:paraId="4A4EF458" w14:textId="77777777" w:rsidR="00D7303D" w:rsidRPr="00342F7C" w:rsidRDefault="00D7303D">
      <w:pPr>
        <w:pStyle w:val="EMEANormal"/>
        <w:rPr>
          <w:lang w:val="en-GB"/>
        </w:rPr>
      </w:pPr>
    </w:p>
    <w:p w14:paraId="5200A0B2" w14:textId="77777777" w:rsidR="00997CA7" w:rsidRPr="00D653D3" w:rsidRDefault="00D7303D" w:rsidP="00E20202">
      <w:pPr>
        <w:pStyle w:val="EMEANormal"/>
        <w:rPr>
          <w:i/>
          <w:iCs/>
          <w:szCs w:val="19"/>
          <w:lang w:val="en-GB"/>
        </w:rPr>
      </w:pPr>
      <w:r w:rsidRPr="00D653D3">
        <w:rPr>
          <w:i/>
          <w:iCs/>
          <w:szCs w:val="19"/>
          <w:lang w:val="en-GB"/>
        </w:rPr>
        <w:t>PDE5 inhibitors</w:t>
      </w:r>
    </w:p>
    <w:p w14:paraId="7D21A680" w14:textId="77777777" w:rsidR="00D7303D" w:rsidRPr="00342F7C" w:rsidRDefault="00997CA7" w:rsidP="00E20202">
      <w:pPr>
        <w:pStyle w:val="EMEANormal"/>
        <w:rPr>
          <w:szCs w:val="19"/>
          <w:lang w:val="en-GB"/>
        </w:rPr>
      </w:pPr>
      <w:r>
        <w:rPr>
          <w:szCs w:val="19"/>
          <w:lang w:val="en-GB"/>
        </w:rPr>
        <w:t>P</w:t>
      </w:r>
      <w:r w:rsidR="00D7303D" w:rsidRPr="00342F7C">
        <w:rPr>
          <w:szCs w:val="19"/>
          <w:lang w:val="en-GB"/>
        </w:rPr>
        <w:t xml:space="preserve">articular caution should be used when prescribing sildenafil or tadalafil for the treatment of erectile dysfunction in patients receiving Kaletra.  Co-administration of Kaletra with these medicinal products is expected to substantially increase their concentrations and may result in associated adverse events such as hypotension, syncope, visual changes and prolonged erection (see section 4.5).  Concomitant use of </w:t>
      </w:r>
      <w:r w:rsidR="00881017">
        <w:rPr>
          <w:szCs w:val="19"/>
          <w:lang w:val="en-GB"/>
        </w:rPr>
        <w:t xml:space="preserve">avanafil or </w:t>
      </w:r>
      <w:r w:rsidR="00D7303D" w:rsidRPr="00342F7C">
        <w:rPr>
          <w:szCs w:val="19"/>
          <w:lang w:val="en-GB"/>
        </w:rPr>
        <w:t>vardenafil and lopinavir/ritonavir is contraindicated (see section 4.3).  Concomitant use of sildenafil prescribed for the treatment of pulmonary arterial hypertension with Kaletra is contraindicated (see section 4.3).</w:t>
      </w:r>
    </w:p>
    <w:p w14:paraId="0EFD748A" w14:textId="77777777" w:rsidR="00D7303D" w:rsidRPr="00342F7C" w:rsidRDefault="00D7303D">
      <w:pPr>
        <w:pStyle w:val="EMEANormal"/>
        <w:rPr>
          <w:lang w:val="en-GB"/>
        </w:rPr>
      </w:pPr>
    </w:p>
    <w:p w14:paraId="2C6C854F" w14:textId="77777777" w:rsidR="00D7303D" w:rsidRPr="00342F7C" w:rsidRDefault="00D7303D">
      <w:pPr>
        <w:pStyle w:val="EMEANormal"/>
        <w:rPr>
          <w:lang w:val="en-GB"/>
        </w:rPr>
      </w:pPr>
      <w:r w:rsidRPr="00342F7C">
        <w:rPr>
          <w:lang w:val="en-GB"/>
        </w:rPr>
        <w:t>Particular caution must be used when prescribing Kaletra and medicinal products known to induce QT interval prolongation such as: chlorpheniramine, quinidine, erythromycin, clarithromycin.  Indeed, Kaletra could increase concentrations of the co-administered medicinal products and this may result in an increase of their associated cardiac adverse reactions.  Cardiac events have been reported with Kaletra in preclinical studies; therefore, the potential cardiac effects of Kaletra cannot be currently ruled out (see sections 4.8 and 5.3).</w:t>
      </w:r>
    </w:p>
    <w:p w14:paraId="5A4303DC" w14:textId="77777777" w:rsidR="00D7303D" w:rsidRPr="00342F7C" w:rsidRDefault="00D7303D">
      <w:pPr>
        <w:pStyle w:val="EMEANormal"/>
        <w:rPr>
          <w:lang w:val="en-GB"/>
        </w:rPr>
      </w:pPr>
    </w:p>
    <w:p w14:paraId="57F7F8CB" w14:textId="77777777" w:rsidR="00D7303D" w:rsidRPr="00342F7C" w:rsidRDefault="00D7303D">
      <w:pPr>
        <w:pStyle w:val="EMEANormal"/>
        <w:rPr>
          <w:lang w:val="en-GB"/>
        </w:rPr>
      </w:pPr>
      <w:r w:rsidRPr="00342F7C">
        <w:rPr>
          <w:lang w:val="en-GB"/>
        </w:rPr>
        <w:t>Co</w:t>
      </w:r>
      <w:r w:rsidRPr="00342F7C">
        <w:rPr>
          <w:lang w:val="en-GB"/>
        </w:rPr>
        <w:noBreakHyphen/>
        <w:t>administration of Kaletra with rifampicin is not recommended.  Rifampicin in combination with Kaletra causes large decreases in lopinavir concentrations which may in turn significantly decrease the lopinavir therapeutic effect.  Adequate exposure to lopinavir/ritonavir may be achieved when a higher dose of Kaletra is used but this is associated with a higher risk of liver and gastrointestinal toxicity.  Therefore, this co</w:t>
      </w:r>
      <w:r w:rsidRPr="00342F7C">
        <w:rPr>
          <w:lang w:val="en-GB"/>
        </w:rPr>
        <w:noBreakHyphen/>
        <w:t>administration should be avoided unless judged strictly necessary (see section 4.5).</w:t>
      </w:r>
    </w:p>
    <w:p w14:paraId="5F1076D6" w14:textId="77777777" w:rsidR="00D7303D" w:rsidRPr="00342F7C" w:rsidRDefault="00D7303D" w:rsidP="00415101">
      <w:pPr>
        <w:pStyle w:val="EMEANormal"/>
        <w:rPr>
          <w:lang w:val="en-GB"/>
        </w:rPr>
      </w:pPr>
    </w:p>
    <w:p w14:paraId="15ABC996" w14:textId="77777777" w:rsidR="00D7303D" w:rsidRDefault="00D7303D" w:rsidP="00415101">
      <w:pPr>
        <w:pStyle w:val="EMEANormal"/>
        <w:rPr>
          <w:lang w:val="en-GB"/>
        </w:rPr>
      </w:pPr>
      <w:r w:rsidRPr="00342F7C">
        <w:rPr>
          <w:lang w:val="en-GB"/>
        </w:rPr>
        <w:t>Concomitant use of Kaletra and fluticasone or other glucocorticoids that are metabolised by CYP3A4</w:t>
      </w:r>
      <w:r>
        <w:rPr>
          <w:lang w:val="en-GB"/>
        </w:rPr>
        <w:t>, such as budesonide</w:t>
      </w:r>
      <w:r w:rsidR="005760A9">
        <w:rPr>
          <w:lang w:val="en-GB"/>
        </w:rPr>
        <w:t xml:space="preserve"> and triamcinolone</w:t>
      </w:r>
      <w:r>
        <w:rPr>
          <w:lang w:val="en-GB"/>
        </w:rPr>
        <w:t>,</w:t>
      </w:r>
      <w:r w:rsidRPr="00342F7C">
        <w:rPr>
          <w:lang w:val="en-GB"/>
        </w:rPr>
        <w:t xml:space="preserve"> is not recommended unless the potential benefit of treatment outweighs the risk of systemic corticosteroid effects, including Cushing’s syndrome and adrenal suppression (see section 4.5).</w:t>
      </w:r>
    </w:p>
    <w:p w14:paraId="7A612ACC" w14:textId="77777777" w:rsidR="000F64FB" w:rsidRPr="00342F7C" w:rsidRDefault="000F64FB" w:rsidP="00415101">
      <w:pPr>
        <w:pStyle w:val="EMEANormal"/>
        <w:rPr>
          <w:lang w:val="en-GB"/>
        </w:rPr>
      </w:pPr>
    </w:p>
    <w:p w14:paraId="7CB3D3DC" w14:textId="77777777" w:rsidR="00D7303D" w:rsidRPr="0017061C" w:rsidRDefault="00D7303D" w:rsidP="000F64FB">
      <w:pPr>
        <w:pStyle w:val="EMEAHeadingUI"/>
        <w:spacing w:beforeLines="0" w:before="0" w:afterLines="0" w:after="0"/>
        <w:rPr>
          <w:i w:val="0"/>
          <w:lang w:val="en-GB"/>
        </w:rPr>
      </w:pPr>
      <w:r w:rsidRPr="0017061C">
        <w:rPr>
          <w:i w:val="0"/>
          <w:lang w:val="en-GB"/>
        </w:rPr>
        <w:t>Other</w:t>
      </w:r>
    </w:p>
    <w:p w14:paraId="19D39396" w14:textId="77777777" w:rsidR="00D7303D" w:rsidRDefault="00D7303D">
      <w:pPr>
        <w:pStyle w:val="EMEANormal"/>
        <w:rPr>
          <w:lang w:val="en-GB"/>
        </w:rPr>
      </w:pPr>
      <w:r w:rsidRPr="00342F7C">
        <w:rPr>
          <w:lang w:val="en-GB"/>
        </w:rPr>
        <w:t xml:space="preserve">Kaletra is not a cure for HIV infection or AIDS.  </w:t>
      </w:r>
      <w:r w:rsidR="009A3B05">
        <w:rPr>
          <w:lang w:val="en-GB"/>
        </w:rPr>
        <w:t>While effective viral suppression with antiretroviral therapy has been proven to substantially reduce the risk of sexual transmission, a residual risk cannot be ex</w:t>
      </w:r>
      <w:r w:rsidR="00B41B6F">
        <w:rPr>
          <w:lang w:val="en-GB"/>
        </w:rPr>
        <w:t>c</w:t>
      </w:r>
      <w:r w:rsidR="009A3B05">
        <w:rPr>
          <w:lang w:val="en-GB"/>
        </w:rPr>
        <w:t>luded.  Precautions to prevent transmission should be taken in accordance with national guidelines</w:t>
      </w:r>
      <w:r w:rsidR="009A3B05" w:rsidRPr="00342F7C">
        <w:rPr>
          <w:lang w:val="en-GB"/>
        </w:rPr>
        <w:t xml:space="preserve">.  </w:t>
      </w:r>
      <w:r w:rsidRPr="00342F7C">
        <w:rPr>
          <w:lang w:val="en-GB"/>
        </w:rPr>
        <w:t xml:space="preserve"> People taking Kaletra may still develop infections or other illnesses associated with HIV disease and AIDS.</w:t>
      </w:r>
    </w:p>
    <w:p w14:paraId="64D1B449" w14:textId="77777777" w:rsidR="000F64FB" w:rsidRPr="00342F7C" w:rsidRDefault="000F64FB">
      <w:pPr>
        <w:pStyle w:val="EMEANormal"/>
        <w:rPr>
          <w:lang w:val="en-GB"/>
        </w:rPr>
      </w:pPr>
    </w:p>
    <w:p w14:paraId="5BFE49B5" w14:textId="77777777" w:rsidR="00D7303D" w:rsidRDefault="009100DA" w:rsidP="000F64FB">
      <w:pPr>
        <w:pStyle w:val="EMEAHeading2SPC"/>
        <w:spacing w:beforeLines="0" w:before="0" w:afterLines="0" w:after="0"/>
        <w:rPr>
          <w:rFonts w:ascii="Times New Roman" w:hAnsi="Times New Roman"/>
          <w:lang w:val="en-GB"/>
        </w:rPr>
      </w:pPr>
      <w:r>
        <w:rPr>
          <w:rFonts w:ascii="Times New Roman" w:hAnsi="Times New Roman"/>
          <w:lang w:val="en-GB"/>
        </w:rPr>
        <w:t>4.5</w:t>
      </w:r>
      <w:r w:rsidR="00D7303D" w:rsidRPr="00342F7C">
        <w:rPr>
          <w:rFonts w:ascii="Times New Roman" w:hAnsi="Times New Roman"/>
          <w:lang w:val="en-GB"/>
        </w:rPr>
        <w:tab/>
        <w:t xml:space="preserve">Interaction with other medicinal products and other forms of interaction </w:t>
      </w:r>
    </w:p>
    <w:p w14:paraId="455E81E4" w14:textId="77777777" w:rsidR="000F64FB" w:rsidRPr="000F64FB" w:rsidRDefault="000F64FB" w:rsidP="000F64FB">
      <w:pPr>
        <w:pStyle w:val="EMEANormal"/>
        <w:rPr>
          <w:lang w:val="en-GB"/>
        </w:rPr>
      </w:pPr>
    </w:p>
    <w:p w14:paraId="55A9D933" w14:textId="77777777" w:rsidR="00D7303D" w:rsidRPr="00342F7C" w:rsidRDefault="00D7303D">
      <w:pPr>
        <w:pStyle w:val="EMEANormal"/>
        <w:rPr>
          <w:lang w:val="en-GB"/>
        </w:rPr>
      </w:pPr>
      <w:r w:rsidRPr="00342F7C">
        <w:rPr>
          <w:lang w:val="en-GB"/>
        </w:rPr>
        <w:t xml:space="preserve">Kaletra contains lopinavir and ritonavir, both of which are inhibitors of the P450 isoform CYP3A </w:t>
      </w:r>
      <w:r w:rsidRPr="00342F7C">
        <w:rPr>
          <w:i/>
          <w:lang w:val="en-GB"/>
        </w:rPr>
        <w:t>in vitro</w:t>
      </w:r>
      <w:r w:rsidRPr="00342F7C">
        <w:rPr>
          <w:lang w:val="en-GB"/>
        </w:rPr>
        <w:t>.  Co-administration of Kaletra and medicinal products primarily metabolised by CYP3A may result in increased plasma concentrations of the other medicinal product, which could increase or prolong its therapeutic and adverse reactions.  Kaletra does not inhibit CYP2D6, CYP2C9, CYP2C19, CYP2E1, CYP2B6 or CYP1A2 at clinically relevant concentrations (see section 4.3).</w:t>
      </w:r>
    </w:p>
    <w:p w14:paraId="6FFE5D67" w14:textId="77777777" w:rsidR="00D7303D" w:rsidRPr="00342F7C" w:rsidRDefault="00D7303D">
      <w:pPr>
        <w:pStyle w:val="EMEANormal"/>
        <w:rPr>
          <w:lang w:val="en-GB"/>
        </w:rPr>
      </w:pPr>
    </w:p>
    <w:p w14:paraId="0C523D7E" w14:textId="77777777" w:rsidR="00D7303D" w:rsidRPr="00342F7C" w:rsidRDefault="00D7303D">
      <w:pPr>
        <w:pStyle w:val="EMEANormal"/>
        <w:rPr>
          <w:lang w:val="en-GB"/>
        </w:rPr>
      </w:pPr>
      <w:r w:rsidRPr="00342F7C">
        <w:rPr>
          <w:lang w:val="en-GB"/>
        </w:rPr>
        <w:t xml:space="preserve">Kaletra has been shown </w:t>
      </w:r>
      <w:r w:rsidRPr="00342F7C">
        <w:rPr>
          <w:i/>
          <w:lang w:val="en-GB"/>
        </w:rPr>
        <w:t>in vivo</w:t>
      </w:r>
      <w:r w:rsidRPr="00342F7C">
        <w:rPr>
          <w:lang w:val="en-GB"/>
        </w:rPr>
        <w:t xml:space="preserve"> to induce its own metabolism and to increase the biotransformation of some medicinal products metabolised by cytochrome P450 enzymes (including CYP2C9 and CYP2C19) and by glucuronidation.  This may result in lowered plasma concentrations and potential decrease of efficacy of co-administered medicinal products.</w:t>
      </w:r>
    </w:p>
    <w:p w14:paraId="4A0DD507" w14:textId="77777777" w:rsidR="00D7303D" w:rsidRPr="00342F7C" w:rsidRDefault="00D7303D">
      <w:pPr>
        <w:pStyle w:val="EMEANormal"/>
        <w:rPr>
          <w:lang w:val="en-GB"/>
        </w:rPr>
      </w:pPr>
      <w:r w:rsidRPr="00342F7C">
        <w:rPr>
          <w:lang w:val="en-GB"/>
        </w:rPr>
        <w:t xml:space="preserve"> </w:t>
      </w:r>
    </w:p>
    <w:p w14:paraId="0FB2479C" w14:textId="77777777" w:rsidR="00D7303D" w:rsidRPr="00342F7C" w:rsidRDefault="00D7303D">
      <w:pPr>
        <w:pStyle w:val="EMEANormal"/>
        <w:rPr>
          <w:lang w:val="en-GB"/>
        </w:rPr>
      </w:pPr>
      <w:r w:rsidRPr="00342F7C">
        <w:rPr>
          <w:lang w:val="en-GB"/>
        </w:rPr>
        <w:t>Medicinal products that are contraindicated specifically due to the expected magnitude of interaction and potential for serious adverse events are listed in section 4.3.</w:t>
      </w:r>
    </w:p>
    <w:p w14:paraId="4571EBE3" w14:textId="77777777" w:rsidR="00D7303D" w:rsidRPr="00342F7C" w:rsidRDefault="00D7303D">
      <w:pPr>
        <w:pStyle w:val="EMEANormal"/>
        <w:rPr>
          <w:lang w:val="en-GB"/>
        </w:rPr>
      </w:pPr>
    </w:p>
    <w:p w14:paraId="3E73307E" w14:textId="77777777" w:rsidR="00D7303D" w:rsidRPr="00342F7C" w:rsidRDefault="00D7303D">
      <w:pPr>
        <w:pStyle w:val="EMEANormal"/>
        <w:rPr>
          <w:lang w:val="en-GB"/>
        </w:rPr>
      </w:pPr>
      <w:r w:rsidRPr="00342F7C">
        <w:rPr>
          <w:lang w:val="en-GB"/>
        </w:rPr>
        <w:t>All interaction studies, when otherwise not stated, were performed using Kaletra capsules, which gives an approximately 20% lower exposure of lopinavir than the 200/50 mg tablets.</w:t>
      </w:r>
    </w:p>
    <w:p w14:paraId="6418211F" w14:textId="77777777" w:rsidR="00D7303D" w:rsidRPr="00342F7C" w:rsidRDefault="00D7303D" w:rsidP="00A00F6E">
      <w:pPr>
        <w:pStyle w:val="EMEANormal"/>
        <w:rPr>
          <w:lang w:val="en-GB"/>
        </w:rPr>
      </w:pPr>
    </w:p>
    <w:p w14:paraId="0CBB89D1" w14:textId="77777777" w:rsidR="00D7303D" w:rsidRPr="00342F7C" w:rsidRDefault="00D7303D" w:rsidP="00A00F6E">
      <w:pPr>
        <w:pStyle w:val="EMEANormal"/>
        <w:rPr>
          <w:szCs w:val="22"/>
          <w:lang w:val="en-GB"/>
        </w:rPr>
      </w:pPr>
      <w:r w:rsidRPr="00342F7C">
        <w:rPr>
          <w:lang w:val="en-GB"/>
        </w:rPr>
        <w:t>Known and theoretical interactions with selected antiretrovirals and non-antiretroviral medicinal products are listed in the table below.</w:t>
      </w:r>
      <w:r w:rsidR="006B4BCF">
        <w:rPr>
          <w:lang w:val="en-GB"/>
        </w:rPr>
        <w:t xml:space="preserve">  This list is not intended to be inclusive or comprehensive.  Individual SmPCs should be consulted.</w:t>
      </w:r>
    </w:p>
    <w:p w14:paraId="11A2CB74" w14:textId="77777777" w:rsidR="00D7303D" w:rsidRPr="00342F7C" w:rsidRDefault="00D7303D" w:rsidP="00A00F6E">
      <w:pPr>
        <w:pStyle w:val="EMEANormal"/>
        <w:rPr>
          <w:lang w:val="en-GB"/>
        </w:rPr>
      </w:pPr>
    </w:p>
    <w:p w14:paraId="2D63E148" w14:textId="77777777" w:rsidR="00D7303D" w:rsidRPr="00342F7C" w:rsidRDefault="00D7303D" w:rsidP="00A00F6E">
      <w:pPr>
        <w:pStyle w:val="EMEANormal"/>
        <w:rPr>
          <w:i/>
          <w:lang w:val="en-GB"/>
        </w:rPr>
      </w:pPr>
      <w:r w:rsidRPr="00342F7C">
        <w:rPr>
          <w:i/>
          <w:lang w:val="en-GB"/>
        </w:rPr>
        <w:t>Interaction table</w:t>
      </w:r>
    </w:p>
    <w:p w14:paraId="6BC64D36" w14:textId="77777777" w:rsidR="00D7303D" w:rsidRPr="00342F7C" w:rsidRDefault="00D7303D" w:rsidP="00A00F6E">
      <w:pPr>
        <w:pStyle w:val="EMEANormal"/>
        <w:rPr>
          <w:lang w:val="en-GB"/>
        </w:rPr>
      </w:pPr>
    </w:p>
    <w:p w14:paraId="318D0A74" w14:textId="77777777" w:rsidR="00D7303D" w:rsidRPr="00342F7C" w:rsidRDefault="00D7303D" w:rsidP="00A00F6E">
      <w:pPr>
        <w:pStyle w:val="EMEANormal"/>
        <w:rPr>
          <w:sz w:val="20"/>
          <w:lang w:val="en-GB"/>
        </w:rPr>
      </w:pPr>
      <w:r w:rsidRPr="00342F7C">
        <w:rPr>
          <w:lang w:val="en-GB"/>
        </w:rPr>
        <w:t>Interactions between Kaletra and co-administered medicinal products are listed in the table below (increase is indicated as “↑”, decrease as “↓”, no change as “↔”,once daily as “QD”, twice daily as “BID” and three times daily as "TID").</w:t>
      </w:r>
    </w:p>
    <w:p w14:paraId="0AD6C51B" w14:textId="77777777" w:rsidR="00D7303D" w:rsidRPr="00342F7C" w:rsidRDefault="00D7303D" w:rsidP="00A00F6E">
      <w:pPr>
        <w:pStyle w:val="EMEANormal"/>
        <w:rPr>
          <w:lang w:val="en-GB"/>
        </w:rPr>
      </w:pPr>
    </w:p>
    <w:p w14:paraId="6C5462CA" w14:textId="77777777" w:rsidR="00D7303D" w:rsidRPr="00342F7C" w:rsidRDefault="00D7303D" w:rsidP="00A00F6E">
      <w:pPr>
        <w:pStyle w:val="EMEANormal"/>
        <w:rPr>
          <w:szCs w:val="24"/>
          <w:lang w:val="en-GB"/>
        </w:rPr>
      </w:pPr>
      <w:r w:rsidRPr="00342F7C">
        <w:rPr>
          <w:lang w:val="en-GB"/>
        </w:rPr>
        <w:t>Unless otherwise stated, studies detailed below have been performed with the recommended dosage of lopinavir/ritonavir (i.e. 400/100 mg twice daily).</w:t>
      </w:r>
    </w:p>
    <w:p w14:paraId="7C5ED23F" w14:textId="77777777" w:rsidR="00D7303D" w:rsidRPr="00342F7C" w:rsidRDefault="00D7303D" w:rsidP="00A00F6E">
      <w:pPr>
        <w:pStyle w:val="EMEANormal"/>
        <w:rPr>
          <w:lang w:val="en-GB"/>
        </w:rPr>
      </w:pPr>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400"/>
        <w:gridCol w:w="10"/>
        <w:gridCol w:w="3230"/>
        <w:gridCol w:w="30"/>
        <w:gridCol w:w="3544"/>
      </w:tblGrid>
      <w:tr w:rsidR="00D7303D" w:rsidRPr="00342F7C" w14:paraId="73EB2F7A" w14:textId="77777777" w:rsidTr="003C1BB0">
        <w:trPr>
          <w:trHeight w:val="1657"/>
        </w:trPr>
        <w:tc>
          <w:tcPr>
            <w:tcW w:w="2400" w:type="dxa"/>
            <w:tcBorders>
              <w:top w:val="single" w:sz="4" w:space="0" w:color="auto"/>
              <w:left w:val="single" w:sz="4" w:space="0" w:color="auto"/>
              <w:bottom w:val="single" w:sz="4" w:space="0" w:color="auto"/>
              <w:right w:val="single" w:sz="4" w:space="0" w:color="auto"/>
            </w:tcBorders>
          </w:tcPr>
          <w:p w14:paraId="5CB4A642" w14:textId="77777777" w:rsidR="00D7303D" w:rsidRPr="00342F7C" w:rsidRDefault="00D7303D" w:rsidP="00D16035">
            <w:pPr>
              <w:pStyle w:val="EMEANormal"/>
              <w:keepNext/>
              <w:rPr>
                <w:b/>
                <w:bCs/>
                <w:lang w:val="en-GB"/>
              </w:rPr>
            </w:pPr>
            <w:r w:rsidRPr="00342F7C">
              <w:rPr>
                <w:b/>
                <w:bCs/>
                <w:lang w:val="en-GB"/>
              </w:rPr>
              <w:t xml:space="preserve">Co-administered drug by therapeutic area </w:t>
            </w:r>
          </w:p>
          <w:p w14:paraId="195B170F" w14:textId="77777777" w:rsidR="00D7303D" w:rsidRPr="00342F7C" w:rsidRDefault="00D7303D" w:rsidP="00D16035">
            <w:pPr>
              <w:pStyle w:val="EMEANormal"/>
              <w:keepNext/>
              <w:rPr>
                <w:b/>
                <w:bCs/>
                <w:lang w:val="en-GB"/>
              </w:rPr>
            </w:pPr>
          </w:p>
          <w:p w14:paraId="56904F33" w14:textId="77777777" w:rsidR="00D7303D" w:rsidRPr="00342F7C" w:rsidRDefault="00D7303D" w:rsidP="00D16035">
            <w:pPr>
              <w:pStyle w:val="EMEANormal"/>
              <w:keepNext/>
              <w:rPr>
                <w:b/>
                <w:bCs/>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793B2C91" w14:textId="77777777" w:rsidR="00D7303D" w:rsidRPr="00342F7C" w:rsidRDefault="00D7303D" w:rsidP="00D16035">
            <w:pPr>
              <w:pStyle w:val="EMEANormal"/>
              <w:keepNext/>
              <w:rPr>
                <w:b/>
                <w:bCs/>
                <w:lang w:val="en-GB"/>
              </w:rPr>
            </w:pPr>
            <w:r w:rsidRPr="00342F7C">
              <w:rPr>
                <w:b/>
                <w:bCs/>
                <w:lang w:val="en-GB"/>
              </w:rPr>
              <w:t>Effects on drug levels</w:t>
            </w:r>
          </w:p>
          <w:p w14:paraId="6E29BD18" w14:textId="77777777" w:rsidR="00D7303D" w:rsidRPr="00342F7C" w:rsidRDefault="00D7303D" w:rsidP="00D16035">
            <w:pPr>
              <w:pStyle w:val="EMEANormal"/>
              <w:keepNext/>
              <w:rPr>
                <w:b/>
                <w:bCs/>
                <w:lang w:val="en-GB"/>
              </w:rPr>
            </w:pPr>
          </w:p>
          <w:p w14:paraId="52483CD3" w14:textId="77777777" w:rsidR="00D7303D" w:rsidRPr="00342F7C" w:rsidRDefault="00D7303D" w:rsidP="00D16035">
            <w:pPr>
              <w:pStyle w:val="EMEANormal"/>
              <w:keepNext/>
              <w:rPr>
                <w:b/>
                <w:bCs/>
                <w:vertAlign w:val="subscript"/>
                <w:lang w:val="en-GB"/>
              </w:rPr>
            </w:pPr>
            <w:r w:rsidRPr="00342F7C">
              <w:rPr>
                <w:b/>
                <w:bCs/>
                <w:lang w:val="en-GB"/>
              </w:rPr>
              <w:t>Geometric Mean Change (%) in AUC, C</w:t>
            </w:r>
            <w:r w:rsidRPr="00342F7C">
              <w:rPr>
                <w:b/>
                <w:bCs/>
                <w:vertAlign w:val="subscript"/>
                <w:lang w:val="en-GB"/>
              </w:rPr>
              <w:t>max</w:t>
            </w:r>
            <w:r w:rsidRPr="00342F7C">
              <w:rPr>
                <w:b/>
                <w:bCs/>
                <w:lang w:val="en-GB"/>
              </w:rPr>
              <w:t>, C</w:t>
            </w:r>
            <w:r w:rsidRPr="00342F7C">
              <w:rPr>
                <w:b/>
                <w:bCs/>
                <w:vertAlign w:val="subscript"/>
                <w:lang w:val="en-GB"/>
              </w:rPr>
              <w:t>min</w:t>
            </w:r>
          </w:p>
          <w:p w14:paraId="38525547" w14:textId="77777777" w:rsidR="00D7303D" w:rsidRPr="00342F7C" w:rsidRDefault="00D7303D" w:rsidP="00D16035">
            <w:pPr>
              <w:pStyle w:val="EMEANormal"/>
              <w:keepNext/>
              <w:rPr>
                <w:b/>
                <w:bCs/>
                <w:lang w:val="en-GB"/>
              </w:rPr>
            </w:pPr>
          </w:p>
          <w:p w14:paraId="499E4A7A" w14:textId="77777777" w:rsidR="00D7303D" w:rsidRPr="00342F7C" w:rsidRDefault="00D7303D" w:rsidP="00D16035">
            <w:pPr>
              <w:pStyle w:val="EMEANormal"/>
              <w:keepNext/>
              <w:rPr>
                <w:b/>
                <w:bCs/>
                <w:lang w:val="en-GB"/>
              </w:rPr>
            </w:pPr>
            <w:r w:rsidRPr="00342F7C">
              <w:rPr>
                <w:b/>
                <w:bCs/>
                <w:lang w:val="en-GB"/>
              </w:rPr>
              <w:t>Mechanism of interaction</w:t>
            </w:r>
          </w:p>
        </w:tc>
        <w:tc>
          <w:tcPr>
            <w:tcW w:w="3574" w:type="dxa"/>
            <w:gridSpan w:val="2"/>
            <w:tcBorders>
              <w:top w:val="single" w:sz="4" w:space="0" w:color="auto"/>
              <w:left w:val="single" w:sz="4" w:space="0" w:color="auto"/>
              <w:bottom w:val="single" w:sz="4" w:space="0" w:color="auto"/>
              <w:right w:val="single" w:sz="4" w:space="0" w:color="auto"/>
            </w:tcBorders>
          </w:tcPr>
          <w:p w14:paraId="589C0150" w14:textId="77777777" w:rsidR="00D7303D" w:rsidRPr="00342F7C" w:rsidRDefault="00D7303D" w:rsidP="00D16035">
            <w:pPr>
              <w:pStyle w:val="EMEANormal"/>
              <w:keepNext/>
              <w:rPr>
                <w:b/>
                <w:bCs/>
                <w:lang w:val="en-GB"/>
              </w:rPr>
            </w:pPr>
            <w:r w:rsidRPr="00342F7C">
              <w:rPr>
                <w:b/>
                <w:bCs/>
                <w:lang w:val="en-GB"/>
              </w:rPr>
              <w:t>Clinical recommendation concerning co-administration with Kaletra</w:t>
            </w:r>
          </w:p>
        </w:tc>
      </w:tr>
      <w:tr w:rsidR="00D7303D" w:rsidRPr="00342F7C" w14:paraId="50F070C5"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20895E39" w14:textId="77777777" w:rsidR="00D7303D" w:rsidRPr="00342F7C" w:rsidRDefault="00D7303D" w:rsidP="000B2D5F">
            <w:pPr>
              <w:pStyle w:val="EMEANormal"/>
              <w:rPr>
                <w:b/>
                <w:bCs/>
                <w:i/>
                <w:iCs/>
                <w:lang w:val="en-GB"/>
              </w:rPr>
            </w:pPr>
            <w:r w:rsidRPr="00342F7C">
              <w:rPr>
                <w:b/>
                <w:bCs/>
                <w:i/>
                <w:iCs/>
                <w:lang w:val="en-GB"/>
              </w:rPr>
              <w:t>Antiretroviral Agents</w:t>
            </w:r>
          </w:p>
        </w:tc>
      </w:tr>
      <w:tr w:rsidR="00D7303D" w:rsidRPr="00342F7C" w14:paraId="64D06668"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33231B05" w14:textId="77777777" w:rsidR="00D7303D" w:rsidRPr="00342F7C" w:rsidRDefault="00D7303D" w:rsidP="000B2D5F">
            <w:pPr>
              <w:pStyle w:val="EMEANormal"/>
              <w:rPr>
                <w:i/>
                <w:iCs/>
                <w:lang w:val="en-GB"/>
              </w:rPr>
            </w:pPr>
            <w:r w:rsidRPr="00342F7C">
              <w:rPr>
                <w:i/>
                <w:iCs/>
                <w:lang w:val="en-GB"/>
              </w:rPr>
              <w:t>Nucleoside/Nucleotide reverse transcriptase inhibitors (NRTIs)</w:t>
            </w:r>
            <w:r w:rsidRPr="00342F7C">
              <w:rPr>
                <w:i/>
                <w:iCs/>
                <w:lang w:val="en-GB"/>
              </w:rPr>
              <w:tab/>
            </w:r>
          </w:p>
        </w:tc>
      </w:tr>
      <w:tr w:rsidR="00D7303D" w:rsidRPr="00342F7C" w14:paraId="0D5C6159" w14:textId="77777777" w:rsidTr="008E20B3">
        <w:tc>
          <w:tcPr>
            <w:tcW w:w="2400" w:type="dxa"/>
            <w:tcBorders>
              <w:top w:val="single" w:sz="4" w:space="0" w:color="auto"/>
              <w:left w:val="single" w:sz="4" w:space="0" w:color="auto"/>
              <w:bottom w:val="single" w:sz="4" w:space="0" w:color="auto"/>
              <w:right w:val="single" w:sz="4" w:space="0" w:color="auto"/>
            </w:tcBorders>
          </w:tcPr>
          <w:p w14:paraId="29F58A96" w14:textId="77777777" w:rsidR="00D7303D" w:rsidRPr="00342F7C" w:rsidRDefault="00D7303D" w:rsidP="000B2D5F">
            <w:pPr>
              <w:pStyle w:val="EMEANormal"/>
              <w:rPr>
                <w:lang w:val="en-GB"/>
              </w:rPr>
            </w:pPr>
            <w:r w:rsidRPr="00342F7C">
              <w:rPr>
                <w:lang w:val="en-GB"/>
              </w:rPr>
              <w:t>Stavudine, Lamivudine</w:t>
            </w:r>
          </w:p>
        </w:tc>
        <w:tc>
          <w:tcPr>
            <w:tcW w:w="3240" w:type="dxa"/>
            <w:gridSpan w:val="2"/>
            <w:tcBorders>
              <w:top w:val="single" w:sz="4" w:space="0" w:color="auto"/>
              <w:left w:val="single" w:sz="4" w:space="0" w:color="auto"/>
              <w:bottom w:val="single" w:sz="4" w:space="0" w:color="auto"/>
              <w:right w:val="single" w:sz="4" w:space="0" w:color="auto"/>
            </w:tcBorders>
          </w:tcPr>
          <w:p w14:paraId="4BD2580F" w14:textId="77777777" w:rsidR="00D7303D" w:rsidRPr="00342F7C" w:rsidRDefault="00D7303D" w:rsidP="000B2D5F">
            <w:pPr>
              <w:pStyle w:val="EMEANormal"/>
              <w:rPr>
                <w:lang w:val="en-GB"/>
              </w:rPr>
            </w:pPr>
            <w:r w:rsidRPr="00342F7C">
              <w:rPr>
                <w:lang w:val="en-GB"/>
              </w:rPr>
              <w:t xml:space="preserve">Lopinavir: </w:t>
            </w:r>
            <w:r w:rsidRPr="00342F7C">
              <w:rPr>
                <w:szCs w:val="22"/>
                <w:lang w:val="en-GB"/>
              </w:rPr>
              <w:t>↔</w:t>
            </w:r>
          </w:p>
          <w:p w14:paraId="5F8920CC" w14:textId="77777777" w:rsidR="00D7303D" w:rsidRPr="00342F7C" w:rsidRDefault="00D7303D" w:rsidP="000B2D5F">
            <w:pPr>
              <w:pStyle w:val="EMEANormal"/>
              <w:rPr>
                <w:lang w:val="en-GB"/>
              </w:rPr>
            </w:pPr>
          </w:p>
        </w:tc>
        <w:tc>
          <w:tcPr>
            <w:tcW w:w="3574" w:type="dxa"/>
            <w:gridSpan w:val="2"/>
            <w:tcBorders>
              <w:top w:val="single" w:sz="4" w:space="0" w:color="auto"/>
              <w:left w:val="single" w:sz="4" w:space="0" w:color="auto"/>
              <w:bottom w:val="single" w:sz="4" w:space="0" w:color="auto"/>
              <w:right w:val="single" w:sz="4" w:space="0" w:color="auto"/>
            </w:tcBorders>
          </w:tcPr>
          <w:p w14:paraId="2ABC1AC9" w14:textId="77777777" w:rsidR="00D7303D" w:rsidRPr="00342F7C" w:rsidRDefault="00D7303D" w:rsidP="000B2D5F">
            <w:pPr>
              <w:pStyle w:val="EMEANormal"/>
              <w:rPr>
                <w:lang w:val="en-GB"/>
              </w:rPr>
            </w:pPr>
            <w:r w:rsidRPr="00342F7C">
              <w:rPr>
                <w:lang w:val="en-GB"/>
              </w:rPr>
              <w:t>No dose adjustment necessary.</w:t>
            </w:r>
          </w:p>
        </w:tc>
      </w:tr>
      <w:tr w:rsidR="00D7303D" w:rsidRPr="00342F7C" w14:paraId="64B80C37" w14:textId="77777777" w:rsidTr="008E20B3">
        <w:tc>
          <w:tcPr>
            <w:tcW w:w="2400" w:type="dxa"/>
            <w:tcBorders>
              <w:top w:val="single" w:sz="4" w:space="0" w:color="auto"/>
              <w:left w:val="single" w:sz="4" w:space="0" w:color="auto"/>
              <w:bottom w:val="single" w:sz="4" w:space="0" w:color="auto"/>
              <w:right w:val="single" w:sz="4" w:space="0" w:color="auto"/>
            </w:tcBorders>
          </w:tcPr>
          <w:p w14:paraId="2C0F3C05" w14:textId="77777777" w:rsidR="00D7303D" w:rsidRPr="00342F7C" w:rsidRDefault="00D7303D" w:rsidP="000B2D5F">
            <w:pPr>
              <w:pStyle w:val="EMEANormal"/>
              <w:rPr>
                <w:lang w:val="en-GB"/>
              </w:rPr>
            </w:pPr>
            <w:r w:rsidRPr="00342F7C">
              <w:rPr>
                <w:lang w:val="en-GB"/>
              </w:rPr>
              <w:t>Abacavir, Zidovudine</w:t>
            </w:r>
          </w:p>
          <w:p w14:paraId="5F7E577E" w14:textId="77777777" w:rsidR="00D7303D" w:rsidRPr="00342F7C" w:rsidRDefault="00D7303D" w:rsidP="000B2D5F">
            <w:pPr>
              <w:pStyle w:val="EMEANormal"/>
              <w:rPr>
                <w:lang w:val="en-GB"/>
              </w:rPr>
            </w:pPr>
          </w:p>
          <w:p w14:paraId="0CEF6826" w14:textId="77777777" w:rsidR="00D7303D" w:rsidRPr="00342F7C" w:rsidRDefault="00D7303D" w:rsidP="000B2D5F">
            <w:pPr>
              <w:pStyle w:val="EMEANormal"/>
              <w:rPr>
                <w:i/>
                <w:iCs/>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577B3872" w14:textId="77777777" w:rsidR="00D7303D" w:rsidRPr="00342F7C" w:rsidRDefault="00D7303D" w:rsidP="000B2D5F">
            <w:pPr>
              <w:pStyle w:val="EMEANormal"/>
              <w:rPr>
                <w:lang w:val="en-GB"/>
              </w:rPr>
            </w:pPr>
            <w:r w:rsidRPr="00342F7C">
              <w:rPr>
                <w:lang w:val="en-GB"/>
              </w:rPr>
              <w:t>Abacavir, Zidovudine:</w:t>
            </w:r>
          </w:p>
          <w:p w14:paraId="2D31418F" w14:textId="77777777" w:rsidR="00D7303D" w:rsidRPr="00342F7C" w:rsidRDefault="00D7303D" w:rsidP="00D33C9D">
            <w:pPr>
              <w:pStyle w:val="EMEANormal"/>
              <w:rPr>
                <w:lang w:val="en-GB"/>
              </w:rPr>
            </w:pPr>
            <w:r w:rsidRPr="00342F7C">
              <w:rPr>
                <w:lang w:val="en-GB"/>
              </w:rPr>
              <w:t xml:space="preserve">Concentrations may be reduced due to increased glucuronidation by </w:t>
            </w:r>
            <w:r w:rsidR="00D33C9D">
              <w:rPr>
                <w:lang w:val="en-GB"/>
              </w:rPr>
              <w:t>lopinavir/ritonavir</w:t>
            </w:r>
            <w:r w:rsidRPr="00342F7C">
              <w:rPr>
                <w:lang w:val="en-GB"/>
              </w:rPr>
              <w:t>.</w:t>
            </w:r>
          </w:p>
        </w:tc>
        <w:tc>
          <w:tcPr>
            <w:tcW w:w="3574" w:type="dxa"/>
            <w:gridSpan w:val="2"/>
            <w:tcBorders>
              <w:top w:val="single" w:sz="4" w:space="0" w:color="auto"/>
              <w:left w:val="single" w:sz="4" w:space="0" w:color="auto"/>
              <w:bottom w:val="single" w:sz="4" w:space="0" w:color="auto"/>
              <w:right w:val="single" w:sz="4" w:space="0" w:color="auto"/>
            </w:tcBorders>
          </w:tcPr>
          <w:p w14:paraId="55ACE41D" w14:textId="77777777" w:rsidR="00D7303D" w:rsidRPr="00342F7C" w:rsidRDefault="00D7303D" w:rsidP="000B2D5F">
            <w:pPr>
              <w:pStyle w:val="EMEANormal"/>
              <w:rPr>
                <w:lang w:val="en-GB"/>
              </w:rPr>
            </w:pPr>
            <w:r w:rsidRPr="00342F7C">
              <w:rPr>
                <w:lang w:val="en-GB"/>
              </w:rPr>
              <w:t>The clinical significance of reduced abacavir and zidovudine concentrations is unknown.</w:t>
            </w:r>
          </w:p>
        </w:tc>
      </w:tr>
      <w:tr w:rsidR="00D7303D" w:rsidRPr="00342F7C" w14:paraId="50B4B9FB" w14:textId="77777777" w:rsidTr="008E20B3">
        <w:tc>
          <w:tcPr>
            <w:tcW w:w="2400" w:type="dxa"/>
            <w:tcBorders>
              <w:top w:val="single" w:sz="4" w:space="0" w:color="auto"/>
              <w:left w:val="single" w:sz="4" w:space="0" w:color="auto"/>
              <w:bottom w:val="single" w:sz="4" w:space="0" w:color="auto"/>
              <w:right w:val="single" w:sz="4" w:space="0" w:color="auto"/>
            </w:tcBorders>
          </w:tcPr>
          <w:p w14:paraId="03B99877" w14:textId="77777777" w:rsidR="00D7303D" w:rsidRPr="00342F7C" w:rsidRDefault="00D7303D" w:rsidP="000B2D5F">
            <w:pPr>
              <w:pStyle w:val="EMEANormal"/>
              <w:rPr>
                <w:lang w:val="en-GB"/>
              </w:rPr>
            </w:pPr>
            <w:r w:rsidRPr="00342F7C">
              <w:rPr>
                <w:lang w:val="en-GB"/>
              </w:rPr>
              <w:t>Tenofovir</w:t>
            </w:r>
            <w:r w:rsidR="000B35E1">
              <w:rPr>
                <w:lang w:val="en-GB"/>
              </w:rPr>
              <w:t xml:space="preserve"> disoproxil fumarate (DF)</w:t>
            </w:r>
            <w:r w:rsidRPr="00342F7C">
              <w:rPr>
                <w:lang w:val="en-GB"/>
              </w:rPr>
              <w:t>, 300 mg QD</w:t>
            </w:r>
          </w:p>
          <w:p w14:paraId="021AB1BA" w14:textId="77777777" w:rsidR="00D7303D" w:rsidRPr="00342F7C" w:rsidRDefault="00D7303D" w:rsidP="000B2D5F">
            <w:pPr>
              <w:pStyle w:val="EMEANormal"/>
              <w:rPr>
                <w:lang w:val="en-GB"/>
              </w:rPr>
            </w:pPr>
          </w:p>
          <w:p w14:paraId="5520CB4A" w14:textId="77777777" w:rsidR="00D7303D" w:rsidRPr="00342F7C" w:rsidRDefault="000B35E1" w:rsidP="000B2D5F">
            <w:pPr>
              <w:pStyle w:val="EMEANormal"/>
              <w:rPr>
                <w:i/>
                <w:iCs/>
                <w:lang w:val="en-GB"/>
              </w:rPr>
            </w:pPr>
            <w:r>
              <w:rPr>
                <w:lang w:val="en-GB"/>
              </w:rPr>
              <w:t>(equivalent to 245 mg tenofovir disoproxil)</w:t>
            </w:r>
          </w:p>
        </w:tc>
        <w:tc>
          <w:tcPr>
            <w:tcW w:w="3240" w:type="dxa"/>
            <w:gridSpan w:val="2"/>
            <w:tcBorders>
              <w:top w:val="single" w:sz="4" w:space="0" w:color="auto"/>
              <w:left w:val="single" w:sz="4" w:space="0" w:color="auto"/>
              <w:bottom w:val="single" w:sz="4" w:space="0" w:color="auto"/>
              <w:right w:val="single" w:sz="4" w:space="0" w:color="auto"/>
            </w:tcBorders>
          </w:tcPr>
          <w:p w14:paraId="6623C1DB" w14:textId="77777777" w:rsidR="00D7303D" w:rsidRPr="00342F7C" w:rsidRDefault="00D7303D" w:rsidP="000B2D5F">
            <w:pPr>
              <w:pStyle w:val="EMEANormal"/>
              <w:rPr>
                <w:lang w:val="en-GB"/>
              </w:rPr>
            </w:pPr>
            <w:r w:rsidRPr="00342F7C">
              <w:rPr>
                <w:lang w:val="en-GB"/>
              </w:rPr>
              <w:t>Tenofovir:</w:t>
            </w:r>
          </w:p>
          <w:p w14:paraId="04D0D597" w14:textId="77777777" w:rsidR="00D7303D" w:rsidRPr="00342F7C" w:rsidRDefault="00D7303D" w:rsidP="000B2D5F">
            <w:pPr>
              <w:pStyle w:val="EMEANormal"/>
              <w:rPr>
                <w:szCs w:val="22"/>
                <w:lang w:val="en-GB"/>
              </w:rPr>
            </w:pPr>
            <w:r w:rsidRPr="00342F7C">
              <w:rPr>
                <w:szCs w:val="22"/>
                <w:lang w:val="en-GB"/>
              </w:rPr>
              <w:t>AUC: ↑ 32%</w:t>
            </w:r>
          </w:p>
          <w:p w14:paraId="5A9EABF7" w14:textId="77777777" w:rsidR="00D7303D" w:rsidRPr="00342F7C" w:rsidRDefault="00D7303D" w:rsidP="000B2D5F">
            <w:pPr>
              <w:pStyle w:val="EMEANormal"/>
              <w:rPr>
                <w:szCs w:val="22"/>
                <w:lang w:val="en-GB"/>
              </w:rPr>
            </w:pPr>
            <w:r w:rsidRPr="00342F7C">
              <w:rPr>
                <w:szCs w:val="22"/>
                <w:lang w:val="en-GB"/>
              </w:rPr>
              <w:t>C</w:t>
            </w:r>
            <w:r w:rsidRPr="00342F7C">
              <w:rPr>
                <w:szCs w:val="22"/>
                <w:vertAlign w:val="subscript"/>
                <w:lang w:val="en-GB"/>
              </w:rPr>
              <w:t>max</w:t>
            </w:r>
            <w:r w:rsidRPr="00342F7C">
              <w:rPr>
                <w:szCs w:val="22"/>
                <w:lang w:val="en-GB"/>
              </w:rPr>
              <w:t>: ↔</w:t>
            </w:r>
          </w:p>
          <w:p w14:paraId="1437FFB8" w14:textId="77777777" w:rsidR="00D7303D" w:rsidRPr="00342F7C" w:rsidRDefault="00D7303D" w:rsidP="000B2D5F">
            <w:pPr>
              <w:pStyle w:val="EMEANormal"/>
              <w:rPr>
                <w:lang w:val="en-GB"/>
              </w:rPr>
            </w:pPr>
            <w:r w:rsidRPr="00342F7C">
              <w:rPr>
                <w:szCs w:val="22"/>
                <w:lang w:val="en-GB"/>
              </w:rPr>
              <w:t>C</w:t>
            </w:r>
            <w:r w:rsidRPr="00342F7C">
              <w:rPr>
                <w:szCs w:val="22"/>
                <w:vertAlign w:val="subscript"/>
                <w:lang w:val="en-GB"/>
              </w:rPr>
              <w:t>min</w:t>
            </w:r>
            <w:r w:rsidRPr="00342F7C">
              <w:rPr>
                <w:szCs w:val="22"/>
                <w:lang w:val="en-GB"/>
              </w:rPr>
              <w:t>: ↑ 51%</w:t>
            </w:r>
          </w:p>
          <w:p w14:paraId="4359F948" w14:textId="77777777" w:rsidR="00D7303D" w:rsidRPr="00342F7C" w:rsidRDefault="00D7303D" w:rsidP="000B2D5F">
            <w:pPr>
              <w:pStyle w:val="EMEANormal"/>
              <w:rPr>
                <w:lang w:val="en-GB"/>
              </w:rPr>
            </w:pPr>
          </w:p>
          <w:p w14:paraId="6DBD04E9" w14:textId="77777777" w:rsidR="00D7303D" w:rsidRPr="00342F7C" w:rsidRDefault="00D7303D" w:rsidP="000B2D5F">
            <w:pPr>
              <w:pStyle w:val="EMEANormal"/>
              <w:rPr>
                <w:lang w:val="en-GB"/>
              </w:rPr>
            </w:pPr>
            <w:r w:rsidRPr="00342F7C">
              <w:rPr>
                <w:lang w:val="en-GB"/>
              </w:rPr>
              <w:t xml:space="preserve">Lopinavir: </w:t>
            </w:r>
            <w:r w:rsidRPr="00342F7C">
              <w:rPr>
                <w:szCs w:val="22"/>
                <w:lang w:val="en-GB"/>
              </w:rPr>
              <w:t>↔</w:t>
            </w:r>
          </w:p>
        </w:tc>
        <w:tc>
          <w:tcPr>
            <w:tcW w:w="3574" w:type="dxa"/>
            <w:gridSpan w:val="2"/>
            <w:tcBorders>
              <w:top w:val="single" w:sz="4" w:space="0" w:color="auto"/>
              <w:left w:val="single" w:sz="4" w:space="0" w:color="auto"/>
              <w:bottom w:val="single" w:sz="4" w:space="0" w:color="auto"/>
              <w:right w:val="single" w:sz="4" w:space="0" w:color="auto"/>
            </w:tcBorders>
          </w:tcPr>
          <w:p w14:paraId="077262F9" w14:textId="77777777" w:rsidR="00D7303D" w:rsidRPr="00342F7C" w:rsidRDefault="00D7303D" w:rsidP="000B2D5F">
            <w:pPr>
              <w:pStyle w:val="EMEANormal"/>
              <w:rPr>
                <w:lang w:val="en-GB"/>
              </w:rPr>
            </w:pPr>
            <w:r w:rsidRPr="00342F7C">
              <w:rPr>
                <w:lang w:val="en-GB"/>
              </w:rPr>
              <w:t>No dose adjustment necessary.</w:t>
            </w:r>
          </w:p>
          <w:p w14:paraId="4A4B958A" w14:textId="77777777" w:rsidR="00D7303D" w:rsidRPr="00342F7C" w:rsidRDefault="00D7303D" w:rsidP="000B2D5F">
            <w:pPr>
              <w:pStyle w:val="EMEANormal"/>
              <w:rPr>
                <w:lang w:val="en-GB"/>
              </w:rPr>
            </w:pPr>
            <w:r w:rsidRPr="00342F7C">
              <w:rPr>
                <w:lang w:val="en-GB"/>
              </w:rPr>
              <w:t>Higher tenofovir concentrations could potentiate tenofovir associated adverse events, including renal disorders.</w:t>
            </w:r>
          </w:p>
        </w:tc>
      </w:tr>
      <w:tr w:rsidR="00D7303D" w:rsidRPr="00342F7C" w14:paraId="4BA3F28F"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404FACC6" w14:textId="77777777" w:rsidR="00D7303D" w:rsidRPr="00342F7C" w:rsidRDefault="00D7303D" w:rsidP="005F7244">
            <w:pPr>
              <w:pStyle w:val="EMEANormal"/>
              <w:keepNext/>
              <w:rPr>
                <w:lang w:val="en-GB"/>
              </w:rPr>
            </w:pPr>
            <w:r w:rsidRPr="00342F7C">
              <w:rPr>
                <w:i/>
                <w:iCs/>
                <w:lang w:val="en-GB"/>
              </w:rPr>
              <w:t>Non-nucleoside reverse transcriptase inhibitors (NNRTIs)</w:t>
            </w:r>
            <w:r w:rsidRPr="00342F7C">
              <w:rPr>
                <w:i/>
                <w:iCs/>
                <w:lang w:val="en-GB"/>
              </w:rPr>
              <w:tab/>
            </w:r>
          </w:p>
        </w:tc>
      </w:tr>
      <w:tr w:rsidR="00D7303D" w:rsidRPr="00342F7C" w14:paraId="2F66C5AC" w14:textId="77777777" w:rsidTr="008E20B3">
        <w:trPr>
          <w:cantSplit/>
        </w:trPr>
        <w:tc>
          <w:tcPr>
            <w:tcW w:w="2400" w:type="dxa"/>
            <w:tcBorders>
              <w:top w:val="single" w:sz="4" w:space="0" w:color="auto"/>
              <w:left w:val="single" w:sz="4" w:space="0" w:color="auto"/>
              <w:bottom w:val="single" w:sz="4" w:space="0" w:color="auto"/>
              <w:right w:val="single" w:sz="4" w:space="0" w:color="auto"/>
            </w:tcBorders>
          </w:tcPr>
          <w:p w14:paraId="6B9D2E7D" w14:textId="77777777" w:rsidR="00D7303D" w:rsidRPr="00342F7C" w:rsidRDefault="00D7303D" w:rsidP="000B2D5F">
            <w:pPr>
              <w:pStyle w:val="EMEANormal"/>
              <w:rPr>
                <w:bCs/>
                <w:iCs/>
                <w:lang w:val="en-GB"/>
              </w:rPr>
            </w:pPr>
            <w:r w:rsidRPr="00342F7C">
              <w:rPr>
                <w:bCs/>
                <w:iCs/>
                <w:lang w:val="en-GB"/>
              </w:rPr>
              <w:t>Efavirenz, 600 mg QD</w:t>
            </w:r>
          </w:p>
          <w:p w14:paraId="080D69C0" w14:textId="77777777" w:rsidR="00D7303D" w:rsidRPr="00342F7C" w:rsidRDefault="00D7303D" w:rsidP="000B2D5F">
            <w:pPr>
              <w:pStyle w:val="EMEANormal"/>
              <w:rPr>
                <w:bCs/>
                <w:iCs/>
                <w:lang w:val="en-GB"/>
              </w:rPr>
            </w:pPr>
          </w:p>
          <w:p w14:paraId="059E9371" w14:textId="77777777" w:rsidR="00D7303D" w:rsidRPr="00342F7C" w:rsidRDefault="00D7303D" w:rsidP="000B2D5F">
            <w:pPr>
              <w:pStyle w:val="EMEANormal"/>
              <w:rPr>
                <w:bCs/>
                <w:iCs/>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2F8AFB5E" w14:textId="77777777" w:rsidR="00D7303D" w:rsidRPr="00342F7C" w:rsidRDefault="00D7303D" w:rsidP="000B2D5F">
            <w:pPr>
              <w:pStyle w:val="EMEANormal"/>
              <w:rPr>
                <w:lang w:val="en-GB"/>
              </w:rPr>
            </w:pPr>
            <w:r w:rsidRPr="00342F7C">
              <w:rPr>
                <w:lang w:val="en-GB"/>
              </w:rPr>
              <w:t>Lopinavir:</w:t>
            </w:r>
          </w:p>
          <w:p w14:paraId="01DA0A29" w14:textId="77777777" w:rsidR="00D7303D" w:rsidRPr="00342F7C" w:rsidRDefault="00D7303D" w:rsidP="000B2D5F">
            <w:pPr>
              <w:pStyle w:val="EMEANormal"/>
              <w:rPr>
                <w:lang w:val="en-GB"/>
              </w:rPr>
            </w:pPr>
            <w:r w:rsidRPr="00342F7C">
              <w:rPr>
                <w:lang w:val="en-GB"/>
              </w:rPr>
              <w:t>AUC: ↓</w:t>
            </w:r>
            <w:r w:rsidRPr="00342F7C">
              <w:rPr>
                <w:rFonts w:cs="Verdana"/>
                <w:lang w:val="en-GB"/>
              </w:rPr>
              <w:t xml:space="preserve"> 20%</w:t>
            </w:r>
          </w:p>
          <w:p w14:paraId="24C48589" w14:textId="77777777" w:rsidR="00D7303D" w:rsidRPr="00342F7C" w:rsidRDefault="00D7303D" w:rsidP="000B2D5F">
            <w:pPr>
              <w:pStyle w:val="EMEANormal"/>
              <w:rPr>
                <w:lang w:val="en-GB"/>
              </w:rPr>
            </w:pPr>
            <w:r w:rsidRPr="00342F7C">
              <w:rPr>
                <w:lang w:val="en-GB"/>
              </w:rPr>
              <w:t>C</w:t>
            </w:r>
            <w:r w:rsidRPr="00342F7C">
              <w:rPr>
                <w:vertAlign w:val="subscript"/>
                <w:lang w:val="en-GB"/>
              </w:rPr>
              <w:t>max</w:t>
            </w:r>
            <w:r w:rsidRPr="00342F7C">
              <w:rPr>
                <w:lang w:val="en-GB"/>
              </w:rPr>
              <w:t>: ↓ 13%</w:t>
            </w:r>
          </w:p>
          <w:p w14:paraId="2243ACEB" w14:textId="77777777" w:rsidR="00D7303D" w:rsidRPr="00342F7C" w:rsidRDefault="00D7303D" w:rsidP="00F4521F">
            <w:pPr>
              <w:pStyle w:val="EMEANormal"/>
              <w:rPr>
                <w:lang w:val="en-GB"/>
              </w:rPr>
            </w:pPr>
            <w:r w:rsidRPr="00342F7C">
              <w:rPr>
                <w:lang w:val="en-GB"/>
              </w:rPr>
              <w:t>C</w:t>
            </w:r>
            <w:r w:rsidRPr="00342F7C">
              <w:rPr>
                <w:vertAlign w:val="subscript"/>
                <w:lang w:val="en-GB"/>
              </w:rPr>
              <w:t>min</w:t>
            </w:r>
            <w:r w:rsidRPr="00342F7C">
              <w:rPr>
                <w:lang w:val="en-GB"/>
              </w:rPr>
              <w:t>: ↓</w:t>
            </w:r>
            <w:r w:rsidRPr="00342F7C">
              <w:rPr>
                <w:rFonts w:cs="Verdana"/>
                <w:lang w:val="en-GB"/>
              </w:rPr>
              <w:t xml:space="preserve"> 42%</w:t>
            </w:r>
          </w:p>
        </w:tc>
        <w:tc>
          <w:tcPr>
            <w:tcW w:w="3574" w:type="dxa"/>
            <w:gridSpan w:val="2"/>
            <w:vMerge w:val="restart"/>
            <w:tcBorders>
              <w:top w:val="single" w:sz="4" w:space="0" w:color="auto"/>
              <w:left w:val="single" w:sz="4" w:space="0" w:color="auto"/>
              <w:bottom w:val="single" w:sz="4" w:space="0" w:color="auto"/>
              <w:right w:val="single" w:sz="4" w:space="0" w:color="auto"/>
            </w:tcBorders>
          </w:tcPr>
          <w:p w14:paraId="194D7D2E" w14:textId="77777777" w:rsidR="00D7303D" w:rsidRPr="00342F7C" w:rsidRDefault="00D7303D" w:rsidP="005F7244">
            <w:pPr>
              <w:pStyle w:val="EMEANormal"/>
              <w:keepNext/>
              <w:rPr>
                <w:lang w:val="en-GB"/>
              </w:rPr>
            </w:pPr>
            <w:r w:rsidRPr="00342F7C">
              <w:rPr>
                <w:lang w:val="en-GB"/>
              </w:rPr>
              <w:t xml:space="preserve">The Kaletra tablets dosage should be increased to 500/125 mg twice daily when co-administered with efavirenz.  </w:t>
            </w:r>
          </w:p>
          <w:p w14:paraId="4CC7FDF7" w14:textId="77777777" w:rsidR="00D7303D" w:rsidRPr="00342F7C" w:rsidRDefault="00D7303D" w:rsidP="005F7244">
            <w:pPr>
              <w:pStyle w:val="EMEANormal"/>
              <w:keepNext/>
              <w:rPr>
                <w:lang w:val="en-GB"/>
              </w:rPr>
            </w:pPr>
            <w:r w:rsidRPr="00342F7C">
              <w:rPr>
                <w:lang w:val="en-GB"/>
              </w:rPr>
              <w:t>Kaletra must not be administered once daily in combination with efavirenz.</w:t>
            </w:r>
          </w:p>
        </w:tc>
      </w:tr>
      <w:tr w:rsidR="00D7303D" w:rsidRPr="00342F7C" w14:paraId="07A010AD" w14:textId="77777777" w:rsidTr="008E20B3">
        <w:trPr>
          <w:cantSplit/>
        </w:trPr>
        <w:tc>
          <w:tcPr>
            <w:tcW w:w="2400" w:type="dxa"/>
            <w:tcBorders>
              <w:top w:val="single" w:sz="4" w:space="0" w:color="auto"/>
              <w:left w:val="single" w:sz="4" w:space="0" w:color="auto"/>
              <w:bottom w:val="single" w:sz="4" w:space="0" w:color="auto"/>
              <w:right w:val="single" w:sz="4" w:space="0" w:color="auto"/>
            </w:tcBorders>
          </w:tcPr>
          <w:p w14:paraId="14BA2244" w14:textId="77777777" w:rsidR="00D7303D" w:rsidRPr="00342F7C" w:rsidRDefault="00D7303D" w:rsidP="000B2D5F">
            <w:pPr>
              <w:pStyle w:val="EMEANormal"/>
              <w:rPr>
                <w:bCs/>
                <w:iCs/>
                <w:lang w:val="en-GB"/>
              </w:rPr>
            </w:pPr>
            <w:r w:rsidRPr="00342F7C">
              <w:rPr>
                <w:bCs/>
                <w:iCs/>
                <w:lang w:val="en-GB"/>
              </w:rPr>
              <w:t>Efavirenz, 600 mg QD</w:t>
            </w:r>
          </w:p>
          <w:p w14:paraId="43C148D2" w14:textId="77777777" w:rsidR="00D7303D" w:rsidRPr="00342F7C" w:rsidRDefault="00D7303D" w:rsidP="000B2D5F">
            <w:pPr>
              <w:pStyle w:val="EMEANormal"/>
              <w:rPr>
                <w:bCs/>
                <w:iCs/>
                <w:lang w:val="en-GB"/>
              </w:rPr>
            </w:pPr>
          </w:p>
          <w:p w14:paraId="69136A04" w14:textId="77777777" w:rsidR="00D7303D" w:rsidRPr="00342F7C" w:rsidRDefault="00D7303D" w:rsidP="000B2D5F">
            <w:pPr>
              <w:pStyle w:val="EMEANormal"/>
              <w:rPr>
                <w:bCs/>
                <w:i/>
                <w:iCs/>
                <w:lang w:val="en-GB"/>
              </w:rPr>
            </w:pPr>
            <w:r w:rsidRPr="00342F7C">
              <w:rPr>
                <w:lang w:val="en-GB"/>
              </w:rPr>
              <w:t>(Lopinavir/ritonavir 500/125 mg BID)</w:t>
            </w:r>
          </w:p>
        </w:tc>
        <w:tc>
          <w:tcPr>
            <w:tcW w:w="3240" w:type="dxa"/>
            <w:gridSpan w:val="2"/>
            <w:tcBorders>
              <w:top w:val="single" w:sz="4" w:space="0" w:color="auto"/>
              <w:left w:val="single" w:sz="4" w:space="0" w:color="auto"/>
              <w:bottom w:val="single" w:sz="4" w:space="0" w:color="auto"/>
              <w:right w:val="single" w:sz="4" w:space="0" w:color="auto"/>
            </w:tcBorders>
          </w:tcPr>
          <w:p w14:paraId="28D71178" w14:textId="77777777" w:rsidR="00D7303D" w:rsidRPr="00342F7C" w:rsidRDefault="00D7303D" w:rsidP="000B2D5F">
            <w:pPr>
              <w:pStyle w:val="EMEANormal"/>
              <w:rPr>
                <w:rFonts w:cs="Verdana"/>
                <w:lang w:val="en-GB"/>
              </w:rPr>
            </w:pPr>
          </w:p>
          <w:p w14:paraId="5DC5DF4A" w14:textId="77777777" w:rsidR="00D7303D" w:rsidRPr="00342F7C" w:rsidRDefault="00D7303D" w:rsidP="000B2D5F">
            <w:pPr>
              <w:pStyle w:val="EMEANormal"/>
              <w:rPr>
                <w:lang w:val="en-GB"/>
              </w:rPr>
            </w:pPr>
            <w:r w:rsidRPr="00342F7C">
              <w:rPr>
                <w:rFonts w:cs="Verdana"/>
                <w:lang w:val="en-GB"/>
              </w:rPr>
              <w:t xml:space="preserve">Lopinavir: </w:t>
            </w:r>
            <w:r w:rsidRPr="00342F7C">
              <w:rPr>
                <w:szCs w:val="22"/>
                <w:lang w:val="en-GB"/>
              </w:rPr>
              <w:t>↔</w:t>
            </w:r>
          </w:p>
          <w:p w14:paraId="0B140AA7" w14:textId="77777777" w:rsidR="00D7303D" w:rsidRPr="00342F7C" w:rsidRDefault="00D7303D" w:rsidP="000B2D5F">
            <w:pPr>
              <w:pStyle w:val="EMEANormal"/>
              <w:rPr>
                <w:lang w:val="en-GB"/>
              </w:rPr>
            </w:pPr>
            <w:r w:rsidRPr="00342F7C">
              <w:rPr>
                <w:lang w:val="en-GB"/>
              </w:rPr>
              <w:t xml:space="preserve">(Relative to 400/100 mg BID administered alone) </w:t>
            </w:r>
          </w:p>
        </w:tc>
        <w:tc>
          <w:tcPr>
            <w:tcW w:w="3574" w:type="dxa"/>
            <w:gridSpan w:val="2"/>
            <w:vMerge/>
            <w:tcBorders>
              <w:top w:val="single" w:sz="4" w:space="0" w:color="auto"/>
              <w:left w:val="single" w:sz="4" w:space="0" w:color="auto"/>
              <w:bottom w:val="single" w:sz="4" w:space="0" w:color="auto"/>
              <w:right w:val="single" w:sz="4" w:space="0" w:color="auto"/>
            </w:tcBorders>
            <w:vAlign w:val="center"/>
          </w:tcPr>
          <w:p w14:paraId="1AE96A4F" w14:textId="77777777" w:rsidR="00D7303D" w:rsidRPr="00342F7C" w:rsidRDefault="00D7303D" w:rsidP="000B2D5F">
            <w:pPr>
              <w:rPr>
                <w:sz w:val="22"/>
                <w:szCs w:val="20"/>
              </w:rPr>
            </w:pPr>
          </w:p>
        </w:tc>
      </w:tr>
      <w:tr w:rsidR="00D7303D" w:rsidRPr="00342F7C" w14:paraId="35448976" w14:textId="77777777" w:rsidTr="008E20B3">
        <w:tc>
          <w:tcPr>
            <w:tcW w:w="2400" w:type="dxa"/>
            <w:tcBorders>
              <w:top w:val="single" w:sz="4" w:space="0" w:color="auto"/>
              <w:left w:val="single" w:sz="4" w:space="0" w:color="auto"/>
              <w:bottom w:val="single" w:sz="4" w:space="0" w:color="auto"/>
              <w:right w:val="single" w:sz="4" w:space="0" w:color="auto"/>
            </w:tcBorders>
          </w:tcPr>
          <w:p w14:paraId="22AC6443" w14:textId="77777777" w:rsidR="00D7303D" w:rsidRPr="00342F7C" w:rsidRDefault="00D7303D" w:rsidP="000B2D5F">
            <w:pPr>
              <w:pStyle w:val="EMEANormal"/>
              <w:rPr>
                <w:bCs/>
                <w:i/>
                <w:lang w:val="en-GB"/>
              </w:rPr>
            </w:pPr>
            <w:r w:rsidRPr="00342F7C">
              <w:rPr>
                <w:bCs/>
                <w:iCs/>
                <w:lang w:val="en-GB"/>
              </w:rPr>
              <w:t>Nevirapine, 200 mg BID</w:t>
            </w:r>
          </w:p>
          <w:p w14:paraId="4A8F26A5" w14:textId="77777777" w:rsidR="00D7303D" w:rsidRPr="00342F7C" w:rsidRDefault="00D7303D" w:rsidP="000B2D5F">
            <w:pPr>
              <w:pStyle w:val="EMEANormal"/>
              <w:rPr>
                <w:bCs/>
                <w:i/>
                <w:lang w:val="en-GB"/>
              </w:rPr>
            </w:pPr>
          </w:p>
          <w:p w14:paraId="70CA6CA4" w14:textId="77777777" w:rsidR="00D7303D" w:rsidRPr="00342F7C" w:rsidRDefault="00D7303D" w:rsidP="000B2D5F">
            <w:pPr>
              <w:pStyle w:val="EMEANormal"/>
              <w:rPr>
                <w:i/>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20B6D494" w14:textId="77777777" w:rsidR="00D7303D" w:rsidRPr="00342F7C" w:rsidRDefault="00D7303D" w:rsidP="000B2D5F">
            <w:pPr>
              <w:pStyle w:val="EMEANormal"/>
              <w:rPr>
                <w:lang w:val="en-GB"/>
              </w:rPr>
            </w:pPr>
            <w:r w:rsidRPr="00342F7C">
              <w:rPr>
                <w:lang w:val="en-GB"/>
              </w:rPr>
              <w:t>Lopinavir:</w:t>
            </w:r>
          </w:p>
          <w:p w14:paraId="2105F521" w14:textId="77777777" w:rsidR="00D7303D" w:rsidRPr="00342F7C" w:rsidRDefault="00D7303D" w:rsidP="000B2D5F">
            <w:pPr>
              <w:pStyle w:val="EMEANormal"/>
              <w:rPr>
                <w:lang w:val="en-GB"/>
              </w:rPr>
            </w:pPr>
            <w:r w:rsidRPr="00342F7C">
              <w:rPr>
                <w:lang w:val="en-GB"/>
              </w:rPr>
              <w:t>AUC: ↓</w:t>
            </w:r>
            <w:r w:rsidRPr="00342F7C">
              <w:rPr>
                <w:rFonts w:cs="Verdana"/>
                <w:lang w:val="en-GB"/>
              </w:rPr>
              <w:t xml:space="preserve"> 27%</w:t>
            </w:r>
          </w:p>
          <w:p w14:paraId="7C99B1C6" w14:textId="77777777" w:rsidR="00D7303D" w:rsidRPr="00342F7C" w:rsidRDefault="00D7303D" w:rsidP="000B2D5F">
            <w:pPr>
              <w:pStyle w:val="EMEANormal"/>
              <w:rPr>
                <w:lang w:val="en-GB"/>
              </w:rPr>
            </w:pPr>
            <w:r w:rsidRPr="00342F7C">
              <w:rPr>
                <w:lang w:val="en-GB"/>
              </w:rPr>
              <w:t>C</w:t>
            </w:r>
            <w:r w:rsidRPr="00342F7C">
              <w:rPr>
                <w:vertAlign w:val="subscript"/>
                <w:lang w:val="en-GB"/>
              </w:rPr>
              <w:t>max</w:t>
            </w:r>
            <w:r w:rsidRPr="00342F7C">
              <w:rPr>
                <w:lang w:val="en-GB"/>
              </w:rPr>
              <w:t>: ↓ 19%</w:t>
            </w:r>
          </w:p>
          <w:p w14:paraId="2F460160" w14:textId="77777777" w:rsidR="00D7303D" w:rsidRPr="00342F7C" w:rsidRDefault="00D7303D" w:rsidP="00F4521F">
            <w:pPr>
              <w:pStyle w:val="EMEANormal"/>
              <w:rPr>
                <w:lang w:val="en-GB"/>
              </w:rPr>
            </w:pPr>
            <w:r w:rsidRPr="00342F7C">
              <w:rPr>
                <w:lang w:val="en-GB"/>
              </w:rPr>
              <w:t>C</w:t>
            </w:r>
            <w:r w:rsidRPr="00342F7C">
              <w:rPr>
                <w:vertAlign w:val="subscript"/>
                <w:lang w:val="en-GB"/>
              </w:rPr>
              <w:t>min</w:t>
            </w:r>
            <w:r w:rsidRPr="00342F7C">
              <w:rPr>
                <w:lang w:val="en-GB"/>
              </w:rPr>
              <w:t>: ↓</w:t>
            </w:r>
            <w:r w:rsidRPr="00342F7C">
              <w:rPr>
                <w:rFonts w:cs="Verdana"/>
                <w:lang w:val="en-GB"/>
              </w:rPr>
              <w:t xml:space="preserve"> 51%</w:t>
            </w:r>
          </w:p>
        </w:tc>
        <w:tc>
          <w:tcPr>
            <w:tcW w:w="3574" w:type="dxa"/>
            <w:gridSpan w:val="2"/>
            <w:tcBorders>
              <w:top w:val="single" w:sz="4" w:space="0" w:color="auto"/>
              <w:left w:val="single" w:sz="4" w:space="0" w:color="auto"/>
              <w:bottom w:val="single" w:sz="4" w:space="0" w:color="auto"/>
              <w:right w:val="single" w:sz="4" w:space="0" w:color="auto"/>
            </w:tcBorders>
          </w:tcPr>
          <w:p w14:paraId="2BAF90E0" w14:textId="77777777" w:rsidR="00D7303D" w:rsidRPr="00342F7C" w:rsidRDefault="00D7303D" w:rsidP="000B2D5F">
            <w:pPr>
              <w:pStyle w:val="EMEANormal"/>
              <w:rPr>
                <w:lang w:val="en-GB"/>
              </w:rPr>
            </w:pPr>
            <w:r w:rsidRPr="00342F7C">
              <w:rPr>
                <w:lang w:val="en-GB"/>
              </w:rPr>
              <w:t xml:space="preserve">The Kaletra tablets dosage should be increased to 500/125 mg twice daily when co-administered with nevirapine.  </w:t>
            </w:r>
          </w:p>
          <w:p w14:paraId="0955A26B" w14:textId="77777777" w:rsidR="00D7303D" w:rsidRPr="00342F7C" w:rsidRDefault="00D7303D" w:rsidP="000B2D5F">
            <w:pPr>
              <w:pStyle w:val="EMEANormal"/>
              <w:rPr>
                <w:i/>
                <w:iCs/>
                <w:lang w:val="en-GB"/>
              </w:rPr>
            </w:pPr>
            <w:r w:rsidRPr="00342F7C">
              <w:rPr>
                <w:lang w:val="en-GB"/>
              </w:rPr>
              <w:t>Kaletra must not be administered once daily in combination with nevirapine.</w:t>
            </w:r>
          </w:p>
        </w:tc>
      </w:tr>
      <w:tr w:rsidR="00C475F2" w:rsidRPr="00342F7C" w14:paraId="638E0423" w14:textId="77777777" w:rsidTr="008E20B3">
        <w:tc>
          <w:tcPr>
            <w:tcW w:w="2400" w:type="dxa"/>
            <w:tcBorders>
              <w:top w:val="single" w:sz="4" w:space="0" w:color="auto"/>
              <w:left w:val="single" w:sz="4" w:space="0" w:color="auto"/>
              <w:bottom w:val="single" w:sz="4" w:space="0" w:color="auto"/>
              <w:right w:val="single" w:sz="4" w:space="0" w:color="auto"/>
            </w:tcBorders>
          </w:tcPr>
          <w:p w14:paraId="215A3C40" w14:textId="77777777" w:rsidR="00C475F2" w:rsidRPr="00C475F2" w:rsidRDefault="00C475F2" w:rsidP="00C475F2">
            <w:pPr>
              <w:pStyle w:val="EMEANormal"/>
              <w:rPr>
                <w:bCs/>
                <w:iCs/>
                <w:lang w:val="en-GB"/>
              </w:rPr>
            </w:pPr>
            <w:r w:rsidRPr="00C475F2">
              <w:rPr>
                <w:bCs/>
                <w:iCs/>
                <w:lang w:val="en-GB"/>
              </w:rPr>
              <w:t>Etravirine</w:t>
            </w:r>
          </w:p>
          <w:p w14:paraId="1DC62890" w14:textId="77777777" w:rsidR="00C475F2" w:rsidRPr="00C475F2" w:rsidRDefault="00C475F2" w:rsidP="00CB4A39">
            <w:pPr>
              <w:pStyle w:val="EMEANormal"/>
              <w:rPr>
                <w:bCs/>
                <w:iCs/>
                <w:lang w:val="en-GB"/>
              </w:rPr>
            </w:pPr>
          </w:p>
          <w:p w14:paraId="560ED076" w14:textId="77777777" w:rsidR="00C475F2" w:rsidRPr="00342F7C" w:rsidRDefault="00C475F2" w:rsidP="00CB4A39">
            <w:pPr>
              <w:pStyle w:val="EMEANormal"/>
              <w:rPr>
                <w:bCs/>
                <w:iCs/>
                <w:lang w:val="en-GB"/>
              </w:rPr>
            </w:pPr>
            <w:r w:rsidRPr="00C475F2">
              <w:rPr>
                <w:bCs/>
                <w:iCs/>
                <w:lang w:val="en-GB"/>
              </w:rPr>
              <w:t>(Lopinavir/ritonavir tablet 400/100 mg BID)</w:t>
            </w:r>
          </w:p>
        </w:tc>
        <w:tc>
          <w:tcPr>
            <w:tcW w:w="3240" w:type="dxa"/>
            <w:gridSpan w:val="2"/>
            <w:tcBorders>
              <w:top w:val="single" w:sz="4" w:space="0" w:color="auto"/>
              <w:left w:val="single" w:sz="4" w:space="0" w:color="auto"/>
              <w:bottom w:val="single" w:sz="4" w:space="0" w:color="auto"/>
              <w:right w:val="single" w:sz="4" w:space="0" w:color="auto"/>
            </w:tcBorders>
          </w:tcPr>
          <w:p w14:paraId="116028E5" w14:textId="77777777" w:rsidR="00C475F2" w:rsidRPr="00922746" w:rsidRDefault="00C475F2" w:rsidP="00C475F2">
            <w:pPr>
              <w:pStyle w:val="EMEANormal"/>
              <w:rPr>
                <w:lang w:val="fi-FI"/>
              </w:rPr>
            </w:pPr>
            <w:r w:rsidRPr="00922746">
              <w:rPr>
                <w:lang w:val="fi-FI"/>
              </w:rPr>
              <w:t>Etravirine:</w:t>
            </w:r>
          </w:p>
          <w:p w14:paraId="310D8D7E" w14:textId="77777777" w:rsidR="00C475F2" w:rsidRPr="00922746" w:rsidRDefault="00C475F2" w:rsidP="00C475F2">
            <w:pPr>
              <w:pStyle w:val="EMEANormal"/>
              <w:rPr>
                <w:lang w:val="fi-FI"/>
              </w:rPr>
            </w:pPr>
            <w:r w:rsidRPr="00922746">
              <w:rPr>
                <w:lang w:val="fi-FI"/>
              </w:rPr>
              <w:t>AUC: ↓ 35%</w:t>
            </w:r>
          </w:p>
          <w:p w14:paraId="6FF9EC5E" w14:textId="77777777" w:rsidR="00C475F2" w:rsidRPr="00922746" w:rsidRDefault="00C475F2" w:rsidP="00C475F2">
            <w:pPr>
              <w:pStyle w:val="EMEANormal"/>
              <w:rPr>
                <w:lang w:val="fi-FI"/>
              </w:rPr>
            </w:pPr>
            <w:r w:rsidRPr="00922746">
              <w:rPr>
                <w:lang w:val="fi-FI"/>
              </w:rPr>
              <w:t>C</w:t>
            </w:r>
            <w:r w:rsidR="004D5C5D" w:rsidRPr="00922746">
              <w:rPr>
                <w:vertAlign w:val="subscript"/>
                <w:lang w:val="fi-FI"/>
              </w:rPr>
              <w:t>min</w:t>
            </w:r>
            <w:r w:rsidRPr="00922746">
              <w:rPr>
                <w:lang w:val="fi-FI"/>
              </w:rPr>
              <w:t xml:space="preserve">: ↓ 45% </w:t>
            </w:r>
          </w:p>
          <w:p w14:paraId="61EDCAEE" w14:textId="77777777" w:rsidR="00C475F2" w:rsidRPr="00922746" w:rsidRDefault="00C475F2" w:rsidP="00C475F2">
            <w:pPr>
              <w:pStyle w:val="EMEANormal"/>
              <w:rPr>
                <w:lang w:val="fi-FI"/>
              </w:rPr>
            </w:pPr>
            <w:r w:rsidRPr="00922746">
              <w:rPr>
                <w:lang w:val="fi-FI"/>
              </w:rPr>
              <w:t>C</w:t>
            </w:r>
            <w:r w:rsidR="004D5C5D" w:rsidRPr="00922746">
              <w:rPr>
                <w:vertAlign w:val="subscript"/>
                <w:lang w:val="fi-FI"/>
              </w:rPr>
              <w:t>m</w:t>
            </w:r>
            <w:r w:rsidR="00B8543D" w:rsidRPr="00922746">
              <w:rPr>
                <w:vertAlign w:val="subscript"/>
                <w:lang w:val="fi-FI"/>
              </w:rPr>
              <w:t>ax</w:t>
            </w:r>
            <w:r w:rsidRPr="00922746">
              <w:rPr>
                <w:lang w:val="fi-FI"/>
              </w:rPr>
              <w:t>: ↓ 30%</w:t>
            </w:r>
          </w:p>
          <w:p w14:paraId="7A8F052B" w14:textId="77777777" w:rsidR="00C475F2" w:rsidRPr="00922746" w:rsidRDefault="00C475F2" w:rsidP="00C475F2">
            <w:pPr>
              <w:pStyle w:val="EMEANormal"/>
              <w:rPr>
                <w:lang w:val="fi-FI"/>
              </w:rPr>
            </w:pPr>
          </w:p>
          <w:p w14:paraId="5BC6345C" w14:textId="77777777" w:rsidR="00C475F2" w:rsidRPr="00922746" w:rsidRDefault="00C475F2" w:rsidP="00C475F2">
            <w:pPr>
              <w:pStyle w:val="EMEANormal"/>
              <w:rPr>
                <w:lang w:val="fi-FI"/>
              </w:rPr>
            </w:pPr>
            <w:r w:rsidRPr="00922746">
              <w:rPr>
                <w:lang w:val="fi-FI"/>
              </w:rPr>
              <w:t>Lopinavir:</w:t>
            </w:r>
          </w:p>
          <w:p w14:paraId="5DD3A36F" w14:textId="77777777" w:rsidR="00C475F2" w:rsidRPr="00C475F2" w:rsidRDefault="00C475F2" w:rsidP="00C475F2">
            <w:pPr>
              <w:pStyle w:val="EMEANormal"/>
              <w:rPr>
                <w:lang w:val="en-GB"/>
              </w:rPr>
            </w:pPr>
            <w:r w:rsidRPr="00C475F2">
              <w:rPr>
                <w:lang w:val="en-GB"/>
              </w:rPr>
              <w:t xml:space="preserve">AUC: ↔ </w:t>
            </w:r>
          </w:p>
          <w:p w14:paraId="1B31B663" w14:textId="77777777" w:rsidR="00C475F2" w:rsidRPr="00C475F2" w:rsidRDefault="003C4A95" w:rsidP="00C475F2">
            <w:pPr>
              <w:pStyle w:val="EMEANormal"/>
              <w:rPr>
                <w:lang w:val="en-GB"/>
              </w:rPr>
            </w:pPr>
            <w:r>
              <w:rPr>
                <w:lang w:val="en-GB"/>
              </w:rPr>
              <w:t>C</w:t>
            </w:r>
            <w:r w:rsidR="00C475F2" w:rsidRPr="003C4A95">
              <w:rPr>
                <w:vertAlign w:val="subscript"/>
                <w:lang w:val="en-GB"/>
              </w:rPr>
              <w:t>min</w:t>
            </w:r>
            <w:r w:rsidR="00C475F2" w:rsidRPr="00C475F2">
              <w:rPr>
                <w:lang w:val="en-GB"/>
              </w:rPr>
              <w:t>: ↓ 20%</w:t>
            </w:r>
          </w:p>
          <w:p w14:paraId="5D2EBE5E" w14:textId="77777777" w:rsidR="00C475F2" w:rsidRPr="00342F7C" w:rsidRDefault="00C475F2" w:rsidP="00CB4A39">
            <w:pPr>
              <w:pStyle w:val="EMEANormal"/>
              <w:rPr>
                <w:lang w:val="en-GB"/>
              </w:rPr>
            </w:pPr>
            <w:r w:rsidRPr="00C475F2">
              <w:rPr>
                <w:lang w:val="en-GB"/>
              </w:rPr>
              <w:t>C</w:t>
            </w:r>
            <w:r w:rsidRPr="003C4A95">
              <w:rPr>
                <w:vertAlign w:val="subscript"/>
                <w:lang w:val="en-GB"/>
              </w:rPr>
              <w:t>max</w:t>
            </w:r>
            <w:r w:rsidRPr="00C475F2">
              <w:rPr>
                <w:lang w:val="en-GB"/>
              </w:rPr>
              <w:t xml:space="preserve">: ↔ </w:t>
            </w:r>
          </w:p>
        </w:tc>
        <w:tc>
          <w:tcPr>
            <w:tcW w:w="3574" w:type="dxa"/>
            <w:gridSpan w:val="2"/>
            <w:tcBorders>
              <w:top w:val="single" w:sz="4" w:space="0" w:color="auto"/>
              <w:left w:val="single" w:sz="4" w:space="0" w:color="auto"/>
              <w:bottom w:val="single" w:sz="4" w:space="0" w:color="auto"/>
              <w:right w:val="single" w:sz="4" w:space="0" w:color="auto"/>
            </w:tcBorders>
          </w:tcPr>
          <w:p w14:paraId="654A0426" w14:textId="77777777" w:rsidR="00C475F2" w:rsidRPr="00342F7C" w:rsidRDefault="00C475F2" w:rsidP="00CB4A39">
            <w:pPr>
              <w:pStyle w:val="EMEANormal"/>
              <w:rPr>
                <w:lang w:val="en-GB"/>
              </w:rPr>
            </w:pPr>
            <w:r w:rsidRPr="00C475F2">
              <w:rPr>
                <w:lang w:val="en-GB"/>
              </w:rPr>
              <w:t>No dose adjustment necessary</w:t>
            </w:r>
          </w:p>
        </w:tc>
      </w:tr>
      <w:tr w:rsidR="00C475F2" w:rsidRPr="00342F7C" w14:paraId="5614BDFC" w14:textId="77777777" w:rsidTr="008E20B3">
        <w:tc>
          <w:tcPr>
            <w:tcW w:w="2400" w:type="dxa"/>
            <w:tcBorders>
              <w:top w:val="single" w:sz="4" w:space="0" w:color="auto"/>
              <w:left w:val="single" w:sz="4" w:space="0" w:color="auto"/>
              <w:bottom w:val="single" w:sz="4" w:space="0" w:color="auto"/>
              <w:right w:val="single" w:sz="4" w:space="0" w:color="auto"/>
            </w:tcBorders>
          </w:tcPr>
          <w:p w14:paraId="5A41A6DA" w14:textId="77777777" w:rsidR="00C475F2" w:rsidRPr="00C475F2" w:rsidRDefault="00C475F2" w:rsidP="00C475F2">
            <w:pPr>
              <w:pStyle w:val="EMEANormal"/>
              <w:rPr>
                <w:bCs/>
                <w:iCs/>
                <w:lang w:val="en-GB"/>
              </w:rPr>
            </w:pPr>
            <w:r w:rsidRPr="00C475F2">
              <w:rPr>
                <w:bCs/>
                <w:iCs/>
                <w:lang w:val="en-GB"/>
              </w:rPr>
              <w:t>Rilpivirine</w:t>
            </w:r>
          </w:p>
          <w:p w14:paraId="23AAE7DE" w14:textId="77777777" w:rsidR="00C475F2" w:rsidRPr="00C475F2" w:rsidRDefault="00C475F2" w:rsidP="00CB4A39">
            <w:pPr>
              <w:pStyle w:val="EMEANormal"/>
              <w:rPr>
                <w:bCs/>
                <w:iCs/>
                <w:lang w:val="en-GB"/>
              </w:rPr>
            </w:pPr>
          </w:p>
          <w:p w14:paraId="6E8DEDFC" w14:textId="77777777" w:rsidR="00C475F2" w:rsidRPr="00342F7C" w:rsidRDefault="00C475F2" w:rsidP="00CB4A39">
            <w:pPr>
              <w:pStyle w:val="EMEANormal"/>
              <w:rPr>
                <w:bCs/>
                <w:iCs/>
                <w:lang w:val="en-GB"/>
              </w:rPr>
            </w:pPr>
            <w:r w:rsidRPr="00C475F2">
              <w:rPr>
                <w:bCs/>
                <w:iCs/>
                <w:lang w:val="en-GB"/>
              </w:rPr>
              <w:t>(Lopinavir/ritonavir capsule 400/100 mg BID)</w:t>
            </w:r>
          </w:p>
        </w:tc>
        <w:tc>
          <w:tcPr>
            <w:tcW w:w="3240" w:type="dxa"/>
            <w:gridSpan w:val="2"/>
            <w:tcBorders>
              <w:top w:val="single" w:sz="4" w:space="0" w:color="auto"/>
              <w:left w:val="single" w:sz="4" w:space="0" w:color="auto"/>
              <w:bottom w:val="single" w:sz="4" w:space="0" w:color="auto"/>
              <w:right w:val="single" w:sz="4" w:space="0" w:color="auto"/>
            </w:tcBorders>
          </w:tcPr>
          <w:p w14:paraId="55EFE18B" w14:textId="77777777" w:rsidR="00C475F2" w:rsidRPr="00922746" w:rsidRDefault="00C475F2" w:rsidP="00C475F2">
            <w:pPr>
              <w:pStyle w:val="EMEANormal"/>
              <w:rPr>
                <w:lang w:val="fi-FI"/>
              </w:rPr>
            </w:pPr>
            <w:r w:rsidRPr="00922746">
              <w:rPr>
                <w:lang w:val="fi-FI"/>
              </w:rPr>
              <w:t>Rilpivirine:</w:t>
            </w:r>
          </w:p>
          <w:p w14:paraId="6EAC7B38" w14:textId="77777777" w:rsidR="00C475F2" w:rsidRPr="00922746" w:rsidRDefault="00C475F2" w:rsidP="00C475F2">
            <w:pPr>
              <w:pStyle w:val="EMEANormal"/>
              <w:rPr>
                <w:lang w:val="fi-FI"/>
              </w:rPr>
            </w:pPr>
            <w:r w:rsidRPr="00922746">
              <w:rPr>
                <w:lang w:val="fi-FI"/>
              </w:rPr>
              <w:t xml:space="preserve">AUC: ↑ 52% </w:t>
            </w:r>
          </w:p>
          <w:p w14:paraId="69FFF87F" w14:textId="77777777" w:rsidR="00C475F2" w:rsidRPr="00922746" w:rsidRDefault="00C475F2" w:rsidP="00C475F2">
            <w:pPr>
              <w:pStyle w:val="EMEANormal"/>
              <w:rPr>
                <w:lang w:val="fi-FI"/>
              </w:rPr>
            </w:pPr>
            <w:r w:rsidRPr="00922746">
              <w:rPr>
                <w:lang w:val="fi-FI"/>
              </w:rPr>
              <w:t>C</w:t>
            </w:r>
            <w:r w:rsidR="003036A6" w:rsidRPr="00922746">
              <w:rPr>
                <w:vertAlign w:val="subscript"/>
                <w:lang w:val="fi-FI"/>
              </w:rPr>
              <w:t>min</w:t>
            </w:r>
            <w:r w:rsidRPr="00922746">
              <w:rPr>
                <w:lang w:val="fi-FI"/>
              </w:rPr>
              <w:t xml:space="preserve">: ↑ 74% </w:t>
            </w:r>
          </w:p>
          <w:p w14:paraId="1BED025F" w14:textId="77777777" w:rsidR="00C475F2" w:rsidRPr="00922746" w:rsidRDefault="00C475F2" w:rsidP="00C475F2">
            <w:pPr>
              <w:pStyle w:val="EMEANormal"/>
              <w:rPr>
                <w:lang w:val="fi-FI"/>
              </w:rPr>
            </w:pPr>
            <w:r w:rsidRPr="00922746">
              <w:rPr>
                <w:lang w:val="fi-FI"/>
              </w:rPr>
              <w:t>C</w:t>
            </w:r>
            <w:r w:rsidR="003036A6" w:rsidRPr="00922746">
              <w:rPr>
                <w:vertAlign w:val="subscript"/>
                <w:lang w:val="fi-FI"/>
              </w:rPr>
              <w:t>max</w:t>
            </w:r>
            <w:r w:rsidRPr="00922746">
              <w:rPr>
                <w:lang w:val="fi-FI"/>
              </w:rPr>
              <w:t>: ↑ 29%</w:t>
            </w:r>
          </w:p>
          <w:p w14:paraId="6E80AF01" w14:textId="77777777" w:rsidR="00C475F2" w:rsidRPr="00922746" w:rsidRDefault="00C475F2" w:rsidP="00C475F2">
            <w:pPr>
              <w:pStyle w:val="EMEANormal"/>
              <w:rPr>
                <w:lang w:val="fi-FI"/>
              </w:rPr>
            </w:pPr>
          </w:p>
          <w:p w14:paraId="59C6B7EA" w14:textId="77777777" w:rsidR="00C475F2" w:rsidRPr="00922746" w:rsidRDefault="00C475F2" w:rsidP="00C475F2">
            <w:pPr>
              <w:pStyle w:val="EMEANormal"/>
              <w:rPr>
                <w:lang w:val="fi-FI"/>
              </w:rPr>
            </w:pPr>
            <w:r w:rsidRPr="00922746">
              <w:rPr>
                <w:lang w:val="fi-FI"/>
              </w:rPr>
              <w:t>Lopinavir:</w:t>
            </w:r>
          </w:p>
          <w:p w14:paraId="378A8445" w14:textId="77777777" w:rsidR="00C475F2" w:rsidRPr="00C475F2" w:rsidRDefault="00C475F2" w:rsidP="00C475F2">
            <w:pPr>
              <w:pStyle w:val="EMEANormal"/>
              <w:rPr>
                <w:lang w:val="en-GB"/>
              </w:rPr>
            </w:pPr>
            <w:r w:rsidRPr="00C475F2">
              <w:rPr>
                <w:lang w:val="en-GB"/>
              </w:rPr>
              <w:t>AUC: ↔</w:t>
            </w:r>
          </w:p>
          <w:p w14:paraId="580112FF" w14:textId="77777777" w:rsidR="00C475F2" w:rsidRPr="00C475F2" w:rsidRDefault="00C475F2" w:rsidP="00C475F2">
            <w:pPr>
              <w:pStyle w:val="EMEANormal"/>
              <w:rPr>
                <w:lang w:val="en-GB"/>
              </w:rPr>
            </w:pPr>
            <w:r w:rsidRPr="00C475F2">
              <w:rPr>
                <w:lang w:val="en-GB"/>
              </w:rPr>
              <w:t>C</w:t>
            </w:r>
            <w:r w:rsidRPr="003C4A95">
              <w:rPr>
                <w:vertAlign w:val="subscript"/>
                <w:lang w:val="en-GB"/>
              </w:rPr>
              <w:t>min</w:t>
            </w:r>
            <w:r w:rsidRPr="00C475F2">
              <w:rPr>
                <w:lang w:val="en-GB"/>
              </w:rPr>
              <w:t xml:space="preserve">: ↓ 11% </w:t>
            </w:r>
          </w:p>
          <w:p w14:paraId="3C42A8DD" w14:textId="77777777" w:rsidR="00C475F2" w:rsidRPr="00C475F2" w:rsidRDefault="00C475F2" w:rsidP="00C475F2">
            <w:pPr>
              <w:pStyle w:val="EMEANormal"/>
              <w:rPr>
                <w:lang w:val="en-GB"/>
              </w:rPr>
            </w:pPr>
            <w:r w:rsidRPr="00C475F2">
              <w:rPr>
                <w:lang w:val="en-GB"/>
              </w:rPr>
              <w:t>C</w:t>
            </w:r>
            <w:r w:rsidRPr="003C4A95">
              <w:rPr>
                <w:vertAlign w:val="subscript"/>
                <w:lang w:val="en-GB"/>
              </w:rPr>
              <w:t>max</w:t>
            </w:r>
            <w:r w:rsidRPr="00C475F2">
              <w:rPr>
                <w:lang w:val="en-GB"/>
              </w:rPr>
              <w:t xml:space="preserve">: ↔ </w:t>
            </w:r>
          </w:p>
          <w:p w14:paraId="6454F329" w14:textId="77777777" w:rsidR="00C475F2" w:rsidRPr="00C475F2" w:rsidRDefault="00C475F2" w:rsidP="00C475F2">
            <w:pPr>
              <w:pStyle w:val="EMEANormal"/>
              <w:rPr>
                <w:lang w:val="en-GB"/>
              </w:rPr>
            </w:pPr>
          </w:p>
          <w:p w14:paraId="2A0153AC" w14:textId="77777777" w:rsidR="00C475F2" w:rsidRPr="00342F7C" w:rsidRDefault="00C475F2" w:rsidP="00CB4A39">
            <w:pPr>
              <w:pStyle w:val="EMEANormal"/>
              <w:rPr>
                <w:lang w:val="en-GB"/>
              </w:rPr>
            </w:pPr>
            <w:r w:rsidRPr="00C475F2">
              <w:rPr>
                <w:lang w:val="en-GB"/>
              </w:rPr>
              <w:t>(inhibition of CYP3A enzymes)</w:t>
            </w:r>
          </w:p>
        </w:tc>
        <w:tc>
          <w:tcPr>
            <w:tcW w:w="3574" w:type="dxa"/>
            <w:gridSpan w:val="2"/>
            <w:tcBorders>
              <w:top w:val="single" w:sz="4" w:space="0" w:color="auto"/>
              <w:left w:val="single" w:sz="4" w:space="0" w:color="auto"/>
              <w:bottom w:val="single" w:sz="4" w:space="0" w:color="auto"/>
              <w:right w:val="single" w:sz="4" w:space="0" w:color="auto"/>
            </w:tcBorders>
          </w:tcPr>
          <w:p w14:paraId="0FF3B6EB" w14:textId="77777777" w:rsidR="00C475F2" w:rsidRPr="00C475F2" w:rsidRDefault="00C475F2" w:rsidP="00C475F2">
            <w:pPr>
              <w:pStyle w:val="EMEANormal"/>
              <w:rPr>
                <w:lang w:val="en-GB"/>
              </w:rPr>
            </w:pPr>
            <w:r w:rsidRPr="00C475F2">
              <w:rPr>
                <w:lang w:val="en-GB"/>
              </w:rPr>
              <w:t>Concomitant use of Kaletra with</w:t>
            </w:r>
          </w:p>
          <w:p w14:paraId="13BD0926" w14:textId="77777777" w:rsidR="00C475F2" w:rsidRPr="00342F7C" w:rsidRDefault="00C475F2" w:rsidP="00CB4A39">
            <w:pPr>
              <w:pStyle w:val="EMEANormal"/>
              <w:rPr>
                <w:lang w:val="en-GB"/>
              </w:rPr>
            </w:pPr>
            <w:r w:rsidRPr="00C475F2">
              <w:rPr>
                <w:lang w:val="en-GB"/>
              </w:rPr>
              <w:t>rilpivirine causes an increase in the plasma concentrations of rilpivirine, but no dose adjustment is required.</w:t>
            </w:r>
          </w:p>
        </w:tc>
      </w:tr>
      <w:tr w:rsidR="00D7303D" w:rsidRPr="000D086B" w14:paraId="6BD430A6"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74C95BD0" w14:textId="77777777" w:rsidR="00D7303D" w:rsidRPr="000D086B" w:rsidRDefault="00D7303D" w:rsidP="00D16035">
            <w:pPr>
              <w:pStyle w:val="EMEANormal"/>
              <w:keepNext/>
              <w:rPr>
                <w:i/>
                <w:iCs/>
                <w:szCs w:val="22"/>
                <w:lang w:val="en-GB"/>
              </w:rPr>
            </w:pPr>
            <w:r w:rsidRPr="000D086B">
              <w:rPr>
                <w:i/>
                <w:iCs/>
                <w:szCs w:val="22"/>
              </w:rPr>
              <w:t>HIV CCR5 – antagonist</w:t>
            </w:r>
          </w:p>
        </w:tc>
      </w:tr>
      <w:tr w:rsidR="00D7303D" w:rsidRPr="000D086B" w14:paraId="1C54AB4A" w14:textId="77777777" w:rsidTr="008E20B3">
        <w:tc>
          <w:tcPr>
            <w:tcW w:w="2400" w:type="dxa"/>
            <w:tcBorders>
              <w:top w:val="single" w:sz="4" w:space="0" w:color="auto"/>
              <w:left w:val="single" w:sz="4" w:space="0" w:color="auto"/>
              <w:bottom w:val="single" w:sz="4" w:space="0" w:color="auto"/>
              <w:right w:val="single" w:sz="4" w:space="0" w:color="auto"/>
            </w:tcBorders>
          </w:tcPr>
          <w:p w14:paraId="465B3455" w14:textId="77777777" w:rsidR="00D7303D" w:rsidRPr="000D086B" w:rsidRDefault="00D7303D" w:rsidP="00D16035">
            <w:pPr>
              <w:keepNext/>
              <w:rPr>
                <w:sz w:val="22"/>
                <w:szCs w:val="22"/>
              </w:rPr>
            </w:pPr>
            <w:r w:rsidRPr="000D086B">
              <w:rPr>
                <w:sz w:val="22"/>
                <w:szCs w:val="22"/>
              </w:rPr>
              <w:t>Maraviroc</w:t>
            </w:r>
          </w:p>
          <w:p w14:paraId="33F38D9A" w14:textId="77777777" w:rsidR="00D7303D" w:rsidRPr="000D086B" w:rsidRDefault="00D7303D" w:rsidP="00D16035">
            <w:pPr>
              <w:pStyle w:val="EMEANormal"/>
              <w:keepNext/>
              <w:rPr>
                <w:bCs/>
                <w:iCs/>
                <w:szCs w:val="22"/>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218C15ED" w14:textId="77777777" w:rsidR="00D7303D" w:rsidRPr="000D086B" w:rsidRDefault="00D7303D" w:rsidP="00D16035">
            <w:pPr>
              <w:pStyle w:val="EMEANormal"/>
              <w:keepNext/>
              <w:rPr>
                <w:szCs w:val="22"/>
                <w:lang w:val="en-GB"/>
              </w:rPr>
            </w:pPr>
            <w:r w:rsidRPr="000D086B">
              <w:rPr>
                <w:szCs w:val="22"/>
                <w:lang w:val="en-GB"/>
              </w:rPr>
              <w:t>Maraviroc:</w:t>
            </w:r>
          </w:p>
          <w:p w14:paraId="1631FBCB" w14:textId="77777777" w:rsidR="00D7303D" w:rsidRPr="000D086B" w:rsidRDefault="00D7303D" w:rsidP="00D16035">
            <w:pPr>
              <w:pStyle w:val="EMEANormal"/>
              <w:keepNext/>
              <w:rPr>
                <w:szCs w:val="22"/>
                <w:lang w:val="en-GB"/>
              </w:rPr>
            </w:pPr>
            <w:r w:rsidRPr="000D086B">
              <w:rPr>
                <w:szCs w:val="22"/>
                <w:lang w:val="en-GB"/>
              </w:rPr>
              <w:t xml:space="preserve">AUC: ↑ 295% </w:t>
            </w:r>
          </w:p>
          <w:p w14:paraId="1695544B" w14:textId="77777777" w:rsidR="00D7303D" w:rsidRPr="000D086B" w:rsidRDefault="00D7303D" w:rsidP="00D16035">
            <w:pPr>
              <w:pStyle w:val="EMEANormal"/>
              <w:keepNext/>
              <w:rPr>
                <w:szCs w:val="22"/>
                <w:lang w:val="en-GB"/>
              </w:rPr>
            </w:pPr>
            <w:r w:rsidRPr="000D086B">
              <w:rPr>
                <w:szCs w:val="22"/>
                <w:lang w:val="en-GB"/>
              </w:rPr>
              <w:t>C</w:t>
            </w:r>
            <w:r w:rsidRPr="000D086B">
              <w:rPr>
                <w:szCs w:val="22"/>
                <w:vertAlign w:val="subscript"/>
                <w:lang w:val="en-GB"/>
              </w:rPr>
              <w:t>max</w:t>
            </w:r>
            <w:r w:rsidRPr="000D086B">
              <w:rPr>
                <w:szCs w:val="22"/>
                <w:lang w:val="en-GB"/>
              </w:rPr>
              <w:t xml:space="preserve">: ↑ 97% </w:t>
            </w:r>
          </w:p>
          <w:p w14:paraId="79CF87E6" w14:textId="77777777" w:rsidR="00D7303D" w:rsidRPr="000D086B" w:rsidRDefault="00D7303D" w:rsidP="00D16035">
            <w:pPr>
              <w:pStyle w:val="EMEANormal"/>
              <w:keepNext/>
              <w:rPr>
                <w:szCs w:val="22"/>
                <w:lang w:val="en-GB"/>
              </w:rPr>
            </w:pPr>
            <w:r w:rsidRPr="000D086B">
              <w:rPr>
                <w:szCs w:val="22"/>
                <w:lang w:val="en-GB"/>
              </w:rPr>
              <w:t>Due to CYP3A inhibition by lopinavir/ritonavir.</w:t>
            </w:r>
          </w:p>
        </w:tc>
        <w:tc>
          <w:tcPr>
            <w:tcW w:w="3574" w:type="dxa"/>
            <w:gridSpan w:val="2"/>
            <w:tcBorders>
              <w:top w:val="single" w:sz="4" w:space="0" w:color="auto"/>
              <w:left w:val="single" w:sz="4" w:space="0" w:color="auto"/>
              <w:bottom w:val="single" w:sz="4" w:space="0" w:color="auto"/>
              <w:right w:val="single" w:sz="4" w:space="0" w:color="auto"/>
            </w:tcBorders>
          </w:tcPr>
          <w:p w14:paraId="299D8DC6" w14:textId="77777777" w:rsidR="00D7303D" w:rsidRPr="000D086B" w:rsidRDefault="00D7303D" w:rsidP="00D16035">
            <w:pPr>
              <w:keepNext/>
              <w:rPr>
                <w:sz w:val="22"/>
                <w:szCs w:val="22"/>
              </w:rPr>
            </w:pPr>
            <w:r w:rsidRPr="000D086B">
              <w:rPr>
                <w:sz w:val="22"/>
                <w:szCs w:val="22"/>
              </w:rPr>
              <w:t>The dose of maraviroc should be decreased to 150 mg twice daily during co</w:t>
            </w:r>
            <w:r w:rsidRPr="000D086B">
              <w:rPr>
                <w:sz w:val="22"/>
                <w:szCs w:val="22"/>
              </w:rPr>
              <w:noBreakHyphen/>
              <w:t xml:space="preserve">administration with Kaletra 400/100 mg twice daily.  </w:t>
            </w:r>
          </w:p>
        </w:tc>
      </w:tr>
      <w:tr w:rsidR="00D7303D" w:rsidRPr="000D086B" w14:paraId="53AD3AFA"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773BFEDC" w14:textId="77777777" w:rsidR="00D7303D" w:rsidRPr="000D086B" w:rsidRDefault="00D7303D" w:rsidP="000F64FB">
            <w:pPr>
              <w:pStyle w:val="EMEANormal"/>
              <w:keepNext/>
              <w:rPr>
                <w:i/>
                <w:szCs w:val="22"/>
                <w:lang w:val="en-GB"/>
              </w:rPr>
            </w:pPr>
            <w:r w:rsidRPr="000D086B">
              <w:rPr>
                <w:i/>
                <w:szCs w:val="22"/>
                <w:lang w:val="en-GB"/>
              </w:rPr>
              <w:t>Integrase inhibitor</w:t>
            </w:r>
          </w:p>
        </w:tc>
      </w:tr>
      <w:tr w:rsidR="00D7303D" w:rsidRPr="000D086B" w14:paraId="0048E402" w14:textId="77777777" w:rsidTr="008E20B3">
        <w:tc>
          <w:tcPr>
            <w:tcW w:w="2400" w:type="dxa"/>
            <w:tcBorders>
              <w:top w:val="single" w:sz="4" w:space="0" w:color="auto"/>
              <w:left w:val="single" w:sz="4" w:space="0" w:color="auto"/>
              <w:bottom w:val="single" w:sz="4" w:space="0" w:color="auto"/>
              <w:right w:val="single" w:sz="4" w:space="0" w:color="auto"/>
            </w:tcBorders>
          </w:tcPr>
          <w:p w14:paraId="37BC68CE" w14:textId="77777777" w:rsidR="00D7303D" w:rsidRPr="000D086B" w:rsidRDefault="00D7303D" w:rsidP="000F64FB">
            <w:pPr>
              <w:pStyle w:val="EMEANormal"/>
              <w:keepNext/>
              <w:rPr>
                <w:bCs/>
                <w:iCs/>
                <w:szCs w:val="22"/>
                <w:lang w:val="en-GB"/>
              </w:rPr>
            </w:pPr>
            <w:r w:rsidRPr="000D086B">
              <w:rPr>
                <w:iCs/>
                <w:szCs w:val="22"/>
                <w:lang w:val="en-GB"/>
              </w:rPr>
              <w:t>Raltegravir</w:t>
            </w:r>
          </w:p>
        </w:tc>
        <w:tc>
          <w:tcPr>
            <w:tcW w:w="3240" w:type="dxa"/>
            <w:gridSpan w:val="2"/>
            <w:tcBorders>
              <w:top w:val="single" w:sz="4" w:space="0" w:color="auto"/>
              <w:left w:val="single" w:sz="4" w:space="0" w:color="auto"/>
              <w:bottom w:val="single" w:sz="4" w:space="0" w:color="auto"/>
              <w:right w:val="single" w:sz="4" w:space="0" w:color="auto"/>
            </w:tcBorders>
          </w:tcPr>
          <w:p w14:paraId="520D7476" w14:textId="77777777" w:rsidR="00D7303D" w:rsidRPr="000D086B" w:rsidRDefault="00D7303D" w:rsidP="000F64FB">
            <w:pPr>
              <w:pStyle w:val="EMEANormal"/>
              <w:keepNext/>
              <w:rPr>
                <w:szCs w:val="22"/>
                <w:lang w:val="en-GB"/>
              </w:rPr>
            </w:pPr>
            <w:r w:rsidRPr="000D086B">
              <w:rPr>
                <w:szCs w:val="22"/>
                <w:lang w:val="en-GB"/>
              </w:rPr>
              <w:t xml:space="preserve">Raltegravir: </w:t>
            </w:r>
          </w:p>
          <w:p w14:paraId="6939B399" w14:textId="77777777" w:rsidR="00D7303D" w:rsidRPr="000D086B" w:rsidRDefault="00D7303D" w:rsidP="000F64FB">
            <w:pPr>
              <w:pStyle w:val="EMEANormal"/>
              <w:keepNext/>
              <w:rPr>
                <w:szCs w:val="22"/>
                <w:lang w:val="en-GB"/>
              </w:rPr>
            </w:pPr>
            <w:r w:rsidRPr="000D086B">
              <w:rPr>
                <w:szCs w:val="22"/>
                <w:lang w:val="en-GB"/>
              </w:rPr>
              <w:t>AUC: ↔</w:t>
            </w:r>
          </w:p>
          <w:p w14:paraId="65ABE187" w14:textId="77777777" w:rsidR="00D7303D" w:rsidRPr="000D086B" w:rsidRDefault="00D7303D" w:rsidP="000F64FB">
            <w:pPr>
              <w:pStyle w:val="EMEANormal"/>
              <w:keepNext/>
              <w:rPr>
                <w:szCs w:val="22"/>
                <w:lang w:val="en-GB"/>
              </w:rPr>
            </w:pPr>
            <w:r w:rsidRPr="000D086B">
              <w:rPr>
                <w:szCs w:val="22"/>
                <w:lang w:val="en-GB"/>
              </w:rPr>
              <w:t>C</w:t>
            </w:r>
            <w:r w:rsidRPr="000D086B">
              <w:rPr>
                <w:szCs w:val="22"/>
                <w:vertAlign w:val="subscript"/>
                <w:lang w:val="en-GB"/>
              </w:rPr>
              <w:t>max</w:t>
            </w:r>
            <w:r w:rsidRPr="000D086B">
              <w:rPr>
                <w:szCs w:val="22"/>
                <w:lang w:val="en-GB"/>
              </w:rPr>
              <w:t>: ↔</w:t>
            </w:r>
          </w:p>
          <w:p w14:paraId="0DF7D5EE" w14:textId="77777777" w:rsidR="00D7303D" w:rsidRPr="000D086B" w:rsidRDefault="00D7303D" w:rsidP="000F64FB">
            <w:pPr>
              <w:pStyle w:val="EMEANormal"/>
              <w:keepNext/>
              <w:rPr>
                <w:szCs w:val="22"/>
                <w:lang w:val="en-GB"/>
              </w:rPr>
            </w:pPr>
            <w:r w:rsidRPr="000D086B">
              <w:rPr>
                <w:szCs w:val="22"/>
                <w:lang w:val="en-GB"/>
              </w:rPr>
              <w:t>C</w:t>
            </w:r>
            <w:r w:rsidRPr="000D086B">
              <w:rPr>
                <w:szCs w:val="22"/>
                <w:vertAlign w:val="subscript"/>
                <w:lang w:val="en-GB"/>
              </w:rPr>
              <w:t>12</w:t>
            </w:r>
            <w:r w:rsidRPr="000D086B">
              <w:rPr>
                <w:szCs w:val="22"/>
                <w:lang w:val="en-GB"/>
              </w:rPr>
              <w:t>: ↓ 30%</w:t>
            </w:r>
          </w:p>
          <w:p w14:paraId="77D6D5C9" w14:textId="77777777" w:rsidR="00D7303D" w:rsidRPr="000D086B" w:rsidRDefault="00D7303D" w:rsidP="000F64FB">
            <w:pPr>
              <w:pStyle w:val="EMEANormal"/>
              <w:keepNext/>
              <w:rPr>
                <w:szCs w:val="22"/>
                <w:lang w:val="en-GB"/>
              </w:rPr>
            </w:pPr>
            <w:r w:rsidRPr="000D086B">
              <w:rPr>
                <w:szCs w:val="22"/>
                <w:lang w:val="en-GB"/>
              </w:rPr>
              <w:t>Lopinavir: ↔</w:t>
            </w:r>
          </w:p>
        </w:tc>
        <w:tc>
          <w:tcPr>
            <w:tcW w:w="3574" w:type="dxa"/>
            <w:gridSpan w:val="2"/>
            <w:tcBorders>
              <w:top w:val="single" w:sz="4" w:space="0" w:color="auto"/>
              <w:left w:val="single" w:sz="4" w:space="0" w:color="auto"/>
              <w:bottom w:val="single" w:sz="4" w:space="0" w:color="auto"/>
              <w:right w:val="single" w:sz="4" w:space="0" w:color="auto"/>
            </w:tcBorders>
          </w:tcPr>
          <w:p w14:paraId="07D4876B" w14:textId="77777777" w:rsidR="00D7303D" w:rsidRPr="000D086B" w:rsidRDefault="00D7303D" w:rsidP="000F64FB">
            <w:pPr>
              <w:pStyle w:val="EMEANormal"/>
              <w:keepNext/>
              <w:spacing w:after="240"/>
              <w:rPr>
                <w:szCs w:val="22"/>
                <w:lang w:val="en-GB"/>
              </w:rPr>
            </w:pPr>
            <w:r w:rsidRPr="000D086B">
              <w:rPr>
                <w:szCs w:val="22"/>
                <w:lang w:val="en-GB"/>
              </w:rPr>
              <w:t xml:space="preserve">No dose adjustment </w:t>
            </w:r>
            <w:r w:rsidRPr="000D086B">
              <w:rPr>
                <w:bCs/>
                <w:iCs/>
                <w:szCs w:val="22"/>
                <w:lang w:val="en-GB"/>
              </w:rPr>
              <w:t>necessary</w:t>
            </w:r>
          </w:p>
          <w:p w14:paraId="7F5BD009" w14:textId="77777777" w:rsidR="00D7303D" w:rsidRPr="000D086B" w:rsidRDefault="00D7303D" w:rsidP="000F64FB">
            <w:pPr>
              <w:pStyle w:val="EMEANormal"/>
              <w:keepNext/>
              <w:rPr>
                <w:szCs w:val="22"/>
                <w:lang w:val="en-GB"/>
              </w:rPr>
            </w:pPr>
          </w:p>
        </w:tc>
      </w:tr>
      <w:tr w:rsidR="00D7303D" w:rsidRPr="00342F7C" w14:paraId="54855652"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075FC239" w14:textId="77777777" w:rsidR="00D7303D" w:rsidRPr="00342F7C" w:rsidRDefault="00D7303D" w:rsidP="000B2D5F">
            <w:pPr>
              <w:pStyle w:val="EMEANormal"/>
              <w:rPr>
                <w:i/>
                <w:iCs/>
                <w:lang w:val="en-GB"/>
              </w:rPr>
            </w:pPr>
            <w:r w:rsidRPr="00342F7C">
              <w:rPr>
                <w:i/>
                <w:iCs/>
                <w:lang w:val="en-GB"/>
              </w:rPr>
              <w:t>Co-administration with other HIV protease inhibitors (PIs)</w:t>
            </w:r>
          </w:p>
          <w:p w14:paraId="7FAABF99" w14:textId="77777777" w:rsidR="00D7303D" w:rsidRPr="00342F7C" w:rsidRDefault="00D7303D" w:rsidP="000B2D5F">
            <w:pPr>
              <w:pStyle w:val="EMEANormal"/>
              <w:rPr>
                <w:i/>
                <w:iCs/>
                <w:lang w:val="en-GB"/>
              </w:rPr>
            </w:pPr>
            <w:r w:rsidRPr="00342F7C">
              <w:rPr>
                <w:color w:val="000000"/>
                <w:lang w:val="en-GB" w:eastAsia="en-GB"/>
              </w:rPr>
              <w:t>According to current treatment guidelines, dual therapy with protease inhibitors is generally not recommended.</w:t>
            </w:r>
          </w:p>
        </w:tc>
      </w:tr>
      <w:tr w:rsidR="00D7303D" w:rsidRPr="00342F7C" w14:paraId="4416769D" w14:textId="77777777" w:rsidTr="008E20B3">
        <w:trPr>
          <w:trHeight w:val="527"/>
        </w:trPr>
        <w:tc>
          <w:tcPr>
            <w:tcW w:w="2400" w:type="dxa"/>
            <w:tcBorders>
              <w:top w:val="single" w:sz="4" w:space="0" w:color="auto"/>
              <w:left w:val="single" w:sz="4" w:space="0" w:color="auto"/>
              <w:bottom w:val="single" w:sz="4" w:space="0" w:color="auto"/>
              <w:right w:val="single" w:sz="4" w:space="0" w:color="auto"/>
            </w:tcBorders>
          </w:tcPr>
          <w:p w14:paraId="1A4D5B30" w14:textId="77777777" w:rsidR="00D7303D" w:rsidRPr="00342F7C" w:rsidRDefault="00D7303D" w:rsidP="000B2D5F">
            <w:pPr>
              <w:pStyle w:val="EMEANormal"/>
              <w:rPr>
                <w:lang w:val="en-GB"/>
              </w:rPr>
            </w:pPr>
            <w:r w:rsidRPr="00342F7C">
              <w:rPr>
                <w:lang w:val="en-GB"/>
              </w:rPr>
              <w:t xml:space="preserve">Fosamprenavir/ ritonavir (700/100 mg BID) </w:t>
            </w:r>
          </w:p>
          <w:p w14:paraId="24AFFA49" w14:textId="77777777" w:rsidR="00D7303D" w:rsidRPr="00342F7C" w:rsidRDefault="00D7303D" w:rsidP="000B2D5F">
            <w:pPr>
              <w:pStyle w:val="EMEANormal"/>
              <w:rPr>
                <w:lang w:val="en-GB"/>
              </w:rPr>
            </w:pPr>
          </w:p>
          <w:p w14:paraId="0E217EB1" w14:textId="77777777" w:rsidR="00D7303D" w:rsidRPr="00342F7C" w:rsidRDefault="00D7303D" w:rsidP="000B2D5F">
            <w:pPr>
              <w:pStyle w:val="EMEANormal"/>
              <w:rPr>
                <w:bCs/>
                <w:iCs/>
                <w:lang w:val="en-GB"/>
              </w:rPr>
            </w:pPr>
            <w:r w:rsidRPr="00342F7C">
              <w:rPr>
                <w:bCs/>
                <w:iCs/>
                <w:lang w:val="en-GB"/>
              </w:rPr>
              <w:t>(L</w:t>
            </w:r>
            <w:r w:rsidRPr="00342F7C">
              <w:rPr>
                <w:lang w:val="en-GB"/>
              </w:rPr>
              <w:t xml:space="preserve">opinavir/ritonavir </w:t>
            </w:r>
            <w:r w:rsidRPr="00342F7C">
              <w:rPr>
                <w:bCs/>
                <w:iCs/>
                <w:lang w:val="en-GB"/>
              </w:rPr>
              <w:t>400/100 mg BID)</w:t>
            </w:r>
          </w:p>
          <w:p w14:paraId="3605FA4F" w14:textId="77777777" w:rsidR="00D7303D" w:rsidRPr="00342F7C" w:rsidRDefault="00D7303D" w:rsidP="000B2D5F">
            <w:pPr>
              <w:pStyle w:val="EMEANormal"/>
              <w:rPr>
                <w:lang w:val="en-GB"/>
              </w:rPr>
            </w:pPr>
          </w:p>
          <w:p w14:paraId="1E607068" w14:textId="77777777" w:rsidR="00D7303D" w:rsidRPr="00342F7C" w:rsidRDefault="00D7303D" w:rsidP="000B2D5F">
            <w:pPr>
              <w:pStyle w:val="EMEANormal"/>
              <w:rPr>
                <w:lang w:val="en-GB"/>
              </w:rPr>
            </w:pPr>
            <w:r w:rsidRPr="00342F7C">
              <w:rPr>
                <w:lang w:val="en-GB"/>
              </w:rPr>
              <w:t xml:space="preserve">or </w:t>
            </w:r>
          </w:p>
          <w:p w14:paraId="74C51919" w14:textId="77777777" w:rsidR="00D7303D" w:rsidRPr="00342F7C" w:rsidRDefault="00D7303D" w:rsidP="000B2D5F">
            <w:pPr>
              <w:pStyle w:val="EMEANormal"/>
              <w:rPr>
                <w:lang w:val="en-GB"/>
              </w:rPr>
            </w:pPr>
          </w:p>
          <w:p w14:paraId="4860D3AF" w14:textId="77777777" w:rsidR="00D7303D" w:rsidRPr="00342F7C" w:rsidRDefault="00D7303D" w:rsidP="000B2D5F">
            <w:pPr>
              <w:pStyle w:val="EMEANormal"/>
              <w:rPr>
                <w:lang w:val="en-GB"/>
              </w:rPr>
            </w:pPr>
            <w:r w:rsidRPr="00342F7C">
              <w:rPr>
                <w:lang w:val="en-GB"/>
              </w:rPr>
              <w:t>Fosamprenavir (1400 mg BID)</w:t>
            </w:r>
          </w:p>
          <w:p w14:paraId="45A5C74D" w14:textId="77777777" w:rsidR="00D7303D" w:rsidRPr="00342F7C" w:rsidRDefault="00D7303D" w:rsidP="000B2D5F">
            <w:pPr>
              <w:pStyle w:val="EMEANormal"/>
              <w:rPr>
                <w:lang w:val="en-GB"/>
              </w:rPr>
            </w:pPr>
          </w:p>
          <w:p w14:paraId="03DBAFF1" w14:textId="77777777" w:rsidR="00D7303D" w:rsidRPr="00342F7C" w:rsidRDefault="00D7303D" w:rsidP="000B2D5F">
            <w:pPr>
              <w:pStyle w:val="EMEANormal"/>
              <w:rPr>
                <w:lang w:val="en-GB"/>
              </w:rPr>
            </w:pPr>
            <w:r w:rsidRPr="00342F7C">
              <w:rPr>
                <w:bCs/>
                <w:iCs/>
                <w:lang w:val="en-GB"/>
              </w:rPr>
              <w:t>(</w:t>
            </w:r>
            <w:r w:rsidRPr="00342F7C">
              <w:rPr>
                <w:lang w:val="en-GB"/>
              </w:rPr>
              <w:t xml:space="preserve">Lopinavir/ritonavir </w:t>
            </w:r>
            <w:r w:rsidRPr="00342F7C">
              <w:rPr>
                <w:bCs/>
                <w:iCs/>
                <w:lang w:val="en-GB"/>
              </w:rPr>
              <w:t>533/133 mg BID)</w:t>
            </w:r>
          </w:p>
          <w:p w14:paraId="1DF9514C" w14:textId="77777777" w:rsidR="00D7303D" w:rsidRPr="00342F7C" w:rsidRDefault="00D7303D" w:rsidP="000B2D5F">
            <w:pPr>
              <w:pStyle w:val="EMEANormal"/>
              <w:rPr>
                <w:i/>
                <w:iCs/>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00B0928D" w14:textId="77777777" w:rsidR="00D7303D" w:rsidRPr="00342F7C" w:rsidRDefault="00D7303D" w:rsidP="000B2D5F">
            <w:pPr>
              <w:pStyle w:val="EMEANormal"/>
              <w:rPr>
                <w:lang w:val="en-GB"/>
              </w:rPr>
            </w:pPr>
            <w:r w:rsidRPr="00342F7C">
              <w:rPr>
                <w:lang w:val="en-GB"/>
              </w:rPr>
              <w:t>Fosamprenavir:</w:t>
            </w:r>
          </w:p>
          <w:p w14:paraId="10F2D8B5" w14:textId="77777777" w:rsidR="00D7303D" w:rsidRPr="00342F7C" w:rsidRDefault="00D7303D" w:rsidP="000B2D5F">
            <w:pPr>
              <w:pStyle w:val="EMEANormal"/>
              <w:rPr>
                <w:lang w:val="en-GB"/>
              </w:rPr>
            </w:pPr>
            <w:r w:rsidRPr="00342F7C">
              <w:rPr>
                <w:lang w:val="en-GB"/>
              </w:rPr>
              <w:t xml:space="preserve">Amprenavir concentrations are significantly reduced. </w:t>
            </w:r>
          </w:p>
          <w:p w14:paraId="4F70550C" w14:textId="77777777" w:rsidR="00D7303D" w:rsidRPr="00342F7C" w:rsidRDefault="00D7303D" w:rsidP="000B2D5F">
            <w:pPr>
              <w:pStyle w:val="EMEANormal"/>
              <w:rPr>
                <w:lang w:val="en-GB"/>
              </w:rPr>
            </w:pPr>
          </w:p>
          <w:p w14:paraId="237B82AB" w14:textId="77777777" w:rsidR="00D7303D" w:rsidRPr="00342F7C" w:rsidRDefault="00D7303D" w:rsidP="000B2D5F">
            <w:pPr>
              <w:pStyle w:val="EMEANormal"/>
              <w:rPr>
                <w:lang w:val="en-GB"/>
              </w:rPr>
            </w:pPr>
          </w:p>
          <w:p w14:paraId="5450990F" w14:textId="77777777" w:rsidR="00D7303D" w:rsidRPr="00342F7C" w:rsidRDefault="00D7303D" w:rsidP="000B2D5F">
            <w:pPr>
              <w:pStyle w:val="EMEANormal"/>
              <w:jc w:val="right"/>
              <w:rPr>
                <w:lang w:val="en-GB"/>
              </w:rPr>
            </w:pPr>
          </w:p>
        </w:tc>
        <w:tc>
          <w:tcPr>
            <w:tcW w:w="3574" w:type="dxa"/>
            <w:gridSpan w:val="2"/>
            <w:tcBorders>
              <w:top w:val="single" w:sz="4" w:space="0" w:color="auto"/>
              <w:left w:val="single" w:sz="4" w:space="0" w:color="auto"/>
              <w:bottom w:val="single" w:sz="4" w:space="0" w:color="auto"/>
              <w:right w:val="single" w:sz="4" w:space="0" w:color="auto"/>
            </w:tcBorders>
          </w:tcPr>
          <w:p w14:paraId="330CC478" w14:textId="77777777" w:rsidR="00D7303D" w:rsidRPr="00342F7C" w:rsidRDefault="00D7303D" w:rsidP="000B2D5F">
            <w:pPr>
              <w:pStyle w:val="EMEANormal"/>
              <w:rPr>
                <w:lang w:val="en-GB"/>
              </w:rPr>
            </w:pPr>
            <w:r w:rsidRPr="00342F7C">
              <w:rPr>
                <w:lang w:val="en-GB"/>
              </w:rPr>
              <w:t xml:space="preserve">Co-administration of increased doses of fosamprenavir (1400 mg BID) with </w:t>
            </w:r>
            <w:r w:rsidR="00D33C9D">
              <w:rPr>
                <w:lang w:val="en-GB"/>
              </w:rPr>
              <w:t>Kaletra</w:t>
            </w:r>
            <w:r w:rsidRPr="00342F7C">
              <w:rPr>
                <w:lang w:val="en-GB"/>
              </w:rPr>
              <w:t xml:space="preserve"> (533/133 mg BID) to protease inhibitor</w:t>
            </w:r>
            <w:r w:rsidRPr="00342F7C">
              <w:rPr>
                <w:lang w:val="en-GB"/>
              </w:rPr>
              <w:noBreakHyphen/>
              <w:t xml:space="preserve">experienced patients resulted in a higher incidence of gastrointestinal adverse events and elevations in triglycerides with the combination regimen without increases in virological efficacy, when compared with standard doses of fosamprenavir/ritonavir.  Concomitant administration of these medicinal products is not recommended. </w:t>
            </w:r>
          </w:p>
          <w:p w14:paraId="0BD9F847" w14:textId="77777777" w:rsidR="00D7303D" w:rsidRPr="00342F7C" w:rsidRDefault="00D7303D" w:rsidP="00A54853">
            <w:pPr>
              <w:pStyle w:val="EMEANormal"/>
              <w:rPr>
                <w:lang w:val="en-GB"/>
              </w:rPr>
            </w:pPr>
            <w:r w:rsidRPr="00342F7C">
              <w:rPr>
                <w:lang w:val="en-GB"/>
              </w:rPr>
              <w:t>Kaletra must not be administered once daily in combination with amprenavir.</w:t>
            </w:r>
          </w:p>
        </w:tc>
      </w:tr>
      <w:tr w:rsidR="00D7303D" w:rsidRPr="00342F7C" w14:paraId="0B508F62" w14:textId="77777777" w:rsidTr="008E20B3">
        <w:tc>
          <w:tcPr>
            <w:tcW w:w="2400" w:type="dxa"/>
            <w:tcBorders>
              <w:top w:val="single" w:sz="4" w:space="0" w:color="auto"/>
              <w:left w:val="single" w:sz="4" w:space="0" w:color="auto"/>
              <w:bottom w:val="single" w:sz="4" w:space="0" w:color="auto"/>
              <w:right w:val="single" w:sz="4" w:space="0" w:color="auto"/>
            </w:tcBorders>
          </w:tcPr>
          <w:p w14:paraId="2CD12F11" w14:textId="77777777" w:rsidR="00D7303D" w:rsidRPr="00342F7C" w:rsidRDefault="00D7303D" w:rsidP="000B2D5F">
            <w:pPr>
              <w:pStyle w:val="EMEANormal"/>
              <w:rPr>
                <w:lang w:val="en-GB"/>
              </w:rPr>
            </w:pPr>
            <w:r w:rsidRPr="00342F7C">
              <w:rPr>
                <w:lang w:val="en-GB"/>
              </w:rPr>
              <w:t>Indinavir, 600 mg BID</w:t>
            </w:r>
          </w:p>
          <w:p w14:paraId="70076455" w14:textId="77777777" w:rsidR="00D7303D" w:rsidRPr="00342F7C" w:rsidRDefault="00D7303D" w:rsidP="000B2D5F">
            <w:pPr>
              <w:pStyle w:val="EMEANormal"/>
              <w:rPr>
                <w:lang w:val="en-GB"/>
              </w:rPr>
            </w:pPr>
          </w:p>
          <w:p w14:paraId="66A103D1" w14:textId="77777777" w:rsidR="00D7303D" w:rsidRPr="00342F7C" w:rsidRDefault="00D7303D" w:rsidP="000B2D5F">
            <w:pPr>
              <w:pStyle w:val="EMEANormal"/>
              <w:rPr>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4A1C5B57" w14:textId="77777777" w:rsidR="00D7303D" w:rsidRPr="00342F7C" w:rsidRDefault="00D7303D" w:rsidP="000B2D5F">
            <w:pPr>
              <w:pStyle w:val="EMEANormal"/>
              <w:rPr>
                <w:lang w:val="en-GB"/>
              </w:rPr>
            </w:pPr>
            <w:r w:rsidRPr="00342F7C">
              <w:rPr>
                <w:lang w:val="en-GB"/>
              </w:rPr>
              <w:t xml:space="preserve">Indinavir: </w:t>
            </w:r>
          </w:p>
          <w:p w14:paraId="3CE90075" w14:textId="77777777" w:rsidR="00D7303D" w:rsidRPr="00342F7C" w:rsidRDefault="00D7303D" w:rsidP="000B2D5F">
            <w:pPr>
              <w:pStyle w:val="EMEANormal"/>
              <w:rPr>
                <w:lang w:val="en-GB"/>
              </w:rPr>
            </w:pPr>
            <w:r w:rsidRPr="00342F7C">
              <w:rPr>
                <w:lang w:val="en-GB"/>
              </w:rPr>
              <w:t>AUC: ↔</w:t>
            </w:r>
          </w:p>
          <w:p w14:paraId="51C358E7" w14:textId="77777777" w:rsidR="00D7303D" w:rsidRPr="00342F7C" w:rsidRDefault="00D7303D" w:rsidP="000B2D5F">
            <w:pPr>
              <w:pStyle w:val="EMEANormal"/>
              <w:rPr>
                <w:lang w:val="en-GB"/>
              </w:rPr>
            </w:pPr>
            <w:r w:rsidRPr="00342F7C">
              <w:rPr>
                <w:lang w:val="en-GB"/>
              </w:rPr>
              <w:t>C</w:t>
            </w:r>
            <w:r w:rsidRPr="00342F7C">
              <w:rPr>
                <w:vertAlign w:val="subscript"/>
                <w:lang w:val="en-GB"/>
              </w:rPr>
              <w:t>min</w:t>
            </w:r>
            <w:r w:rsidRPr="00342F7C">
              <w:rPr>
                <w:lang w:val="en-GB"/>
              </w:rPr>
              <w:t>: ↑ 3.5-fold</w:t>
            </w:r>
          </w:p>
          <w:p w14:paraId="4E366BEF" w14:textId="77777777" w:rsidR="00D7303D" w:rsidRPr="00342F7C" w:rsidRDefault="00D7303D" w:rsidP="000B2D5F">
            <w:pPr>
              <w:pStyle w:val="EMEANormal"/>
              <w:rPr>
                <w:lang w:val="en-GB"/>
              </w:rPr>
            </w:pPr>
            <w:r w:rsidRPr="00342F7C">
              <w:rPr>
                <w:lang w:val="en-GB"/>
              </w:rPr>
              <w:t>C</w:t>
            </w:r>
            <w:r w:rsidRPr="00342F7C">
              <w:rPr>
                <w:vertAlign w:val="subscript"/>
                <w:lang w:val="en-GB"/>
              </w:rPr>
              <w:t>max</w:t>
            </w:r>
            <w:r w:rsidRPr="00342F7C">
              <w:rPr>
                <w:lang w:val="en-GB"/>
              </w:rPr>
              <w:t>: ↓</w:t>
            </w:r>
          </w:p>
          <w:p w14:paraId="18D79DBF" w14:textId="77777777" w:rsidR="00D7303D" w:rsidRPr="00342F7C" w:rsidRDefault="00D7303D" w:rsidP="000B2D5F">
            <w:pPr>
              <w:pStyle w:val="EMEANormal"/>
              <w:rPr>
                <w:lang w:val="en-GB"/>
              </w:rPr>
            </w:pPr>
            <w:r w:rsidRPr="00342F7C">
              <w:rPr>
                <w:lang w:val="en-GB"/>
              </w:rPr>
              <w:t>(relative to indinavir 800 mg TID alone)</w:t>
            </w:r>
          </w:p>
          <w:p w14:paraId="22CB6DC6" w14:textId="77777777" w:rsidR="00D7303D" w:rsidRPr="00342F7C" w:rsidRDefault="00D7303D" w:rsidP="000B2D5F">
            <w:pPr>
              <w:pStyle w:val="EMEANormal"/>
              <w:rPr>
                <w:szCs w:val="22"/>
                <w:lang w:val="en-GB"/>
              </w:rPr>
            </w:pPr>
            <w:r w:rsidRPr="00342F7C">
              <w:rPr>
                <w:lang w:val="en-GB"/>
              </w:rPr>
              <w:t xml:space="preserve">Lopinavir: </w:t>
            </w:r>
            <w:r w:rsidRPr="00342F7C">
              <w:rPr>
                <w:szCs w:val="22"/>
                <w:lang w:val="en-GB"/>
              </w:rPr>
              <w:t>↔</w:t>
            </w:r>
          </w:p>
          <w:p w14:paraId="713F000C" w14:textId="77777777" w:rsidR="00D7303D" w:rsidRPr="00342F7C" w:rsidRDefault="00D7303D" w:rsidP="000B2D5F">
            <w:pPr>
              <w:pStyle w:val="EMEANormal"/>
              <w:rPr>
                <w:lang w:val="en-GB"/>
              </w:rPr>
            </w:pPr>
            <w:r w:rsidRPr="00342F7C">
              <w:rPr>
                <w:szCs w:val="22"/>
                <w:lang w:val="en-GB"/>
              </w:rPr>
              <w:t>(relative to historical comparison)</w:t>
            </w:r>
          </w:p>
        </w:tc>
        <w:tc>
          <w:tcPr>
            <w:tcW w:w="3574" w:type="dxa"/>
            <w:gridSpan w:val="2"/>
            <w:tcBorders>
              <w:top w:val="single" w:sz="4" w:space="0" w:color="auto"/>
              <w:left w:val="single" w:sz="4" w:space="0" w:color="auto"/>
              <w:bottom w:val="single" w:sz="4" w:space="0" w:color="auto"/>
              <w:right w:val="single" w:sz="4" w:space="0" w:color="auto"/>
            </w:tcBorders>
          </w:tcPr>
          <w:p w14:paraId="18F1B244" w14:textId="77777777" w:rsidR="00D7303D" w:rsidRPr="00342F7C" w:rsidRDefault="00D7303D" w:rsidP="000B2D5F">
            <w:pPr>
              <w:pStyle w:val="EMEANormal"/>
              <w:rPr>
                <w:lang w:val="en-GB"/>
              </w:rPr>
            </w:pPr>
            <w:r w:rsidRPr="00342F7C">
              <w:rPr>
                <w:lang w:val="en-GB"/>
              </w:rPr>
              <w:t>The appropriate doses for this combination, with respect to efficacy and safety, have not been established.</w:t>
            </w:r>
          </w:p>
        </w:tc>
      </w:tr>
      <w:tr w:rsidR="00D7303D" w:rsidRPr="00342F7C" w14:paraId="57018C18" w14:textId="77777777" w:rsidTr="008E20B3">
        <w:tc>
          <w:tcPr>
            <w:tcW w:w="2400" w:type="dxa"/>
            <w:tcBorders>
              <w:top w:val="single" w:sz="4" w:space="0" w:color="auto"/>
              <w:left w:val="single" w:sz="4" w:space="0" w:color="auto"/>
              <w:bottom w:val="single" w:sz="4" w:space="0" w:color="auto"/>
              <w:right w:val="single" w:sz="4" w:space="0" w:color="auto"/>
            </w:tcBorders>
          </w:tcPr>
          <w:p w14:paraId="2C994A51" w14:textId="77777777" w:rsidR="00D7303D" w:rsidRPr="00342F7C" w:rsidRDefault="00D7303D" w:rsidP="00E24083">
            <w:pPr>
              <w:pStyle w:val="NormalWeb"/>
              <w:spacing w:before="0" w:beforeAutospacing="0" w:after="0" w:afterAutospacing="0"/>
              <w:rPr>
                <w:rFonts w:ascii="Times New Roman" w:hAnsi="Times New Roman" w:cs="Times New Roman" w:hint="default"/>
                <w:sz w:val="22"/>
                <w:szCs w:val="20"/>
                <w:lang w:val="en-GB"/>
              </w:rPr>
            </w:pPr>
            <w:r w:rsidRPr="00342F7C">
              <w:rPr>
                <w:rFonts w:ascii="Times New Roman" w:hAnsi="Times New Roman" w:cs="Times New Roman" w:hint="default"/>
                <w:sz w:val="22"/>
                <w:szCs w:val="20"/>
                <w:lang w:val="en-GB"/>
              </w:rPr>
              <w:t xml:space="preserve">Saquinavir </w:t>
            </w:r>
          </w:p>
          <w:p w14:paraId="0FC4C33F" w14:textId="77777777" w:rsidR="00D7303D" w:rsidRPr="00342F7C" w:rsidRDefault="00D7303D" w:rsidP="00E24083">
            <w:pPr>
              <w:pStyle w:val="NormalWeb"/>
              <w:spacing w:before="0" w:beforeAutospacing="0" w:after="0" w:afterAutospacing="0"/>
              <w:rPr>
                <w:rFonts w:ascii="Times New Roman" w:hAnsi="Times New Roman" w:cs="Times New Roman" w:hint="default"/>
                <w:sz w:val="22"/>
                <w:lang w:val="en-GB"/>
              </w:rPr>
            </w:pPr>
            <w:r w:rsidRPr="00342F7C">
              <w:rPr>
                <w:rFonts w:ascii="Times New Roman" w:hAnsi="Times New Roman" w:cs="Times New Roman" w:hint="default"/>
                <w:sz w:val="22"/>
                <w:szCs w:val="20"/>
                <w:lang w:val="en-GB"/>
              </w:rPr>
              <w:t>1000 mg BID</w:t>
            </w:r>
          </w:p>
        </w:tc>
        <w:tc>
          <w:tcPr>
            <w:tcW w:w="3240" w:type="dxa"/>
            <w:gridSpan w:val="2"/>
            <w:tcBorders>
              <w:top w:val="single" w:sz="4" w:space="0" w:color="auto"/>
              <w:left w:val="single" w:sz="4" w:space="0" w:color="auto"/>
              <w:bottom w:val="single" w:sz="4" w:space="0" w:color="auto"/>
              <w:right w:val="single" w:sz="4" w:space="0" w:color="auto"/>
            </w:tcBorders>
          </w:tcPr>
          <w:p w14:paraId="0A82F5BF" w14:textId="77777777" w:rsidR="00D7303D" w:rsidRPr="00342F7C" w:rsidRDefault="00D7303D" w:rsidP="000B2D5F">
            <w:pPr>
              <w:pStyle w:val="EMEANormal"/>
              <w:rPr>
                <w:lang w:val="en-GB"/>
              </w:rPr>
            </w:pPr>
            <w:r w:rsidRPr="00342F7C">
              <w:rPr>
                <w:szCs w:val="22"/>
                <w:lang w:val="en-GB"/>
              </w:rPr>
              <w:t xml:space="preserve">Saquinavir:  </w:t>
            </w:r>
            <w:r w:rsidRPr="00342F7C">
              <w:rPr>
                <w:lang w:val="en-GB"/>
              </w:rPr>
              <w:t xml:space="preserve">↔ </w:t>
            </w:r>
          </w:p>
        </w:tc>
        <w:tc>
          <w:tcPr>
            <w:tcW w:w="3574" w:type="dxa"/>
            <w:gridSpan w:val="2"/>
            <w:tcBorders>
              <w:top w:val="single" w:sz="4" w:space="0" w:color="auto"/>
              <w:left w:val="single" w:sz="4" w:space="0" w:color="auto"/>
              <w:bottom w:val="single" w:sz="4" w:space="0" w:color="auto"/>
              <w:right w:val="single" w:sz="4" w:space="0" w:color="auto"/>
            </w:tcBorders>
          </w:tcPr>
          <w:p w14:paraId="5D1A5A28" w14:textId="77777777" w:rsidR="00D7303D" w:rsidRPr="00342F7C" w:rsidRDefault="00D7303D" w:rsidP="000B2D5F">
            <w:pPr>
              <w:pStyle w:val="NormalWeb"/>
              <w:rPr>
                <w:rFonts w:ascii="Times New Roman" w:hAnsi="Times New Roman" w:cs="Times New Roman" w:hint="default"/>
                <w:sz w:val="22"/>
                <w:lang w:val="en-GB"/>
              </w:rPr>
            </w:pPr>
            <w:r w:rsidRPr="00342F7C">
              <w:rPr>
                <w:rFonts w:ascii="Times New Roman" w:hAnsi="Times New Roman" w:cs="Times New Roman" w:hint="default"/>
                <w:sz w:val="22"/>
                <w:lang w:val="en-GB"/>
              </w:rPr>
              <w:t>No dose adjustment necessary.</w:t>
            </w:r>
          </w:p>
        </w:tc>
      </w:tr>
      <w:tr w:rsidR="003B5E4E" w:rsidRPr="00342F7C" w14:paraId="3F229785" w14:textId="77777777" w:rsidTr="008E20B3">
        <w:tc>
          <w:tcPr>
            <w:tcW w:w="2400" w:type="dxa"/>
            <w:tcBorders>
              <w:top w:val="single" w:sz="4" w:space="0" w:color="auto"/>
              <w:left w:val="single" w:sz="4" w:space="0" w:color="auto"/>
              <w:bottom w:val="single" w:sz="4" w:space="0" w:color="auto"/>
              <w:right w:val="single" w:sz="4" w:space="0" w:color="auto"/>
            </w:tcBorders>
          </w:tcPr>
          <w:p w14:paraId="71684D35" w14:textId="77777777" w:rsidR="003B5E4E" w:rsidRPr="00342F7C" w:rsidRDefault="003B5E4E" w:rsidP="0011493C">
            <w:pPr>
              <w:pStyle w:val="NormalWeb"/>
              <w:spacing w:before="0" w:beforeAutospacing="0" w:after="0" w:afterAutospacing="0"/>
              <w:rPr>
                <w:rFonts w:ascii="Times New Roman" w:hAnsi="Times New Roman" w:cs="Times New Roman" w:hint="default"/>
                <w:sz w:val="22"/>
                <w:szCs w:val="20"/>
                <w:lang w:val="en-GB"/>
              </w:rPr>
            </w:pPr>
            <w:r w:rsidRPr="00342F7C">
              <w:rPr>
                <w:rFonts w:ascii="Times New Roman" w:hAnsi="Times New Roman" w:cs="Times New Roman" w:hint="default"/>
                <w:sz w:val="22"/>
                <w:szCs w:val="20"/>
                <w:lang w:val="en-GB"/>
              </w:rPr>
              <w:t>Tipranavir/ritonavir</w:t>
            </w:r>
          </w:p>
          <w:p w14:paraId="4966D7F3" w14:textId="77777777" w:rsidR="003B5E4E" w:rsidRPr="00342F7C" w:rsidRDefault="003B5E4E" w:rsidP="0011493C">
            <w:pPr>
              <w:pStyle w:val="NormalWeb"/>
              <w:spacing w:before="0" w:beforeAutospacing="0" w:after="0" w:afterAutospacing="0"/>
              <w:rPr>
                <w:rFonts w:ascii="Times New Roman" w:hAnsi="Times New Roman" w:cs="Times New Roman" w:hint="default"/>
                <w:sz w:val="22"/>
                <w:szCs w:val="20"/>
                <w:lang w:val="en-GB"/>
              </w:rPr>
            </w:pPr>
            <w:r w:rsidRPr="00342F7C">
              <w:rPr>
                <w:rFonts w:ascii="Times New Roman" w:hAnsi="Times New Roman" w:cs="Times New Roman" w:hint="default"/>
                <w:sz w:val="22"/>
                <w:szCs w:val="20"/>
                <w:lang w:val="en-GB"/>
              </w:rPr>
              <w:t>(500/100 mg BID)</w:t>
            </w:r>
          </w:p>
        </w:tc>
        <w:tc>
          <w:tcPr>
            <w:tcW w:w="3240" w:type="dxa"/>
            <w:gridSpan w:val="2"/>
            <w:tcBorders>
              <w:top w:val="single" w:sz="4" w:space="0" w:color="auto"/>
              <w:left w:val="single" w:sz="4" w:space="0" w:color="auto"/>
              <w:bottom w:val="single" w:sz="4" w:space="0" w:color="auto"/>
              <w:right w:val="single" w:sz="4" w:space="0" w:color="auto"/>
            </w:tcBorders>
          </w:tcPr>
          <w:p w14:paraId="09775C1F" w14:textId="77777777" w:rsidR="003B5E4E" w:rsidRPr="00342F7C" w:rsidRDefault="003B5E4E" w:rsidP="0011493C">
            <w:pPr>
              <w:pStyle w:val="EMEANormal"/>
              <w:rPr>
                <w:szCs w:val="22"/>
                <w:lang w:val="en-GB"/>
              </w:rPr>
            </w:pPr>
            <w:r w:rsidRPr="00342F7C">
              <w:rPr>
                <w:szCs w:val="22"/>
                <w:lang w:val="en-GB"/>
              </w:rPr>
              <w:t>Lopinavir:</w:t>
            </w:r>
          </w:p>
          <w:p w14:paraId="4315D8BE" w14:textId="77777777" w:rsidR="003B5E4E" w:rsidRPr="00342F7C" w:rsidRDefault="003B5E4E" w:rsidP="0011493C">
            <w:pPr>
              <w:pStyle w:val="EMEANormal"/>
              <w:rPr>
                <w:lang w:val="en-GB"/>
              </w:rPr>
            </w:pPr>
            <w:r w:rsidRPr="00342F7C">
              <w:rPr>
                <w:lang w:val="en-GB"/>
              </w:rPr>
              <w:t>AUC: ↓ 55%</w:t>
            </w:r>
          </w:p>
          <w:p w14:paraId="3828D5CE" w14:textId="77777777" w:rsidR="003B5E4E" w:rsidRPr="00342F7C" w:rsidRDefault="003B5E4E" w:rsidP="0011493C">
            <w:pPr>
              <w:pStyle w:val="EMEANormal"/>
              <w:rPr>
                <w:lang w:val="en-GB"/>
              </w:rPr>
            </w:pPr>
            <w:r w:rsidRPr="00342F7C">
              <w:rPr>
                <w:lang w:val="en-GB"/>
              </w:rPr>
              <w:t>C</w:t>
            </w:r>
            <w:r w:rsidRPr="00342F7C">
              <w:rPr>
                <w:vertAlign w:val="subscript"/>
                <w:lang w:val="en-GB"/>
              </w:rPr>
              <w:t>min</w:t>
            </w:r>
            <w:r w:rsidRPr="00342F7C">
              <w:rPr>
                <w:lang w:val="en-GB"/>
              </w:rPr>
              <w:t>: ↓ 7</w:t>
            </w:r>
            <w:r>
              <w:rPr>
                <w:lang w:val="en-GB"/>
              </w:rPr>
              <w:t>0</w:t>
            </w:r>
            <w:r w:rsidRPr="00342F7C">
              <w:rPr>
                <w:lang w:val="en-GB"/>
              </w:rPr>
              <w:t>%</w:t>
            </w:r>
          </w:p>
          <w:p w14:paraId="119EFF14" w14:textId="77777777" w:rsidR="003B5E4E" w:rsidRPr="00342F7C" w:rsidRDefault="003B5E4E" w:rsidP="0011493C">
            <w:pPr>
              <w:pStyle w:val="EMEANormal"/>
              <w:rPr>
                <w:szCs w:val="22"/>
                <w:lang w:val="en-GB"/>
              </w:rPr>
            </w:pPr>
            <w:r w:rsidRPr="00342F7C">
              <w:rPr>
                <w:lang w:val="en-GB"/>
              </w:rPr>
              <w:t>C</w:t>
            </w:r>
            <w:r w:rsidRPr="00342F7C">
              <w:rPr>
                <w:vertAlign w:val="subscript"/>
                <w:lang w:val="en-GB"/>
              </w:rPr>
              <w:t>max</w:t>
            </w:r>
            <w:r w:rsidRPr="00342F7C">
              <w:rPr>
                <w:lang w:val="en-GB"/>
              </w:rPr>
              <w:t xml:space="preserve">: ↓ </w:t>
            </w:r>
            <w:r>
              <w:rPr>
                <w:lang w:val="en-GB"/>
              </w:rPr>
              <w:t>4</w:t>
            </w:r>
            <w:r w:rsidRPr="00342F7C">
              <w:rPr>
                <w:lang w:val="en-GB"/>
              </w:rPr>
              <w:t>7%</w:t>
            </w:r>
          </w:p>
        </w:tc>
        <w:tc>
          <w:tcPr>
            <w:tcW w:w="3574" w:type="dxa"/>
            <w:gridSpan w:val="2"/>
            <w:tcBorders>
              <w:top w:val="single" w:sz="4" w:space="0" w:color="auto"/>
              <w:left w:val="single" w:sz="4" w:space="0" w:color="auto"/>
              <w:bottom w:val="single" w:sz="4" w:space="0" w:color="auto"/>
              <w:right w:val="single" w:sz="4" w:space="0" w:color="auto"/>
            </w:tcBorders>
          </w:tcPr>
          <w:p w14:paraId="1BAC616F" w14:textId="77777777" w:rsidR="003B5E4E" w:rsidRPr="00342F7C" w:rsidRDefault="003B5E4E" w:rsidP="0011493C">
            <w:pPr>
              <w:pStyle w:val="NormalWeb"/>
              <w:rPr>
                <w:rFonts w:ascii="Times New Roman" w:hAnsi="Times New Roman" w:cs="Times New Roman" w:hint="default"/>
                <w:sz w:val="22"/>
                <w:lang w:val="en-GB"/>
              </w:rPr>
            </w:pPr>
            <w:r w:rsidRPr="00342F7C">
              <w:rPr>
                <w:rFonts w:ascii="Times New Roman" w:hAnsi="Times New Roman" w:cs="Times New Roman" w:hint="default"/>
                <w:sz w:val="22"/>
                <w:lang w:val="en-GB"/>
              </w:rPr>
              <w:t>Concomitant administration of these medicinal products is not recommended.</w:t>
            </w:r>
          </w:p>
        </w:tc>
      </w:tr>
      <w:tr w:rsidR="003B5E4E" w:rsidRPr="00342F7C" w14:paraId="19A237F2"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2D1BAC00" w14:textId="77777777" w:rsidR="003B5E4E" w:rsidRPr="00342F7C" w:rsidRDefault="003B5E4E" w:rsidP="000B2D5F">
            <w:pPr>
              <w:pStyle w:val="EMEANormal"/>
              <w:rPr>
                <w:i/>
                <w:iCs/>
                <w:lang w:val="en-GB"/>
              </w:rPr>
            </w:pPr>
            <w:r w:rsidRPr="00342F7C">
              <w:rPr>
                <w:i/>
                <w:iCs/>
                <w:lang w:val="en-GB"/>
              </w:rPr>
              <w:t>Acid reducing agents</w:t>
            </w:r>
          </w:p>
        </w:tc>
      </w:tr>
      <w:tr w:rsidR="003B5E4E" w:rsidRPr="00342F7C" w14:paraId="7711BB76" w14:textId="77777777" w:rsidTr="008E20B3">
        <w:tc>
          <w:tcPr>
            <w:tcW w:w="2400" w:type="dxa"/>
            <w:tcBorders>
              <w:top w:val="single" w:sz="4" w:space="0" w:color="auto"/>
              <w:left w:val="single" w:sz="4" w:space="0" w:color="auto"/>
              <w:bottom w:val="single" w:sz="4" w:space="0" w:color="auto"/>
              <w:right w:val="single" w:sz="4" w:space="0" w:color="auto"/>
            </w:tcBorders>
          </w:tcPr>
          <w:p w14:paraId="7F48FE60" w14:textId="77777777" w:rsidR="003B5E4E" w:rsidRPr="00342F7C" w:rsidRDefault="003B5E4E" w:rsidP="000B2D5F">
            <w:pPr>
              <w:pStyle w:val="EMEANormal"/>
              <w:rPr>
                <w:lang w:val="en-GB"/>
              </w:rPr>
            </w:pPr>
            <w:r w:rsidRPr="00342F7C">
              <w:rPr>
                <w:lang w:val="en-GB"/>
              </w:rPr>
              <w:t xml:space="preserve">Omeprazole (40 mg QD) </w:t>
            </w:r>
          </w:p>
          <w:p w14:paraId="2E53A34F" w14:textId="77777777" w:rsidR="003B5E4E" w:rsidRPr="00342F7C" w:rsidRDefault="003B5E4E" w:rsidP="000B2D5F">
            <w:pPr>
              <w:pStyle w:val="EMEANormal"/>
              <w:rPr>
                <w:lang w:val="en-GB"/>
              </w:rPr>
            </w:pPr>
            <w:r w:rsidRPr="00342F7C">
              <w:rPr>
                <w:lang w:val="en-GB"/>
              </w:rPr>
              <w:t xml:space="preserve"> </w:t>
            </w:r>
          </w:p>
        </w:tc>
        <w:tc>
          <w:tcPr>
            <w:tcW w:w="3240" w:type="dxa"/>
            <w:gridSpan w:val="2"/>
            <w:tcBorders>
              <w:top w:val="single" w:sz="4" w:space="0" w:color="auto"/>
              <w:left w:val="single" w:sz="4" w:space="0" w:color="auto"/>
              <w:bottom w:val="single" w:sz="4" w:space="0" w:color="auto"/>
              <w:right w:val="single" w:sz="4" w:space="0" w:color="auto"/>
            </w:tcBorders>
          </w:tcPr>
          <w:p w14:paraId="59ACE00B" w14:textId="77777777" w:rsidR="003B5E4E" w:rsidRPr="00342F7C" w:rsidRDefault="003B5E4E" w:rsidP="000B2D5F">
            <w:pPr>
              <w:pStyle w:val="EMEANormal"/>
              <w:rPr>
                <w:lang w:val="en-GB"/>
              </w:rPr>
            </w:pPr>
            <w:r w:rsidRPr="00342F7C">
              <w:rPr>
                <w:lang w:val="en-GB"/>
              </w:rPr>
              <w:t xml:space="preserve">Omeprazole: </w:t>
            </w:r>
            <w:r w:rsidRPr="00342F7C">
              <w:rPr>
                <w:szCs w:val="22"/>
                <w:lang w:val="en-GB"/>
              </w:rPr>
              <w:t>↔</w:t>
            </w:r>
          </w:p>
          <w:p w14:paraId="581BF7BC" w14:textId="77777777" w:rsidR="003B5E4E" w:rsidRPr="00342F7C" w:rsidRDefault="003B5E4E" w:rsidP="000B2D5F">
            <w:pPr>
              <w:pStyle w:val="EMEANormal"/>
              <w:rPr>
                <w:lang w:val="en-GB"/>
              </w:rPr>
            </w:pPr>
          </w:p>
          <w:p w14:paraId="43FBDD29" w14:textId="77777777" w:rsidR="003B5E4E" w:rsidRPr="00342F7C" w:rsidRDefault="003B5E4E" w:rsidP="000B2D5F">
            <w:pPr>
              <w:pStyle w:val="EMEANormal"/>
              <w:rPr>
                <w:lang w:val="en-GB"/>
              </w:rPr>
            </w:pPr>
            <w:r w:rsidRPr="00342F7C">
              <w:rPr>
                <w:lang w:val="en-GB"/>
              </w:rPr>
              <w:t xml:space="preserve">Lopinavir: </w:t>
            </w:r>
            <w:r w:rsidRPr="00342F7C">
              <w:rPr>
                <w:szCs w:val="22"/>
                <w:lang w:val="en-GB"/>
              </w:rPr>
              <w:t>↔</w:t>
            </w:r>
          </w:p>
        </w:tc>
        <w:tc>
          <w:tcPr>
            <w:tcW w:w="3574" w:type="dxa"/>
            <w:gridSpan w:val="2"/>
            <w:tcBorders>
              <w:top w:val="single" w:sz="4" w:space="0" w:color="auto"/>
              <w:left w:val="single" w:sz="4" w:space="0" w:color="auto"/>
              <w:bottom w:val="single" w:sz="4" w:space="0" w:color="auto"/>
              <w:right w:val="single" w:sz="4" w:space="0" w:color="auto"/>
            </w:tcBorders>
          </w:tcPr>
          <w:p w14:paraId="30603D05" w14:textId="77777777" w:rsidR="003B5E4E" w:rsidRPr="00342F7C" w:rsidRDefault="003B5E4E" w:rsidP="000B2D5F">
            <w:pPr>
              <w:pStyle w:val="EMEANormal"/>
              <w:rPr>
                <w:lang w:val="en-GB"/>
              </w:rPr>
            </w:pPr>
            <w:r w:rsidRPr="00342F7C">
              <w:rPr>
                <w:lang w:val="en-GB"/>
              </w:rPr>
              <w:t xml:space="preserve">No dose adjustment </w:t>
            </w:r>
            <w:r w:rsidRPr="00342F7C">
              <w:rPr>
                <w:bCs/>
                <w:iCs/>
                <w:lang w:val="en-GB"/>
              </w:rPr>
              <w:t>necessary</w:t>
            </w:r>
          </w:p>
        </w:tc>
      </w:tr>
      <w:tr w:rsidR="003B5E4E" w:rsidRPr="00342F7C" w14:paraId="4464C215" w14:textId="77777777" w:rsidTr="008E20B3">
        <w:tc>
          <w:tcPr>
            <w:tcW w:w="2400" w:type="dxa"/>
            <w:tcBorders>
              <w:top w:val="single" w:sz="4" w:space="0" w:color="auto"/>
              <w:left w:val="single" w:sz="4" w:space="0" w:color="auto"/>
              <w:bottom w:val="single" w:sz="4" w:space="0" w:color="auto"/>
              <w:right w:val="single" w:sz="4" w:space="0" w:color="auto"/>
            </w:tcBorders>
          </w:tcPr>
          <w:p w14:paraId="7E51851D" w14:textId="77777777" w:rsidR="003B5E4E" w:rsidRPr="00342F7C" w:rsidRDefault="003B5E4E" w:rsidP="000B2D5F">
            <w:pPr>
              <w:pStyle w:val="EMEANormal"/>
              <w:rPr>
                <w:lang w:val="en-GB"/>
              </w:rPr>
            </w:pPr>
            <w:r w:rsidRPr="00342F7C">
              <w:rPr>
                <w:lang w:val="en-GB"/>
              </w:rPr>
              <w:t>Ranitidine (150 mg single dose)</w:t>
            </w:r>
          </w:p>
        </w:tc>
        <w:tc>
          <w:tcPr>
            <w:tcW w:w="3240" w:type="dxa"/>
            <w:gridSpan w:val="2"/>
            <w:tcBorders>
              <w:top w:val="single" w:sz="4" w:space="0" w:color="auto"/>
              <w:left w:val="single" w:sz="4" w:space="0" w:color="auto"/>
              <w:bottom w:val="single" w:sz="4" w:space="0" w:color="auto"/>
              <w:right w:val="single" w:sz="4" w:space="0" w:color="auto"/>
            </w:tcBorders>
          </w:tcPr>
          <w:p w14:paraId="186CB56E" w14:textId="77777777" w:rsidR="003B5E4E" w:rsidRPr="00342F7C" w:rsidRDefault="003B5E4E" w:rsidP="000B2D5F">
            <w:pPr>
              <w:pStyle w:val="EMEANormal"/>
              <w:rPr>
                <w:lang w:val="en-GB"/>
              </w:rPr>
            </w:pPr>
            <w:r w:rsidRPr="00342F7C">
              <w:rPr>
                <w:lang w:val="en-GB"/>
              </w:rPr>
              <w:t xml:space="preserve">Ranitidine: </w:t>
            </w:r>
            <w:r w:rsidRPr="00342F7C">
              <w:rPr>
                <w:szCs w:val="22"/>
                <w:lang w:val="en-GB"/>
              </w:rPr>
              <w:t>↔</w:t>
            </w:r>
          </w:p>
        </w:tc>
        <w:tc>
          <w:tcPr>
            <w:tcW w:w="3574" w:type="dxa"/>
            <w:gridSpan w:val="2"/>
            <w:tcBorders>
              <w:top w:val="single" w:sz="4" w:space="0" w:color="auto"/>
              <w:left w:val="single" w:sz="4" w:space="0" w:color="auto"/>
              <w:bottom w:val="single" w:sz="4" w:space="0" w:color="auto"/>
              <w:right w:val="single" w:sz="4" w:space="0" w:color="auto"/>
            </w:tcBorders>
          </w:tcPr>
          <w:p w14:paraId="1D78F53C" w14:textId="77777777" w:rsidR="003B5E4E" w:rsidRPr="00342F7C" w:rsidRDefault="003B5E4E" w:rsidP="000B2D5F">
            <w:pPr>
              <w:pStyle w:val="EMEANormal"/>
              <w:rPr>
                <w:bCs/>
                <w:iCs/>
                <w:lang w:val="en-GB"/>
              </w:rPr>
            </w:pPr>
            <w:r w:rsidRPr="00342F7C">
              <w:rPr>
                <w:lang w:val="en-GB"/>
              </w:rPr>
              <w:t>No dose adjustment necessary</w:t>
            </w:r>
          </w:p>
        </w:tc>
      </w:tr>
      <w:tr w:rsidR="003B5E4E" w:rsidRPr="00342F7C" w14:paraId="24C57AC4"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68767DD0" w14:textId="77777777" w:rsidR="003B5E4E" w:rsidRPr="00342F7C" w:rsidRDefault="003B5E4E" w:rsidP="00D16035">
            <w:pPr>
              <w:pStyle w:val="EMEANormal"/>
              <w:keepNext/>
              <w:rPr>
                <w:lang w:val="en-GB"/>
              </w:rPr>
            </w:pPr>
            <w:r>
              <w:rPr>
                <w:i/>
                <w:iCs/>
                <w:lang w:val="en-GB"/>
              </w:rPr>
              <w:t>Alpha</w:t>
            </w:r>
            <w:r w:rsidRPr="00DA5877">
              <w:rPr>
                <w:i/>
                <w:iCs/>
                <w:sz w:val="24"/>
                <w:vertAlign w:val="subscript"/>
                <w:lang w:val="en-GB"/>
              </w:rPr>
              <w:t>1</w:t>
            </w:r>
            <w:r>
              <w:rPr>
                <w:i/>
                <w:iCs/>
                <w:lang w:val="en-GB"/>
              </w:rPr>
              <w:t xml:space="preserve"> adrenoreceptor antagonist</w:t>
            </w:r>
          </w:p>
        </w:tc>
      </w:tr>
      <w:tr w:rsidR="003B5E4E" w:rsidRPr="00342F7C" w14:paraId="4024CDCB" w14:textId="77777777" w:rsidTr="008E20B3">
        <w:tc>
          <w:tcPr>
            <w:tcW w:w="2400" w:type="dxa"/>
            <w:tcBorders>
              <w:top w:val="single" w:sz="4" w:space="0" w:color="auto"/>
              <w:left w:val="single" w:sz="4" w:space="0" w:color="auto"/>
              <w:bottom w:val="single" w:sz="4" w:space="0" w:color="auto"/>
              <w:right w:val="single" w:sz="4" w:space="0" w:color="auto"/>
            </w:tcBorders>
          </w:tcPr>
          <w:p w14:paraId="470381C0" w14:textId="77777777" w:rsidR="003B5E4E" w:rsidRPr="00342F7C" w:rsidRDefault="003B5E4E" w:rsidP="00D16035">
            <w:pPr>
              <w:pStyle w:val="EMEANormal"/>
              <w:keepNext/>
              <w:rPr>
                <w:lang w:val="en-GB"/>
              </w:rPr>
            </w:pPr>
            <w:r>
              <w:rPr>
                <w:lang w:val="en-GB"/>
              </w:rPr>
              <w:t xml:space="preserve">Alfuzosin </w:t>
            </w:r>
          </w:p>
        </w:tc>
        <w:tc>
          <w:tcPr>
            <w:tcW w:w="3240" w:type="dxa"/>
            <w:gridSpan w:val="2"/>
            <w:tcBorders>
              <w:top w:val="single" w:sz="4" w:space="0" w:color="auto"/>
              <w:left w:val="single" w:sz="4" w:space="0" w:color="auto"/>
              <w:bottom w:val="single" w:sz="4" w:space="0" w:color="auto"/>
              <w:right w:val="single" w:sz="4" w:space="0" w:color="auto"/>
            </w:tcBorders>
          </w:tcPr>
          <w:p w14:paraId="6C9586B4" w14:textId="77777777" w:rsidR="003B5E4E" w:rsidRPr="00A95936" w:rsidRDefault="003B5E4E" w:rsidP="00D16035">
            <w:pPr>
              <w:pStyle w:val="EMEANormal"/>
              <w:keepNext/>
              <w:rPr>
                <w:lang w:val="en-GB"/>
              </w:rPr>
            </w:pPr>
            <w:r w:rsidRPr="00A95936">
              <w:rPr>
                <w:lang w:val="en-GB"/>
              </w:rPr>
              <w:t>Alfuzosin:</w:t>
            </w:r>
          </w:p>
          <w:p w14:paraId="3F5D8D12" w14:textId="77777777" w:rsidR="003B5E4E" w:rsidRPr="00342F7C" w:rsidRDefault="003B5E4E" w:rsidP="00D16035">
            <w:pPr>
              <w:pStyle w:val="EMEANormal"/>
              <w:keepNext/>
              <w:rPr>
                <w:lang w:val="en-GB"/>
              </w:rPr>
            </w:pPr>
            <w:r>
              <w:t>Due to CYP3A inhibition by lopinavir/ritonavir, concentrations of alfuzosin are expected to increase</w:t>
            </w:r>
            <w:r w:rsidRPr="00A95936">
              <w:t>.</w:t>
            </w:r>
          </w:p>
        </w:tc>
        <w:tc>
          <w:tcPr>
            <w:tcW w:w="3574" w:type="dxa"/>
            <w:gridSpan w:val="2"/>
            <w:tcBorders>
              <w:top w:val="single" w:sz="4" w:space="0" w:color="auto"/>
              <w:left w:val="single" w:sz="4" w:space="0" w:color="auto"/>
              <w:bottom w:val="single" w:sz="4" w:space="0" w:color="auto"/>
              <w:right w:val="single" w:sz="4" w:space="0" w:color="auto"/>
            </w:tcBorders>
          </w:tcPr>
          <w:p w14:paraId="02F9B1C0" w14:textId="77777777" w:rsidR="003B5E4E" w:rsidRPr="00DA5877" w:rsidRDefault="003B5E4E" w:rsidP="00D16035">
            <w:pPr>
              <w:pStyle w:val="EMEANormal"/>
              <w:keepNext/>
              <w:rPr>
                <w:szCs w:val="22"/>
              </w:rPr>
            </w:pPr>
            <w:r w:rsidRPr="00A95936">
              <w:rPr>
                <w:szCs w:val="22"/>
              </w:rPr>
              <w:t>Concomitant administration of Kaletra and alfuzosin is contra-indicated</w:t>
            </w:r>
            <w:r w:rsidRPr="00A95936">
              <w:rPr>
                <w:b/>
                <w:bCs/>
                <w:szCs w:val="22"/>
              </w:rPr>
              <w:t xml:space="preserve"> </w:t>
            </w:r>
            <w:r w:rsidRPr="00A95936">
              <w:rPr>
                <w:szCs w:val="22"/>
              </w:rPr>
              <w:t>(see section 4.3)</w:t>
            </w:r>
            <w:r>
              <w:rPr>
                <w:szCs w:val="22"/>
              </w:rPr>
              <w:t xml:space="preserve"> as alfuzosin-related toxicity, including hypotension, may be increased</w:t>
            </w:r>
            <w:r w:rsidRPr="00A95936">
              <w:rPr>
                <w:szCs w:val="22"/>
              </w:rPr>
              <w:t>.</w:t>
            </w:r>
          </w:p>
        </w:tc>
      </w:tr>
      <w:tr w:rsidR="003B5E4E" w:rsidRPr="00342F7C" w14:paraId="621AE05F"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5EF7C3AE" w14:textId="77777777" w:rsidR="003B5E4E" w:rsidRPr="00342F7C" w:rsidRDefault="003B5E4E" w:rsidP="00BD7237">
            <w:pPr>
              <w:pStyle w:val="EMEANormal"/>
              <w:rPr>
                <w:i/>
                <w:iCs/>
                <w:lang w:val="en-GB"/>
              </w:rPr>
            </w:pPr>
            <w:r w:rsidRPr="00342F7C">
              <w:rPr>
                <w:i/>
                <w:iCs/>
                <w:lang w:val="en-GB"/>
              </w:rPr>
              <w:t>Analgesics</w:t>
            </w:r>
          </w:p>
        </w:tc>
      </w:tr>
      <w:tr w:rsidR="003B5E4E" w:rsidRPr="00342F7C" w14:paraId="4FAC4BAE" w14:textId="77777777" w:rsidTr="008E20B3">
        <w:tc>
          <w:tcPr>
            <w:tcW w:w="2400" w:type="dxa"/>
            <w:tcBorders>
              <w:top w:val="single" w:sz="4" w:space="0" w:color="auto"/>
              <w:left w:val="single" w:sz="4" w:space="0" w:color="auto"/>
              <w:bottom w:val="single" w:sz="4" w:space="0" w:color="auto"/>
              <w:right w:val="single" w:sz="4" w:space="0" w:color="auto"/>
            </w:tcBorders>
          </w:tcPr>
          <w:p w14:paraId="3C1E8783" w14:textId="77777777" w:rsidR="003B5E4E" w:rsidRPr="00342F7C" w:rsidRDefault="003B5E4E" w:rsidP="00BD7237">
            <w:pPr>
              <w:pStyle w:val="EMEANormal"/>
              <w:rPr>
                <w:lang w:val="en-GB"/>
              </w:rPr>
            </w:pPr>
            <w:r w:rsidRPr="00342F7C">
              <w:rPr>
                <w:lang w:val="en-GB"/>
              </w:rPr>
              <w:t>Fentanyl</w:t>
            </w:r>
          </w:p>
          <w:p w14:paraId="7A416EC0" w14:textId="77777777" w:rsidR="003B5E4E" w:rsidRPr="00342F7C" w:rsidRDefault="003B5E4E" w:rsidP="00BD7237">
            <w:pPr>
              <w:pStyle w:val="EMEANormal"/>
              <w:rPr>
                <w:lang w:val="en-GB"/>
              </w:rPr>
            </w:pPr>
            <w:r w:rsidRPr="00342F7C">
              <w:rPr>
                <w:lang w:val="en-GB"/>
              </w:rPr>
              <w:t xml:space="preserve"> </w:t>
            </w:r>
          </w:p>
        </w:tc>
        <w:tc>
          <w:tcPr>
            <w:tcW w:w="3240" w:type="dxa"/>
            <w:gridSpan w:val="2"/>
            <w:tcBorders>
              <w:top w:val="single" w:sz="4" w:space="0" w:color="auto"/>
              <w:left w:val="single" w:sz="4" w:space="0" w:color="auto"/>
              <w:bottom w:val="single" w:sz="4" w:space="0" w:color="auto"/>
              <w:right w:val="single" w:sz="4" w:space="0" w:color="auto"/>
            </w:tcBorders>
          </w:tcPr>
          <w:p w14:paraId="3B42A480" w14:textId="77777777" w:rsidR="003B5E4E" w:rsidRPr="00342F7C" w:rsidRDefault="003B5E4E" w:rsidP="00BD7237">
            <w:pPr>
              <w:pStyle w:val="EMEANormal"/>
              <w:rPr>
                <w:lang w:val="en-GB"/>
              </w:rPr>
            </w:pPr>
            <w:r w:rsidRPr="00342F7C">
              <w:rPr>
                <w:lang w:val="en-GB"/>
              </w:rPr>
              <w:t>Fentanyl:</w:t>
            </w:r>
          </w:p>
          <w:p w14:paraId="06AD99F2" w14:textId="77777777" w:rsidR="003B5E4E" w:rsidRPr="00342F7C" w:rsidRDefault="003B5E4E" w:rsidP="00BD7237">
            <w:pPr>
              <w:pStyle w:val="EMEANormal"/>
              <w:rPr>
                <w:lang w:val="en-GB"/>
              </w:rPr>
            </w:pPr>
            <w:r w:rsidRPr="00342F7C">
              <w:rPr>
                <w:lang w:val="en-GB"/>
              </w:rPr>
              <w:t xml:space="preserve">Increased risk of side-effects (respiratory depression, sedation) due to higher plasma concentrations because of CYP3A4 inhibition by </w:t>
            </w:r>
            <w:r w:rsidR="00D33C9D">
              <w:rPr>
                <w:lang w:val="en-GB"/>
              </w:rPr>
              <w:t>lopinavir/ritonavir.</w:t>
            </w:r>
          </w:p>
        </w:tc>
        <w:tc>
          <w:tcPr>
            <w:tcW w:w="3574" w:type="dxa"/>
            <w:gridSpan w:val="2"/>
            <w:tcBorders>
              <w:top w:val="single" w:sz="4" w:space="0" w:color="auto"/>
              <w:left w:val="single" w:sz="4" w:space="0" w:color="auto"/>
              <w:bottom w:val="single" w:sz="4" w:space="0" w:color="auto"/>
              <w:right w:val="single" w:sz="4" w:space="0" w:color="auto"/>
            </w:tcBorders>
          </w:tcPr>
          <w:p w14:paraId="4CF78B6A" w14:textId="77777777" w:rsidR="003B5E4E" w:rsidRPr="00342F7C" w:rsidRDefault="003B5E4E" w:rsidP="00BD7237">
            <w:pPr>
              <w:pStyle w:val="EMEANormal"/>
              <w:rPr>
                <w:lang w:val="en-GB"/>
              </w:rPr>
            </w:pPr>
            <w:r w:rsidRPr="00342F7C">
              <w:rPr>
                <w:lang w:val="en-GB"/>
              </w:rPr>
              <w:t>Careful monitoring of adverse effects (notably respiratory depression but also sedation) is recommended when fentanyl is concomitantly administered with Kaletra.</w:t>
            </w:r>
          </w:p>
        </w:tc>
      </w:tr>
      <w:tr w:rsidR="00C05E7A" w:rsidRPr="00342F7C" w14:paraId="783D06EA"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1FE03AD0" w14:textId="77777777" w:rsidR="00C05E7A" w:rsidRPr="00342F7C" w:rsidRDefault="00C05E7A" w:rsidP="00C05E7A">
            <w:pPr>
              <w:pStyle w:val="EMEANormal"/>
              <w:rPr>
                <w:bCs/>
                <w:iCs/>
                <w:lang w:val="en-GB"/>
              </w:rPr>
            </w:pPr>
            <w:r>
              <w:rPr>
                <w:i/>
                <w:iCs/>
                <w:lang w:val="en-GB"/>
              </w:rPr>
              <w:t>Antianginal</w:t>
            </w:r>
          </w:p>
        </w:tc>
      </w:tr>
      <w:tr w:rsidR="00C05E7A" w:rsidRPr="00342F7C" w14:paraId="51529964" w14:textId="77777777" w:rsidTr="008E20B3">
        <w:tc>
          <w:tcPr>
            <w:tcW w:w="2400" w:type="dxa"/>
            <w:tcBorders>
              <w:top w:val="single" w:sz="4" w:space="0" w:color="auto"/>
              <w:left w:val="single" w:sz="4" w:space="0" w:color="auto"/>
              <w:bottom w:val="single" w:sz="4" w:space="0" w:color="auto"/>
              <w:right w:val="single" w:sz="4" w:space="0" w:color="auto"/>
            </w:tcBorders>
          </w:tcPr>
          <w:p w14:paraId="583F388A" w14:textId="77777777" w:rsidR="00C05E7A" w:rsidRPr="00342F7C" w:rsidRDefault="00C05E7A" w:rsidP="00C05E7A">
            <w:pPr>
              <w:pStyle w:val="EMEANormal"/>
              <w:rPr>
                <w:lang w:val="en-GB"/>
              </w:rPr>
            </w:pPr>
            <w:r>
              <w:rPr>
                <w:lang w:val="en-GB"/>
              </w:rPr>
              <w:t>Ranolazine</w:t>
            </w:r>
          </w:p>
        </w:tc>
        <w:tc>
          <w:tcPr>
            <w:tcW w:w="3240" w:type="dxa"/>
            <w:gridSpan w:val="2"/>
            <w:tcBorders>
              <w:top w:val="single" w:sz="4" w:space="0" w:color="auto"/>
              <w:left w:val="single" w:sz="4" w:space="0" w:color="auto"/>
              <w:bottom w:val="single" w:sz="4" w:space="0" w:color="auto"/>
              <w:right w:val="single" w:sz="4" w:space="0" w:color="auto"/>
            </w:tcBorders>
          </w:tcPr>
          <w:p w14:paraId="0C68F7F4" w14:textId="77777777" w:rsidR="00C05E7A" w:rsidRPr="00342F7C" w:rsidRDefault="00C05E7A" w:rsidP="00C05E7A">
            <w:pPr>
              <w:pStyle w:val="EMEANormal"/>
              <w:rPr>
                <w:lang w:val="en-GB"/>
              </w:rPr>
            </w:pPr>
            <w:r>
              <w:rPr>
                <w:lang w:val="en-GB"/>
              </w:rPr>
              <w:t>Due to CYP3A inhibition by lopinavir/ritonavir, concentrations of ranolazine are expected to increase.</w:t>
            </w:r>
          </w:p>
        </w:tc>
        <w:tc>
          <w:tcPr>
            <w:tcW w:w="3574" w:type="dxa"/>
            <w:gridSpan w:val="2"/>
            <w:tcBorders>
              <w:top w:val="single" w:sz="4" w:space="0" w:color="auto"/>
              <w:left w:val="single" w:sz="4" w:space="0" w:color="auto"/>
              <w:bottom w:val="single" w:sz="4" w:space="0" w:color="auto"/>
              <w:right w:val="single" w:sz="4" w:space="0" w:color="auto"/>
            </w:tcBorders>
          </w:tcPr>
          <w:p w14:paraId="31FCFBBF" w14:textId="77777777" w:rsidR="00C05E7A" w:rsidRPr="00342F7C" w:rsidRDefault="00C05E7A" w:rsidP="00BA10BA">
            <w:pPr>
              <w:pStyle w:val="EMEANormal"/>
              <w:rPr>
                <w:lang w:val="en-GB"/>
              </w:rPr>
            </w:pPr>
            <w:r>
              <w:rPr>
                <w:lang w:val="en-GB"/>
              </w:rPr>
              <w:t xml:space="preserve">The concomitant administration </w:t>
            </w:r>
            <w:r w:rsidR="00BA10BA">
              <w:rPr>
                <w:lang w:val="en-GB"/>
              </w:rPr>
              <w:t>of Kaletra and</w:t>
            </w:r>
            <w:r>
              <w:rPr>
                <w:lang w:val="en-GB"/>
              </w:rPr>
              <w:t xml:space="preserve"> ranolazine is contraindicated (see section 4.3).</w:t>
            </w:r>
          </w:p>
        </w:tc>
      </w:tr>
      <w:tr w:rsidR="003B5E4E" w:rsidRPr="00342F7C" w14:paraId="10BD8E11"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68D36459" w14:textId="77777777" w:rsidR="003B5E4E" w:rsidRPr="00342F7C" w:rsidRDefault="003B5E4E" w:rsidP="005F7244">
            <w:pPr>
              <w:pStyle w:val="EMEANormal"/>
              <w:keepNext/>
              <w:rPr>
                <w:bCs/>
                <w:iCs/>
                <w:lang w:val="en-GB"/>
              </w:rPr>
            </w:pPr>
            <w:r w:rsidRPr="00342F7C">
              <w:rPr>
                <w:i/>
                <w:iCs/>
                <w:lang w:val="en-GB"/>
              </w:rPr>
              <w:t>Antiarrhythmics</w:t>
            </w:r>
          </w:p>
        </w:tc>
      </w:tr>
      <w:tr w:rsidR="00180DDD" w:rsidRPr="00342F7C" w14:paraId="31A9F754" w14:textId="77777777" w:rsidTr="008E20B3">
        <w:tc>
          <w:tcPr>
            <w:tcW w:w="2400" w:type="dxa"/>
            <w:tcBorders>
              <w:top w:val="single" w:sz="4" w:space="0" w:color="auto"/>
              <w:left w:val="single" w:sz="4" w:space="0" w:color="auto"/>
              <w:bottom w:val="single" w:sz="4" w:space="0" w:color="auto"/>
              <w:right w:val="single" w:sz="4" w:space="0" w:color="auto"/>
            </w:tcBorders>
          </w:tcPr>
          <w:p w14:paraId="52FFCC96" w14:textId="77777777" w:rsidR="00180DDD" w:rsidRPr="00342F7C" w:rsidRDefault="00180DDD" w:rsidP="005F7244">
            <w:pPr>
              <w:pStyle w:val="EMEANormal"/>
              <w:keepNext/>
              <w:rPr>
                <w:lang w:val="en-GB"/>
              </w:rPr>
            </w:pPr>
            <w:r>
              <w:rPr>
                <w:lang w:val="en-GB"/>
              </w:rPr>
              <w:t>Amiodarone, Dronedarone</w:t>
            </w:r>
          </w:p>
        </w:tc>
        <w:tc>
          <w:tcPr>
            <w:tcW w:w="3240" w:type="dxa"/>
            <w:gridSpan w:val="2"/>
            <w:tcBorders>
              <w:top w:val="single" w:sz="4" w:space="0" w:color="auto"/>
              <w:left w:val="single" w:sz="4" w:space="0" w:color="auto"/>
              <w:bottom w:val="single" w:sz="4" w:space="0" w:color="auto"/>
              <w:right w:val="single" w:sz="4" w:space="0" w:color="auto"/>
            </w:tcBorders>
          </w:tcPr>
          <w:p w14:paraId="3A5868FD" w14:textId="77777777" w:rsidR="00180DDD" w:rsidRPr="00342F7C" w:rsidRDefault="00180DDD" w:rsidP="005F7244">
            <w:pPr>
              <w:pStyle w:val="EMEANormal"/>
              <w:keepNext/>
              <w:rPr>
                <w:lang w:val="en-GB"/>
              </w:rPr>
            </w:pPr>
            <w:r>
              <w:rPr>
                <w:lang w:val="en-GB"/>
              </w:rPr>
              <w:t xml:space="preserve">Amiodarone, Dronedarone: Concentrations may be increased due to CYP3A4 inhibition by </w:t>
            </w:r>
            <w:r w:rsidR="00D33C9D">
              <w:rPr>
                <w:lang w:val="en-GB"/>
              </w:rPr>
              <w:t>lopinavir/ritonavir</w:t>
            </w:r>
            <w:r>
              <w:rPr>
                <w:lang w:val="en-GB"/>
              </w:rPr>
              <w:t>.</w:t>
            </w:r>
          </w:p>
        </w:tc>
        <w:tc>
          <w:tcPr>
            <w:tcW w:w="3574" w:type="dxa"/>
            <w:gridSpan w:val="2"/>
            <w:tcBorders>
              <w:top w:val="single" w:sz="4" w:space="0" w:color="auto"/>
              <w:left w:val="single" w:sz="4" w:space="0" w:color="auto"/>
              <w:bottom w:val="single" w:sz="4" w:space="0" w:color="auto"/>
              <w:right w:val="single" w:sz="4" w:space="0" w:color="auto"/>
            </w:tcBorders>
          </w:tcPr>
          <w:p w14:paraId="6CC08B39" w14:textId="77777777" w:rsidR="00180DDD" w:rsidRPr="00342F7C" w:rsidRDefault="00180DDD" w:rsidP="005F7244">
            <w:pPr>
              <w:pStyle w:val="EMEANormal"/>
              <w:keepNext/>
              <w:rPr>
                <w:lang w:val="en-GB"/>
              </w:rPr>
            </w:pPr>
            <w:r>
              <w:rPr>
                <w:lang w:val="en-GB"/>
              </w:rPr>
              <w:t>Concomitant administration of Kaletra and amiodarone or dronedarone is contraindicated (see section 4.3) as the risk of arrhythmias or other serious adverse reactions may be increased.</w:t>
            </w:r>
          </w:p>
        </w:tc>
      </w:tr>
      <w:tr w:rsidR="003B5E4E" w:rsidRPr="00342F7C" w14:paraId="4B434D7D" w14:textId="77777777" w:rsidTr="008E20B3">
        <w:tc>
          <w:tcPr>
            <w:tcW w:w="2400" w:type="dxa"/>
            <w:tcBorders>
              <w:top w:val="single" w:sz="4" w:space="0" w:color="auto"/>
              <w:left w:val="single" w:sz="4" w:space="0" w:color="auto"/>
              <w:bottom w:val="single" w:sz="4" w:space="0" w:color="auto"/>
              <w:right w:val="single" w:sz="4" w:space="0" w:color="auto"/>
            </w:tcBorders>
          </w:tcPr>
          <w:p w14:paraId="60822176" w14:textId="77777777" w:rsidR="003B5E4E" w:rsidRPr="00342F7C" w:rsidRDefault="003B5E4E" w:rsidP="005F7244">
            <w:pPr>
              <w:pStyle w:val="EMEANormal"/>
              <w:keepNext/>
              <w:rPr>
                <w:lang w:val="en-GB"/>
              </w:rPr>
            </w:pPr>
            <w:r w:rsidRPr="00342F7C">
              <w:rPr>
                <w:lang w:val="en-GB"/>
              </w:rPr>
              <w:t>Digoxin</w:t>
            </w:r>
          </w:p>
          <w:p w14:paraId="7B4AA4CC" w14:textId="77777777" w:rsidR="003B5E4E" w:rsidRPr="00342F7C" w:rsidRDefault="003B5E4E" w:rsidP="005F7244">
            <w:pPr>
              <w:pStyle w:val="EMEANormal"/>
              <w:keepNext/>
              <w:rPr>
                <w:lang w:val="en-GB"/>
              </w:rPr>
            </w:pPr>
          </w:p>
          <w:p w14:paraId="79A12CC1" w14:textId="77777777" w:rsidR="003B5E4E" w:rsidRPr="00342F7C" w:rsidRDefault="003B5E4E" w:rsidP="005F7244">
            <w:pPr>
              <w:pStyle w:val="EMEANormal"/>
              <w:keepNext/>
              <w:rPr>
                <w:i/>
                <w:iCs/>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373ED1B0" w14:textId="77777777" w:rsidR="003B5E4E" w:rsidRPr="00342F7C" w:rsidRDefault="003B5E4E" w:rsidP="005F7244">
            <w:pPr>
              <w:pStyle w:val="EMEANormal"/>
              <w:keepNext/>
              <w:rPr>
                <w:lang w:val="en-GB"/>
              </w:rPr>
            </w:pPr>
            <w:r w:rsidRPr="00342F7C">
              <w:rPr>
                <w:lang w:val="en-GB"/>
              </w:rPr>
              <w:t>Digoxin:</w:t>
            </w:r>
          </w:p>
          <w:p w14:paraId="7FFF243A" w14:textId="77777777" w:rsidR="003B5E4E" w:rsidRPr="00342F7C" w:rsidRDefault="003B5E4E" w:rsidP="005F7244">
            <w:pPr>
              <w:pStyle w:val="EMEANormal"/>
              <w:keepNext/>
              <w:rPr>
                <w:lang w:val="en-GB"/>
              </w:rPr>
            </w:pPr>
            <w:r w:rsidRPr="00342F7C">
              <w:rPr>
                <w:lang w:val="en-GB"/>
              </w:rPr>
              <w:t xml:space="preserve">Plasma concentrations may be increased due to P-glycoprotein inhibition by </w:t>
            </w:r>
            <w:r w:rsidR="00D33C9D">
              <w:rPr>
                <w:lang w:val="en-GB"/>
              </w:rPr>
              <w:t>lopinavir/ritonavir</w:t>
            </w:r>
            <w:r w:rsidRPr="00342F7C">
              <w:rPr>
                <w:lang w:val="en-GB"/>
              </w:rPr>
              <w:t>.  The increased digoxin level may lessen over time as P</w:t>
            </w:r>
            <w:r w:rsidR="00EE26C0">
              <w:rPr>
                <w:lang w:val="en-GB"/>
              </w:rPr>
              <w:noBreakHyphen/>
            </w:r>
            <w:r w:rsidRPr="00342F7C">
              <w:rPr>
                <w:lang w:val="en-GB"/>
              </w:rPr>
              <w:t>gp induction develops.</w:t>
            </w:r>
          </w:p>
          <w:p w14:paraId="7A1DB65C" w14:textId="77777777" w:rsidR="003B5E4E" w:rsidRPr="00342F7C" w:rsidRDefault="003B5E4E" w:rsidP="005F7244">
            <w:pPr>
              <w:pStyle w:val="EMEANormal"/>
              <w:keepNext/>
              <w:rPr>
                <w:lang w:val="en-GB"/>
              </w:rPr>
            </w:pPr>
          </w:p>
          <w:p w14:paraId="60E9D9D6" w14:textId="77777777" w:rsidR="003B5E4E" w:rsidRPr="00342F7C" w:rsidRDefault="003B5E4E" w:rsidP="005F7244">
            <w:pPr>
              <w:pStyle w:val="EMEANormal"/>
              <w:keepNext/>
              <w:rPr>
                <w:lang w:val="en-GB"/>
              </w:rPr>
            </w:pPr>
          </w:p>
        </w:tc>
        <w:tc>
          <w:tcPr>
            <w:tcW w:w="3574" w:type="dxa"/>
            <w:gridSpan w:val="2"/>
            <w:tcBorders>
              <w:top w:val="single" w:sz="4" w:space="0" w:color="auto"/>
              <w:left w:val="single" w:sz="4" w:space="0" w:color="auto"/>
              <w:bottom w:val="single" w:sz="4" w:space="0" w:color="auto"/>
              <w:right w:val="single" w:sz="4" w:space="0" w:color="auto"/>
            </w:tcBorders>
          </w:tcPr>
          <w:p w14:paraId="0656CEAC" w14:textId="77777777" w:rsidR="003B5E4E" w:rsidRPr="00342F7C" w:rsidRDefault="003B5E4E" w:rsidP="005F7244">
            <w:pPr>
              <w:pStyle w:val="EMEANormal"/>
              <w:keepNext/>
              <w:rPr>
                <w:lang w:val="en-GB"/>
              </w:rPr>
            </w:pPr>
            <w:r w:rsidRPr="00342F7C">
              <w:rPr>
                <w:lang w:val="en-GB"/>
              </w:rPr>
              <w:t>Caution is warranted and therapeutic drug monitoring of digoxin concentrations, if available, is recommended in case of co</w:t>
            </w:r>
            <w:r w:rsidRPr="00342F7C">
              <w:rPr>
                <w:lang w:val="en-GB"/>
              </w:rPr>
              <w:noBreakHyphen/>
              <w:t>administration of Kaletra and digoxin.  Particular caution should be used when prescribing Kaletra in patients taking digoxin as the acute inhibitory effect of ritonavir on P</w:t>
            </w:r>
            <w:r w:rsidR="00EE26C0">
              <w:rPr>
                <w:lang w:val="en-GB"/>
              </w:rPr>
              <w:noBreakHyphen/>
            </w:r>
            <w:r w:rsidRPr="00342F7C">
              <w:rPr>
                <w:lang w:val="en-GB"/>
              </w:rPr>
              <w:t>gp is expected to significantly increase digoxin levels.  Initiation of digoxin in patients already taking Kaletra is likely to result in lower than expected increases of digoxin concentrations.</w:t>
            </w:r>
          </w:p>
        </w:tc>
      </w:tr>
      <w:tr w:rsidR="003B5E4E" w:rsidRPr="00342F7C" w14:paraId="736B03D5" w14:textId="77777777" w:rsidTr="008E20B3">
        <w:tc>
          <w:tcPr>
            <w:tcW w:w="2400" w:type="dxa"/>
            <w:tcBorders>
              <w:top w:val="single" w:sz="4" w:space="0" w:color="auto"/>
              <w:left w:val="single" w:sz="4" w:space="0" w:color="auto"/>
              <w:bottom w:val="single" w:sz="4" w:space="0" w:color="auto"/>
              <w:right w:val="single" w:sz="4" w:space="0" w:color="auto"/>
            </w:tcBorders>
          </w:tcPr>
          <w:p w14:paraId="7000864E" w14:textId="77777777" w:rsidR="003B5E4E" w:rsidRPr="00342F7C" w:rsidRDefault="003B5E4E" w:rsidP="000B2D5F">
            <w:pPr>
              <w:pStyle w:val="EMEANormal"/>
              <w:rPr>
                <w:lang w:val="en-GB"/>
              </w:rPr>
            </w:pPr>
            <w:r w:rsidRPr="00342F7C">
              <w:rPr>
                <w:lang w:val="en-GB"/>
              </w:rPr>
              <w:t xml:space="preserve">Bepridil, Systemic Lidocaine, and Quinidine </w:t>
            </w:r>
          </w:p>
        </w:tc>
        <w:tc>
          <w:tcPr>
            <w:tcW w:w="3240" w:type="dxa"/>
            <w:gridSpan w:val="2"/>
            <w:tcBorders>
              <w:top w:val="single" w:sz="4" w:space="0" w:color="auto"/>
              <w:left w:val="single" w:sz="4" w:space="0" w:color="auto"/>
              <w:bottom w:val="single" w:sz="4" w:space="0" w:color="auto"/>
              <w:right w:val="single" w:sz="4" w:space="0" w:color="auto"/>
            </w:tcBorders>
          </w:tcPr>
          <w:p w14:paraId="5F2D4CA1" w14:textId="77777777" w:rsidR="003B5E4E" w:rsidRPr="00342F7C" w:rsidRDefault="003B5E4E" w:rsidP="000B2D5F">
            <w:pPr>
              <w:pStyle w:val="EMEANormal"/>
              <w:rPr>
                <w:lang w:val="en-GB"/>
              </w:rPr>
            </w:pPr>
            <w:r w:rsidRPr="00342F7C">
              <w:rPr>
                <w:lang w:val="en-GB"/>
              </w:rPr>
              <w:t xml:space="preserve">Bepridil, Systemic Lidocaine, Quinidine: </w:t>
            </w:r>
          </w:p>
          <w:p w14:paraId="67E1A4B6" w14:textId="77777777" w:rsidR="003B5E4E" w:rsidRPr="00342F7C" w:rsidRDefault="003B5E4E" w:rsidP="000B2D5F">
            <w:pPr>
              <w:pStyle w:val="EMEANormal"/>
              <w:rPr>
                <w:lang w:val="en-GB"/>
              </w:rPr>
            </w:pPr>
            <w:r w:rsidRPr="00342F7C">
              <w:rPr>
                <w:lang w:val="en-GB"/>
              </w:rPr>
              <w:t xml:space="preserve">Concentrations may be increased when co-administered with </w:t>
            </w:r>
            <w:r w:rsidR="00D33C9D">
              <w:rPr>
                <w:lang w:val="en-GB"/>
              </w:rPr>
              <w:t>lopinavir/ritonavir</w:t>
            </w:r>
            <w:r w:rsidRPr="00342F7C">
              <w:rPr>
                <w:lang w:val="en-GB"/>
              </w:rPr>
              <w:t xml:space="preserve">. </w:t>
            </w:r>
          </w:p>
        </w:tc>
        <w:tc>
          <w:tcPr>
            <w:tcW w:w="3574" w:type="dxa"/>
            <w:gridSpan w:val="2"/>
            <w:tcBorders>
              <w:top w:val="single" w:sz="4" w:space="0" w:color="auto"/>
              <w:left w:val="single" w:sz="4" w:space="0" w:color="auto"/>
              <w:bottom w:val="single" w:sz="4" w:space="0" w:color="auto"/>
              <w:right w:val="single" w:sz="4" w:space="0" w:color="auto"/>
            </w:tcBorders>
          </w:tcPr>
          <w:p w14:paraId="5678CD5B" w14:textId="77777777" w:rsidR="003B5E4E" w:rsidRPr="00342F7C" w:rsidRDefault="003B5E4E" w:rsidP="000B2D5F">
            <w:pPr>
              <w:pStyle w:val="EMEANormal"/>
              <w:rPr>
                <w:bCs/>
                <w:iCs/>
                <w:lang w:val="en-GB"/>
              </w:rPr>
            </w:pPr>
            <w:r w:rsidRPr="00342F7C">
              <w:rPr>
                <w:lang w:val="en-GB"/>
              </w:rPr>
              <w:t>Caution is warranted and therapeutic drug concentration monitoring is recommended when available.</w:t>
            </w:r>
          </w:p>
        </w:tc>
      </w:tr>
      <w:tr w:rsidR="003B5E4E" w:rsidRPr="00342F7C" w14:paraId="001D5C21"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6B7EF22B" w14:textId="77777777" w:rsidR="003B5E4E" w:rsidRPr="00342F7C" w:rsidRDefault="003B5E4E" w:rsidP="00D16035">
            <w:pPr>
              <w:pStyle w:val="EMEANormal"/>
              <w:keepNext/>
              <w:rPr>
                <w:i/>
                <w:iCs/>
                <w:lang w:val="en-GB"/>
              </w:rPr>
            </w:pPr>
            <w:r w:rsidRPr="00342F7C">
              <w:rPr>
                <w:i/>
                <w:iCs/>
                <w:lang w:val="en-GB"/>
              </w:rPr>
              <w:t>Antibiotics</w:t>
            </w:r>
          </w:p>
        </w:tc>
      </w:tr>
      <w:tr w:rsidR="003B5E4E" w:rsidRPr="00342F7C" w14:paraId="5DDD0CC2" w14:textId="77777777" w:rsidTr="008E20B3">
        <w:tc>
          <w:tcPr>
            <w:tcW w:w="2400" w:type="dxa"/>
            <w:tcBorders>
              <w:top w:val="single" w:sz="4" w:space="0" w:color="auto"/>
              <w:left w:val="single" w:sz="4" w:space="0" w:color="auto"/>
              <w:bottom w:val="single" w:sz="4" w:space="0" w:color="auto"/>
              <w:right w:val="single" w:sz="4" w:space="0" w:color="auto"/>
            </w:tcBorders>
          </w:tcPr>
          <w:p w14:paraId="0163FEE3" w14:textId="77777777" w:rsidR="003B5E4E" w:rsidRPr="00342F7C" w:rsidRDefault="003B5E4E" w:rsidP="00D16035">
            <w:pPr>
              <w:pStyle w:val="EMEANormal"/>
              <w:keepNext/>
              <w:rPr>
                <w:lang w:val="en-GB"/>
              </w:rPr>
            </w:pPr>
            <w:r w:rsidRPr="00342F7C">
              <w:rPr>
                <w:bCs/>
                <w:iCs/>
                <w:lang w:val="en-GB"/>
              </w:rPr>
              <w:t>Clarithromycin</w:t>
            </w:r>
          </w:p>
        </w:tc>
        <w:tc>
          <w:tcPr>
            <w:tcW w:w="3240" w:type="dxa"/>
            <w:gridSpan w:val="2"/>
            <w:tcBorders>
              <w:top w:val="single" w:sz="4" w:space="0" w:color="auto"/>
              <w:left w:val="single" w:sz="4" w:space="0" w:color="auto"/>
              <w:bottom w:val="single" w:sz="4" w:space="0" w:color="auto"/>
              <w:right w:val="single" w:sz="4" w:space="0" w:color="auto"/>
            </w:tcBorders>
          </w:tcPr>
          <w:p w14:paraId="7435F3F9" w14:textId="77777777" w:rsidR="003B5E4E" w:rsidRPr="00342F7C" w:rsidRDefault="003B5E4E" w:rsidP="00D16035">
            <w:pPr>
              <w:pStyle w:val="EMEANormal"/>
              <w:keepNext/>
              <w:rPr>
                <w:i/>
                <w:lang w:val="en-GB"/>
              </w:rPr>
            </w:pPr>
            <w:r w:rsidRPr="00342F7C">
              <w:rPr>
                <w:bCs/>
                <w:iCs/>
                <w:lang w:val="en-GB"/>
              </w:rPr>
              <w:t>Clarithromycin:</w:t>
            </w:r>
            <w:r w:rsidRPr="00342F7C">
              <w:rPr>
                <w:i/>
                <w:lang w:val="en-GB"/>
              </w:rPr>
              <w:t xml:space="preserve"> </w:t>
            </w:r>
          </w:p>
          <w:p w14:paraId="54DD97CC" w14:textId="77777777" w:rsidR="003B5E4E" w:rsidRPr="00342F7C" w:rsidRDefault="003B5E4E" w:rsidP="00D16035">
            <w:pPr>
              <w:pStyle w:val="EMEANormal"/>
              <w:keepNext/>
              <w:rPr>
                <w:lang w:val="en-GB"/>
              </w:rPr>
            </w:pPr>
            <w:r w:rsidRPr="00342F7C">
              <w:rPr>
                <w:lang w:val="en-GB"/>
              </w:rPr>
              <w:t xml:space="preserve">Moderate increases in clarithromycin AUC are expected due to CYP3A inhibition by </w:t>
            </w:r>
            <w:r w:rsidR="00D33C9D">
              <w:rPr>
                <w:lang w:val="en-GB"/>
              </w:rPr>
              <w:t>lopinavir/ritonavir</w:t>
            </w:r>
            <w:r w:rsidRPr="00342F7C">
              <w:rPr>
                <w:lang w:val="en-GB"/>
              </w:rPr>
              <w:t xml:space="preserve">. </w:t>
            </w:r>
          </w:p>
          <w:p w14:paraId="54154167" w14:textId="77777777" w:rsidR="003B5E4E" w:rsidRPr="00342F7C" w:rsidRDefault="003B5E4E" w:rsidP="00D16035">
            <w:pPr>
              <w:pStyle w:val="EMEANormal"/>
              <w:keepNext/>
              <w:rPr>
                <w:lang w:val="en-GB"/>
              </w:rPr>
            </w:pPr>
          </w:p>
        </w:tc>
        <w:tc>
          <w:tcPr>
            <w:tcW w:w="3574" w:type="dxa"/>
            <w:gridSpan w:val="2"/>
            <w:tcBorders>
              <w:top w:val="single" w:sz="4" w:space="0" w:color="auto"/>
              <w:left w:val="single" w:sz="4" w:space="0" w:color="auto"/>
              <w:bottom w:val="single" w:sz="4" w:space="0" w:color="auto"/>
              <w:right w:val="single" w:sz="4" w:space="0" w:color="auto"/>
            </w:tcBorders>
          </w:tcPr>
          <w:p w14:paraId="4E7AF385" w14:textId="77777777" w:rsidR="003B5E4E" w:rsidRPr="00342F7C" w:rsidRDefault="003B5E4E" w:rsidP="00D16035">
            <w:pPr>
              <w:pStyle w:val="EMEANormal"/>
              <w:keepNext/>
              <w:rPr>
                <w:lang w:val="en-GB"/>
              </w:rPr>
            </w:pPr>
            <w:r w:rsidRPr="00342F7C">
              <w:rPr>
                <w:lang w:val="en-GB"/>
              </w:rPr>
              <w:t>For patients with renal impairment (CrCL &lt; 30 ml/min) dose reduction of clarithromycin should be considered (see section 4.4).  Caution should be exercised in administering clarithromycin with Kaletra to patients with impaired hepatic or renal function.</w:t>
            </w:r>
          </w:p>
        </w:tc>
      </w:tr>
      <w:tr w:rsidR="003B5E4E" w:rsidRPr="00342F7C" w14:paraId="0AA0BEC8"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043F4758" w14:textId="3D38850E" w:rsidR="003B5E4E" w:rsidRPr="00342F7C" w:rsidRDefault="003B5E4E" w:rsidP="000B2D5F">
            <w:pPr>
              <w:pStyle w:val="EMEANormal"/>
              <w:rPr>
                <w:i/>
                <w:iCs/>
                <w:lang w:val="en-GB"/>
              </w:rPr>
            </w:pPr>
            <w:r w:rsidRPr="00342F7C">
              <w:rPr>
                <w:i/>
                <w:iCs/>
                <w:lang w:val="en-GB"/>
              </w:rPr>
              <w:t>Anticancer agents</w:t>
            </w:r>
            <w:r w:rsidR="008915C6">
              <w:rPr>
                <w:i/>
                <w:iCs/>
                <w:lang w:val="en-GB"/>
              </w:rPr>
              <w:t xml:space="preserve"> </w:t>
            </w:r>
            <w:r w:rsidR="008915C6" w:rsidRPr="003E4843">
              <w:rPr>
                <w:i/>
                <w:iCs/>
                <w:lang w:val="en-GB"/>
              </w:rPr>
              <w:t>and kinase inhibitors</w:t>
            </w:r>
          </w:p>
        </w:tc>
      </w:tr>
      <w:tr w:rsidR="00A51CA9" w:rsidRPr="00342F7C" w14:paraId="4FE9FE35" w14:textId="77777777" w:rsidTr="008E20B3">
        <w:tc>
          <w:tcPr>
            <w:tcW w:w="2400" w:type="dxa"/>
            <w:tcBorders>
              <w:top w:val="single" w:sz="4" w:space="0" w:color="auto"/>
              <w:left w:val="single" w:sz="4" w:space="0" w:color="auto"/>
              <w:bottom w:val="single" w:sz="4" w:space="0" w:color="auto"/>
              <w:right w:val="single" w:sz="4" w:space="0" w:color="auto"/>
            </w:tcBorders>
          </w:tcPr>
          <w:p w14:paraId="53C3C0E4" w14:textId="77777777" w:rsidR="00A51CA9" w:rsidRDefault="00A51CA9" w:rsidP="005A4A77">
            <w:pPr>
              <w:pStyle w:val="EMEANormal"/>
              <w:rPr>
                <w:lang w:val="en-GB"/>
              </w:rPr>
            </w:pPr>
            <w:r>
              <w:rPr>
                <w:lang w:val="en-GB"/>
              </w:rPr>
              <w:t>Abemaciclib</w:t>
            </w:r>
          </w:p>
        </w:tc>
        <w:tc>
          <w:tcPr>
            <w:tcW w:w="3270" w:type="dxa"/>
            <w:gridSpan w:val="3"/>
            <w:tcBorders>
              <w:top w:val="single" w:sz="4" w:space="0" w:color="auto"/>
              <w:left w:val="single" w:sz="4" w:space="0" w:color="auto"/>
              <w:bottom w:val="single" w:sz="4" w:space="0" w:color="auto"/>
              <w:right w:val="single" w:sz="4" w:space="0" w:color="auto"/>
            </w:tcBorders>
          </w:tcPr>
          <w:p w14:paraId="17CBDA8D" w14:textId="77777777" w:rsidR="00A51CA9" w:rsidRDefault="00A51CA9" w:rsidP="00463201">
            <w:pPr>
              <w:pStyle w:val="EMEANormal"/>
            </w:pPr>
            <w:r>
              <w:t>Serum concentrations may be increased due to CYP3A inhibition by ritonavir</w:t>
            </w:r>
            <w:r w:rsidR="00F70E0D">
              <w:t>.</w:t>
            </w:r>
          </w:p>
        </w:tc>
        <w:tc>
          <w:tcPr>
            <w:tcW w:w="3544" w:type="dxa"/>
            <w:tcBorders>
              <w:top w:val="single" w:sz="4" w:space="0" w:color="auto"/>
              <w:left w:val="single" w:sz="4" w:space="0" w:color="auto"/>
              <w:bottom w:val="single" w:sz="4" w:space="0" w:color="auto"/>
              <w:right w:val="single" w:sz="4" w:space="0" w:color="auto"/>
            </w:tcBorders>
          </w:tcPr>
          <w:p w14:paraId="028C0009" w14:textId="77777777" w:rsidR="00A51CA9" w:rsidRDefault="00463201" w:rsidP="009E75CD">
            <w:pPr>
              <w:pStyle w:val="EMEANormal"/>
              <w:rPr>
                <w:lang w:val="en-GB"/>
              </w:rPr>
            </w:pPr>
            <w:r>
              <w:rPr>
                <w:lang w:val="en-GB"/>
              </w:rPr>
              <w:t>Co</w:t>
            </w:r>
            <w:r>
              <w:rPr>
                <w:lang w:val="en-GB"/>
              </w:rPr>
              <w:noBreakHyphen/>
              <w:t xml:space="preserve">administration of abemaciclib </w:t>
            </w:r>
            <w:r w:rsidR="009E75CD">
              <w:rPr>
                <w:lang w:val="en-GB"/>
              </w:rPr>
              <w:t>and</w:t>
            </w:r>
            <w:r>
              <w:rPr>
                <w:lang w:val="en-GB"/>
              </w:rPr>
              <w:t xml:space="preserve"> Kaletra should be avoided.  If this co</w:t>
            </w:r>
            <w:r>
              <w:rPr>
                <w:lang w:val="en-GB"/>
              </w:rPr>
              <w:noBreakHyphen/>
              <w:t>administration is judged unavoidable, refer to the abemaciclib SmPC for dosage adjustment recommendations.  Monitor for ADRs related to abemaciclib.</w:t>
            </w:r>
          </w:p>
        </w:tc>
      </w:tr>
      <w:tr w:rsidR="00E175A9" w:rsidRPr="00342F7C" w14:paraId="09535B6C" w14:textId="77777777" w:rsidTr="008E20B3">
        <w:tc>
          <w:tcPr>
            <w:tcW w:w="2400" w:type="dxa"/>
            <w:tcBorders>
              <w:top w:val="single" w:sz="4" w:space="0" w:color="auto"/>
              <w:left w:val="single" w:sz="4" w:space="0" w:color="auto"/>
              <w:bottom w:val="single" w:sz="4" w:space="0" w:color="auto"/>
              <w:right w:val="single" w:sz="4" w:space="0" w:color="auto"/>
            </w:tcBorders>
          </w:tcPr>
          <w:p w14:paraId="5ECA2626" w14:textId="77777777" w:rsidR="00E175A9" w:rsidRDefault="00E175A9" w:rsidP="005A4A77">
            <w:pPr>
              <w:pStyle w:val="EMEANormal"/>
              <w:rPr>
                <w:lang w:val="en-GB"/>
              </w:rPr>
            </w:pPr>
            <w:r>
              <w:rPr>
                <w:lang w:val="en-GB"/>
              </w:rPr>
              <w:t>Apalutamide</w:t>
            </w:r>
          </w:p>
        </w:tc>
        <w:tc>
          <w:tcPr>
            <w:tcW w:w="3270" w:type="dxa"/>
            <w:gridSpan w:val="3"/>
            <w:tcBorders>
              <w:top w:val="single" w:sz="4" w:space="0" w:color="auto"/>
              <w:left w:val="single" w:sz="4" w:space="0" w:color="auto"/>
              <w:bottom w:val="single" w:sz="4" w:space="0" w:color="auto"/>
              <w:right w:val="single" w:sz="4" w:space="0" w:color="auto"/>
            </w:tcBorders>
          </w:tcPr>
          <w:p w14:paraId="0C266A0E" w14:textId="77777777" w:rsidR="00E175A9" w:rsidRDefault="00E175A9" w:rsidP="0036525B">
            <w:pPr>
              <w:pStyle w:val="EMEANormal"/>
            </w:pPr>
            <w:r>
              <w:t>Apalutamide is a moderate to strong CYP3A4 inducer and this may lead to a decreased exposure of lopinavir/ritonavir.</w:t>
            </w:r>
          </w:p>
          <w:p w14:paraId="38BF644B" w14:textId="77777777" w:rsidR="00E175A9" w:rsidRDefault="00E175A9" w:rsidP="0036525B">
            <w:pPr>
              <w:pStyle w:val="EMEANormal"/>
            </w:pPr>
          </w:p>
          <w:p w14:paraId="2177567B" w14:textId="77777777" w:rsidR="00E175A9" w:rsidRDefault="00E175A9" w:rsidP="005A4A77">
            <w:pPr>
              <w:pStyle w:val="EMEANormal"/>
            </w:pPr>
            <w:r>
              <w:t>Serum concentrations of apalutamide may be increased due to CYP3A inhibition by lopinavir/ritonavir.</w:t>
            </w:r>
          </w:p>
        </w:tc>
        <w:tc>
          <w:tcPr>
            <w:tcW w:w="3544" w:type="dxa"/>
            <w:tcBorders>
              <w:top w:val="single" w:sz="4" w:space="0" w:color="auto"/>
              <w:left w:val="single" w:sz="4" w:space="0" w:color="auto"/>
              <w:bottom w:val="single" w:sz="4" w:space="0" w:color="auto"/>
              <w:right w:val="single" w:sz="4" w:space="0" w:color="auto"/>
            </w:tcBorders>
          </w:tcPr>
          <w:p w14:paraId="7A3D803A" w14:textId="77777777" w:rsidR="00E175A9" w:rsidRDefault="00E175A9" w:rsidP="0036525B">
            <w:pPr>
              <w:pStyle w:val="EMEANormal"/>
              <w:rPr>
                <w:lang w:val="en-GB"/>
              </w:rPr>
            </w:pPr>
            <w:r>
              <w:rPr>
                <w:lang w:val="en-GB"/>
              </w:rPr>
              <w:t xml:space="preserve">Decreased exposure of Kaletra may result in potential loss of virological response.  </w:t>
            </w:r>
          </w:p>
          <w:p w14:paraId="246D1F38" w14:textId="77777777" w:rsidR="00E175A9" w:rsidRDefault="00E175A9" w:rsidP="000818DA">
            <w:pPr>
              <w:pStyle w:val="EMEANormal"/>
              <w:rPr>
                <w:lang w:val="en-GB"/>
              </w:rPr>
            </w:pPr>
            <w:r>
              <w:rPr>
                <w:lang w:val="en-GB"/>
              </w:rPr>
              <w:t xml:space="preserve">In addition, co-administration of apalutamide and Kaletra may lead to serious adverse events including seizure due to higher apalutamide levels.  Concomitant use of Kaletra with apalutamide is </w:t>
            </w:r>
            <w:r w:rsidR="000818DA">
              <w:rPr>
                <w:lang w:val="en-GB"/>
              </w:rPr>
              <w:t>not recommended</w:t>
            </w:r>
            <w:r>
              <w:rPr>
                <w:lang w:val="en-GB"/>
              </w:rPr>
              <w:t>.</w:t>
            </w:r>
          </w:p>
        </w:tc>
      </w:tr>
      <w:tr w:rsidR="00BE1421" w:rsidRPr="00342F7C" w14:paraId="6A907A31" w14:textId="77777777" w:rsidTr="008E20B3">
        <w:tc>
          <w:tcPr>
            <w:tcW w:w="2400" w:type="dxa"/>
            <w:tcBorders>
              <w:top w:val="single" w:sz="4" w:space="0" w:color="auto"/>
              <w:left w:val="single" w:sz="4" w:space="0" w:color="auto"/>
              <w:bottom w:val="single" w:sz="4" w:space="0" w:color="auto"/>
              <w:right w:val="single" w:sz="4" w:space="0" w:color="auto"/>
            </w:tcBorders>
          </w:tcPr>
          <w:p w14:paraId="5DE6FAED" w14:textId="77777777" w:rsidR="00BE1421" w:rsidRDefault="00BE1421" w:rsidP="005A4A77">
            <w:pPr>
              <w:pStyle w:val="EMEANormal"/>
              <w:rPr>
                <w:lang w:val="en-GB"/>
              </w:rPr>
            </w:pPr>
            <w:r>
              <w:rPr>
                <w:lang w:val="en-GB"/>
              </w:rPr>
              <w:t>Afatinib</w:t>
            </w:r>
          </w:p>
          <w:p w14:paraId="013534E3" w14:textId="77777777" w:rsidR="00BE1421" w:rsidRDefault="00BE1421" w:rsidP="005A4A77">
            <w:pPr>
              <w:pStyle w:val="EMEANormal"/>
              <w:rPr>
                <w:lang w:val="en-GB"/>
              </w:rPr>
            </w:pPr>
          </w:p>
          <w:p w14:paraId="713A9352" w14:textId="77777777" w:rsidR="00BE1421" w:rsidRPr="00342F7C" w:rsidRDefault="00BE1421" w:rsidP="005A4A77">
            <w:pPr>
              <w:pStyle w:val="EMEANormal"/>
              <w:rPr>
                <w:lang w:val="en-GB"/>
              </w:rPr>
            </w:pPr>
            <w:r>
              <w:rPr>
                <w:lang w:val="en-GB"/>
              </w:rPr>
              <w:t>(Ritonavir 200 mg twice daily)</w:t>
            </w:r>
          </w:p>
        </w:tc>
        <w:tc>
          <w:tcPr>
            <w:tcW w:w="3270" w:type="dxa"/>
            <w:gridSpan w:val="3"/>
            <w:tcBorders>
              <w:top w:val="single" w:sz="4" w:space="0" w:color="auto"/>
              <w:left w:val="single" w:sz="4" w:space="0" w:color="auto"/>
              <w:bottom w:val="single" w:sz="4" w:space="0" w:color="auto"/>
              <w:right w:val="single" w:sz="4" w:space="0" w:color="auto"/>
            </w:tcBorders>
          </w:tcPr>
          <w:p w14:paraId="6F32AD18" w14:textId="77777777" w:rsidR="00BE1421" w:rsidRDefault="00BE1421" w:rsidP="005A4A77">
            <w:pPr>
              <w:pStyle w:val="EMEANormal"/>
            </w:pPr>
            <w:r>
              <w:t>Afatinib:</w:t>
            </w:r>
          </w:p>
          <w:p w14:paraId="0627644A" w14:textId="77777777" w:rsidR="00BE1421" w:rsidRPr="00FF64FE" w:rsidRDefault="00BE1421" w:rsidP="005A4A77">
            <w:pPr>
              <w:pStyle w:val="EMEANormal"/>
            </w:pPr>
            <w:r w:rsidRPr="00FF64FE">
              <w:t xml:space="preserve">AUC: </w:t>
            </w:r>
            <w:r w:rsidRPr="00FF64FE">
              <w:rPr>
                <w:lang w:val="en-GB"/>
              </w:rPr>
              <w:t xml:space="preserve">↑ </w:t>
            </w:r>
          </w:p>
          <w:p w14:paraId="303F1405" w14:textId="77777777" w:rsidR="00BE1421" w:rsidRDefault="00BE1421" w:rsidP="005A4A77">
            <w:pPr>
              <w:pStyle w:val="EMEANormal"/>
              <w:rPr>
                <w:lang w:val="en-GB"/>
              </w:rPr>
            </w:pPr>
            <w:r w:rsidRPr="00FF64FE">
              <w:t>C</w:t>
            </w:r>
            <w:r w:rsidRPr="00FF64FE">
              <w:rPr>
                <w:vertAlign w:val="subscript"/>
              </w:rPr>
              <w:t>max</w:t>
            </w:r>
            <w:r w:rsidRPr="00FF64FE">
              <w:t xml:space="preserve">: </w:t>
            </w:r>
            <w:r w:rsidRPr="00FF64FE">
              <w:rPr>
                <w:lang w:val="en-GB"/>
              </w:rPr>
              <w:t>↑</w:t>
            </w:r>
          </w:p>
          <w:p w14:paraId="7EEFD2F0" w14:textId="77777777" w:rsidR="00BE1421" w:rsidRDefault="00BE1421" w:rsidP="005A4A77">
            <w:pPr>
              <w:pStyle w:val="EMEANormal"/>
              <w:rPr>
                <w:lang w:val="en-GB"/>
              </w:rPr>
            </w:pPr>
          </w:p>
          <w:p w14:paraId="517C3A32" w14:textId="77777777" w:rsidR="00BE1421" w:rsidRDefault="00BE1421" w:rsidP="005A4A77">
            <w:pPr>
              <w:pStyle w:val="EMEANormal"/>
              <w:rPr>
                <w:lang w:val="en-GB"/>
              </w:rPr>
            </w:pPr>
            <w:r>
              <w:rPr>
                <w:lang w:val="en-GB"/>
              </w:rPr>
              <w:t>The extent of increase depends on the timing of ritonavir administration.</w:t>
            </w:r>
          </w:p>
          <w:p w14:paraId="25D1777E" w14:textId="77777777" w:rsidR="00BE1421" w:rsidRDefault="00BE1421" w:rsidP="005A4A77">
            <w:pPr>
              <w:pStyle w:val="EMEANormal"/>
              <w:rPr>
                <w:lang w:val="en-GB"/>
              </w:rPr>
            </w:pPr>
          </w:p>
          <w:p w14:paraId="6FE1E2C1" w14:textId="77777777" w:rsidR="00BE1421" w:rsidRPr="00342F7C" w:rsidRDefault="00BE1421" w:rsidP="005A4A77">
            <w:pPr>
              <w:pStyle w:val="EMEANormal"/>
              <w:rPr>
                <w:lang w:val="en-GB"/>
              </w:rPr>
            </w:pPr>
            <w:r>
              <w:rPr>
                <w:lang w:val="en-GB"/>
              </w:rPr>
              <w:t xml:space="preserve">Due to BCRP (breast cancer </w:t>
            </w:r>
            <w:r w:rsidRPr="009F191D">
              <w:rPr>
                <w:szCs w:val="22"/>
              </w:rPr>
              <w:t>resistance protein/ABCG2)</w:t>
            </w:r>
            <w:r>
              <w:rPr>
                <w:lang w:val="en-GB"/>
              </w:rPr>
              <w:t xml:space="preserve"> and acute P-gp inhibition by lopinavir/ritonavir.</w:t>
            </w:r>
          </w:p>
        </w:tc>
        <w:tc>
          <w:tcPr>
            <w:tcW w:w="3544" w:type="dxa"/>
            <w:tcBorders>
              <w:top w:val="single" w:sz="4" w:space="0" w:color="auto"/>
              <w:left w:val="single" w:sz="4" w:space="0" w:color="auto"/>
              <w:bottom w:val="single" w:sz="4" w:space="0" w:color="auto"/>
              <w:right w:val="single" w:sz="4" w:space="0" w:color="auto"/>
            </w:tcBorders>
          </w:tcPr>
          <w:p w14:paraId="47C4F8FA" w14:textId="77777777" w:rsidR="00BE1421" w:rsidRPr="00342F7C" w:rsidRDefault="00BE1421" w:rsidP="005A4A77">
            <w:pPr>
              <w:pStyle w:val="EMEANormal"/>
              <w:rPr>
                <w:lang w:val="en-GB"/>
              </w:rPr>
            </w:pPr>
            <w:r>
              <w:rPr>
                <w:lang w:val="en-GB"/>
              </w:rPr>
              <w:t>Caution should be exercised in administering afatinib with Kaletra.  Refer to the afatinib SmPC for dosage adjustment recommendations.  Monitor for ADRs related to afatinib.</w:t>
            </w:r>
          </w:p>
        </w:tc>
      </w:tr>
      <w:tr w:rsidR="00BE1421" w:rsidRPr="00342F7C" w14:paraId="0AFA9C05" w14:textId="77777777" w:rsidTr="008E20B3">
        <w:tc>
          <w:tcPr>
            <w:tcW w:w="2400" w:type="dxa"/>
            <w:tcBorders>
              <w:top w:val="single" w:sz="4" w:space="0" w:color="auto"/>
              <w:left w:val="single" w:sz="4" w:space="0" w:color="auto"/>
              <w:bottom w:val="single" w:sz="4" w:space="0" w:color="auto"/>
              <w:right w:val="single" w:sz="4" w:space="0" w:color="auto"/>
            </w:tcBorders>
          </w:tcPr>
          <w:p w14:paraId="43AC8ECE" w14:textId="77777777" w:rsidR="00BE1421" w:rsidRPr="00342F7C" w:rsidRDefault="00BE1421" w:rsidP="00B1213D">
            <w:pPr>
              <w:pStyle w:val="EMEANormal"/>
              <w:keepNext/>
              <w:rPr>
                <w:lang w:val="en-GB"/>
              </w:rPr>
            </w:pPr>
            <w:r>
              <w:rPr>
                <w:lang w:val="en-GB"/>
              </w:rPr>
              <w:t>Ceritinib</w:t>
            </w:r>
          </w:p>
        </w:tc>
        <w:tc>
          <w:tcPr>
            <w:tcW w:w="3270" w:type="dxa"/>
            <w:gridSpan w:val="3"/>
            <w:tcBorders>
              <w:top w:val="single" w:sz="4" w:space="0" w:color="auto"/>
              <w:left w:val="single" w:sz="4" w:space="0" w:color="auto"/>
              <w:bottom w:val="single" w:sz="4" w:space="0" w:color="auto"/>
              <w:right w:val="single" w:sz="4" w:space="0" w:color="auto"/>
            </w:tcBorders>
          </w:tcPr>
          <w:p w14:paraId="4DEF48FB" w14:textId="77777777" w:rsidR="00BE1421" w:rsidRPr="00342F7C" w:rsidRDefault="00BE1421" w:rsidP="00B1213D">
            <w:pPr>
              <w:pStyle w:val="EMEANormal"/>
              <w:keepNext/>
              <w:rPr>
                <w:lang w:val="en-GB"/>
              </w:rPr>
            </w:pPr>
            <w:r>
              <w:rPr>
                <w:lang w:val="en-GB"/>
              </w:rPr>
              <w:t>Serum concentrations may be increased due to CYP3A and P</w:t>
            </w:r>
            <w:r>
              <w:rPr>
                <w:lang w:val="en-GB"/>
              </w:rPr>
              <w:noBreakHyphen/>
              <w:t>gp inhibition by lopinavir/ritonavir.</w:t>
            </w:r>
          </w:p>
        </w:tc>
        <w:tc>
          <w:tcPr>
            <w:tcW w:w="3544" w:type="dxa"/>
            <w:tcBorders>
              <w:top w:val="single" w:sz="4" w:space="0" w:color="auto"/>
              <w:left w:val="single" w:sz="4" w:space="0" w:color="auto"/>
              <w:bottom w:val="single" w:sz="4" w:space="0" w:color="auto"/>
              <w:right w:val="single" w:sz="4" w:space="0" w:color="auto"/>
            </w:tcBorders>
          </w:tcPr>
          <w:p w14:paraId="6FCF9E58" w14:textId="77777777" w:rsidR="00BE1421" w:rsidRPr="00342F7C" w:rsidRDefault="00BE1421" w:rsidP="00B1213D">
            <w:pPr>
              <w:pStyle w:val="EMEANormal"/>
              <w:keepNext/>
              <w:rPr>
                <w:lang w:val="en-GB"/>
              </w:rPr>
            </w:pPr>
            <w:r>
              <w:rPr>
                <w:lang w:val="en-GB"/>
              </w:rPr>
              <w:t>Caution should be exercised in administering ceritinib with Kaletra.  Refer to the ceritinib SmPC for dosage adjustment recommendations.  Monitor for ADRs related to ceritinib.</w:t>
            </w:r>
          </w:p>
        </w:tc>
      </w:tr>
      <w:tr w:rsidR="00BE1421" w:rsidRPr="00342F7C" w14:paraId="242AAB8A" w14:textId="77777777" w:rsidTr="008E20B3">
        <w:tc>
          <w:tcPr>
            <w:tcW w:w="2400" w:type="dxa"/>
            <w:tcBorders>
              <w:top w:val="single" w:sz="4" w:space="0" w:color="auto"/>
              <w:left w:val="single" w:sz="4" w:space="0" w:color="auto"/>
              <w:bottom w:val="single" w:sz="4" w:space="0" w:color="auto"/>
              <w:right w:val="single" w:sz="4" w:space="0" w:color="auto"/>
            </w:tcBorders>
          </w:tcPr>
          <w:p w14:paraId="4B401DA5" w14:textId="77777777" w:rsidR="00BE1421" w:rsidRPr="00342F7C" w:rsidRDefault="00BE1421" w:rsidP="00D11B95">
            <w:pPr>
              <w:pStyle w:val="EMEANormal"/>
              <w:rPr>
                <w:lang w:val="en-GB"/>
              </w:rPr>
            </w:pPr>
            <w:r w:rsidRPr="00342F7C">
              <w:rPr>
                <w:lang w:val="en-GB"/>
              </w:rPr>
              <w:t xml:space="preserve">Most tyrosine kinase inhibitors such as dasatinib and nilotinib, </w:t>
            </w:r>
            <w:r>
              <w:rPr>
                <w:lang w:val="en-GB"/>
              </w:rPr>
              <w:t>v</w:t>
            </w:r>
            <w:r w:rsidRPr="00342F7C">
              <w:rPr>
                <w:lang w:val="en-GB"/>
              </w:rPr>
              <w:t xml:space="preserve">incristine, </w:t>
            </w:r>
            <w:r>
              <w:rPr>
                <w:lang w:val="en-GB"/>
              </w:rPr>
              <w:t>v</w:t>
            </w:r>
            <w:r w:rsidRPr="00342F7C">
              <w:rPr>
                <w:lang w:val="en-GB"/>
              </w:rPr>
              <w:t>inblastine</w:t>
            </w:r>
          </w:p>
        </w:tc>
        <w:tc>
          <w:tcPr>
            <w:tcW w:w="3270" w:type="dxa"/>
            <w:gridSpan w:val="3"/>
            <w:tcBorders>
              <w:top w:val="single" w:sz="4" w:space="0" w:color="auto"/>
              <w:left w:val="single" w:sz="4" w:space="0" w:color="auto"/>
              <w:bottom w:val="single" w:sz="4" w:space="0" w:color="auto"/>
              <w:right w:val="single" w:sz="4" w:space="0" w:color="auto"/>
            </w:tcBorders>
          </w:tcPr>
          <w:p w14:paraId="75BE14C3" w14:textId="77777777" w:rsidR="00BE1421" w:rsidRPr="00342F7C" w:rsidRDefault="00BE1421" w:rsidP="00D11B95">
            <w:pPr>
              <w:pStyle w:val="EMEANormal"/>
              <w:rPr>
                <w:lang w:val="en-GB"/>
              </w:rPr>
            </w:pPr>
            <w:r w:rsidRPr="00342F7C">
              <w:rPr>
                <w:lang w:val="en-GB"/>
              </w:rPr>
              <w:t>Most tyrosine kinase inhibitors such as dasatinib and nilotinib, also vincristine and vinblastine:</w:t>
            </w:r>
          </w:p>
          <w:p w14:paraId="182F642B" w14:textId="77777777" w:rsidR="00BE1421" w:rsidRPr="00342F7C" w:rsidRDefault="00BE1421" w:rsidP="00D11B95">
            <w:pPr>
              <w:pStyle w:val="EMEANormal"/>
              <w:rPr>
                <w:lang w:val="en-GB"/>
              </w:rPr>
            </w:pPr>
            <w:r w:rsidRPr="00342F7C">
              <w:rPr>
                <w:lang w:val="en-GB"/>
              </w:rPr>
              <w:t xml:space="preserve">Risk of increased adverse events due to higher serum concentrations because of CYP3A4 inhibition by </w:t>
            </w:r>
            <w:r>
              <w:rPr>
                <w:lang w:val="en-GB"/>
              </w:rPr>
              <w:t>lopinavir/ritonavir</w:t>
            </w:r>
            <w:r w:rsidRPr="00342F7C">
              <w:rPr>
                <w:lang w:val="en-GB"/>
              </w:rPr>
              <w:t>.</w:t>
            </w:r>
          </w:p>
        </w:tc>
        <w:tc>
          <w:tcPr>
            <w:tcW w:w="3544" w:type="dxa"/>
            <w:tcBorders>
              <w:top w:val="single" w:sz="4" w:space="0" w:color="auto"/>
              <w:left w:val="single" w:sz="4" w:space="0" w:color="auto"/>
              <w:bottom w:val="single" w:sz="4" w:space="0" w:color="auto"/>
              <w:right w:val="single" w:sz="4" w:space="0" w:color="auto"/>
            </w:tcBorders>
          </w:tcPr>
          <w:p w14:paraId="6D228BAD" w14:textId="77777777" w:rsidR="00BE1421" w:rsidRPr="00342F7C" w:rsidRDefault="00BE1421" w:rsidP="00D11B95">
            <w:pPr>
              <w:pStyle w:val="EMEANormal"/>
              <w:rPr>
                <w:lang w:val="en-GB"/>
              </w:rPr>
            </w:pPr>
            <w:r w:rsidRPr="00342F7C">
              <w:rPr>
                <w:lang w:val="en-GB"/>
              </w:rPr>
              <w:t>Careful monitoring of the tolerance of these anticancer agents.</w:t>
            </w:r>
          </w:p>
          <w:p w14:paraId="615565AE" w14:textId="77777777" w:rsidR="00BE1421" w:rsidRPr="00342F7C" w:rsidRDefault="00BE1421" w:rsidP="00D11B95">
            <w:pPr>
              <w:pStyle w:val="EMEANormal"/>
              <w:rPr>
                <w:lang w:val="en-GB"/>
              </w:rPr>
            </w:pPr>
          </w:p>
        </w:tc>
      </w:tr>
      <w:tr w:rsidR="00BE1421" w:rsidRPr="00342F7C" w14:paraId="75EE00BA" w14:textId="77777777" w:rsidTr="008F531F">
        <w:tc>
          <w:tcPr>
            <w:tcW w:w="2410" w:type="dxa"/>
            <w:gridSpan w:val="2"/>
            <w:tcBorders>
              <w:top w:val="single" w:sz="4" w:space="0" w:color="auto"/>
              <w:left w:val="single" w:sz="4" w:space="0" w:color="auto"/>
              <w:bottom w:val="single" w:sz="4" w:space="0" w:color="auto"/>
              <w:right w:val="single" w:sz="4" w:space="0" w:color="auto"/>
            </w:tcBorders>
          </w:tcPr>
          <w:p w14:paraId="1403931E" w14:textId="77777777" w:rsidR="00BE1421" w:rsidRDefault="00BE1421" w:rsidP="00B84095">
            <w:pPr>
              <w:pStyle w:val="EMEANormal"/>
              <w:rPr>
                <w:lang w:val="en-GB"/>
              </w:rPr>
            </w:pPr>
            <w:r>
              <w:rPr>
                <w:lang w:val="en-GB"/>
              </w:rPr>
              <w:t>Encorafenib</w:t>
            </w:r>
          </w:p>
        </w:tc>
        <w:tc>
          <w:tcPr>
            <w:tcW w:w="3260" w:type="dxa"/>
            <w:gridSpan w:val="2"/>
            <w:tcBorders>
              <w:top w:val="single" w:sz="4" w:space="0" w:color="auto"/>
              <w:left w:val="single" w:sz="4" w:space="0" w:color="auto"/>
              <w:bottom w:val="single" w:sz="4" w:space="0" w:color="auto"/>
              <w:right w:val="single" w:sz="4" w:space="0" w:color="auto"/>
            </w:tcBorders>
          </w:tcPr>
          <w:p w14:paraId="682FB266" w14:textId="77777777" w:rsidR="00BE1421" w:rsidRDefault="00BE1421" w:rsidP="00B84095">
            <w:pPr>
              <w:pStyle w:val="EMEANormal"/>
              <w:rPr>
                <w:lang w:val="en-GB"/>
              </w:rPr>
            </w:pPr>
            <w:r>
              <w:rPr>
                <w:lang w:val="en-GB"/>
              </w:rPr>
              <w:t>Serum concentrations may be increased due to CYP3A inhibition by lopinavir/ritonavir.</w:t>
            </w:r>
          </w:p>
        </w:tc>
        <w:tc>
          <w:tcPr>
            <w:tcW w:w="3544" w:type="dxa"/>
            <w:tcBorders>
              <w:top w:val="single" w:sz="4" w:space="0" w:color="auto"/>
              <w:left w:val="single" w:sz="4" w:space="0" w:color="auto"/>
              <w:bottom w:val="single" w:sz="4" w:space="0" w:color="auto"/>
              <w:right w:val="single" w:sz="4" w:space="0" w:color="auto"/>
            </w:tcBorders>
          </w:tcPr>
          <w:p w14:paraId="08DBDE5B" w14:textId="77777777" w:rsidR="00BE1421" w:rsidRDefault="00034DEB" w:rsidP="00B84095">
            <w:pPr>
              <w:pStyle w:val="EMEANormal"/>
              <w:rPr>
                <w:lang w:val="en-GB"/>
              </w:rPr>
            </w:pPr>
            <w:r>
              <w:rPr>
                <w:lang w:val="en-GB"/>
              </w:rPr>
              <w:t xml:space="preserve">Co-administration of encorafenib with Kaletra may increase encorafenib exposure which may increase the risk of toxicity, including the risk of serious adverse events such as QT interval prolongation.  </w:t>
            </w:r>
            <w:r w:rsidRPr="007B1EDD">
              <w:t>Co</w:t>
            </w:r>
            <w:r w:rsidRPr="007B1EDD">
              <w:noBreakHyphen/>
              <w:t xml:space="preserve">administration of encorafenib and </w:t>
            </w:r>
            <w:r>
              <w:t xml:space="preserve">Kaletra </w:t>
            </w:r>
            <w:r w:rsidRPr="007B1EDD">
              <w:t xml:space="preserve">should be avoided.  If the benefit is considered to outweigh the risk and </w:t>
            </w:r>
            <w:r>
              <w:t>Kaletra</w:t>
            </w:r>
            <w:r w:rsidRPr="007B1EDD">
              <w:t xml:space="preserve"> must be used,</w:t>
            </w:r>
            <w:r w:rsidR="00950960">
              <w:t xml:space="preserve"> patients should be carefully monitored for safety</w:t>
            </w:r>
            <w:r w:rsidRPr="007B1EDD">
              <w:t>.</w:t>
            </w:r>
          </w:p>
        </w:tc>
      </w:tr>
      <w:tr w:rsidR="008915C6" w:rsidRPr="00342F7C" w14:paraId="635BC594" w14:textId="77777777" w:rsidTr="008F531F">
        <w:tc>
          <w:tcPr>
            <w:tcW w:w="2410" w:type="dxa"/>
            <w:gridSpan w:val="2"/>
            <w:tcBorders>
              <w:top w:val="single" w:sz="4" w:space="0" w:color="auto"/>
              <w:left w:val="single" w:sz="4" w:space="0" w:color="auto"/>
              <w:bottom w:val="single" w:sz="4" w:space="0" w:color="auto"/>
              <w:right w:val="single" w:sz="4" w:space="0" w:color="auto"/>
            </w:tcBorders>
          </w:tcPr>
          <w:p w14:paraId="1D547944" w14:textId="04D9FF73" w:rsidR="008915C6" w:rsidRDefault="008915C6" w:rsidP="008915C6">
            <w:pPr>
              <w:pStyle w:val="EMEANormal"/>
              <w:rPr>
                <w:lang w:val="en-GB"/>
              </w:rPr>
            </w:pPr>
            <w:r w:rsidRPr="0022767B">
              <w:rPr>
                <w:szCs w:val="22"/>
                <w:lang w:val="en-GB"/>
              </w:rPr>
              <w:t>Fostamatinib</w:t>
            </w:r>
          </w:p>
        </w:tc>
        <w:tc>
          <w:tcPr>
            <w:tcW w:w="3260" w:type="dxa"/>
            <w:gridSpan w:val="2"/>
            <w:tcBorders>
              <w:top w:val="single" w:sz="4" w:space="0" w:color="auto"/>
              <w:left w:val="single" w:sz="4" w:space="0" w:color="auto"/>
              <w:bottom w:val="single" w:sz="4" w:space="0" w:color="auto"/>
              <w:right w:val="single" w:sz="4" w:space="0" w:color="auto"/>
            </w:tcBorders>
          </w:tcPr>
          <w:p w14:paraId="4CBCF221" w14:textId="3A297EEC" w:rsidR="008915C6" w:rsidRDefault="008915C6" w:rsidP="008915C6">
            <w:pPr>
              <w:pStyle w:val="EMEANormal"/>
              <w:rPr>
                <w:lang w:val="en-GB"/>
              </w:rPr>
            </w:pPr>
            <w:r w:rsidRPr="0022767B">
              <w:rPr>
                <w:szCs w:val="22"/>
              </w:rPr>
              <w:t>Increase in fostamatinib metabolite R406 exposure.</w:t>
            </w:r>
          </w:p>
        </w:tc>
        <w:tc>
          <w:tcPr>
            <w:tcW w:w="3544" w:type="dxa"/>
            <w:tcBorders>
              <w:top w:val="single" w:sz="4" w:space="0" w:color="auto"/>
              <w:left w:val="single" w:sz="4" w:space="0" w:color="auto"/>
              <w:bottom w:val="single" w:sz="4" w:space="0" w:color="auto"/>
              <w:right w:val="single" w:sz="4" w:space="0" w:color="auto"/>
            </w:tcBorders>
          </w:tcPr>
          <w:p w14:paraId="07A1C052" w14:textId="71FAA71D" w:rsidR="008915C6" w:rsidRDefault="008915C6" w:rsidP="008915C6">
            <w:pPr>
              <w:pStyle w:val="EMEANormal"/>
              <w:rPr>
                <w:lang w:val="en-GB"/>
              </w:rPr>
            </w:pPr>
            <w:r w:rsidRPr="0022767B">
              <w:rPr>
                <w:szCs w:val="22"/>
              </w:rPr>
              <w:t xml:space="preserve">Co-administration of fostamatinib with Kaletra may increase fostamatinib metabolite R406 exposure resulting in dose-related adverse events such as hepatotoxicity, neutropenia, hypertension, or diarrhoea. </w:t>
            </w:r>
            <w:r>
              <w:rPr>
                <w:szCs w:val="22"/>
              </w:rPr>
              <w:t xml:space="preserve"> </w:t>
            </w:r>
            <w:r w:rsidRPr="0022767B">
              <w:rPr>
                <w:szCs w:val="22"/>
              </w:rPr>
              <w:t>Refer to the fostamatinib SmPC for dose reduction recommendations if such events occur.</w:t>
            </w:r>
          </w:p>
        </w:tc>
      </w:tr>
      <w:tr w:rsidR="00BE1421" w:rsidRPr="00342F7C" w14:paraId="259689FE" w14:textId="77777777" w:rsidTr="008F531F">
        <w:tc>
          <w:tcPr>
            <w:tcW w:w="2410" w:type="dxa"/>
            <w:gridSpan w:val="2"/>
            <w:tcBorders>
              <w:top w:val="single" w:sz="4" w:space="0" w:color="auto"/>
              <w:left w:val="single" w:sz="4" w:space="0" w:color="auto"/>
              <w:bottom w:val="single" w:sz="4" w:space="0" w:color="auto"/>
              <w:right w:val="single" w:sz="4" w:space="0" w:color="auto"/>
            </w:tcBorders>
          </w:tcPr>
          <w:p w14:paraId="469EDE33" w14:textId="77777777" w:rsidR="00BE1421" w:rsidRPr="00342F7C" w:rsidRDefault="00BE1421" w:rsidP="00B84095">
            <w:pPr>
              <w:pStyle w:val="EMEANormal"/>
              <w:rPr>
                <w:lang w:val="en-GB"/>
              </w:rPr>
            </w:pPr>
            <w:r>
              <w:rPr>
                <w:lang w:val="en-GB"/>
              </w:rPr>
              <w:t>Ibrutinib</w:t>
            </w:r>
          </w:p>
        </w:tc>
        <w:tc>
          <w:tcPr>
            <w:tcW w:w="3260" w:type="dxa"/>
            <w:gridSpan w:val="2"/>
            <w:tcBorders>
              <w:top w:val="single" w:sz="4" w:space="0" w:color="auto"/>
              <w:left w:val="single" w:sz="4" w:space="0" w:color="auto"/>
              <w:bottom w:val="single" w:sz="4" w:space="0" w:color="auto"/>
              <w:right w:val="single" w:sz="4" w:space="0" w:color="auto"/>
            </w:tcBorders>
          </w:tcPr>
          <w:p w14:paraId="57BF2377" w14:textId="77777777" w:rsidR="00BE1421" w:rsidRPr="00342F7C" w:rsidRDefault="00BE1421" w:rsidP="00B84095">
            <w:pPr>
              <w:pStyle w:val="EMEANormal"/>
              <w:rPr>
                <w:lang w:val="en-GB"/>
              </w:rPr>
            </w:pPr>
            <w:r>
              <w:rPr>
                <w:lang w:val="en-GB"/>
              </w:rPr>
              <w:t>Serum concentrations may be increased due to CYP3A inhibition by lopinavir/ritonavir.</w:t>
            </w:r>
          </w:p>
        </w:tc>
        <w:tc>
          <w:tcPr>
            <w:tcW w:w="3544" w:type="dxa"/>
            <w:tcBorders>
              <w:top w:val="single" w:sz="4" w:space="0" w:color="auto"/>
              <w:left w:val="single" w:sz="4" w:space="0" w:color="auto"/>
              <w:bottom w:val="single" w:sz="4" w:space="0" w:color="auto"/>
              <w:right w:val="single" w:sz="4" w:space="0" w:color="auto"/>
            </w:tcBorders>
          </w:tcPr>
          <w:p w14:paraId="5AC07D5F" w14:textId="77777777" w:rsidR="00BE1421" w:rsidRPr="00342F7C" w:rsidRDefault="00BE1421" w:rsidP="00B84095">
            <w:pPr>
              <w:pStyle w:val="EMEANormal"/>
              <w:rPr>
                <w:lang w:val="en-GB"/>
              </w:rPr>
            </w:pPr>
            <w:r>
              <w:rPr>
                <w:lang w:val="en-GB"/>
              </w:rPr>
              <w:t>Co-administration of ibrutinib and Kaletra may increase ibrutinib exposure which may increase the risk of toxicity including risk of tumor lysis syndrome. Co</w:t>
            </w:r>
            <w:r>
              <w:rPr>
                <w:lang w:val="en-GB"/>
              </w:rPr>
              <w:noBreakHyphen/>
              <w:t>administration of ibrutinib and Kaletra should be avoided.  If the benefit is considered to outweigh the risk and Kaletra must be used, reduce the ibrutinib dose to 140 mg and monitor patient closely for toxicity.</w:t>
            </w:r>
          </w:p>
        </w:tc>
      </w:tr>
      <w:tr w:rsidR="00BE1421" w:rsidRPr="00342F7C" w14:paraId="12E6F393" w14:textId="77777777" w:rsidTr="008F531F">
        <w:tc>
          <w:tcPr>
            <w:tcW w:w="2410" w:type="dxa"/>
            <w:gridSpan w:val="2"/>
            <w:tcBorders>
              <w:top w:val="single" w:sz="4" w:space="0" w:color="auto"/>
              <w:left w:val="single" w:sz="4" w:space="0" w:color="auto"/>
              <w:bottom w:val="single" w:sz="4" w:space="0" w:color="auto"/>
              <w:right w:val="single" w:sz="4" w:space="0" w:color="auto"/>
            </w:tcBorders>
          </w:tcPr>
          <w:p w14:paraId="1B389F01" w14:textId="77777777" w:rsidR="00BE1421" w:rsidRDefault="00BE1421" w:rsidP="00B84095">
            <w:pPr>
              <w:pStyle w:val="EMEANormal"/>
              <w:rPr>
                <w:lang w:val="en-GB"/>
              </w:rPr>
            </w:pPr>
            <w:r>
              <w:rPr>
                <w:lang w:val="en-GB"/>
              </w:rPr>
              <w:t>Neratinib</w:t>
            </w:r>
          </w:p>
        </w:tc>
        <w:tc>
          <w:tcPr>
            <w:tcW w:w="3260" w:type="dxa"/>
            <w:gridSpan w:val="2"/>
            <w:tcBorders>
              <w:top w:val="single" w:sz="4" w:space="0" w:color="auto"/>
              <w:left w:val="single" w:sz="4" w:space="0" w:color="auto"/>
              <w:bottom w:val="single" w:sz="4" w:space="0" w:color="auto"/>
              <w:right w:val="single" w:sz="4" w:space="0" w:color="auto"/>
            </w:tcBorders>
          </w:tcPr>
          <w:p w14:paraId="6638B903" w14:textId="77777777" w:rsidR="00BE1421" w:rsidRDefault="00BE1421" w:rsidP="00C66B73">
            <w:pPr>
              <w:pStyle w:val="EMEANormal"/>
              <w:rPr>
                <w:lang w:val="en-GB"/>
              </w:rPr>
            </w:pPr>
            <w:r>
              <w:rPr>
                <w:lang w:val="en-GB"/>
              </w:rPr>
              <w:t>Serum concentrations may be increased due to CYP3A inhibition by ritonavir.</w:t>
            </w:r>
          </w:p>
        </w:tc>
        <w:tc>
          <w:tcPr>
            <w:tcW w:w="3544" w:type="dxa"/>
            <w:tcBorders>
              <w:top w:val="single" w:sz="4" w:space="0" w:color="auto"/>
              <w:left w:val="single" w:sz="4" w:space="0" w:color="auto"/>
              <w:bottom w:val="single" w:sz="4" w:space="0" w:color="auto"/>
              <w:right w:val="single" w:sz="4" w:space="0" w:color="auto"/>
            </w:tcBorders>
          </w:tcPr>
          <w:p w14:paraId="291E8527" w14:textId="77777777" w:rsidR="00BE1421" w:rsidRDefault="00BE1421" w:rsidP="00B84095">
            <w:pPr>
              <w:pStyle w:val="EMEANormal"/>
              <w:rPr>
                <w:lang w:val="en-GB"/>
              </w:rPr>
            </w:pPr>
            <w:r>
              <w:rPr>
                <w:lang w:val="en-GB"/>
              </w:rPr>
              <w:t>Concomitant use of neratinib with Kaletra is contraindicated due to serious and/or life</w:t>
            </w:r>
            <w:r>
              <w:rPr>
                <w:lang w:val="en-GB"/>
              </w:rPr>
              <w:noBreakHyphen/>
              <w:t>threatening potential reactions including hepatotoxicity (see section 4.3).</w:t>
            </w:r>
          </w:p>
        </w:tc>
      </w:tr>
      <w:tr w:rsidR="00BE1421" w:rsidRPr="00342F7C" w14:paraId="542B539F" w14:textId="77777777" w:rsidTr="008E20B3">
        <w:tc>
          <w:tcPr>
            <w:tcW w:w="2410" w:type="dxa"/>
            <w:gridSpan w:val="2"/>
            <w:tcBorders>
              <w:top w:val="single" w:sz="4" w:space="0" w:color="auto"/>
              <w:left w:val="single" w:sz="4" w:space="0" w:color="auto"/>
              <w:bottom w:val="single" w:sz="4" w:space="0" w:color="auto"/>
              <w:right w:val="single" w:sz="4" w:space="0" w:color="auto"/>
            </w:tcBorders>
          </w:tcPr>
          <w:p w14:paraId="411B100A" w14:textId="77777777" w:rsidR="00BE1421" w:rsidRPr="00342F7C" w:rsidRDefault="00BE1421" w:rsidP="00D11B95">
            <w:pPr>
              <w:pStyle w:val="EMEANormal"/>
              <w:keepNext/>
              <w:rPr>
                <w:lang w:val="en-GB"/>
              </w:rPr>
            </w:pPr>
            <w:r>
              <w:rPr>
                <w:lang w:val="en-GB"/>
              </w:rPr>
              <w:t>Venetoclax</w:t>
            </w:r>
          </w:p>
        </w:tc>
        <w:tc>
          <w:tcPr>
            <w:tcW w:w="3260" w:type="dxa"/>
            <w:gridSpan w:val="2"/>
            <w:tcBorders>
              <w:top w:val="single" w:sz="4" w:space="0" w:color="auto"/>
              <w:left w:val="single" w:sz="4" w:space="0" w:color="auto"/>
              <w:bottom w:val="single" w:sz="4" w:space="0" w:color="auto"/>
              <w:right w:val="single" w:sz="4" w:space="0" w:color="auto"/>
            </w:tcBorders>
          </w:tcPr>
          <w:p w14:paraId="46432DF8" w14:textId="77777777" w:rsidR="00BE1421" w:rsidRPr="00342F7C" w:rsidRDefault="00BE1421" w:rsidP="00D11B95">
            <w:pPr>
              <w:pStyle w:val="EMEANormal"/>
              <w:keepNext/>
              <w:rPr>
                <w:lang w:val="en-GB"/>
              </w:rPr>
            </w:pPr>
            <w:r>
              <w:rPr>
                <w:lang w:val="en-GB"/>
              </w:rPr>
              <w:t>Due to CYP3A inhibition by lopinavir/ritonavir.</w:t>
            </w:r>
          </w:p>
        </w:tc>
        <w:tc>
          <w:tcPr>
            <w:tcW w:w="3544" w:type="dxa"/>
            <w:tcBorders>
              <w:top w:val="single" w:sz="4" w:space="0" w:color="auto"/>
              <w:left w:val="single" w:sz="4" w:space="0" w:color="auto"/>
              <w:bottom w:val="single" w:sz="4" w:space="0" w:color="auto"/>
              <w:right w:val="single" w:sz="4" w:space="0" w:color="auto"/>
            </w:tcBorders>
          </w:tcPr>
          <w:p w14:paraId="1A4750DF" w14:textId="77777777" w:rsidR="00BE1421" w:rsidRDefault="00BE1421" w:rsidP="00D11B95">
            <w:pPr>
              <w:pStyle w:val="EMEANormal"/>
              <w:keepNext/>
              <w:rPr>
                <w:lang w:val="en-GB"/>
              </w:rPr>
            </w:pPr>
            <w:r>
              <w:rPr>
                <w:lang w:val="en-GB"/>
              </w:rPr>
              <w:t>Serum concentrations may be increased due to CYP3A inhibition by lopinavir/ritonavir, resulting in increased risk of tumor lysis syndrome at the dose initiation and during the ramp-up phase (see section 4.3 and refer to the venetoclax SmPC).</w:t>
            </w:r>
          </w:p>
          <w:p w14:paraId="3CF64351" w14:textId="77777777" w:rsidR="00BE1421" w:rsidRDefault="00BE1421" w:rsidP="00D11B95">
            <w:pPr>
              <w:pStyle w:val="EMEANormal"/>
              <w:keepNext/>
              <w:rPr>
                <w:lang w:val="en-GB"/>
              </w:rPr>
            </w:pPr>
          </w:p>
          <w:p w14:paraId="4E815F21" w14:textId="77777777" w:rsidR="00BE1421" w:rsidRPr="00342F7C" w:rsidRDefault="00BE1421" w:rsidP="00D11B95">
            <w:pPr>
              <w:pStyle w:val="EMEANormal"/>
              <w:keepNext/>
              <w:rPr>
                <w:lang w:val="en-GB"/>
              </w:rPr>
            </w:pPr>
            <w:r w:rsidRPr="00610E32">
              <w:rPr>
                <w:szCs w:val="22"/>
              </w:rPr>
              <w:t>For patients who have completed the ramp-up phase and are on a steady daily dose of venetoclax, reduce the ven</w:t>
            </w:r>
            <w:r>
              <w:rPr>
                <w:szCs w:val="22"/>
              </w:rPr>
              <w:t>e</w:t>
            </w:r>
            <w:r w:rsidRPr="00610E32">
              <w:rPr>
                <w:szCs w:val="22"/>
              </w:rPr>
              <w:t>toclax dose by at least 75% when used with strong CYP3A inhibitors (refer to the venetoclax SmPC for dosing instructions).</w:t>
            </w:r>
            <w:r>
              <w:rPr>
                <w:szCs w:val="22"/>
              </w:rPr>
              <w:t xml:space="preserve">  Patients should be closely monitored for signs related to venetoclax toxicities.</w:t>
            </w:r>
          </w:p>
        </w:tc>
      </w:tr>
      <w:tr w:rsidR="00BE1421" w:rsidRPr="00342F7C" w14:paraId="6ACE6E54"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1D33E46A" w14:textId="77777777" w:rsidR="00BE1421" w:rsidRPr="00342F7C" w:rsidRDefault="00BE1421" w:rsidP="000B2D5F">
            <w:pPr>
              <w:pStyle w:val="EMEANormal"/>
              <w:rPr>
                <w:i/>
                <w:iCs/>
                <w:lang w:val="en-GB"/>
              </w:rPr>
            </w:pPr>
            <w:r w:rsidRPr="00342F7C">
              <w:rPr>
                <w:i/>
                <w:iCs/>
                <w:lang w:val="en-GB"/>
              </w:rPr>
              <w:t>Anticoagulants</w:t>
            </w:r>
          </w:p>
        </w:tc>
      </w:tr>
      <w:tr w:rsidR="00BE1421" w:rsidRPr="00342F7C" w14:paraId="2A76084C" w14:textId="77777777" w:rsidTr="008E20B3">
        <w:tc>
          <w:tcPr>
            <w:tcW w:w="2400" w:type="dxa"/>
            <w:tcBorders>
              <w:top w:val="single" w:sz="4" w:space="0" w:color="auto"/>
              <w:left w:val="single" w:sz="4" w:space="0" w:color="auto"/>
              <w:bottom w:val="single" w:sz="4" w:space="0" w:color="auto"/>
              <w:right w:val="single" w:sz="4" w:space="0" w:color="auto"/>
            </w:tcBorders>
          </w:tcPr>
          <w:p w14:paraId="0C6B72B9" w14:textId="77777777" w:rsidR="00BE1421" w:rsidRPr="00342F7C" w:rsidRDefault="00BE1421" w:rsidP="000B2D5F">
            <w:pPr>
              <w:pStyle w:val="EMEANormal"/>
              <w:rPr>
                <w:lang w:val="en-GB"/>
              </w:rPr>
            </w:pPr>
            <w:r w:rsidRPr="00342F7C">
              <w:rPr>
                <w:lang w:val="en-GB"/>
              </w:rPr>
              <w:t>Warfarin</w:t>
            </w:r>
          </w:p>
          <w:p w14:paraId="111CCD65" w14:textId="77777777" w:rsidR="00BE1421" w:rsidRPr="00342F7C" w:rsidRDefault="00BE1421" w:rsidP="000B2D5F">
            <w:pPr>
              <w:pStyle w:val="EMEANormal"/>
              <w:rPr>
                <w:lang w:val="en-GB"/>
              </w:rPr>
            </w:pPr>
          </w:p>
          <w:p w14:paraId="19005949" w14:textId="77777777" w:rsidR="00BE1421" w:rsidRPr="00342F7C" w:rsidRDefault="00BE1421" w:rsidP="000B2D5F">
            <w:pPr>
              <w:pStyle w:val="EMEANormal"/>
              <w:rPr>
                <w:lang w:val="en-GB"/>
              </w:rPr>
            </w:pPr>
          </w:p>
          <w:p w14:paraId="3D6E04D6" w14:textId="77777777" w:rsidR="00BE1421" w:rsidRPr="00342F7C" w:rsidRDefault="00BE1421" w:rsidP="000B2D5F">
            <w:pPr>
              <w:pStyle w:val="EMEANormal"/>
              <w:rPr>
                <w:i/>
                <w:iCs/>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40BC4BE0" w14:textId="77777777" w:rsidR="00BE1421" w:rsidRPr="00342F7C" w:rsidRDefault="00BE1421" w:rsidP="000B2D5F">
            <w:pPr>
              <w:pStyle w:val="EMEANormal"/>
              <w:rPr>
                <w:lang w:val="en-GB"/>
              </w:rPr>
            </w:pPr>
            <w:r w:rsidRPr="00342F7C">
              <w:rPr>
                <w:lang w:val="en-GB"/>
              </w:rPr>
              <w:t>Warfarin:</w:t>
            </w:r>
          </w:p>
          <w:p w14:paraId="12B7AAD1" w14:textId="77777777" w:rsidR="00BE1421" w:rsidRPr="00342F7C" w:rsidRDefault="00BE1421" w:rsidP="000B2D5F">
            <w:pPr>
              <w:pStyle w:val="EMEANormal"/>
              <w:rPr>
                <w:lang w:val="en-GB"/>
              </w:rPr>
            </w:pPr>
            <w:r w:rsidRPr="00342F7C">
              <w:rPr>
                <w:lang w:val="en-GB"/>
              </w:rPr>
              <w:t xml:space="preserve">Concentrations may be affected when co-administered with </w:t>
            </w:r>
            <w:r>
              <w:rPr>
                <w:lang w:val="en-GB"/>
              </w:rPr>
              <w:t>lopinavir/ritonavir</w:t>
            </w:r>
            <w:r w:rsidRPr="00342F7C" w:rsidDel="00D33C9D">
              <w:rPr>
                <w:lang w:val="en-GB"/>
              </w:rPr>
              <w:t xml:space="preserve"> </w:t>
            </w:r>
            <w:r w:rsidRPr="00342F7C">
              <w:rPr>
                <w:lang w:val="en-GB"/>
              </w:rPr>
              <w:t xml:space="preserve">due to CYP2C9 induction.  </w:t>
            </w:r>
          </w:p>
        </w:tc>
        <w:tc>
          <w:tcPr>
            <w:tcW w:w="3574" w:type="dxa"/>
            <w:gridSpan w:val="2"/>
            <w:tcBorders>
              <w:top w:val="single" w:sz="4" w:space="0" w:color="auto"/>
              <w:left w:val="single" w:sz="4" w:space="0" w:color="auto"/>
              <w:bottom w:val="single" w:sz="4" w:space="0" w:color="auto"/>
              <w:right w:val="single" w:sz="4" w:space="0" w:color="auto"/>
            </w:tcBorders>
          </w:tcPr>
          <w:p w14:paraId="2B20D09F" w14:textId="77777777" w:rsidR="00BE1421" w:rsidRPr="00342F7C" w:rsidRDefault="00BE1421" w:rsidP="000B2D5F">
            <w:pPr>
              <w:pStyle w:val="EMEANormal"/>
              <w:rPr>
                <w:lang w:val="en-GB"/>
              </w:rPr>
            </w:pPr>
            <w:r w:rsidRPr="00342F7C">
              <w:rPr>
                <w:lang w:val="en-GB"/>
              </w:rPr>
              <w:t>It is recommended that INR (international normalised ratio) be monitored.</w:t>
            </w:r>
          </w:p>
          <w:p w14:paraId="24F01C2F" w14:textId="77777777" w:rsidR="00BE1421" w:rsidRPr="00342F7C" w:rsidRDefault="00BE1421" w:rsidP="000B2D5F">
            <w:pPr>
              <w:pStyle w:val="EMEANormal"/>
              <w:rPr>
                <w:lang w:val="en-GB"/>
              </w:rPr>
            </w:pPr>
          </w:p>
        </w:tc>
      </w:tr>
      <w:tr w:rsidR="00BE1421" w:rsidRPr="00FF64FE" w14:paraId="0914FD23" w14:textId="77777777" w:rsidTr="008E20B3">
        <w:tc>
          <w:tcPr>
            <w:tcW w:w="2400" w:type="dxa"/>
            <w:tcBorders>
              <w:top w:val="single" w:sz="4" w:space="0" w:color="auto"/>
              <w:left w:val="single" w:sz="4" w:space="0" w:color="auto"/>
              <w:bottom w:val="single" w:sz="4" w:space="0" w:color="auto"/>
              <w:right w:val="single" w:sz="4" w:space="0" w:color="auto"/>
            </w:tcBorders>
          </w:tcPr>
          <w:p w14:paraId="0D29218E" w14:textId="77777777" w:rsidR="00BE1421" w:rsidRDefault="00BE1421" w:rsidP="000F64FB">
            <w:pPr>
              <w:pStyle w:val="EMEANormal"/>
              <w:keepNext/>
              <w:rPr>
                <w:rFonts w:cs="Arial"/>
              </w:rPr>
            </w:pPr>
            <w:r w:rsidRPr="00FF64FE">
              <w:rPr>
                <w:rFonts w:cs="Arial"/>
              </w:rPr>
              <w:t>Rivaroxaban</w:t>
            </w:r>
          </w:p>
          <w:p w14:paraId="7DF9052C" w14:textId="77777777" w:rsidR="00BE1421" w:rsidRDefault="00BE1421" w:rsidP="000F64FB">
            <w:pPr>
              <w:pStyle w:val="EMEANormal"/>
              <w:keepNext/>
              <w:rPr>
                <w:rFonts w:cs="Arial"/>
              </w:rPr>
            </w:pPr>
          </w:p>
          <w:p w14:paraId="554858DA" w14:textId="77777777" w:rsidR="00BE1421" w:rsidRPr="00FF64FE" w:rsidRDefault="00BE1421" w:rsidP="000F64FB">
            <w:pPr>
              <w:pStyle w:val="EMEANormal"/>
              <w:keepNext/>
              <w:rPr>
                <w:lang w:val="en-GB"/>
              </w:rPr>
            </w:pPr>
            <w:r>
              <w:rPr>
                <w:rFonts w:cs="Arial"/>
              </w:rPr>
              <w:t>(Ritonavir 600 mg twice daily)</w:t>
            </w:r>
          </w:p>
        </w:tc>
        <w:tc>
          <w:tcPr>
            <w:tcW w:w="3240" w:type="dxa"/>
            <w:gridSpan w:val="2"/>
            <w:tcBorders>
              <w:top w:val="single" w:sz="4" w:space="0" w:color="auto"/>
              <w:left w:val="single" w:sz="4" w:space="0" w:color="auto"/>
              <w:bottom w:val="single" w:sz="4" w:space="0" w:color="auto"/>
              <w:right w:val="single" w:sz="4" w:space="0" w:color="auto"/>
            </w:tcBorders>
          </w:tcPr>
          <w:p w14:paraId="53858460" w14:textId="77777777" w:rsidR="00BE1421" w:rsidRPr="00FF64FE" w:rsidRDefault="00BE1421" w:rsidP="000F64FB">
            <w:pPr>
              <w:pStyle w:val="EMEANormal"/>
              <w:keepNext/>
            </w:pPr>
            <w:r w:rsidRPr="00FF64FE">
              <w:t xml:space="preserve">Rivaroxaban:  </w:t>
            </w:r>
          </w:p>
          <w:p w14:paraId="44344744" w14:textId="77777777" w:rsidR="00BE1421" w:rsidRPr="00FF64FE" w:rsidRDefault="00BE1421" w:rsidP="000F64FB">
            <w:pPr>
              <w:pStyle w:val="EMEANormal"/>
              <w:keepNext/>
            </w:pPr>
            <w:r w:rsidRPr="00FF64FE">
              <w:t xml:space="preserve">AUC: </w:t>
            </w:r>
            <w:r w:rsidRPr="00FF64FE">
              <w:rPr>
                <w:lang w:val="en-GB"/>
              </w:rPr>
              <w:t xml:space="preserve">↑ </w:t>
            </w:r>
            <w:r w:rsidRPr="00FF64FE">
              <w:t>15</w:t>
            </w:r>
            <w:r>
              <w:t>3</w:t>
            </w:r>
            <w:r w:rsidRPr="00FF64FE">
              <w:t xml:space="preserve">% </w:t>
            </w:r>
          </w:p>
          <w:p w14:paraId="249EE73A" w14:textId="77777777" w:rsidR="00BE1421" w:rsidRDefault="00BE1421" w:rsidP="000F64FB">
            <w:pPr>
              <w:pStyle w:val="EMEANormal"/>
              <w:keepNext/>
            </w:pPr>
            <w:r w:rsidRPr="00FF64FE">
              <w:t>C</w:t>
            </w:r>
            <w:r w:rsidRPr="00FF64FE">
              <w:rPr>
                <w:vertAlign w:val="subscript"/>
              </w:rPr>
              <w:t>max</w:t>
            </w:r>
            <w:r w:rsidRPr="00FF64FE">
              <w:t xml:space="preserve">: </w:t>
            </w:r>
            <w:r w:rsidRPr="00FF64FE">
              <w:rPr>
                <w:lang w:val="en-GB"/>
              </w:rPr>
              <w:t xml:space="preserve">↑ </w:t>
            </w:r>
            <w:r>
              <w:rPr>
                <w:lang w:val="en-GB"/>
              </w:rPr>
              <w:t>55</w:t>
            </w:r>
            <w:r w:rsidRPr="00FF64FE">
              <w:t>%</w:t>
            </w:r>
          </w:p>
          <w:p w14:paraId="7F1968A5" w14:textId="77777777" w:rsidR="00BE1421" w:rsidRPr="00FF64FE" w:rsidRDefault="00BE1421" w:rsidP="000F64FB">
            <w:pPr>
              <w:pStyle w:val="EMEANormal"/>
              <w:keepNext/>
              <w:rPr>
                <w:lang w:val="en-GB"/>
              </w:rPr>
            </w:pPr>
            <w:r>
              <w:t>Due to CYP3A and P</w:t>
            </w:r>
            <w:r>
              <w:noBreakHyphen/>
              <w:t>gp inhibition by lopinavir/ritonavir.</w:t>
            </w:r>
          </w:p>
        </w:tc>
        <w:tc>
          <w:tcPr>
            <w:tcW w:w="3574" w:type="dxa"/>
            <w:gridSpan w:val="2"/>
            <w:tcBorders>
              <w:top w:val="single" w:sz="4" w:space="0" w:color="auto"/>
              <w:left w:val="single" w:sz="4" w:space="0" w:color="auto"/>
              <w:bottom w:val="single" w:sz="4" w:space="0" w:color="auto"/>
              <w:right w:val="single" w:sz="4" w:space="0" w:color="auto"/>
            </w:tcBorders>
          </w:tcPr>
          <w:p w14:paraId="0CD07436" w14:textId="77777777" w:rsidR="00BE1421" w:rsidRDefault="00BE1421" w:rsidP="000F64FB">
            <w:pPr>
              <w:pStyle w:val="EMEANormal"/>
              <w:keepNext/>
              <w:rPr>
                <w:lang w:val="en-GB"/>
              </w:rPr>
            </w:pPr>
            <w:r w:rsidRPr="00FF64FE">
              <w:rPr>
                <w:lang w:val="en-GB"/>
              </w:rPr>
              <w:t>Co</w:t>
            </w:r>
            <w:r>
              <w:rPr>
                <w:lang w:val="en-GB"/>
              </w:rPr>
              <w:noBreakHyphen/>
            </w:r>
            <w:r w:rsidRPr="00FF64FE">
              <w:rPr>
                <w:lang w:val="en-GB"/>
              </w:rPr>
              <w:t>admin</w:t>
            </w:r>
            <w:r>
              <w:rPr>
                <w:lang w:val="en-GB"/>
              </w:rPr>
              <w:t>i</w:t>
            </w:r>
            <w:r w:rsidRPr="00FF64FE">
              <w:rPr>
                <w:lang w:val="en-GB"/>
              </w:rPr>
              <w:t>stration of rivaroxaban and Kaletra may increase rivaroxaban exposure which may increase the risk of bleeding.</w:t>
            </w:r>
          </w:p>
          <w:p w14:paraId="3406EF3E" w14:textId="77777777" w:rsidR="00BE1421" w:rsidRPr="00FF64FE" w:rsidRDefault="00BE1421" w:rsidP="000F64FB">
            <w:pPr>
              <w:pStyle w:val="EMEANormal"/>
              <w:keepNext/>
            </w:pPr>
            <w:r>
              <w:rPr>
                <w:lang w:val="en-GB"/>
              </w:rPr>
              <w:t>The use of rivaroxaban is not recommended in patients receiving concomitant treatment with Kaletra (see section 4.4).</w:t>
            </w:r>
          </w:p>
        </w:tc>
      </w:tr>
      <w:tr w:rsidR="00BE1421" w:rsidRPr="00FF64FE" w14:paraId="4A79741C" w14:textId="77777777" w:rsidTr="008E20B3">
        <w:tc>
          <w:tcPr>
            <w:tcW w:w="2400" w:type="dxa"/>
            <w:tcBorders>
              <w:top w:val="single" w:sz="4" w:space="0" w:color="auto"/>
              <w:left w:val="single" w:sz="4" w:space="0" w:color="auto"/>
              <w:bottom w:val="single" w:sz="4" w:space="0" w:color="auto"/>
              <w:right w:val="single" w:sz="4" w:space="0" w:color="auto"/>
            </w:tcBorders>
          </w:tcPr>
          <w:p w14:paraId="053FD281" w14:textId="77777777" w:rsidR="00BE1421" w:rsidRPr="00FF64FE" w:rsidRDefault="00BE1421" w:rsidP="005A4A77">
            <w:pPr>
              <w:pStyle w:val="EMEANormal"/>
              <w:rPr>
                <w:rFonts w:cs="Arial"/>
              </w:rPr>
            </w:pPr>
            <w:r>
              <w:rPr>
                <w:rFonts w:cs="Arial"/>
              </w:rPr>
              <w:t>Vorapaxar</w:t>
            </w:r>
          </w:p>
        </w:tc>
        <w:tc>
          <w:tcPr>
            <w:tcW w:w="3240" w:type="dxa"/>
            <w:gridSpan w:val="2"/>
            <w:tcBorders>
              <w:top w:val="single" w:sz="4" w:space="0" w:color="auto"/>
              <w:left w:val="single" w:sz="4" w:space="0" w:color="auto"/>
              <w:bottom w:val="single" w:sz="4" w:space="0" w:color="auto"/>
              <w:right w:val="single" w:sz="4" w:space="0" w:color="auto"/>
            </w:tcBorders>
          </w:tcPr>
          <w:p w14:paraId="7C7B4779" w14:textId="77777777" w:rsidR="00BE1421" w:rsidRPr="00FF64FE" w:rsidRDefault="00BE1421" w:rsidP="005A4A77">
            <w:pPr>
              <w:pStyle w:val="EMEANormal"/>
            </w:pPr>
            <w:r>
              <w:t xml:space="preserve">Serum concentrations may be increased due to CYP3A inhibition by </w:t>
            </w:r>
            <w:r>
              <w:rPr>
                <w:lang w:val="en-GB"/>
              </w:rPr>
              <w:t>lopinavir/ritonavir</w:t>
            </w:r>
            <w:r>
              <w:t>.</w:t>
            </w:r>
          </w:p>
        </w:tc>
        <w:tc>
          <w:tcPr>
            <w:tcW w:w="3574" w:type="dxa"/>
            <w:gridSpan w:val="2"/>
            <w:tcBorders>
              <w:top w:val="single" w:sz="4" w:space="0" w:color="auto"/>
              <w:left w:val="single" w:sz="4" w:space="0" w:color="auto"/>
              <w:bottom w:val="single" w:sz="4" w:space="0" w:color="auto"/>
              <w:right w:val="single" w:sz="4" w:space="0" w:color="auto"/>
            </w:tcBorders>
          </w:tcPr>
          <w:p w14:paraId="2071D808" w14:textId="77777777" w:rsidR="00BE1421" w:rsidRPr="00FF64FE" w:rsidRDefault="00BE1421" w:rsidP="005A4A77">
            <w:pPr>
              <w:pStyle w:val="EMEANormal"/>
              <w:rPr>
                <w:lang w:val="en-GB"/>
              </w:rPr>
            </w:pPr>
            <w:r>
              <w:rPr>
                <w:lang w:val="en-GB"/>
              </w:rPr>
              <w:t>The co</w:t>
            </w:r>
            <w:r>
              <w:rPr>
                <w:lang w:val="en-GB"/>
              </w:rPr>
              <w:noBreakHyphen/>
              <w:t>administration of vorapaxar with Kaletra is not recommended (see section 4.4 and refer to the vorapaxar SmPC).</w:t>
            </w:r>
          </w:p>
        </w:tc>
      </w:tr>
      <w:tr w:rsidR="00BE1421" w:rsidRPr="00342F7C" w14:paraId="2AAFF61D"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306841C5" w14:textId="77777777" w:rsidR="00BE1421" w:rsidRPr="00342F7C" w:rsidRDefault="00BE1421" w:rsidP="00D11B95">
            <w:pPr>
              <w:pStyle w:val="EMEANormal"/>
              <w:rPr>
                <w:lang w:val="en-GB"/>
              </w:rPr>
            </w:pPr>
            <w:r w:rsidRPr="00342F7C">
              <w:rPr>
                <w:i/>
                <w:iCs/>
                <w:lang w:val="en-GB"/>
              </w:rPr>
              <w:t>Anticonvulsants</w:t>
            </w:r>
          </w:p>
        </w:tc>
      </w:tr>
      <w:tr w:rsidR="00BE1421" w:rsidRPr="00342F7C" w14:paraId="66362887" w14:textId="77777777" w:rsidTr="008E20B3">
        <w:tc>
          <w:tcPr>
            <w:tcW w:w="2400" w:type="dxa"/>
            <w:tcBorders>
              <w:top w:val="single" w:sz="4" w:space="0" w:color="auto"/>
              <w:left w:val="single" w:sz="4" w:space="0" w:color="auto"/>
              <w:bottom w:val="single" w:sz="4" w:space="0" w:color="auto"/>
              <w:right w:val="single" w:sz="4" w:space="0" w:color="auto"/>
            </w:tcBorders>
          </w:tcPr>
          <w:p w14:paraId="3B817E51" w14:textId="77777777" w:rsidR="00BE1421" w:rsidRPr="00342F7C" w:rsidRDefault="00BE1421" w:rsidP="00D11B95">
            <w:pPr>
              <w:pStyle w:val="EMEANormal"/>
              <w:rPr>
                <w:lang w:val="en-GB"/>
              </w:rPr>
            </w:pPr>
            <w:r w:rsidRPr="00342F7C">
              <w:rPr>
                <w:lang w:val="en-GB"/>
              </w:rPr>
              <w:t>Phenytoin</w:t>
            </w:r>
          </w:p>
          <w:p w14:paraId="71D7C3B6" w14:textId="77777777" w:rsidR="00BE1421" w:rsidRPr="00342F7C" w:rsidRDefault="00BE1421" w:rsidP="00D11B95">
            <w:pPr>
              <w:pStyle w:val="EMEANormal"/>
              <w:rPr>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7D7C1898" w14:textId="77777777" w:rsidR="00BE1421" w:rsidRPr="00342F7C" w:rsidRDefault="00BE1421" w:rsidP="00D11B95">
            <w:pPr>
              <w:pStyle w:val="EMEANormal"/>
              <w:rPr>
                <w:lang w:val="en-GB"/>
              </w:rPr>
            </w:pPr>
            <w:r w:rsidRPr="00342F7C">
              <w:rPr>
                <w:lang w:val="en-GB"/>
              </w:rPr>
              <w:t>Phenytoin:</w:t>
            </w:r>
          </w:p>
          <w:p w14:paraId="1CC88C9C" w14:textId="77777777" w:rsidR="00BE1421" w:rsidRPr="00342F7C" w:rsidRDefault="00BE1421" w:rsidP="00D11B95">
            <w:pPr>
              <w:pStyle w:val="EMEANormal"/>
              <w:rPr>
                <w:lang w:val="en-GB"/>
              </w:rPr>
            </w:pPr>
            <w:r w:rsidRPr="00342F7C">
              <w:rPr>
                <w:lang w:val="en-GB"/>
              </w:rPr>
              <w:t xml:space="preserve">Steady-state concentrations was moderately decreased due to CYP2C9 and CYP2C19 induction by </w:t>
            </w:r>
            <w:r>
              <w:rPr>
                <w:lang w:val="en-GB"/>
              </w:rPr>
              <w:t>lopinavir/ritonavir</w:t>
            </w:r>
            <w:r w:rsidRPr="00342F7C">
              <w:rPr>
                <w:lang w:val="en-GB"/>
              </w:rPr>
              <w:t>.</w:t>
            </w:r>
          </w:p>
          <w:p w14:paraId="54C70D38" w14:textId="77777777" w:rsidR="00BE1421" w:rsidRPr="00342F7C" w:rsidRDefault="00BE1421" w:rsidP="00D11B95">
            <w:pPr>
              <w:pStyle w:val="EMEANormal"/>
              <w:rPr>
                <w:lang w:val="en-GB"/>
              </w:rPr>
            </w:pPr>
          </w:p>
          <w:p w14:paraId="7353014C" w14:textId="77777777" w:rsidR="00BE1421" w:rsidRPr="00342F7C" w:rsidRDefault="00BE1421" w:rsidP="00D11B95">
            <w:pPr>
              <w:pStyle w:val="EMEANormal"/>
              <w:rPr>
                <w:lang w:val="en-GB"/>
              </w:rPr>
            </w:pPr>
            <w:r w:rsidRPr="00342F7C">
              <w:rPr>
                <w:lang w:val="en-GB"/>
              </w:rPr>
              <w:t xml:space="preserve">Lopinavir:  </w:t>
            </w:r>
          </w:p>
          <w:p w14:paraId="5265A649" w14:textId="77777777" w:rsidR="00BE1421" w:rsidRPr="00342F7C" w:rsidRDefault="00BE1421" w:rsidP="00D11B95">
            <w:pPr>
              <w:pStyle w:val="EMEANormal"/>
              <w:rPr>
                <w:lang w:val="en-GB"/>
              </w:rPr>
            </w:pPr>
            <w:r w:rsidRPr="00342F7C">
              <w:rPr>
                <w:lang w:val="en-GB"/>
              </w:rPr>
              <w:t xml:space="preserve">Concentrations are decreased due to CYP3A induction by phenytoin.  </w:t>
            </w:r>
          </w:p>
          <w:p w14:paraId="20A92B18" w14:textId="77777777" w:rsidR="00BE1421" w:rsidRPr="00342F7C" w:rsidRDefault="00BE1421" w:rsidP="00D11B95">
            <w:pPr>
              <w:pStyle w:val="EMEANormal"/>
              <w:rPr>
                <w:lang w:val="en-GB"/>
              </w:rPr>
            </w:pPr>
          </w:p>
        </w:tc>
        <w:tc>
          <w:tcPr>
            <w:tcW w:w="3574" w:type="dxa"/>
            <w:gridSpan w:val="2"/>
            <w:tcBorders>
              <w:top w:val="single" w:sz="4" w:space="0" w:color="auto"/>
              <w:left w:val="single" w:sz="4" w:space="0" w:color="auto"/>
              <w:bottom w:val="single" w:sz="4" w:space="0" w:color="auto"/>
              <w:right w:val="single" w:sz="4" w:space="0" w:color="auto"/>
            </w:tcBorders>
          </w:tcPr>
          <w:p w14:paraId="14E6F2C4" w14:textId="77777777" w:rsidR="00BE1421" w:rsidRPr="00342F7C" w:rsidRDefault="00BE1421" w:rsidP="00D11B95">
            <w:pPr>
              <w:pStyle w:val="EMEANormal"/>
              <w:rPr>
                <w:lang w:val="en-GB"/>
              </w:rPr>
            </w:pPr>
            <w:r w:rsidRPr="00342F7C">
              <w:rPr>
                <w:lang w:val="en-GB"/>
              </w:rPr>
              <w:t>Caution should be exercised in administering phenytoin with Kaletra.</w:t>
            </w:r>
          </w:p>
          <w:p w14:paraId="7AFC01C5" w14:textId="77777777" w:rsidR="00BE1421" w:rsidRPr="00342F7C" w:rsidRDefault="00BE1421" w:rsidP="00D11B95">
            <w:pPr>
              <w:pStyle w:val="EMEANormal"/>
              <w:rPr>
                <w:lang w:val="en-GB"/>
              </w:rPr>
            </w:pPr>
            <w:r w:rsidRPr="00342F7C">
              <w:rPr>
                <w:lang w:val="en-GB"/>
              </w:rPr>
              <w:t>Phenytoin levels should be monitored when co</w:t>
            </w:r>
            <w:r w:rsidRPr="00342F7C">
              <w:rPr>
                <w:lang w:val="en-GB"/>
              </w:rPr>
              <w:noBreakHyphen/>
              <w:t xml:space="preserve">administering with </w:t>
            </w:r>
            <w:r>
              <w:rPr>
                <w:lang w:val="en-GB"/>
              </w:rPr>
              <w:t>Kaletra</w:t>
            </w:r>
            <w:r w:rsidRPr="00342F7C">
              <w:rPr>
                <w:lang w:val="en-GB"/>
              </w:rPr>
              <w:t>.</w:t>
            </w:r>
          </w:p>
          <w:p w14:paraId="30DCE817" w14:textId="77777777" w:rsidR="00BE1421" w:rsidRPr="00342F7C" w:rsidRDefault="00BE1421" w:rsidP="00D11B95">
            <w:pPr>
              <w:pStyle w:val="EMEANormal"/>
              <w:rPr>
                <w:lang w:val="en-GB"/>
              </w:rPr>
            </w:pPr>
            <w:r w:rsidRPr="00342F7C">
              <w:rPr>
                <w:lang w:val="en-GB"/>
              </w:rPr>
              <w:t>When co-administered with phenytoin, an increase of Kaletra dosage may be envisaged.  Dose adjustment has not been evaluated in clinical practice.</w:t>
            </w:r>
          </w:p>
          <w:p w14:paraId="25C08835" w14:textId="77777777" w:rsidR="00BE1421" w:rsidRPr="00342F7C" w:rsidRDefault="00BE1421" w:rsidP="00D11B95">
            <w:pPr>
              <w:pStyle w:val="EMEANormal"/>
              <w:rPr>
                <w:lang w:val="en-GB"/>
              </w:rPr>
            </w:pPr>
            <w:r w:rsidRPr="00342F7C">
              <w:rPr>
                <w:lang w:val="en-GB"/>
              </w:rPr>
              <w:t>Kaletra must not be administered once daily in combination with phenytoin.</w:t>
            </w:r>
          </w:p>
        </w:tc>
      </w:tr>
      <w:tr w:rsidR="00BE1421" w:rsidRPr="00342F7C" w14:paraId="511F225E" w14:textId="77777777" w:rsidTr="008E20B3">
        <w:tc>
          <w:tcPr>
            <w:tcW w:w="2400" w:type="dxa"/>
            <w:tcBorders>
              <w:top w:val="single" w:sz="4" w:space="0" w:color="auto"/>
              <w:left w:val="single" w:sz="4" w:space="0" w:color="auto"/>
              <w:bottom w:val="single" w:sz="4" w:space="0" w:color="auto"/>
              <w:right w:val="single" w:sz="4" w:space="0" w:color="auto"/>
            </w:tcBorders>
          </w:tcPr>
          <w:p w14:paraId="46BDA3A0" w14:textId="77777777" w:rsidR="00BE1421" w:rsidRPr="00342F7C" w:rsidRDefault="00BE1421" w:rsidP="00B1213D">
            <w:pPr>
              <w:pStyle w:val="EMEANormal"/>
              <w:keepNext/>
              <w:rPr>
                <w:lang w:val="en-GB"/>
              </w:rPr>
            </w:pPr>
            <w:r w:rsidRPr="00342F7C">
              <w:rPr>
                <w:lang w:val="en-GB"/>
              </w:rPr>
              <w:t xml:space="preserve">Carbamazepine and Phenobarbital </w:t>
            </w:r>
          </w:p>
        </w:tc>
        <w:tc>
          <w:tcPr>
            <w:tcW w:w="3240" w:type="dxa"/>
            <w:gridSpan w:val="2"/>
            <w:tcBorders>
              <w:top w:val="single" w:sz="4" w:space="0" w:color="auto"/>
              <w:left w:val="single" w:sz="4" w:space="0" w:color="auto"/>
              <w:bottom w:val="single" w:sz="4" w:space="0" w:color="auto"/>
              <w:right w:val="single" w:sz="4" w:space="0" w:color="auto"/>
            </w:tcBorders>
          </w:tcPr>
          <w:p w14:paraId="743B1022" w14:textId="77777777" w:rsidR="00BE1421" w:rsidRPr="00342F7C" w:rsidRDefault="00BE1421" w:rsidP="00B1213D">
            <w:pPr>
              <w:pStyle w:val="EMEANormal"/>
              <w:keepNext/>
              <w:rPr>
                <w:lang w:val="en-GB"/>
              </w:rPr>
            </w:pPr>
            <w:r w:rsidRPr="00342F7C">
              <w:rPr>
                <w:lang w:val="en-GB"/>
              </w:rPr>
              <w:t>Carbamazepine:</w:t>
            </w:r>
          </w:p>
          <w:p w14:paraId="18E6CE7B" w14:textId="77777777" w:rsidR="00BE1421" w:rsidRPr="00342F7C" w:rsidRDefault="00BE1421" w:rsidP="00B1213D">
            <w:pPr>
              <w:pStyle w:val="EMEANormal"/>
              <w:keepNext/>
              <w:rPr>
                <w:lang w:val="en-GB"/>
              </w:rPr>
            </w:pPr>
            <w:r w:rsidRPr="00342F7C">
              <w:rPr>
                <w:lang w:val="en-GB"/>
              </w:rPr>
              <w:t xml:space="preserve">Serum concentrations may be increased due to CYP3A inhibition by </w:t>
            </w:r>
            <w:r>
              <w:rPr>
                <w:lang w:val="en-GB"/>
              </w:rPr>
              <w:t>lopinavir/ritonavir</w:t>
            </w:r>
            <w:r w:rsidRPr="00342F7C">
              <w:rPr>
                <w:lang w:val="en-GB"/>
              </w:rPr>
              <w:t>.</w:t>
            </w:r>
          </w:p>
          <w:p w14:paraId="698C0E56" w14:textId="77777777" w:rsidR="00BE1421" w:rsidRPr="00342F7C" w:rsidRDefault="00BE1421" w:rsidP="00B1213D">
            <w:pPr>
              <w:pStyle w:val="EMEANormal"/>
              <w:keepNext/>
              <w:rPr>
                <w:lang w:val="en-GB"/>
              </w:rPr>
            </w:pPr>
          </w:p>
          <w:p w14:paraId="3D0EE849" w14:textId="77777777" w:rsidR="00BE1421" w:rsidRPr="00342F7C" w:rsidRDefault="00BE1421" w:rsidP="00B1213D">
            <w:pPr>
              <w:pStyle w:val="EMEANormal"/>
              <w:keepNext/>
              <w:rPr>
                <w:lang w:val="en-GB"/>
              </w:rPr>
            </w:pPr>
            <w:r w:rsidRPr="00342F7C">
              <w:rPr>
                <w:lang w:val="en-GB"/>
              </w:rPr>
              <w:t>Lopinavir:</w:t>
            </w:r>
          </w:p>
          <w:p w14:paraId="7FF219B3" w14:textId="77777777" w:rsidR="00BE1421" w:rsidRPr="00342F7C" w:rsidRDefault="00BE1421" w:rsidP="00B1213D">
            <w:pPr>
              <w:pStyle w:val="EMEANormal"/>
              <w:keepNext/>
              <w:rPr>
                <w:lang w:val="en-GB"/>
              </w:rPr>
            </w:pPr>
            <w:r w:rsidRPr="00342F7C">
              <w:rPr>
                <w:lang w:val="en-GB"/>
              </w:rPr>
              <w:t xml:space="preserve">Concentrations may be decreased due to CYP3A induction by carbamazepine and phenobarbital.  </w:t>
            </w:r>
          </w:p>
          <w:p w14:paraId="05D0D86C" w14:textId="77777777" w:rsidR="00BE1421" w:rsidRPr="00342F7C" w:rsidRDefault="00BE1421" w:rsidP="00B1213D">
            <w:pPr>
              <w:pStyle w:val="EMEANormal"/>
              <w:keepNext/>
              <w:rPr>
                <w:lang w:val="en-GB"/>
              </w:rPr>
            </w:pPr>
          </w:p>
        </w:tc>
        <w:tc>
          <w:tcPr>
            <w:tcW w:w="3574" w:type="dxa"/>
            <w:gridSpan w:val="2"/>
            <w:tcBorders>
              <w:top w:val="single" w:sz="4" w:space="0" w:color="auto"/>
              <w:left w:val="single" w:sz="4" w:space="0" w:color="auto"/>
              <w:bottom w:val="single" w:sz="4" w:space="0" w:color="auto"/>
              <w:right w:val="single" w:sz="4" w:space="0" w:color="auto"/>
            </w:tcBorders>
          </w:tcPr>
          <w:p w14:paraId="380B6C65" w14:textId="77777777" w:rsidR="00BE1421" w:rsidRPr="00342F7C" w:rsidRDefault="00BE1421" w:rsidP="00B1213D">
            <w:pPr>
              <w:pStyle w:val="EMEANormal"/>
              <w:keepNext/>
              <w:rPr>
                <w:lang w:val="en-GB"/>
              </w:rPr>
            </w:pPr>
            <w:r w:rsidRPr="00342F7C">
              <w:rPr>
                <w:lang w:val="en-GB"/>
              </w:rPr>
              <w:t>Caution should be exercised in administering carbamazepine or phenobarbital with Kaletra.</w:t>
            </w:r>
          </w:p>
          <w:p w14:paraId="294A2B45" w14:textId="77777777" w:rsidR="00BE1421" w:rsidRPr="00342F7C" w:rsidRDefault="00BE1421" w:rsidP="00B1213D">
            <w:pPr>
              <w:pStyle w:val="EMEANormal"/>
              <w:keepNext/>
              <w:rPr>
                <w:lang w:val="en-GB"/>
              </w:rPr>
            </w:pPr>
            <w:r w:rsidRPr="00342F7C">
              <w:rPr>
                <w:lang w:val="en-GB"/>
              </w:rPr>
              <w:t>Carbamazepine and phenobarbital levels should be monitored when co</w:t>
            </w:r>
            <w:r w:rsidRPr="00342F7C">
              <w:rPr>
                <w:lang w:val="en-GB"/>
              </w:rPr>
              <w:noBreakHyphen/>
              <w:t xml:space="preserve">administering with </w:t>
            </w:r>
            <w:r>
              <w:rPr>
                <w:lang w:val="en-GB"/>
              </w:rPr>
              <w:t>Kaletra</w:t>
            </w:r>
            <w:r w:rsidRPr="00342F7C">
              <w:rPr>
                <w:lang w:val="en-GB"/>
              </w:rPr>
              <w:t>.</w:t>
            </w:r>
          </w:p>
          <w:p w14:paraId="1D6AC1F9" w14:textId="77777777" w:rsidR="00BE1421" w:rsidRPr="00342F7C" w:rsidRDefault="00BE1421" w:rsidP="00B1213D">
            <w:pPr>
              <w:pStyle w:val="EMEANormal"/>
              <w:keepNext/>
              <w:rPr>
                <w:lang w:val="en-GB"/>
              </w:rPr>
            </w:pPr>
            <w:r w:rsidRPr="00342F7C">
              <w:rPr>
                <w:lang w:val="en-GB"/>
              </w:rPr>
              <w:t>When co-administered with carbamazepine or phenobarbital, an increase of Kaletra dosage may be envisaged.  Dose adjustment has not been evaluated in clinical practice.</w:t>
            </w:r>
          </w:p>
          <w:p w14:paraId="23A02102" w14:textId="77777777" w:rsidR="00BE1421" w:rsidRPr="00342F7C" w:rsidRDefault="00BE1421" w:rsidP="00B1213D">
            <w:pPr>
              <w:pStyle w:val="EMEANormal"/>
              <w:keepNext/>
              <w:rPr>
                <w:lang w:val="en-GB"/>
              </w:rPr>
            </w:pPr>
            <w:r w:rsidRPr="00342F7C">
              <w:rPr>
                <w:lang w:val="en-GB"/>
              </w:rPr>
              <w:t>Kaletra must not be administered once daily in combination with carbamazepine and phenobarbital.</w:t>
            </w:r>
          </w:p>
        </w:tc>
      </w:tr>
      <w:tr w:rsidR="00BE1421" w:rsidRPr="00342F7C" w14:paraId="1B719CB3" w14:textId="77777777" w:rsidTr="008E20B3">
        <w:tc>
          <w:tcPr>
            <w:tcW w:w="2400" w:type="dxa"/>
            <w:tcBorders>
              <w:top w:val="single" w:sz="4" w:space="0" w:color="auto"/>
              <w:left w:val="single" w:sz="4" w:space="0" w:color="auto"/>
              <w:bottom w:val="single" w:sz="4" w:space="0" w:color="auto"/>
              <w:right w:val="single" w:sz="4" w:space="0" w:color="auto"/>
            </w:tcBorders>
          </w:tcPr>
          <w:p w14:paraId="3276456B" w14:textId="77777777" w:rsidR="00BE1421" w:rsidRPr="00342F7C" w:rsidRDefault="00BE1421" w:rsidP="00285B05">
            <w:pPr>
              <w:pStyle w:val="EMEANormal"/>
              <w:rPr>
                <w:lang w:val="en-GB"/>
              </w:rPr>
            </w:pPr>
            <w:r>
              <w:rPr>
                <w:lang w:val="en-GB"/>
              </w:rPr>
              <w:t>Lamotrigine and Valproate</w:t>
            </w:r>
          </w:p>
        </w:tc>
        <w:tc>
          <w:tcPr>
            <w:tcW w:w="3240" w:type="dxa"/>
            <w:gridSpan w:val="2"/>
            <w:tcBorders>
              <w:top w:val="single" w:sz="4" w:space="0" w:color="auto"/>
              <w:left w:val="single" w:sz="4" w:space="0" w:color="auto"/>
              <w:bottom w:val="single" w:sz="4" w:space="0" w:color="auto"/>
              <w:right w:val="single" w:sz="4" w:space="0" w:color="auto"/>
            </w:tcBorders>
          </w:tcPr>
          <w:p w14:paraId="7E51E878" w14:textId="77777777" w:rsidR="00BE1421" w:rsidRDefault="00BE1421" w:rsidP="00285B05">
            <w:pPr>
              <w:pStyle w:val="EMEANormal"/>
              <w:rPr>
                <w:lang w:val="en-GB"/>
              </w:rPr>
            </w:pPr>
            <w:r>
              <w:rPr>
                <w:lang w:val="en-GB"/>
              </w:rPr>
              <w:t xml:space="preserve">Lamotrigine: </w:t>
            </w:r>
          </w:p>
          <w:p w14:paraId="27503231" w14:textId="77777777" w:rsidR="00BE1421" w:rsidRPr="000D086B" w:rsidRDefault="00BE1421" w:rsidP="00906E0F">
            <w:pPr>
              <w:pStyle w:val="EMEANormal"/>
            </w:pPr>
            <w:r w:rsidRPr="000D086B">
              <w:t>AUC: ↓ 50%</w:t>
            </w:r>
          </w:p>
          <w:p w14:paraId="4AA2392C" w14:textId="77777777" w:rsidR="00BE1421" w:rsidRPr="000D086B" w:rsidRDefault="00BE1421" w:rsidP="00906E0F">
            <w:pPr>
              <w:pStyle w:val="EMEANormal"/>
              <w:rPr>
                <w:lang w:eastAsia="en-GB"/>
              </w:rPr>
            </w:pPr>
            <w:r w:rsidRPr="000D086B">
              <w:rPr>
                <w:lang w:eastAsia="en-GB"/>
              </w:rPr>
              <w:t>C</w:t>
            </w:r>
            <w:r w:rsidRPr="000D086B">
              <w:rPr>
                <w:vertAlign w:val="subscript"/>
                <w:lang w:eastAsia="en-GB"/>
              </w:rPr>
              <w:t>max</w:t>
            </w:r>
            <w:r w:rsidRPr="000D086B">
              <w:rPr>
                <w:szCs w:val="22"/>
              </w:rPr>
              <w:t>:</w:t>
            </w:r>
            <w:r w:rsidRPr="000D086B">
              <w:rPr>
                <w:lang w:eastAsia="en-GB"/>
              </w:rPr>
              <w:t xml:space="preserve"> ↓ 46%</w:t>
            </w:r>
          </w:p>
          <w:p w14:paraId="4C782FBD" w14:textId="77777777" w:rsidR="00BE1421" w:rsidRPr="000D086B" w:rsidRDefault="00BE1421" w:rsidP="00906E0F">
            <w:pPr>
              <w:pStyle w:val="EMEANormal"/>
              <w:rPr>
                <w:lang w:eastAsia="en-GB"/>
              </w:rPr>
            </w:pPr>
            <w:r w:rsidRPr="000D086B">
              <w:rPr>
                <w:lang w:eastAsia="en-GB"/>
              </w:rPr>
              <w:t>C</w:t>
            </w:r>
            <w:r w:rsidRPr="000D086B">
              <w:rPr>
                <w:vertAlign w:val="subscript"/>
                <w:lang w:eastAsia="en-GB"/>
              </w:rPr>
              <w:t>min</w:t>
            </w:r>
            <w:r w:rsidRPr="000D086B">
              <w:rPr>
                <w:szCs w:val="22"/>
              </w:rPr>
              <w:t>:</w:t>
            </w:r>
            <w:r w:rsidRPr="000D086B">
              <w:rPr>
                <w:lang w:eastAsia="en-GB"/>
              </w:rPr>
              <w:t xml:space="preserve"> ↓ 56%</w:t>
            </w:r>
          </w:p>
          <w:p w14:paraId="39CC4EEF" w14:textId="77777777" w:rsidR="00BE1421" w:rsidRPr="000D086B" w:rsidRDefault="00BE1421" w:rsidP="00906E0F">
            <w:pPr>
              <w:pStyle w:val="EMEANormal"/>
              <w:rPr>
                <w:lang w:eastAsia="en-GB"/>
              </w:rPr>
            </w:pPr>
          </w:p>
          <w:p w14:paraId="6DFD0887" w14:textId="77777777" w:rsidR="00BE1421" w:rsidRPr="000D086B" w:rsidRDefault="00BE1421" w:rsidP="00906E0F">
            <w:pPr>
              <w:pStyle w:val="EMEANormal"/>
              <w:rPr>
                <w:lang w:val="en-GB"/>
              </w:rPr>
            </w:pPr>
            <w:r w:rsidRPr="000D086B">
              <w:rPr>
                <w:lang w:eastAsia="en-GB"/>
              </w:rPr>
              <w:t>Due to induction of lamotrigine glucuronidation</w:t>
            </w:r>
          </w:p>
          <w:p w14:paraId="1F3D1DDA" w14:textId="77777777" w:rsidR="00BE1421" w:rsidRDefault="00BE1421" w:rsidP="00285B05">
            <w:pPr>
              <w:pStyle w:val="EMEANormal"/>
              <w:rPr>
                <w:lang w:val="en-GB"/>
              </w:rPr>
            </w:pPr>
          </w:p>
          <w:p w14:paraId="06AF02F3" w14:textId="77777777" w:rsidR="00BE1421" w:rsidRPr="00342F7C" w:rsidRDefault="00BE1421" w:rsidP="00285B05">
            <w:pPr>
              <w:pStyle w:val="EMEANormal"/>
              <w:rPr>
                <w:lang w:val="en-GB"/>
              </w:rPr>
            </w:pPr>
            <w:r>
              <w:rPr>
                <w:lang w:val="en-GB"/>
              </w:rPr>
              <w:t xml:space="preserve">Valproate: </w:t>
            </w:r>
            <w:r w:rsidRPr="00342F7C">
              <w:rPr>
                <w:lang w:val="en-GB"/>
              </w:rPr>
              <w:t>↓</w:t>
            </w:r>
          </w:p>
        </w:tc>
        <w:tc>
          <w:tcPr>
            <w:tcW w:w="3574" w:type="dxa"/>
            <w:gridSpan w:val="2"/>
            <w:tcBorders>
              <w:top w:val="single" w:sz="4" w:space="0" w:color="auto"/>
              <w:left w:val="single" w:sz="4" w:space="0" w:color="auto"/>
              <w:bottom w:val="single" w:sz="4" w:space="0" w:color="auto"/>
              <w:right w:val="single" w:sz="4" w:space="0" w:color="auto"/>
            </w:tcBorders>
          </w:tcPr>
          <w:p w14:paraId="0310D416" w14:textId="77777777" w:rsidR="00BE1421" w:rsidRPr="000D086B" w:rsidRDefault="00BE1421" w:rsidP="00101150">
            <w:pPr>
              <w:pStyle w:val="EMEANormal"/>
              <w:rPr>
                <w:lang w:val="en-GB"/>
              </w:rPr>
            </w:pPr>
            <w:r w:rsidRPr="000D086B">
              <w:rPr>
                <w:lang w:val="en-GB"/>
              </w:rPr>
              <w:t>Patients should be monitored closely for a decreased VPA effect when Kaletra and valproic acid or valproate are given concomitantly.</w:t>
            </w:r>
          </w:p>
          <w:p w14:paraId="37A4FF1F" w14:textId="77777777" w:rsidR="00BE1421" w:rsidRDefault="00BE1421" w:rsidP="00B2319F">
            <w:pPr>
              <w:pStyle w:val="EMEANormal"/>
              <w:rPr>
                <w:u w:val="single"/>
                <w:lang w:val="en-GB"/>
              </w:rPr>
            </w:pPr>
          </w:p>
          <w:p w14:paraId="4FDC2BC5" w14:textId="77777777" w:rsidR="00BE1421" w:rsidRDefault="00BE1421" w:rsidP="00B2319F">
            <w:pPr>
              <w:pStyle w:val="EMEANormal"/>
              <w:rPr>
                <w:lang w:val="en-GB"/>
              </w:rPr>
            </w:pPr>
            <w:r w:rsidRPr="00B2319F">
              <w:rPr>
                <w:u w:val="single"/>
                <w:lang w:val="en-GB"/>
              </w:rPr>
              <w:t>In patients starting or stopping Kaletra while currently taking maintenance dose of lamotrigine</w:t>
            </w:r>
            <w:r>
              <w:rPr>
                <w:lang w:val="en-GB"/>
              </w:rPr>
              <w:t>:</w:t>
            </w:r>
            <w:r w:rsidRPr="00342F7C">
              <w:rPr>
                <w:lang w:val="en-GB"/>
              </w:rPr>
              <w:t xml:space="preserve"> </w:t>
            </w:r>
          </w:p>
          <w:p w14:paraId="4C87F770" w14:textId="77777777" w:rsidR="00BE1421" w:rsidRDefault="00BE1421" w:rsidP="00B2319F">
            <w:pPr>
              <w:pStyle w:val="EMEANormal"/>
              <w:rPr>
                <w:lang w:val="en-GB"/>
              </w:rPr>
            </w:pPr>
            <w:r>
              <w:rPr>
                <w:lang w:val="en-GB"/>
              </w:rPr>
              <w:t>lamotrigine dose may need to be increased if Kaletra is added, or decreased if Kaletra is discontinued; therefore plasma lamotrigine monitoring should be conducted, particularly before and during 2 weeks after starting or stopping Kaletra, in order to see if lamotrigine dose adjustment is needed.</w:t>
            </w:r>
          </w:p>
          <w:p w14:paraId="172C597C" w14:textId="77777777" w:rsidR="00BE1421" w:rsidRPr="00342F7C" w:rsidRDefault="00BE1421" w:rsidP="00285B05">
            <w:pPr>
              <w:pStyle w:val="EMEANormal"/>
              <w:rPr>
                <w:lang w:val="en-GB"/>
              </w:rPr>
            </w:pPr>
            <w:r w:rsidRPr="00B2319F">
              <w:rPr>
                <w:u w:val="single"/>
                <w:lang w:val="en-GB"/>
              </w:rPr>
              <w:t>In patients currently taking Kaletra and</w:t>
            </w:r>
            <w:r>
              <w:rPr>
                <w:u w:val="single"/>
                <w:lang w:val="en-GB"/>
              </w:rPr>
              <w:t xml:space="preserve"> </w:t>
            </w:r>
            <w:r w:rsidRPr="00B2319F">
              <w:rPr>
                <w:u w:val="single"/>
                <w:lang w:val="en-GB"/>
              </w:rPr>
              <w:t>starting lamotrigine</w:t>
            </w:r>
            <w:r>
              <w:rPr>
                <w:lang w:val="en-GB"/>
              </w:rPr>
              <w:t>: no dose adjustments to the recommended dose escalation of lamotrigine should be necessary.</w:t>
            </w:r>
            <w:r w:rsidRPr="00342F7C">
              <w:rPr>
                <w:lang w:val="en-GB"/>
              </w:rPr>
              <w:t xml:space="preserve"> </w:t>
            </w:r>
          </w:p>
        </w:tc>
      </w:tr>
      <w:tr w:rsidR="00BE1421" w:rsidRPr="00342F7C" w14:paraId="2B489C4A" w14:textId="77777777" w:rsidTr="008E20B3">
        <w:trPr>
          <w:trHeight w:val="233"/>
        </w:trPr>
        <w:tc>
          <w:tcPr>
            <w:tcW w:w="9214" w:type="dxa"/>
            <w:gridSpan w:val="5"/>
            <w:tcBorders>
              <w:top w:val="single" w:sz="4" w:space="0" w:color="auto"/>
              <w:left w:val="single" w:sz="4" w:space="0" w:color="auto"/>
              <w:bottom w:val="single" w:sz="4" w:space="0" w:color="auto"/>
              <w:right w:val="single" w:sz="4" w:space="0" w:color="auto"/>
            </w:tcBorders>
          </w:tcPr>
          <w:p w14:paraId="709550C5" w14:textId="77777777" w:rsidR="00BE1421" w:rsidRPr="00342F7C" w:rsidRDefault="00BE1421" w:rsidP="00D16035">
            <w:pPr>
              <w:keepNext/>
              <w:rPr>
                <w:sz w:val="22"/>
              </w:rPr>
            </w:pPr>
            <w:r w:rsidRPr="00342F7C">
              <w:rPr>
                <w:i/>
                <w:iCs/>
                <w:sz w:val="22"/>
              </w:rPr>
              <w:t>Antidepressants and Anxiolytics</w:t>
            </w:r>
          </w:p>
        </w:tc>
      </w:tr>
      <w:tr w:rsidR="00BE1421" w:rsidRPr="00342F7C" w14:paraId="6B0F29C4" w14:textId="77777777" w:rsidTr="008E20B3">
        <w:tc>
          <w:tcPr>
            <w:tcW w:w="2400" w:type="dxa"/>
            <w:tcBorders>
              <w:top w:val="single" w:sz="4" w:space="0" w:color="auto"/>
              <w:left w:val="single" w:sz="4" w:space="0" w:color="auto"/>
              <w:bottom w:val="single" w:sz="4" w:space="0" w:color="auto"/>
              <w:right w:val="single" w:sz="4" w:space="0" w:color="auto"/>
            </w:tcBorders>
          </w:tcPr>
          <w:p w14:paraId="1BA08D24" w14:textId="77777777" w:rsidR="00BE1421" w:rsidRPr="00342F7C" w:rsidRDefault="00BE1421" w:rsidP="00D16035">
            <w:pPr>
              <w:pStyle w:val="EMEANormal"/>
              <w:keepNext/>
              <w:rPr>
                <w:lang w:val="en-GB"/>
              </w:rPr>
            </w:pPr>
            <w:r w:rsidRPr="00342F7C">
              <w:rPr>
                <w:lang w:val="en-GB"/>
              </w:rPr>
              <w:t>Trazodone single dose</w:t>
            </w:r>
          </w:p>
          <w:p w14:paraId="795351C7" w14:textId="77777777" w:rsidR="00BE1421" w:rsidRPr="00342F7C" w:rsidRDefault="00BE1421" w:rsidP="00D16035">
            <w:pPr>
              <w:pStyle w:val="EMEANormal"/>
              <w:keepNext/>
              <w:rPr>
                <w:lang w:val="en-GB"/>
              </w:rPr>
            </w:pPr>
          </w:p>
          <w:p w14:paraId="0C7525E0" w14:textId="77777777" w:rsidR="00BE1421" w:rsidRPr="00342F7C" w:rsidRDefault="00BE1421" w:rsidP="00D16035">
            <w:pPr>
              <w:pStyle w:val="EMEANormal"/>
              <w:keepNext/>
              <w:rPr>
                <w:lang w:val="en-GB"/>
              </w:rPr>
            </w:pPr>
            <w:r w:rsidRPr="00342F7C">
              <w:rPr>
                <w:lang w:val="en-GB"/>
              </w:rPr>
              <w:t>(Ritonavir, 200 mg BID)</w:t>
            </w:r>
          </w:p>
          <w:p w14:paraId="053AA91E" w14:textId="77777777" w:rsidR="00BE1421" w:rsidRPr="00342F7C" w:rsidRDefault="00BE1421" w:rsidP="00D16035">
            <w:pPr>
              <w:pStyle w:val="EMEANormal"/>
              <w:keepNext/>
              <w:rPr>
                <w:i/>
                <w:iCs/>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367693DA" w14:textId="77777777" w:rsidR="00BE1421" w:rsidRPr="00342F7C" w:rsidRDefault="00BE1421" w:rsidP="00D16035">
            <w:pPr>
              <w:pStyle w:val="EMEANormal"/>
              <w:keepNext/>
              <w:rPr>
                <w:szCs w:val="22"/>
                <w:lang w:val="en-GB"/>
              </w:rPr>
            </w:pPr>
            <w:r w:rsidRPr="00342F7C">
              <w:rPr>
                <w:szCs w:val="22"/>
                <w:lang w:val="en-GB"/>
              </w:rPr>
              <w:t>Trazodone:</w:t>
            </w:r>
          </w:p>
          <w:p w14:paraId="7E12F59F" w14:textId="77777777" w:rsidR="00BE1421" w:rsidRPr="00342F7C" w:rsidRDefault="00BE1421" w:rsidP="00D16035">
            <w:pPr>
              <w:pStyle w:val="EMEANormal"/>
              <w:keepNext/>
              <w:rPr>
                <w:lang w:val="en-GB"/>
              </w:rPr>
            </w:pPr>
            <w:r w:rsidRPr="00342F7C">
              <w:rPr>
                <w:szCs w:val="22"/>
                <w:lang w:val="en-GB"/>
              </w:rPr>
              <w:t xml:space="preserve">AUC: </w:t>
            </w:r>
            <w:r w:rsidRPr="00342F7C">
              <w:rPr>
                <w:lang w:val="en-GB"/>
              </w:rPr>
              <w:t>↑ 2.4-fold</w:t>
            </w:r>
          </w:p>
          <w:p w14:paraId="3865D663" w14:textId="77777777" w:rsidR="00BE1421" w:rsidRPr="00342F7C" w:rsidRDefault="00BE1421" w:rsidP="00D16035">
            <w:pPr>
              <w:pStyle w:val="EMEANormal"/>
              <w:keepNext/>
              <w:rPr>
                <w:lang w:val="en-GB"/>
              </w:rPr>
            </w:pPr>
          </w:p>
          <w:p w14:paraId="35DE7719" w14:textId="77777777" w:rsidR="00BE1421" w:rsidRPr="00342F7C" w:rsidRDefault="00BE1421" w:rsidP="00D16035">
            <w:pPr>
              <w:pStyle w:val="EMEANormal"/>
              <w:keepNext/>
              <w:rPr>
                <w:lang w:val="en-GB"/>
              </w:rPr>
            </w:pPr>
            <w:r w:rsidRPr="00342F7C">
              <w:rPr>
                <w:szCs w:val="22"/>
                <w:lang w:val="en-GB"/>
              </w:rPr>
              <w:t xml:space="preserve">Adverse events of nausea, dizziness, hypotension and syncope were observed following co-administration of trazodone and ritonavir.  </w:t>
            </w:r>
          </w:p>
        </w:tc>
        <w:tc>
          <w:tcPr>
            <w:tcW w:w="3574" w:type="dxa"/>
            <w:gridSpan w:val="2"/>
            <w:tcBorders>
              <w:top w:val="single" w:sz="4" w:space="0" w:color="auto"/>
              <w:left w:val="single" w:sz="4" w:space="0" w:color="auto"/>
              <w:bottom w:val="single" w:sz="4" w:space="0" w:color="auto"/>
              <w:right w:val="single" w:sz="4" w:space="0" w:color="auto"/>
            </w:tcBorders>
          </w:tcPr>
          <w:p w14:paraId="328BB979" w14:textId="77777777" w:rsidR="00BE1421" w:rsidRPr="00342F7C" w:rsidRDefault="00BE1421" w:rsidP="00D16035">
            <w:pPr>
              <w:pStyle w:val="EMEANormal"/>
              <w:keepNext/>
              <w:rPr>
                <w:lang w:val="en-GB"/>
              </w:rPr>
            </w:pPr>
            <w:r w:rsidRPr="00342F7C">
              <w:rPr>
                <w:szCs w:val="22"/>
                <w:lang w:val="en-GB"/>
              </w:rPr>
              <w:t xml:space="preserve">It is unknown whether the combination of </w:t>
            </w:r>
            <w:r>
              <w:rPr>
                <w:szCs w:val="22"/>
                <w:lang w:val="en-GB"/>
              </w:rPr>
              <w:t>Kaletra</w:t>
            </w:r>
            <w:r w:rsidRPr="00342F7C">
              <w:rPr>
                <w:szCs w:val="22"/>
                <w:lang w:val="en-GB"/>
              </w:rPr>
              <w:t xml:space="preserve"> causes a similar increase in trazodone exposure.  The combination should be used with caution and a lower dose of trazodone should be considered</w:t>
            </w:r>
            <w:r w:rsidRPr="00342F7C">
              <w:rPr>
                <w:lang w:val="en-GB"/>
              </w:rPr>
              <w:t>.</w:t>
            </w:r>
          </w:p>
          <w:p w14:paraId="3557240F" w14:textId="77777777" w:rsidR="00BE1421" w:rsidRPr="00342F7C" w:rsidRDefault="00BE1421" w:rsidP="00D16035">
            <w:pPr>
              <w:pStyle w:val="EMEANormal"/>
              <w:keepNext/>
              <w:rPr>
                <w:lang w:val="en-GB"/>
              </w:rPr>
            </w:pPr>
          </w:p>
        </w:tc>
      </w:tr>
      <w:tr w:rsidR="00BE1421" w:rsidRPr="00342F7C" w14:paraId="16774D31"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3FC227A2" w14:textId="77777777" w:rsidR="00BE1421" w:rsidRPr="00342F7C" w:rsidRDefault="00BE1421" w:rsidP="000B2D5F">
            <w:pPr>
              <w:pStyle w:val="EMEANormal"/>
              <w:rPr>
                <w:i/>
                <w:iCs/>
                <w:lang w:val="en-GB"/>
              </w:rPr>
            </w:pPr>
            <w:r w:rsidRPr="00342F7C">
              <w:rPr>
                <w:i/>
                <w:iCs/>
                <w:lang w:val="en-GB"/>
              </w:rPr>
              <w:t>Antifungals</w:t>
            </w:r>
          </w:p>
        </w:tc>
      </w:tr>
      <w:tr w:rsidR="00BE1421" w:rsidRPr="00342F7C" w14:paraId="62610473" w14:textId="77777777" w:rsidTr="008E20B3">
        <w:tc>
          <w:tcPr>
            <w:tcW w:w="2400" w:type="dxa"/>
            <w:tcBorders>
              <w:top w:val="single" w:sz="4" w:space="0" w:color="auto"/>
              <w:left w:val="single" w:sz="4" w:space="0" w:color="auto"/>
              <w:bottom w:val="single" w:sz="4" w:space="0" w:color="auto"/>
              <w:right w:val="single" w:sz="4" w:space="0" w:color="auto"/>
            </w:tcBorders>
          </w:tcPr>
          <w:p w14:paraId="79D91462" w14:textId="77777777" w:rsidR="00BE1421" w:rsidRPr="00342F7C" w:rsidRDefault="00BE1421" w:rsidP="000B2D5F">
            <w:pPr>
              <w:pStyle w:val="EMEANormal"/>
              <w:rPr>
                <w:lang w:val="en-GB"/>
              </w:rPr>
            </w:pPr>
            <w:r w:rsidRPr="00342F7C">
              <w:rPr>
                <w:bCs/>
                <w:iCs/>
                <w:lang w:val="en-GB"/>
              </w:rPr>
              <w:t>Ketoconazole and Itraconazole</w:t>
            </w:r>
          </w:p>
        </w:tc>
        <w:tc>
          <w:tcPr>
            <w:tcW w:w="3240" w:type="dxa"/>
            <w:gridSpan w:val="2"/>
            <w:tcBorders>
              <w:top w:val="single" w:sz="4" w:space="0" w:color="auto"/>
              <w:left w:val="single" w:sz="4" w:space="0" w:color="auto"/>
              <w:bottom w:val="single" w:sz="4" w:space="0" w:color="auto"/>
              <w:right w:val="single" w:sz="4" w:space="0" w:color="auto"/>
            </w:tcBorders>
          </w:tcPr>
          <w:p w14:paraId="17EFEDAA" w14:textId="77777777" w:rsidR="00BE1421" w:rsidRPr="00342F7C" w:rsidRDefault="00BE1421" w:rsidP="000B2D5F">
            <w:pPr>
              <w:pStyle w:val="EMEANormal"/>
              <w:rPr>
                <w:lang w:val="en-GB"/>
              </w:rPr>
            </w:pPr>
            <w:r w:rsidRPr="00342F7C">
              <w:rPr>
                <w:bCs/>
                <w:iCs/>
                <w:lang w:val="en-GB"/>
              </w:rPr>
              <w:t>Ketoconazole, Itraconazole:</w:t>
            </w:r>
            <w:r w:rsidRPr="00342F7C">
              <w:rPr>
                <w:i/>
                <w:lang w:val="en-GB"/>
              </w:rPr>
              <w:t xml:space="preserve"> </w:t>
            </w:r>
            <w:r w:rsidRPr="00342F7C">
              <w:rPr>
                <w:lang w:val="en-GB"/>
              </w:rPr>
              <w:t xml:space="preserve">Serum concentrations may be increased due to CYP3A inhibition by </w:t>
            </w:r>
            <w:r>
              <w:rPr>
                <w:lang w:val="en-GB"/>
              </w:rPr>
              <w:t>lopinavir/ritonavir</w:t>
            </w:r>
            <w:r w:rsidRPr="00342F7C">
              <w:rPr>
                <w:lang w:val="en-GB"/>
              </w:rPr>
              <w:t xml:space="preserve">. </w:t>
            </w:r>
          </w:p>
        </w:tc>
        <w:tc>
          <w:tcPr>
            <w:tcW w:w="3574" w:type="dxa"/>
            <w:gridSpan w:val="2"/>
            <w:tcBorders>
              <w:top w:val="single" w:sz="4" w:space="0" w:color="auto"/>
              <w:left w:val="single" w:sz="4" w:space="0" w:color="auto"/>
              <w:bottom w:val="single" w:sz="4" w:space="0" w:color="auto"/>
              <w:right w:val="single" w:sz="4" w:space="0" w:color="auto"/>
            </w:tcBorders>
          </w:tcPr>
          <w:p w14:paraId="6A7D422F" w14:textId="77777777" w:rsidR="00BE1421" w:rsidRPr="00342F7C" w:rsidRDefault="00BE1421" w:rsidP="000B2D5F">
            <w:pPr>
              <w:pStyle w:val="EMEANormal"/>
              <w:rPr>
                <w:lang w:val="en-GB"/>
              </w:rPr>
            </w:pPr>
            <w:r w:rsidRPr="00342F7C">
              <w:rPr>
                <w:lang w:val="en-GB"/>
              </w:rPr>
              <w:t>High doses of ketoconazole and itraconazole (&gt; 200 mg/day) are not recommended.</w:t>
            </w:r>
          </w:p>
        </w:tc>
      </w:tr>
      <w:tr w:rsidR="00BE1421" w:rsidRPr="00342F7C" w14:paraId="2394FA7B" w14:textId="77777777" w:rsidTr="008E20B3">
        <w:tc>
          <w:tcPr>
            <w:tcW w:w="2400" w:type="dxa"/>
            <w:tcBorders>
              <w:top w:val="single" w:sz="4" w:space="0" w:color="auto"/>
              <w:left w:val="single" w:sz="4" w:space="0" w:color="auto"/>
              <w:bottom w:val="single" w:sz="4" w:space="0" w:color="auto"/>
              <w:right w:val="single" w:sz="4" w:space="0" w:color="auto"/>
            </w:tcBorders>
          </w:tcPr>
          <w:p w14:paraId="3EF4A7E3" w14:textId="77777777" w:rsidR="00BE1421" w:rsidRPr="00342F7C" w:rsidRDefault="00BE1421" w:rsidP="000B2D5F">
            <w:pPr>
              <w:pStyle w:val="EMEANormal"/>
              <w:rPr>
                <w:i/>
                <w:iCs/>
                <w:lang w:val="en-GB"/>
              </w:rPr>
            </w:pPr>
            <w:r w:rsidRPr="00342F7C">
              <w:rPr>
                <w:lang w:val="en-GB"/>
              </w:rPr>
              <w:t>Voriconazole</w:t>
            </w:r>
          </w:p>
        </w:tc>
        <w:tc>
          <w:tcPr>
            <w:tcW w:w="3240" w:type="dxa"/>
            <w:gridSpan w:val="2"/>
            <w:tcBorders>
              <w:top w:val="single" w:sz="4" w:space="0" w:color="auto"/>
              <w:left w:val="single" w:sz="4" w:space="0" w:color="auto"/>
              <w:bottom w:val="single" w:sz="4" w:space="0" w:color="auto"/>
              <w:right w:val="single" w:sz="4" w:space="0" w:color="auto"/>
            </w:tcBorders>
          </w:tcPr>
          <w:p w14:paraId="4AD98FD3" w14:textId="77777777" w:rsidR="00BE1421" w:rsidRPr="00342F7C" w:rsidRDefault="00BE1421" w:rsidP="000B2D5F">
            <w:pPr>
              <w:pStyle w:val="EMEANormal"/>
              <w:rPr>
                <w:lang w:val="en-GB"/>
              </w:rPr>
            </w:pPr>
            <w:r w:rsidRPr="00342F7C">
              <w:rPr>
                <w:lang w:val="en-GB"/>
              </w:rPr>
              <w:t xml:space="preserve">Voriconazole: </w:t>
            </w:r>
          </w:p>
          <w:p w14:paraId="176F5BC2" w14:textId="77777777" w:rsidR="00BE1421" w:rsidRPr="00342F7C" w:rsidRDefault="00BE1421" w:rsidP="000B2D5F">
            <w:pPr>
              <w:pStyle w:val="EMEANormal"/>
              <w:rPr>
                <w:lang w:val="en-GB"/>
              </w:rPr>
            </w:pPr>
            <w:r w:rsidRPr="00342F7C">
              <w:rPr>
                <w:lang w:val="en-GB"/>
              </w:rPr>
              <w:t>Concentrations may be decreased.</w:t>
            </w:r>
          </w:p>
          <w:p w14:paraId="261FED9B" w14:textId="77777777" w:rsidR="00BE1421" w:rsidRPr="00342F7C" w:rsidRDefault="00BE1421" w:rsidP="000B2D5F">
            <w:pPr>
              <w:pStyle w:val="EMEANormal"/>
              <w:rPr>
                <w:lang w:val="en-GB"/>
              </w:rPr>
            </w:pPr>
          </w:p>
        </w:tc>
        <w:tc>
          <w:tcPr>
            <w:tcW w:w="3574" w:type="dxa"/>
            <w:gridSpan w:val="2"/>
            <w:tcBorders>
              <w:top w:val="single" w:sz="4" w:space="0" w:color="auto"/>
              <w:left w:val="single" w:sz="4" w:space="0" w:color="auto"/>
              <w:bottom w:val="single" w:sz="4" w:space="0" w:color="auto"/>
              <w:right w:val="single" w:sz="4" w:space="0" w:color="auto"/>
            </w:tcBorders>
          </w:tcPr>
          <w:p w14:paraId="31EB1BC4" w14:textId="77777777" w:rsidR="00BE1421" w:rsidRPr="00342F7C" w:rsidRDefault="00BE1421" w:rsidP="000B2D5F">
            <w:pPr>
              <w:pStyle w:val="EMEANormal"/>
              <w:rPr>
                <w:lang w:val="en-GB"/>
              </w:rPr>
            </w:pPr>
            <w:r w:rsidRPr="00342F7C">
              <w:rPr>
                <w:lang w:val="en-GB"/>
              </w:rPr>
              <w:t>Co</w:t>
            </w:r>
            <w:r w:rsidRPr="00342F7C">
              <w:rPr>
                <w:lang w:val="en-GB"/>
              </w:rPr>
              <w:noBreakHyphen/>
              <w:t>administration of voriconazole and low dose ritonavir (100 mg BID) as contained in Kaletra should be avoided unless an assessment of the benefit/risk to patient justifies the use of voriconazole.</w:t>
            </w:r>
          </w:p>
        </w:tc>
      </w:tr>
      <w:tr w:rsidR="00BE1421" w:rsidRPr="00342F7C" w14:paraId="0C341E4E"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255A1714" w14:textId="77777777" w:rsidR="00BE1421" w:rsidRPr="00342F7C" w:rsidRDefault="00BE1421" w:rsidP="00573B91">
            <w:pPr>
              <w:pStyle w:val="EMEANormal"/>
              <w:keepNext/>
              <w:rPr>
                <w:lang w:val="en-GB"/>
              </w:rPr>
            </w:pPr>
            <w:r w:rsidRPr="00342F7C">
              <w:rPr>
                <w:i/>
                <w:iCs/>
                <w:lang w:val="en-GB"/>
              </w:rPr>
              <w:t>Ant</w:t>
            </w:r>
            <w:r>
              <w:rPr>
                <w:i/>
                <w:iCs/>
                <w:lang w:val="en-GB"/>
              </w:rPr>
              <w:t>i</w:t>
            </w:r>
            <w:r>
              <w:rPr>
                <w:i/>
                <w:iCs/>
                <w:lang w:val="en-GB"/>
              </w:rPr>
              <w:noBreakHyphen/>
              <w:t>gout agents</w:t>
            </w:r>
          </w:p>
        </w:tc>
      </w:tr>
      <w:tr w:rsidR="00BE1421" w:rsidRPr="00342F7C" w14:paraId="5D61147E" w14:textId="77777777" w:rsidTr="008E20B3">
        <w:tc>
          <w:tcPr>
            <w:tcW w:w="2400" w:type="dxa"/>
            <w:tcBorders>
              <w:top w:val="single" w:sz="4" w:space="0" w:color="auto"/>
              <w:left w:val="single" w:sz="4" w:space="0" w:color="auto"/>
              <w:bottom w:val="single" w:sz="4" w:space="0" w:color="auto"/>
              <w:right w:val="single" w:sz="4" w:space="0" w:color="auto"/>
            </w:tcBorders>
          </w:tcPr>
          <w:p w14:paraId="467B471D" w14:textId="77777777" w:rsidR="00BE1421" w:rsidRPr="00A95936" w:rsidRDefault="00BE1421" w:rsidP="00573B91">
            <w:pPr>
              <w:pStyle w:val="EMEANormal"/>
              <w:keepNext/>
              <w:rPr>
                <w:lang w:val="en-GB"/>
              </w:rPr>
            </w:pPr>
            <w:r w:rsidRPr="00A95936">
              <w:rPr>
                <w:lang w:val="en-GB"/>
              </w:rPr>
              <w:t>Colchicine single dose</w:t>
            </w:r>
          </w:p>
          <w:p w14:paraId="026406E5" w14:textId="77777777" w:rsidR="00BE1421" w:rsidRPr="00A95936" w:rsidRDefault="00BE1421" w:rsidP="00573B91">
            <w:pPr>
              <w:pStyle w:val="EMEANormal"/>
              <w:keepNext/>
              <w:rPr>
                <w:lang w:val="en-GB"/>
              </w:rPr>
            </w:pPr>
          </w:p>
          <w:p w14:paraId="52692D1F" w14:textId="77777777" w:rsidR="00BE1421" w:rsidRPr="00342F7C" w:rsidRDefault="00BE1421" w:rsidP="00573B91">
            <w:pPr>
              <w:pStyle w:val="EMEANormal"/>
              <w:keepNext/>
              <w:rPr>
                <w:lang w:val="en-GB"/>
              </w:rPr>
            </w:pPr>
            <w:r>
              <w:rPr>
                <w:lang w:val="en-GB"/>
              </w:rPr>
              <w:t>(Ritonavir 200 </w:t>
            </w:r>
            <w:r w:rsidRPr="00A95936">
              <w:rPr>
                <w:lang w:val="en-GB"/>
              </w:rPr>
              <w:t>mg twice</w:t>
            </w:r>
            <w:r>
              <w:rPr>
                <w:lang w:val="en-GB"/>
              </w:rPr>
              <w:noBreakHyphen/>
            </w:r>
            <w:r w:rsidRPr="00A95936">
              <w:rPr>
                <w:lang w:val="en-GB"/>
              </w:rPr>
              <w:t>daily)</w:t>
            </w:r>
          </w:p>
        </w:tc>
        <w:tc>
          <w:tcPr>
            <w:tcW w:w="3240" w:type="dxa"/>
            <w:gridSpan w:val="2"/>
            <w:tcBorders>
              <w:top w:val="single" w:sz="4" w:space="0" w:color="auto"/>
              <w:left w:val="single" w:sz="4" w:space="0" w:color="auto"/>
              <w:bottom w:val="single" w:sz="4" w:space="0" w:color="auto"/>
              <w:right w:val="single" w:sz="4" w:space="0" w:color="auto"/>
            </w:tcBorders>
          </w:tcPr>
          <w:p w14:paraId="27F4E55E" w14:textId="77777777" w:rsidR="00BE1421" w:rsidRPr="00A95936" w:rsidRDefault="00BE1421" w:rsidP="00573B91">
            <w:pPr>
              <w:pStyle w:val="EMEANormal"/>
              <w:keepNext/>
              <w:rPr>
                <w:lang w:val="en-GB"/>
              </w:rPr>
            </w:pPr>
            <w:r w:rsidRPr="00A95936">
              <w:rPr>
                <w:lang w:val="en-GB"/>
              </w:rPr>
              <w:t>Colchicine:</w:t>
            </w:r>
          </w:p>
          <w:p w14:paraId="79100F3A" w14:textId="77777777" w:rsidR="00BE1421" w:rsidRPr="00A95936" w:rsidRDefault="00BE1421" w:rsidP="00573B91">
            <w:pPr>
              <w:keepNext/>
              <w:autoSpaceDE w:val="0"/>
              <w:autoSpaceDN w:val="0"/>
              <w:adjustRightInd w:val="0"/>
              <w:rPr>
                <w:bCs/>
                <w:sz w:val="22"/>
                <w:szCs w:val="22"/>
              </w:rPr>
            </w:pPr>
            <w:r w:rsidRPr="00A95936">
              <w:rPr>
                <w:bCs/>
                <w:sz w:val="22"/>
                <w:szCs w:val="22"/>
              </w:rPr>
              <w:t>AUC: ↑ 3-fold</w:t>
            </w:r>
          </w:p>
          <w:p w14:paraId="78251A3B" w14:textId="77777777" w:rsidR="00BE1421" w:rsidRPr="00A95936" w:rsidRDefault="00BE1421" w:rsidP="00573B91">
            <w:pPr>
              <w:keepNext/>
              <w:autoSpaceDE w:val="0"/>
              <w:autoSpaceDN w:val="0"/>
              <w:adjustRightInd w:val="0"/>
              <w:rPr>
                <w:bCs/>
                <w:sz w:val="22"/>
                <w:szCs w:val="22"/>
              </w:rPr>
            </w:pPr>
            <w:r w:rsidRPr="00A95936">
              <w:rPr>
                <w:bCs/>
                <w:sz w:val="22"/>
                <w:szCs w:val="22"/>
              </w:rPr>
              <w:t>C</w:t>
            </w:r>
            <w:r w:rsidRPr="00A95936">
              <w:rPr>
                <w:bCs/>
                <w:sz w:val="22"/>
                <w:szCs w:val="22"/>
                <w:vertAlign w:val="subscript"/>
              </w:rPr>
              <w:t>max</w:t>
            </w:r>
            <w:r w:rsidRPr="00A95936">
              <w:rPr>
                <w:bCs/>
                <w:sz w:val="22"/>
                <w:szCs w:val="22"/>
              </w:rPr>
              <w:t>: ↑ 1.</w:t>
            </w:r>
            <w:r>
              <w:rPr>
                <w:bCs/>
                <w:sz w:val="22"/>
                <w:szCs w:val="22"/>
              </w:rPr>
              <w:t>8</w:t>
            </w:r>
            <w:r w:rsidRPr="00A95936">
              <w:rPr>
                <w:bCs/>
                <w:sz w:val="22"/>
                <w:szCs w:val="22"/>
              </w:rPr>
              <w:t>-fold</w:t>
            </w:r>
          </w:p>
          <w:p w14:paraId="426C3482" w14:textId="77777777" w:rsidR="00BE1421" w:rsidRPr="00A95936" w:rsidRDefault="00BE1421" w:rsidP="00573B91">
            <w:pPr>
              <w:keepNext/>
              <w:autoSpaceDE w:val="0"/>
              <w:autoSpaceDN w:val="0"/>
              <w:adjustRightInd w:val="0"/>
              <w:rPr>
                <w:bCs/>
                <w:sz w:val="22"/>
                <w:szCs w:val="22"/>
              </w:rPr>
            </w:pPr>
            <w:r w:rsidRPr="00A95936">
              <w:rPr>
                <w:bCs/>
                <w:sz w:val="22"/>
                <w:szCs w:val="22"/>
              </w:rPr>
              <w:t>Due to P-gp and/or CYP3A4 inhibition by</w:t>
            </w:r>
            <w:r w:rsidRPr="00A95936">
              <w:rPr>
                <w:sz w:val="22"/>
                <w:szCs w:val="22"/>
              </w:rPr>
              <w:t xml:space="preserve"> </w:t>
            </w:r>
            <w:r w:rsidRPr="00A95936">
              <w:rPr>
                <w:bCs/>
                <w:sz w:val="22"/>
                <w:szCs w:val="22"/>
              </w:rPr>
              <w:t>ritonavir.</w:t>
            </w:r>
          </w:p>
          <w:p w14:paraId="4C27286E" w14:textId="77777777" w:rsidR="00BE1421" w:rsidRPr="00342F7C" w:rsidRDefault="00BE1421" w:rsidP="00573B91">
            <w:pPr>
              <w:pStyle w:val="EMEANormal"/>
              <w:keepNext/>
              <w:rPr>
                <w:lang w:val="en-GB"/>
              </w:rPr>
            </w:pPr>
          </w:p>
        </w:tc>
        <w:tc>
          <w:tcPr>
            <w:tcW w:w="3574" w:type="dxa"/>
            <w:gridSpan w:val="2"/>
            <w:tcBorders>
              <w:top w:val="single" w:sz="4" w:space="0" w:color="auto"/>
              <w:left w:val="single" w:sz="4" w:space="0" w:color="auto"/>
              <w:bottom w:val="single" w:sz="4" w:space="0" w:color="auto"/>
              <w:right w:val="single" w:sz="4" w:space="0" w:color="auto"/>
            </w:tcBorders>
          </w:tcPr>
          <w:p w14:paraId="1546EF90" w14:textId="77777777" w:rsidR="00BE1421" w:rsidRPr="00342F7C" w:rsidRDefault="00BE1421" w:rsidP="00573B91">
            <w:pPr>
              <w:pStyle w:val="EMEANormal"/>
              <w:keepNext/>
              <w:rPr>
                <w:lang w:val="en-GB"/>
              </w:rPr>
            </w:pPr>
            <w:r>
              <w:rPr>
                <w:lang w:val="en-GB"/>
              </w:rPr>
              <w:t>C</w:t>
            </w:r>
            <w:r w:rsidRPr="00A95936">
              <w:rPr>
                <w:bCs/>
              </w:rPr>
              <w:t xml:space="preserve">oncomitant </w:t>
            </w:r>
            <w:r>
              <w:rPr>
                <w:bCs/>
              </w:rPr>
              <w:t xml:space="preserve">administration of </w:t>
            </w:r>
            <w:r w:rsidRPr="00A95936">
              <w:rPr>
                <w:bCs/>
              </w:rPr>
              <w:t xml:space="preserve">Kaletra </w:t>
            </w:r>
            <w:r>
              <w:rPr>
                <w:bCs/>
              </w:rPr>
              <w:t>with colchicine in patients with renal and/or hepatic impairment is contraindicated due to a potential increase of colchicine-related serious and/or life</w:t>
            </w:r>
            <w:r>
              <w:rPr>
                <w:bCs/>
              </w:rPr>
              <w:noBreakHyphen/>
              <w:t xml:space="preserve">threatening reactions such as neuromuscular toxicity (including </w:t>
            </w:r>
            <w:r w:rsidRPr="00A95936">
              <w:rPr>
                <w:szCs w:val="22"/>
                <w:lang w:eastAsia="de-DE"/>
              </w:rPr>
              <w:t>rhabdomyolysis</w:t>
            </w:r>
            <w:r>
              <w:rPr>
                <w:szCs w:val="22"/>
                <w:lang w:eastAsia="de-DE"/>
              </w:rPr>
              <w:t>)</w:t>
            </w:r>
            <w:r w:rsidRPr="00A95936">
              <w:rPr>
                <w:bCs/>
              </w:rPr>
              <w:t xml:space="preserve"> (see section</w:t>
            </w:r>
            <w:r>
              <w:rPr>
                <w:bCs/>
              </w:rPr>
              <w:t>s 4.3 and</w:t>
            </w:r>
            <w:r w:rsidRPr="00A95936">
              <w:rPr>
                <w:bCs/>
              </w:rPr>
              <w:t xml:space="preserve"> 4.4).</w:t>
            </w:r>
            <w:r>
              <w:rPr>
                <w:bCs/>
              </w:rPr>
              <w:t xml:space="preserve">  A reduction in colchicine dosage or an interruption of colchicine treatment is recommended in patients with normal renal or hepatic function if treatment with Kaletra is required.  Refer to colchicine prescribing information.</w:t>
            </w:r>
          </w:p>
        </w:tc>
      </w:tr>
      <w:tr w:rsidR="00BE1421" w:rsidRPr="00342F7C" w14:paraId="1774F8AA"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705C13EA" w14:textId="77777777" w:rsidR="00BE1421" w:rsidRPr="00342F7C" w:rsidRDefault="00BE1421" w:rsidP="005766B5">
            <w:pPr>
              <w:pStyle w:val="EMEANormal"/>
              <w:rPr>
                <w:lang w:val="en-GB"/>
              </w:rPr>
            </w:pPr>
            <w:r>
              <w:rPr>
                <w:i/>
                <w:iCs/>
                <w:lang w:val="en-GB"/>
              </w:rPr>
              <w:t>Antihistamines</w:t>
            </w:r>
          </w:p>
        </w:tc>
      </w:tr>
      <w:tr w:rsidR="00BE1421" w:rsidRPr="00342F7C" w14:paraId="1EAAAFAD" w14:textId="77777777" w:rsidTr="008E20B3">
        <w:tc>
          <w:tcPr>
            <w:tcW w:w="2410" w:type="dxa"/>
            <w:gridSpan w:val="2"/>
            <w:tcBorders>
              <w:top w:val="single" w:sz="4" w:space="0" w:color="auto"/>
              <w:left w:val="single" w:sz="4" w:space="0" w:color="auto"/>
              <w:bottom w:val="single" w:sz="4" w:space="0" w:color="auto"/>
              <w:right w:val="single" w:sz="4" w:space="0" w:color="auto"/>
            </w:tcBorders>
          </w:tcPr>
          <w:p w14:paraId="7D744096" w14:textId="77777777" w:rsidR="00BE1421" w:rsidRDefault="00BE1421" w:rsidP="005766B5">
            <w:pPr>
              <w:pStyle w:val="EMEANormal"/>
              <w:rPr>
                <w:lang w:val="en-GB"/>
              </w:rPr>
            </w:pPr>
            <w:r>
              <w:rPr>
                <w:lang w:val="en-GB"/>
              </w:rPr>
              <w:t>Astemizole</w:t>
            </w:r>
          </w:p>
          <w:p w14:paraId="6FDEA87C" w14:textId="77777777" w:rsidR="00BE1421" w:rsidRPr="00342F7C" w:rsidRDefault="00BE1421" w:rsidP="005766B5">
            <w:pPr>
              <w:pStyle w:val="EMEANormal"/>
              <w:rPr>
                <w:lang w:val="en-GB"/>
              </w:rPr>
            </w:pPr>
            <w:r>
              <w:rPr>
                <w:lang w:val="en-GB"/>
              </w:rPr>
              <w:t>Terfenadine</w:t>
            </w:r>
          </w:p>
        </w:tc>
        <w:tc>
          <w:tcPr>
            <w:tcW w:w="3260" w:type="dxa"/>
            <w:gridSpan w:val="2"/>
            <w:tcBorders>
              <w:top w:val="single" w:sz="4" w:space="0" w:color="auto"/>
              <w:left w:val="single" w:sz="4" w:space="0" w:color="auto"/>
              <w:bottom w:val="single" w:sz="4" w:space="0" w:color="auto"/>
              <w:right w:val="single" w:sz="4" w:space="0" w:color="auto"/>
            </w:tcBorders>
          </w:tcPr>
          <w:p w14:paraId="4BF28FC3" w14:textId="77777777" w:rsidR="00BE1421" w:rsidRPr="00342F7C" w:rsidRDefault="00BE1421" w:rsidP="005766B5">
            <w:pPr>
              <w:pStyle w:val="EMEANormal"/>
              <w:rPr>
                <w:lang w:val="en-GB"/>
              </w:rPr>
            </w:pPr>
            <w:r>
              <w:rPr>
                <w:lang w:val="en-GB"/>
              </w:rPr>
              <w:t>Serum concentrations may be increased due to CYP3A inhibition by lopinavir/ritonavir.</w:t>
            </w:r>
          </w:p>
        </w:tc>
        <w:tc>
          <w:tcPr>
            <w:tcW w:w="3544" w:type="dxa"/>
            <w:tcBorders>
              <w:top w:val="single" w:sz="4" w:space="0" w:color="auto"/>
              <w:left w:val="single" w:sz="4" w:space="0" w:color="auto"/>
              <w:bottom w:val="single" w:sz="4" w:space="0" w:color="auto"/>
              <w:right w:val="single" w:sz="4" w:space="0" w:color="auto"/>
            </w:tcBorders>
          </w:tcPr>
          <w:p w14:paraId="33820947" w14:textId="77777777" w:rsidR="00BE1421" w:rsidRPr="00342F7C" w:rsidRDefault="00BE1421" w:rsidP="00955281">
            <w:pPr>
              <w:pStyle w:val="EMEANormal"/>
              <w:rPr>
                <w:lang w:val="en-GB"/>
              </w:rPr>
            </w:pPr>
            <w:r>
              <w:rPr>
                <w:lang w:val="en-GB"/>
              </w:rPr>
              <w:t>Concomitant administration of Kaletra and astemizole and terfenadine is contraindicated as it may increase the risk of serious arrhythmias from these agents (see section 4.3).</w:t>
            </w:r>
          </w:p>
        </w:tc>
      </w:tr>
      <w:tr w:rsidR="00BE1421" w:rsidRPr="00342F7C" w14:paraId="60E051BB"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1522533F" w14:textId="77777777" w:rsidR="00BE1421" w:rsidRPr="00342F7C" w:rsidRDefault="00BE1421" w:rsidP="003C2268">
            <w:pPr>
              <w:pStyle w:val="EMEANormal"/>
              <w:rPr>
                <w:lang w:val="en-GB"/>
              </w:rPr>
            </w:pPr>
            <w:r>
              <w:rPr>
                <w:i/>
                <w:iCs/>
                <w:lang w:val="en-GB"/>
              </w:rPr>
              <w:t>Anti-infectives</w:t>
            </w:r>
          </w:p>
        </w:tc>
      </w:tr>
      <w:tr w:rsidR="00BE1421" w:rsidRPr="00342F7C" w14:paraId="24843D27" w14:textId="77777777" w:rsidTr="008E20B3">
        <w:tc>
          <w:tcPr>
            <w:tcW w:w="2400" w:type="dxa"/>
            <w:tcBorders>
              <w:top w:val="single" w:sz="4" w:space="0" w:color="auto"/>
              <w:left w:val="single" w:sz="4" w:space="0" w:color="auto"/>
              <w:bottom w:val="single" w:sz="4" w:space="0" w:color="auto"/>
              <w:right w:val="single" w:sz="4" w:space="0" w:color="auto"/>
            </w:tcBorders>
          </w:tcPr>
          <w:p w14:paraId="18AC5578" w14:textId="77777777" w:rsidR="00BE1421" w:rsidRPr="00342F7C" w:rsidRDefault="00BE1421" w:rsidP="003C2268">
            <w:pPr>
              <w:pStyle w:val="EMEANormal"/>
              <w:rPr>
                <w:lang w:val="en-GB"/>
              </w:rPr>
            </w:pPr>
            <w:r>
              <w:rPr>
                <w:lang w:val="en-GB"/>
              </w:rPr>
              <w:t>Fusidic acid</w:t>
            </w:r>
          </w:p>
        </w:tc>
        <w:tc>
          <w:tcPr>
            <w:tcW w:w="3240" w:type="dxa"/>
            <w:gridSpan w:val="2"/>
            <w:tcBorders>
              <w:top w:val="single" w:sz="4" w:space="0" w:color="auto"/>
              <w:left w:val="single" w:sz="4" w:space="0" w:color="auto"/>
              <w:bottom w:val="single" w:sz="4" w:space="0" w:color="auto"/>
              <w:right w:val="single" w:sz="4" w:space="0" w:color="auto"/>
            </w:tcBorders>
          </w:tcPr>
          <w:p w14:paraId="26578A9A" w14:textId="77777777" w:rsidR="00BE1421" w:rsidRDefault="00BE1421" w:rsidP="005762AB">
            <w:pPr>
              <w:pStyle w:val="EMEANormal"/>
              <w:rPr>
                <w:lang w:val="en-GB"/>
              </w:rPr>
            </w:pPr>
            <w:r>
              <w:rPr>
                <w:lang w:val="en-GB"/>
              </w:rPr>
              <w:t>Fusidic acid:</w:t>
            </w:r>
          </w:p>
          <w:p w14:paraId="076CFDA8" w14:textId="77777777" w:rsidR="00BE1421" w:rsidRPr="00342F7C" w:rsidRDefault="00BE1421" w:rsidP="003C2268">
            <w:pPr>
              <w:pStyle w:val="EMEANormal"/>
              <w:rPr>
                <w:lang w:val="en-GB"/>
              </w:rPr>
            </w:pPr>
            <w:r>
              <w:rPr>
                <w:lang w:val="en-GB"/>
              </w:rPr>
              <w:t>Concentrations may be increased due to CYP3A inhibition by lopinavir/ritonavir.</w:t>
            </w:r>
          </w:p>
        </w:tc>
        <w:tc>
          <w:tcPr>
            <w:tcW w:w="3574" w:type="dxa"/>
            <w:gridSpan w:val="2"/>
            <w:tcBorders>
              <w:top w:val="single" w:sz="4" w:space="0" w:color="auto"/>
              <w:left w:val="single" w:sz="4" w:space="0" w:color="auto"/>
              <w:bottom w:val="single" w:sz="4" w:space="0" w:color="auto"/>
              <w:right w:val="single" w:sz="4" w:space="0" w:color="auto"/>
            </w:tcBorders>
          </w:tcPr>
          <w:p w14:paraId="7B4BC2FC" w14:textId="77777777" w:rsidR="00BE1421" w:rsidRPr="00342F7C" w:rsidRDefault="00BE1421" w:rsidP="003C2268">
            <w:pPr>
              <w:pStyle w:val="EMEANormal"/>
              <w:rPr>
                <w:lang w:val="en-GB"/>
              </w:rPr>
            </w:pPr>
            <w:r>
              <w:rPr>
                <w:szCs w:val="22"/>
                <w:lang w:eastAsia="de-DE"/>
              </w:rPr>
              <w:t xml:space="preserve">Concomitant administration of Kaletra with fusidic acid is contra-indicated in dermatological indications due to </w:t>
            </w:r>
            <w:r w:rsidRPr="00A95936">
              <w:rPr>
                <w:szCs w:val="22"/>
                <w:lang w:eastAsia="de-DE"/>
              </w:rPr>
              <w:t>the increased risk of adverse events related to fusidic acid, notably rhabdomyolysis</w:t>
            </w:r>
            <w:r>
              <w:rPr>
                <w:szCs w:val="22"/>
                <w:lang w:eastAsia="de-DE"/>
              </w:rPr>
              <w:t xml:space="preserve"> (see section 4.3).  When used for osteo-articular infections, where the co-administration is unavoidable, close clinical monitoring for muscular adverse events is strongly recommended (see section 4.4). </w:t>
            </w:r>
          </w:p>
        </w:tc>
      </w:tr>
      <w:tr w:rsidR="00BE1421" w:rsidRPr="00342F7C" w14:paraId="034F5960"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002AC189" w14:textId="77777777" w:rsidR="00BE1421" w:rsidRPr="00342F7C" w:rsidRDefault="00BE1421" w:rsidP="00D16035">
            <w:pPr>
              <w:pStyle w:val="EMEANormal"/>
              <w:keepNext/>
              <w:rPr>
                <w:bCs/>
                <w:iCs/>
                <w:lang w:val="en-GB"/>
              </w:rPr>
            </w:pPr>
            <w:r w:rsidRPr="00342F7C">
              <w:rPr>
                <w:bCs/>
                <w:i/>
                <w:lang w:val="en-GB"/>
              </w:rPr>
              <w:t>Antimycobacterials</w:t>
            </w:r>
          </w:p>
        </w:tc>
      </w:tr>
      <w:tr w:rsidR="00BE1421" w:rsidRPr="00797BFA" w14:paraId="449854BC" w14:textId="77777777" w:rsidTr="008E20B3">
        <w:tc>
          <w:tcPr>
            <w:tcW w:w="2400" w:type="dxa"/>
            <w:tcBorders>
              <w:top w:val="single" w:sz="4" w:space="0" w:color="auto"/>
              <w:left w:val="single" w:sz="4" w:space="0" w:color="auto"/>
              <w:bottom w:val="single" w:sz="4" w:space="0" w:color="auto"/>
              <w:right w:val="single" w:sz="4" w:space="0" w:color="auto"/>
            </w:tcBorders>
          </w:tcPr>
          <w:p w14:paraId="1624589F" w14:textId="77777777" w:rsidR="00BE1421" w:rsidRDefault="00BE1421" w:rsidP="00D11B95">
            <w:pPr>
              <w:pStyle w:val="EMEANormal"/>
              <w:rPr>
                <w:bCs/>
                <w:iCs/>
                <w:lang w:val="en-GB"/>
              </w:rPr>
            </w:pPr>
            <w:r>
              <w:rPr>
                <w:bCs/>
                <w:iCs/>
                <w:lang w:val="en-GB"/>
              </w:rPr>
              <w:t>Bedaquiline</w:t>
            </w:r>
          </w:p>
          <w:p w14:paraId="0B689C14" w14:textId="77777777" w:rsidR="00BE1421" w:rsidRDefault="00BE1421" w:rsidP="00D11B95">
            <w:pPr>
              <w:pStyle w:val="EMEANormal"/>
              <w:rPr>
                <w:bCs/>
                <w:iCs/>
                <w:lang w:val="en-GB"/>
              </w:rPr>
            </w:pPr>
            <w:r>
              <w:rPr>
                <w:bCs/>
                <w:iCs/>
                <w:lang w:val="en-GB"/>
              </w:rPr>
              <w:t>(single dose)</w:t>
            </w:r>
          </w:p>
          <w:p w14:paraId="47385410" w14:textId="77777777" w:rsidR="00BE1421" w:rsidRDefault="00BE1421" w:rsidP="00D11B95">
            <w:pPr>
              <w:pStyle w:val="EMEANormal"/>
              <w:rPr>
                <w:bCs/>
                <w:iCs/>
                <w:lang w:val="en-GB"/>
              </w:rPr>
            </w:pPr>
          </w:p>
          <w:p w14:paraId="56FDD320" w14:textId="77777777" w:rsidR="00BE1421" w:rsidRPr="00797BFA" w:rsidRDefault="00BE1421" w:rsidP="00D11B95">
            <w:pPr>
              <w:pStyle w:val="EMEANormal"/>
              <w:rPr>
                <w:bCs/>
                <w:iCs/>
                <w:lang w:val="en-GB"/>
              </w:rPr>
            </w:pPr>
            <w:r>
              <w:rPr>
                <w:bCs/>
                <w:iCs/>
                <w:lang w:val="en-GB"/>
              </w:rPr>
              <w:t>(Lopinavir/ritonavir 400/100 mg BID, multiple dose)</w:t>
            </w:r>
          </w:p>
        </w:tc>
        <w:tc>
          <w:tcPr>
            <w:tcW w:w="3240" w:type="dxa"/>
            <w:gridSpan w:val="2"/>
            <w:tcBorders>
              <w:top w:val="single" w:sz="4" w:space="0" w:color="auto"/>
              <w:left w:val="single" w:sz="4" w:space="0" w:color="auto"/>
              <w:bottom w:val="single" w:sz="4" w:space="0" w:color="auto"/>
              <w:right w:val="single" w:sz="4" w:space="0" w:color="auto"/>
            </w:tcBorders>
          </w:tcPr>
          <w:p w14:paraId="62994498" w14:textId="77777777" w:rsidR="00BE1421" w:rsidRDefault="00BE1421" w:rsidP="00D11B95">
            <w:pPr>
              <w:pStyle w:val="EMEANormal"/>
              <w:rPr>
                <w:lang w:val="en-GB"/>
              </w:rPr>
            </w:pPr>
            <w:r>
              <w:rPr>
                <w:lang w:val="en-GB"/>
              </w:rPr>
              <w:t>Bedaquiline:</w:t>
            </w:r>
          </w:p>
          <w:p w14:paraId="2CE9707C" w14:textId="77777777" w:rsidR="00BE1421" w:rsidRPr="00961BBD" w:rsidRDefault="00BE1421" w:rsidP="00D11B95">
            <w:pPr>
              <w:pStyle w:val="EMEANormal"/>
              <w:rPr>
                <w:color w:val="000000"/>
                <w:lang w:eastAsia="en-GB"/>
              </w:rPr>
            </w:pPr>
            <w:r w:rsidRPr="00961BBD">
              <w:rPr>
                <w:color w:val="000000"/>
                <w:lang w:eastAsia="en-GB"/>
              </w:rPr>
              <w:t>AUC</w:t>
            </w:r>
            <w:r>
              <w:rPr>
                <w:color w:val="000000"/>
                <w:lang w:eastAsia="en-GB"/>
              </w:rPr>
              <w:t>:</w:t>
            </w:r>
            <w:r w:rsidRPr="00961BBD">
              <w:rPr>
                <w:color w:val="000000"/>
                <w:lang w:eastAsia="en-GB"/>
              </w:rPr>
              <w:t xml:space="preserve"> </w:t>
            </w:r>
            <w:r w:rsidRPr="00342F7C">
              <w:rPr>
                <w:iCs/>
                <w:lang w:val="en-GB"/>
              </w:rPr>
              <w:t>↑</w:t>
            </w:r>
            <w:r>
              <w:rPr>
                <w:color w:val="000000"/>
                <w:lang w:eastAsia="en-GB"/>
              </w:rPr>
              <w:t xml:space="preserve"> 22</w:t>
            </w:r>
            <w:r w:rsidRPr="00961BBD">
              <w:rPr>
                <w:color w:val="000000"/>
                <w:lang w:eastAsia="en-GB"/>
              </w:rPr>
              <w:t>%</w:t>
            </w:r>
          </w:p>
          <w:p w14:paraId="128D02CA" w14:textId="77777777" w:rsidR="00BE1421" w:rsidRDefault="00BE1421" w:rsidP="00D11B95">
            <w:pPr>
              <w:pStyle w:val="EMEANormal"/>
              <w:rPr>
                <w:szCs w:val="22"/>
                <w:lang w:val="en-GB"/>
              </w:rPr>
            </w:pPr>
            <w:r w:rsidRPr="00961BBD">
              <w:rPr>
                <w:color w:val="000000"/>
                <w:lang w:eastAsia="en-GB"/>
              </w:rPr>
              <w:t>C</w:t>
            </w:r>
            <w:r w:rsidRPr="00961BBD">
              <w:rPr>
                <w:color w:val="000000"/>
                <w:vertAlign w:val="subscript"/>
                <w:lang w:eastAsia="en-GB"/>
              </w:rPr>
              <w:t>max</w:t>
            </w:r>
            <w:r>
              <w:rPr>
                <w:color w:val="000000"/>
                <w:lang w:eastAsia="en-GB"/>
              </w:rPr>
              <w:t xml:space="preserve">: </w:t>
            </w:r>
            <w:r w:rsidRPr="00342F7C">
              <w:rPr>
                <w:szCs w:val="22"/>
                <w:lang w:val="en-GB"/>
              </w:rPr>
              <w:t>↔</w:t>
            </w:r>
          </w:p>
          <w:p w14:paraId="46B0CCA2" w14:textId="77777777" w:rsidR="00BE1421" w:rsidRDefault="00BE1421" w:rsidP="00D11B95">
            <w:pPr>
              <w:pStyle w:val="EMEANormal"/>
              <w:rPr>
                <w:szCs w:val="22"/>
                <w:lang w:val="en-GB"/>
              </w:rPr>
            </w:pPr>
          </w:p>
          <w:p w14:paraId="07A7471C" w14:textId="77777777" w:rsidR="00BE1421" w:rsidRDefault="00BE1421" w:rsidP="00D11B95">
            <w:pPr>
              <w:pStyle w:val="EMEANormal"/>
              <w:rPr>
                <w:szCs w:val="22"/>
                <w:lang w:val="en-GB"/>
              </w:rPr>
            </w:pPr>
            <w:r>
              <w:rPr>
                <w:szCs w:val="22"/>
                <w:lang w:val="en-GB"/>
              </w:rPr>
              <w:t>A more pronounced effect on bedaquiline plasma exposures may be observed during prolonged co</w:t>
            </w:r>
            <w:r>
              <w:rPr>
                <w:szCs w:val="22"/>
                <w:lang w:val="en-GB"/>
              </w:rPr>
              <w:noBreakHyphen/>
              <w:t>administration with lopinavir/ritonavir.</w:t>
            </w:r>
          </w:p>
          <w:p w14:paraId="375FB1FF" w14:textId="77777777" w:rsidR="00BE1421" w:rsidRDefault="00BE1421" w:rsidP="00D11B95">
            <w:pPr>
              <w:pStyle w:val="EMEANormal"/>
              <w:rPr>
                <w:szCs w:val="22"/>
                <w:lang w:val="en-GB"/>
              </w:rPr>
            </w:pPr>
          </w:p>
          <w:p w14:paraId="6D3C5FA5" w14:textId="77777777" w:rsidR="00BE1421" w:rsidRPr="00961BBD" w:rsidRDefault="00BE1421" w:rsidP="00D11B95">
            <w:pPr>
              <w:pStyle w:val="EMEANormal"/>
              <w:rPr>
                <w:color w:val="000000"/>
                <w:lang w:eastAsia="en-GB"/>
              </w:rPr>
            </w:pPr>
            <w:r>
              <w:rPr>
                <w:szCs w:val="22"/>
                <w:lang w:val="en-GB"/>
              </w:rPr>
              <w:t>CYP3A4 inhibition likely due to lopinavir/ritonavir.</w:t>
            </w:r>
          </w:p>
          <w:p w14:paraId="402E3F3E" w14:textId="77777777" w:rsidR="00BE1421" w:rsidRPr="00797BFA" w:rsidRDefault="00BE1421" w:rsidP="00D11B95">
            <w:pPr>
              <w:pStyle w:val="EMEANormal"/>
              <w:rPr>
                <w:lang w:val="en-GB"/>
              </w:rPr>
            </w:pPr>
          </w:p>
        </w:tc>
        <w:tc>
          <w:tcPr>
            <w:tcW w:w="3574" w:type="dxa"/>
            <w:gridSpan w:val="2"/>
            <w:tcBorders>
              <w:top w:val="single" w:sz="4" w:space="0" w:color="auto"/>
              <w:left w:val="single" w:sz="4" w:space="0" w:color="auto"/>
              <w:bottom w:val="single" w:sz="4" w:space="0" w:color="auto"/>
              <w:right w:val="single" w:sz="4" w:space="0" w:color="auto"/>
            </w:tcBorders>
          </w:tcPr>
          <w:p w14:paraId="493D0291" w14:textId="77777777" w:rsidR="00BE1421" w:rsidRPr="00797BFA" w:rsidRDefault="00BE1421" w:rsidP="00D11B95">
            <w:pPr>
              <w:pStyle w:val="EMEANormal"/>
              <w:rPr>
                <w:iCs/>
                <w:lang w:val="en-GB"/>
              </w:rPr>
            </w:pPr>
            <w:r>
              <w:rPr>
                <w:iCs/>
                <w:lang w:val="en-GB"/>
              </w:rPr>
              <w:t>Due to the risk of bedaquiline related adverse events, the combination of bedaquiline and Kaletra should be avoided.  If the benefit outweighs the risk, co</w:t>
            </w:r>
            <w:r>
              <w:rPr>
                <w:iCs/>
                <w:lang w:val="en-GB"/>
              </w:rPr>
              <w:noBreakHyphen/>
              <w:t>administration of bedaquiline with Kaletra must be done with caution.  More frequent electrocardiogram monitoring and monitoring of transaminases is recommended (see section 4.4 and refer to the bedaquiline SmPC).</w:t>
            </w:r>
          </w:p>
        </w:tc>
      </w:tr>
      <w:tr w:rsidR="00BE1421" w:rsidRPr="00342F7C" w14:paraId="3133B801" w14:textId="77777777" w:rsidTr="008E20B3">
        <w:tc>
          <w:tcPr>
            <w:tcW w:w="2400" w:type="dxa"/>
            <w:tcBorders>
              <w:top w:val="single" w:sz="4" w:space="0" w:color="auto"/>
              <w:left w:val="single" w:sz="4" w:space="0" w:color="auto"/>
              <w:bottom w:val="single" w:sz="4" w:space="0" w:color="auto"/>
              <w:right w:val="single" w:sz="4" w:space="0" w:color="auto"/>
            </w:tcBorders>
          </w:tcPr>
          <w:p w14:paraId="22F784E5" w14:textId="77777777" w:rsidR="00BE1421" w:rsidRDefault="00BE1421" w:rsidP="00D11B95">
            <w:pPr>
              <w:pStyle w:val="EMEANormal1"/>
              <w:keepNext/>
              <w:rPr>
                <w:bCs/>
                <w:iCs/>
                <w:lang w:val="en-GB"/>
              </w:rPr>
            </w:pPr>
            <w:r>
              <w:rPr>
                <w:bCs/>
                <w:iCs/>
                <w:lang w:val="en-GB"/>
              </w:rPr>
              <w:t>Delamanid (100 mg BID)</w:t>
            </w:r>
          </w:p>
          <w:p w14:paraId="0CB1FB71" w14:textId="77777777" w:rsidR="00BE1421" w:rsidRDefault="00BE1421" w:rsidP="00D11B95">
            <w:pPr>
              <w:pStyle w:val="EMEANormal1"/>
              <w:keepNext/>
              <w:rPr>
                <w:bCs/>
                <w:iCs/>
                <w:lang w:val="en-GB"/>
              </w:rPr>
            </w:pPr>
          </w:p>
          <w:p w14:paraId="2307E503" w14:textId="77777777" w:rsidR="00BE1421" w:rsidRPr="00342F7C" w:rsidRDefault="00BE1421" w:rsidP="00D11B95">
            <w:pPr>
              <w:pStyle w:val="EMEANormal"/>
              <w:keepNext/>
              <w:rPr>
                <w:bCs/>
                <w:iCs/>
                <w:lang w:val="en-GB"/>
              </w:rPr>
            </w:pPr>
            <w:r>
              <w:rPr>
                <w:bCs/>
                <w:iCs/>
                <w:lang w:val="en-GB"/>
              </w:rPr>
              <w:t>(Lopinavir/ritonavir 400/100 mg BID)</w:t>
            </w:r>
          </w:p>
        </w:tc>
        <w:tc>
          <w:tcPr>
            <w:tcW w:w="3240" w:type="dxa"/>
            <w:gridSpan w:val="2"/>
            <w:tcBorders>
              <w:top w:val="single" w:sz="4" w:space="0" w:color="auto"/>
              <w:left w:val="single" w:sz="4" w:space="0" w:color="auto"/>
              <w:bottom w:val="single" w:sz="4" w:space="0" w:color="auto"/>
              <w:right w:val="single" w:sz="4" w:space="0" w:color="auto"/>
            </w:tcBorders>
          </w:tcPr>
          <w:p w14:paraId="00E95818" w14:textId="77777777" w:rsidR="00BE1421" w:rsidRPr="009979C3" w:rsidRDefault="00BE1421" w:rsidP="00D11B95">
            <w:pPr>
              <w:pStyle w:val="EMEANormal"/>
              <w:keepNext/>
              <w:rPr>
                <w:lang w:val="de-DE"/>
              </w:rPr>
            </w:pPr>
            <w:r w:rsidRPr="009979C3">
              <w:rPr>
                <w:lang w:val="de-DE"/>
              </w:rPr>
              <w:t>Delamanid:</w:t>
            </w:r>
          </w:p>
          <w:p w14:paraId="12E54672" w14:textId="77777777" w:rsidR="00BE1421" w:rsidRPr="009979C3" w:rsidRDefault="00BE1421" w:rsidP="00D11B95">
            <w:pPr>
              <w:pStyle w:val="TableParagraph"/>
              <w:keepNext/>
              <w:spacing w:before="1"/>
              <w:ind w:right="172"/>
              <w:rPr>
                <w:rFonts w:ascii="Times New Roman" w:hAnsi="Times New Roman" w:cs="Times New Roman"/>
                <w:lang w:val="de-DE"/>
              </w:rPr>
            </w:pPr>
            <w:r w:rsidRPr="009979C3">
              <w:rPr>
                <w:rFonts w:ascii="Times New Roman" w:hAnsi="Times New Roman" w:cs="Times New Roman"/>
                <w:lang w:val="de-DE"/>
              </w:rPr>
              <w:t>AUC:</w:t>
            </w:r>
            <w:r>
              <w:rPr>
                <w:rFonts w:ascii="Times New Roman" w:hAnsi="Times New Roman" w:cs="Times New Roman"/>
                <w:lang w:val="de-DE"/>
              </w:rPr>
              <w:t xml:space="preserve"> </w:t>
            </w:r>
            <w:r w:rsidRPr="009979C3">
              <w:rPr>
                <w:rFonts w:ascii="Times New Roman" w:hAnsi="Times New Roman" w:cs="Times New Roman"/>
                <w:lang w:val="de-DE"/>
              </w:rPr>
              <w:t>↑</w:t>
            </w:r>
            <w:r>
              <w:rPr>
                <w:rFonts w:ascii="Times New Roman" w:hAnsi="Times New Roman" w:cs="Times New Roman"/>
                <w:lang w:val="de-DE"/>
              </w:rPr>
              <w:t xml:space="preserve"> </w:t>
            </w:r>
            <w:r w:rsidRPr="009979C3">
              <w:rPr>
                <w:rFonts w:ascii="Times New Roman" w:hAnsi="Times New Roman" w:cs="Times New Roman"/>
                <w:lang w:val="de-DE"/>
              </w:rPr>
              <w:t>22%</w:t>
            </w:r>
          </w:p>
          <w:p w14:paraId="00CC3FF6" w14:textId="77777777" w:rsidR="00BE1421" w:rsidRPr="009979C3" w:rsidRDefault="00BE1421" w:rsidP="00D11B95">
            <w:pPr>
              <w:pStyle w:val="TableParagraph"/>
              <w:keepNext/>
              <w:spacing w:before="1"/>
              <w:ind w:left="44" w:right="172"/>
              <w:rPr>
                <w:rFonts w:ascii="Times New Roman" w:hAnsi="Times New Roman" w:cs="Times New Roman"/>
                <w:lang w:val="de-DE"/>
              </w:rPr>
            </w:pPr>
          </w:p>
          <w:p w14:paraId="36BE765B" w14:textId="77777777" w:rsidR="00BE1421" w:rsidRPr="009979C3" w:rsidRDefault="00BE1421" w:rsidP="00D11B95">
            <w:pPr>
              <w:pStyle w:val="TableParagraph"/>
              <w:keepNext/>
              <w:spacing w:before="1"/>
              <w:ind w:right="172"/>
              <w:rPr>
                <w:rFonts w:ascii="Times New Roman" w:hAnsi="Times New Roman" w:cs="Times New Roman"/>
                <w:lang w:val="de-DE"/>
              </w:rPr>
            </w:pPr>
            <w:r w:rsidRPr="009979C3">
              <w:rPr>
                <w:rFonts w:ascii="Times New Roman" w:hAnsi="Times New Roman" w:cs="Times New Roman"/>
                <w:lang w:val="de-DE"/>
              </w:rPr>
              <w:t>DM-6705 (delamanid active metabolite):</w:t>
            </w:r>
          </w:p>
          <w:p w14:paraId="43CF42CF" w14:textId="77777777" w:rsidR="00BE1421" w:rsidRPr="009979C3" w:rsidRDefault="00BE1421" w:rsidP="00D11B95">
            <w:pPr>
              <w:pStyle w:val="TableParagraph"/>
              <w:keepNext/>
              <w:spacing w:before="1"/>
              <w:ind w:right="172"/>
              <w:rPr>
                <w:rFonts w:ascii="Times New Roman" w:hAnsi="Times New Roman" w:cs="Times New Roman"/>
                <w:lang w:val="de-DE"/>
              </w:rPr>
            </w:pPr>
            <w:r w:rsidRPr="009979C3">
              <w:rPr>
                <w:rFonts w:ascii="Times New Roman" w:hAnsi="Times New Roman" w:cs="Times New Roman"/>
                <w:lang w:val="de-DE"/>
              </w:rPr>
              <w:t>AUC:</w:t>
            </w:r>
            <w:r>
              <w:rPr>
                <w:rFonts w:ascii="Times New Roman" w:hAnsi="Times New Roman" w:cs="Times New Roman"/>
                <w:lang w:val="de-DE"/>
              </w:rPr>
              <w:t xml:space="preserve"> </w:t>
            </w:r>
            <w:r w:rsidRPr="009979C3">
              <w:rPr>
                <w:rFonts w:ascii="Times New Roman" w:hAnsi="Times New Roman" w:cs="Times New Roman"/>
                <w:lang w:val="de-DE"/>
              </w:rPr>
              <w:t>↑</w:t>
            </w:r>
            <w:r>
              <w:rPr>
                <w:rFonts w:ascii="Times New Roman" w:hAnsi="Times New Roman" w:cs="Times New Roman"/>
                <w:lang w:val="de-DE"/>
              </w:rPr>
              <w:t xml:space="preserve"> </w:t>
            </w:r>
            <w:r w:rsidRPr="009979C3">
              <w:rPr>
                <w:rFonts w:ascii="Times New Roman" w:hAnsi="Times New Roman" w:cs="Times New Roman"/>
                <w:lang w:val="de-DE"/>
              </w:rPr>
              <w:t>30%</w:t>
            </w:r>
          </w:p>
          <w:p w14:paraId="0142E04F" w14:textId="77777777" w:rsidR="00BE1421" w:rsidRDefault="00BE1421" w:rsidP="00D11B95">
            <w:pPr>
              <w:pStyle w:val="EMEANormal"/>
              <w:keepNext/>
            </w:pPr>
          </w:p>
          <w:p w14:paraId="7DA3F9C2" w14:textId="77777777" w:rsidR="00BE1421" w:rsidRPr="00342F7C" w:rsidRDefault="00BE1421" w:rsidP="00D11B95">
            <w:pPr>
              <w:pStyle w:val="EMEANormal"/>
              <w:keepNext/>
              <w:rPr>
                <w:bCs/>
                <w:iCs/>
                <w:lang w:val="en-GB"/>
              </w:rPr>
            </w:pPr>
            <w:r w:rsidRPr="009979C3">
              <w:t>A more pronounced effect on DM-6705 exposure may be observed during prolonged co-administration with lopinavir/ritonavir.</w:t>
            </w:r>
          </w:p>
        </w:tc>
        <w:tc>
          <w:tcPr>
            <w:tcW w:w="3574" w:type="dxa"/>
            <w:gridSpan w:val="2"/>
            <w:tcBorders>
              <w:top w:val="single" w:sz="4" w:space="0" w:color="auto"/>
              <w:left w:val="single" w:sz="4" w:space="0" w:color="auto"/>
              <w:bottom w:val="single" w:sz="4" w:space="0" w:color="auto"/>
              <w:right w:val="single" w:sz="4" w:space="0" w:color="auto"/>
            </w:tcBorders>
          </w:tcPr>
          <w:p w14:paraId="16B17720" w14:textId="77777777" w:rsidR="00BE1421" w:rsidRPr="00342F7C" w:rsidRDefault="00BE1421" w:rsidP="00D11B95">
            <w:pPr>
              <w:pStyle w:val="EMEANormal"/>
              <w:keepNext/>
              <w:rPr>
                <w:lang w:val="en-GB"/>
              </w:rPr>
            </w:pPr>
            <w:r>
              <w:t>Due to the risk of QTc prolongation associated with DM</w:t>
            </w:r>
            <w:r>
              <w:noBreakHyphen/>
              <w:t>6705, if co</w:t>
            </w:r>
            <w:r>
              <w:noBreakHyphen/>
              <w:t xml:space="preserve">administration of delamanid with Kaletra is considered necessary, </w:t>
            </w:r>
            <w:r w:rsidRPr="0056654E">
              <w:t>very</w:t>
            </w:r>
            <w:r>
              <w:t xml:space="preserve"> frequent ECG monitoring throughout the full delamanid treatment period is recommended (see section 4.4 and refer to the delamanid SmPC).</w:t>
            </w:r>
          </w:p>
        </w:tc>
      </w:tr>
      <w:tr w:rsidR="00BE1421" w:rsidRPr="00342F7C" w14:paraId="6216FD4C" w14:textId="77777777" w:rsidTr="008E20B3">
        <w:tc>
          <w:tcPr>
            <w:tcW w:w="2400" w:type="dxa"/>
            <w:tcBorders>
              <w:top w:val="single" w:sz="4" w:space="0" w:color="auto"/>
              <w:left w:val="single" w:sz="4" w:space="0" w:color="auto"/>
              <w:bottom w:val="single" w:sz="4" w:space="0" w:color="auto"/>
              <w:right w:val="single" w:sz="4" w:space="0" w:color="auto"/>
            </w:tcBorders>
          </w:tcPr>
          <w:p w14:paraId="2826CCBD" w14:textId="77777777" w:rsidR="00BE1421" w:rsidRPr="00342F7C" w:rsidRDefault="00BE1421" w:rsidP="000B2D5F">
            <w:pPr>
              <w:pStyle w:val="EMEANormal"/>
              <w:rPr>
                <w:bCs/>
                <w:iCs/>
                <w:lang w:val="en-GB"/>
              </w:rPr>
            </w:pPr>
            <w:r w:rsidRPr="00342F7C">
              <w:rPr>
                <w:bCs/>
                <w:iCs/>
                <w:lang w:val="en-GB"/>
              </w:rPr>
              <w:t>Rifabutin, 150 mg QD</w:t>
            </w:r>
          </w:p>
          <w:p w14:paraId="73894859" w14:textId="77777777" w:rsidR="00BE1421" w:rsidRPr="00342F7C" w:rsidRDefault="00BE1421" w:rsidP="000B2D5F">
            <w:pPr>
              <w:pStyle w:val="EMEANormal"/>
              <w:rPr>
                <w:iCs/>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74A9686D" w14:textId="77777777" w:rsidR="00BE1421" w:rsidRPr="00342F7C" w:rsidRDefault="00BE1421" w:rsidP="000B2D5F">
            <w:pPr>
              <w:pStyle w:val="EMEANormal"/>
              <w:rPr>
                <w:i/>
                <w:lang w:val="en-GB"/>
              </w:rPr>
            </w:pPr>
            <w:r w:rsidRPr="00342F7C">
              <w:rPr>
                <w:bCs/>
                <w:iCs/>
                <w:lang w:val="en-GB"/>
              </w:rPr>
              <w:t xml:space="preserve">Rifabutin (parent drug and active </w:t>
            </w:r>
            <w:r w:rsidRPr="00342F7C">
              <w:rPr>
                <w:lang w:val="en-GB"/>
              </w:rPr>
              <w:t>25-O-desacetyl metabolite)</w:t>
            </w:r>
            <w:r w:rsidRPr="00342F7C">
              <w:rPr>
                <w:bCs/>
                <w:iCs/>
                <w:lang w:val="en-GB"/>
              </w:rPr>
              <w:t>:</w:t>
            </w:r>
            <w:r w:rsidRPr="00342F7C">
              <w:rPr>
                <w:i/>
                <w:lang w:val="en-GB"/>
              </w:rPr>
              <w:t xml:space="preserve"> </w:t>
            </w:r>
          </w:p>
          <w:p w14:paraId="22182598" w14:textId="77777777" w:rsidR="00BE1421" w:rsidRPr="00342F7C" w:rsidRDefault="00BE1421" w:rsidP="000B2D5F">
            <w:pPr>
              <w:pStyle w:val="EMEANormal"/>
              <w:rPr>
                <w:lang w:val="en-GB"/>
              </w:rPr>
            </w:pPr>
            <w:r w:rsidRPr="00342F7C">
              <w:rPr>
                <w:lang w:val="en-GB"/>
              </w:rPr>
              <w:t>AUC: ↑ 5.7-fold</w:t>
            </w:r>
          </w:p>
          <w:p w14:paraId="136705C6" w14:textId="77777777" w:rsidR="00BE1421" w:rsidRPr="00342F7C" w:rsidRDefault="00BE1421" w:rsidP="000B2D5F">
            <w:pPr>
              <w:pStyle w:val="EMEANormal"/>
              <w:rPr>
                <w:lang w:val="en-GB"/>
              </w:rPr>
            </w:pPr>
            <w:r w:rsidRPr="00342F7C">
              <w:rPr>
                <w:lang w:val="en-GB"/>
              </w:rPr>
              <w:t>C</w:t>
            </w:r>
            <w:r w:rsidRPr="00342F7C">
              <w:rPr>
                <w:vertAlign w:val="subscript"/>
                <w:lang w:val="en-GB"/>
              </w:rPr>
              <w:t>max</w:t>
            </w:r>
            <w:r w:rsidRPr="00342F7C">
              <w:rPr>
                <w:lang w:val="en-GB"/>
              </w:rPr>
              <w:t xml:space="preserve">: ↑ 3.5-fold </w:t>
            </w:r>
          </w:p>
          <w:p w14:paraId="72553054" w14:textId="77777777" w:rsidR="00BE1421" w:rsidRPr="00342F7C" w:rsidRDefault="00BE1421" w:rsidP="000B2D5F">
            <w:pPr>
              <w:pStyle w:val="EMEANormal"/>
              <w:rPr>
                <w:lang w:val="en-GB"/>
              </w:rPr>
            </w:pPr>
          </w:p>
          <w:p w14:paraId="492BF795" w14:textId="77777777" w:rsidR="00BE1421" w:rsidRPr="00342F7C" w:rsidRDefault="00BE1421" w:rsidP="000B2D5F">
            <w:pPr>
              <w:pStyle w:val="EMEANormal"/>
              <w:rPr>
                <w:lang w:val="en-GB"/>
              </w:rPr>
            </w:pPr>
          </w:p>
        </w:tc>
        <w:tc>
          <w:tcPr>
            <w:tcW w:w="3574" w:type="dxa"/>
            <w:gridSpan w:val="2"/>
            <w:tcBorders>
              <w:top w:val="single" w:sz="4" w:space="0" w:color="auto"/>
              <w:left w:val="single" w:sz="4" w:space="0" w:color="auto"/>
              <w:bottom w:val="single" w:sz="4" w:space="0" w:color="auto"/>
              <w:right w:val="single" w:sz="4" w:space="0" w:color="auto"/>
            </w:tcBorders>
          </w:tcPr>
          <w:p w14:paraId="36C5ECB7" w14:textId="77777777" w:rsidR="00BE1421" w:rsidRPr="00342F7C" w:rsidRDefault="00BE1421" w:rsidP="000B2D5F">
            <w:pPr>
              <w:pStyle w:val="EMEANormal"/>
              <w:rPr>
                <w:lang w:val="en-GB"/>
              </w:rPr>
            </w:pPr>
            <w:r w:rsidRPr="00342F7C">
              <w:rPr>
                <w:lang w:val="en-GB"/>
              </w:rPr>
              <w:t xml:space="preserve">When given with Kaletra the recommended dose of rifabutin is 150 mg 3 times per week on set days (for example Monday-Wednesday-Friday).  Increased monitoring for rifabutin-associated adverse reactions including neutropenia and uveitis is warranted due to an expected increase in exposure to rifabutin.  Further dosage reduction of rifabutin to 150 mg twice weekly on set days is recommended for patients in whom the 150 mg dose 3 times per week is not tolerated.  It should be kept in mind that the twice weekly dosage of 150 mg may not provide an optimal exposure to rifabutin thus leading to a risk of rifamycin resistance and a treatment failure.  No dose adjustment is needed for Kaletra. </w:t>
            </w:r>
          </w:p>
        </w:tc>
      </w:tr>
      <w:tr w:rsidR="00BE1421" w:rsidRPr="00342F7C" w14:paraId="25706A49" w14:textId="77777777" w:rsidTr="008E20B3">
        <w:tc>
          <w:tcPr>
            <w:tcW w:w="2400" w:type="dxa"/>
            <w:tcBorders>
              <w:top w:val="single" w:sz="4" w:space="0" w:color="auto"/>
              <w:left w:val="single" w:sz="4" w:space="0" w:color="auto"/>
              <w:bottom w:val="single" w:sz="4" w:space="0" w:color="auto"/>
              <w:right w:val="single" w:sz="4" w:space="0" w:color="auto"/>
            </w:tcBorders>
          </w:tcPr>
          <w:p w14:paraId="27003E21" w14:textId="77777777" w:rsidR="00BE1421" w:rsidRPr="00342F7C" w:rsidRDefault="00BE1421" w:rsidP="00D16035">
            <w:pPr>
              <w:pStyle w:val="EMEANormal"/>
              <w:keepNext/>
              <w:rPr>
                <w:iCs/>
                <w:lang w:val="en-GB"/>
              </w:rPr>
            </w:pPr>
            <w:r w:rsidRPr="00342F7C">
              <w:rPr>
                <w:bCs/>
                <w:iCs/>
                <w:lang w:val="en-GB"/>
              </w:rPr>
              <w:t>Rifampicin</w:t>
            </w:r>
          </w:p>
        </w:tc>
        <w:tc>
          <w:tcPr>
            <w:tcW w:w="3240" w:type="dxa"/>
            <w:gridSpan w:val="2"/>
            <w:tcBorders>
              <w:top w:val="single" w:sz="4" w:space="0" w:color="auto"/>
              <w:left w:val="single" w:sz="4" w:space="0" w:color="auto"/>
              <w:bottom w:val="single" w:sz="4" w:space="0" w:color="auto"/>
              <w:right w:val="single" w:sz="4" w:space="0" w:color="auto"/>
            </w:tcBorders>
          </w:tcPr>
          <w:p w14:paraId="4F5C3295" w14:textId="77777777" w:rsidR="00BE1421" w:rsidRPr="00342F7C" w:rsidRDefault="00BE1421" w:rsidP="00D16035">
            <w:pPr>
              <w:pStyle w:val="EMEANormal"/>
              <w:keepNext/>
              <w:rPr>
                <w:lang w:val="en-GB"/>
              </w:rPr>
            </w:pPr>
            <w:r w:rsidRPr="00342F7C">
              <w:rPr>
                <w:lang w:val="en-GB"/>
              </w:rPr>
              <w:t>Lopinavir:</w:t>
            </w:r>
          </w:p>
          <w:p w14:paraId="1F0D599E" w14:textId="77777777" w:rsidR="00BE1421" w:rsidRPr="00342F7C" w:rsidRDefault="00BE1421" w:rsidP="00D16035">
            <w:pPr>
              <w:pStyle w:val="EMEANormal"/>
              <w:keepNext/>
              <w:rPr>
                <w:lang w:val="en-GB"/>
              </w:rPr>
            </w:pPr>
            <w:r w:rsidRPr="00342F7C">
              <w:rPr>
                <w:lang w:val="en-GB"/>
              </w:rPr>
              <w:t>Large decreases in lopinavir concentrations may be observed due to CYP3A induction by rifampicin.</w:t>
            </w:r>
          </w:p>
          <w:p w14:paraId="5E33D3EB" w14:textId="77777777" w:rsidR="00BE1421" w:rsidRPr="00342F7C" w:rsidRDefault="00BE1421" w:rsidP="00D16035">
            <w:pPr>
              <w:pStyle w:val="EMEANormal"/>
              <w:keepNext/>
              <w:rPr>
                <w:lang w:val="en-GB"/>
              </w:rPr>
            </w:pPr>
          </w:p>
          <w:p w14:paraId="0555D031" w14:textId="77777777" w:rsidR="00BE1421" w:rsidRPr="00342F7C" w:rsidRDefault="00BE1421" w:rsidP="00D16035">
            <w:pPr>
              <w:pStyle w:val="EMEANormal"/>
              <w:keepNext/>
              <w:rPr>
                <w:lang w:val="en-GB"/>
              </w:rPr>
            </w:pPr>
          </w:p>
        </w:tc>
        <w:tc>
          <w:tcPr>
            <w:tcW w:w="3574" w:type="dxa"/>
            <w:gridSpan w:val="2"/>
            <w:tcBorders>
              <w:top w:val="single" w:sz="4" w:space="0" w:color="auto"/>
              <w:left w:val="single" w:sz="4" w:space="0" w:color="auto"/>
              <w:bottom w:val="single" w:sz="4" w:space="0" w:color="auto"/>
              <w:right w:val="single" w:sz="4" w:space="0" w:color="auto"/>
            </w:tcBorders>
          </w:tcPr>
          <w:p w14:paraId="482097E8" w14:textId="77777777" w:rsidR="00BE1421" w:rsidRPr="00342F7C" w:rsidRDefault="00BE1421" w:rsidP="00D16035">
            <w:pPr>
              <w:pStyle w:val="EMEANormal"/>
              <w:keepNext/>
              <w:rPr>
                <w:lang w:val="en-GB"/>
              </w:rPr>
            </w:pPr>
            <w:r w:rsidRPr="00342F7C">
              <w:rPr>
                <w:iCs/>
                <w:lang w:val="en-GB"/>
              </w:rPr>
              <w:t>Co</w:t>
            </w:r>
            <w:r w:rsidRPr="00342F7C">
              <w:rPr>
                <w:iCs/>
                <w:lang w:val="en-GB"/>
              </w:rPr>
              <w:noBreakHyphen/>
              <w:t xml:space="preserve">administration of Kaletra with rifampicin is not recommended as   </w:t>
            </w:r>
            <w:r w:rsidRPr="00342F7C">
              <w:rPr>
                <w:lang w:val="en-GB"/>
              </w:rPr>
              <w:t>the decrease in lopinavir concentrations may in turn significantly decrease the lopinavir therapeutic effect</w:t>
            </w:r>
            <w:r>
              <w:rPr>
                <w:iCs/>
                <w:lang w:val="en-GB"/>
              </w:rPr>
              <w:t>.</w:t>
            </w:r>
            <w:r w:rsidRPr="00342F7C">
              <w:rPr>
                <w:iCs/>
                <w:lang w:val="en-GB"/>
              </w:rPr>
              <w:t xml:space="preserve">  </w:t>
            </w:r>
            <w:r w:rsidRPr="00342F7C">
              <w:rPr>
                <w:lang w:val="en-GB"/>
              </w:rPr>
              <w:t>A dose adjustment of Kaletra 400 mg/400 mg (i.e. Kaletra 400/100 mg + ritonavir 300 mg) twice daily has allowed compensating for the CYP 3A4 inducer effect of rifampicin.  However, such a dose adjustment might be associated with ALT/AST elevations and with increase in gastrointestinal disorders.  Therefore, this co</w:t>
            </w:r>
            <w:r w:rsidRPr="00342F7C">
              <w:rPr>
                <w:lang w:val="en-GB"/>
              </w:rPr>
              <w:noBreakHyphen/>
              <w:t>administration should be avoided unless judged strictly necessary.  If this co</w:t>
            </w:r>
            <w:r w:rsidRPr="00342F7C">
              <w:rPr>
                <w:lang w:val="en-GB"/>
              </w:rPr>
              <w:noBreakHyphen/>
              <w:t>administration is judged unavoidable, increased dose of Kaletra at 400 mg/400 mg twice daily may be administered with rifampicin under close safety and therapeutic drug monitoring.  The Kaletra dose should be titrated upward only after rifampicin has been initiated (see section 4.4).</w:t>
            </w:r>
          </w:p>
        </w:tc>
      </w:tr>
      <w:tr w:rsidR="00BE1421" w:rsidRPr="00B8664C" w14:paraId="733AA2DC"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64AA458A" w14:textId="77777777" w:rsidR="00BE1421" w:rsidRPr="00B8664C" w:rsidRDefault="00BE1421" w:rsidP="000B2D5F">
            <w:pPr>
              <w:pStyle w:val="EMEANormal"/>
              <w:rPr>
                <w:i/>
                <w:iCs/>
                <w:lang w:val="en-GB"/>
              </w:rPr>
            </w:pPr>
            <w:r w:rsidRPr="00B8664C">
              <w:rPr>
                <w:i/>
                <w:iCs/>
                <w:lang w:val="en-GB"/>
              </w:rPr>
              <w:t>Antipsychotics</w:t>
            </w:r>
          </w:p>
        </w:tc>
      </w:tr>
      <w:tr w:rsidR="00BE1421" w:rsidRPr="00B8664C" w14:paraId="01D341A0" w14:textId="77777777" w:rsidTr="008E20B3">
        <w:tc>
          <w:tcPr>
            <w:tcW w:w="2410" w:type="dxa"/>
            <w:gridSpan w:val="2"/>
            <w:tcBorders>
              <w:top w:val="single" w:sz="4" w:space="0" w:color="auto"/>
              <w:left w:val="single" w:sz="4" w:space="0" w:color="auto"/>
              <w:bottom w:val="single" w:sz="4" w:space="0" w:color="auto"/>
              <w:right w:val="single" w:sz="4" w:space="0" w:color="auto"/>
            </w:tcBorders>
          </w:tcPr>
          <w:p w14:paraId="2B86C90F" w14:textId="77777777" w:rsidR="00BE1421" w:rsidRPr="00B8664C" w:rsidRDefault="00BE1421" w:rsidP="00CF61D1">
            <w:pPr>
              <w:pStyle w:val="EMEANormal"/>
              <w:rPr>
                <w:bCs/>
                <w:iCs/>
                <w:lang w:val="en-GB"/>
              </w:rPr>
            </w:pPr>
            <w:r>
              <w:rPr>
                <w:bCs/>
                <w:iCs/>
                <w:lang w:val="en-GB"/>
              </w:rPr>
              <w:t>Lurasidone</w:t>
            </w:r>
          </w:p>
        </w:tc>
        <w:tc>
          <w:tcPr>
            <w:tcW w:w="3260" w:type="dxa"/>
            <w:gridSpan w:val="2"/>
            <w:tcBorders>
              <w:top w:val="single" w:sz="4" w:space="0" w:color="auto"/>
              <w:left w:val="single" w:sz="4" w:space="0" w:color="auto"/>
              <w:bottom w:val="single" w:sz="4" w:space="0" w:color="auto"/>
              <w:right w:val="single" w:sz="4" w:space="0" w:color="auto"/>
            </w:tcBorders>
          </w:tcPr>
          <w:p w14:paraId="6CDC1718" w14:textId="77777777" w:rsidR="00BE1421" w:rsidRPr="00B8664C" w:rsidRDefault="00BE1421" w:rsidP="00CF61D1">
            <w:pPr>
              <w:pStyle w:val="EMEANormal"/>
              <w:rPr>
                <w:lang w:val="en-GB"/>
              </w:rPr>
            </w:pPr>
            <w:r>
              <w:rPr>
                <w:lang w:val="en-GB"/>
              </w:rPr>
              <w:t>Due to CYP3A inhibition by lopinavir/ritonavir, concentrations of lurasidone are expected to increase.</w:t>
            </w:r>
          </w:p>
        </w:tc>
        <w:tc>
          <w:tcPr>
            <w:tcW w:w="3544" w:type="dxa"/>
            <w:tcBorders>
              <w:top w:val="single" w:sz="4" w:space="0" w:color="auto"/>
              <w:left w:val="single" w:sz="4" w:space="0" w:color="auto"/>
              <w:bottom w:val="single" w:sz="4" w:space="0" w:color="auto"/>
              <w:right w:val="single" w:sz="4" w:space="0" w:color="auto"/>
            </w:tcBorders>
          </w:tcPr>
          <w:p w14:paraId="526EDAF8" w14:textId="77777777" w:rsidR="00BE1421" w:rsidRPr="00B8664C" w:rsidRDefault="00BE1421" w:rsidP="00CF61D1">
            <w:pPr>
              <w:pStyle w:val="EMEANormal"/>
              <w:rPr>
                <w:iCs/>
                <w:lang w:val="en-GB"/>
              </w:rPr>
            </w:pPr>
            <w:r>
              <w:rPr>
                <w:iCs/>
                <w:lang w:val="en-GB"/>
              </w:rPr>
              <w:t>The concomitant administration with lurasidone is contraindicated (see section 4.3).</w:t>
            </w:r>
          </w:p>
        </w:tc>
      </w:tr>
      <w:tr w:rsidR="00BE1421" w:rsidRPr="00B8664C" w14:paraId="434C35AE" w14:textId="77777777" w:rsidTr="008E20B3">
        <w:tc>
          <w:tcPr>
            <w:tcW w:w="2410" w:type="dxa"/>
            <w:gridSpan w:val="2"/>
            <w:tcBorders>
              <w:top w:val="single" w:sz="4" w:space="0" w:color="auto"/>
              <w:left w:val="single" w:sz="4" w:space="0" w:color="auto"/>
              <w:bottom w:val="single" w:sz="4" w:space="0" w:color="auto"/>
              <w:right w:val="single" w:sz="4" w:space="0" w:color="auto"/>
            </w:tcBorders>
          </w:tcPr>
          <w:p w14:paraId="20894F53" w14:textId="77777777" w:rsidR="00BE1421" w:rsidRDefault="00BE1421" w:rsidP="005766B5">
            <w:pPr>
              <w:pStyle w:val="EMEANormal"/>
              <w:rPr>
                <w:bCs/>
                <w:iCs/>
                <w:lang w:val="en-GB"/>
              </w:rPr>
            </w:pPr>
            <w:r>
              <w:rPr>
                <w:bCs/>
                <w:iCs/>
                <w:lang w:val="en-GB"/>
              </w:rPr>
              <w:t>Pimozide</w:t>
            </w:r>
          </w:p>
        </w:tc>
        <w:tc>
          <w:tcPr>
            <w:tcW w:w="3260" w:type="dxa"/>
            <w:gridSpan w:val="2"/>
            <w:tcBorders>
              <w:top w:val="single" w:sz="4" w:space="0" w:color="auto"/>
              <w:left w:val="single" w:sz="4" w:space="0" w:color="auto"/>
              <w:bottom w:val="single" w:sz="4" w:space="0" w:color="auto"/>
              <w:right w:val="single" w:sz="4" w:space="0" w:color="auto"/>
            </w:tcBorders>
          </w:tcPr>
          <w:p w14:paraId="4EB4DF79" w14:textId="77777777" w:rsidR="00BE1421" w:rsidRDefault="00BE1421" w:rsidP="005766B5">
            <w:pPr>
              <w:pStyle w:val="EMEANormal"/>
              <w:rPr>
                <w:lang w:val="en-GB"/>
              </w:rPr>
            </w:pPr>
            <w:r>
              <w:rPr>
                <w:lang w:val="en-GB"/>
              </w:rPr>
              <w:t>Due to CYP3A inhibition by lopinavir/ritonavir, concentrations of pimozide are expected to increase.</w:t>
            </w:r>
          </w:p>
        </w:tc>
        <w:tc>
          <w:tcPr>
            <w:tcW w:w="3544" w:type="dxa"/>
            <w:tcBorders>
              <w:top w:val="single" w:sz="4" w:space="0" w:color="auto"/>
              <w:left w:val="single" w:sz="4" w:space="0" w:color="auto"/>
              <w:bottom w:val="single" w:sz="4" w:space="0" w:color="auto"/>
              <w:right w:val="single" w:sz="4" w:space="0" w:color="auto"/>
            </w:tcBorders>
          </w:tcPr>
          <w:p w14:paraId="0BEDF7E8" w14:textId="77777777" w:rsidR="00BE1421" w:rsidRDefault="00BE1421" w:rsidP="005766B5">
            <w:pPr>
              <w:pStyle w:val="EMEANormal"/>
              <w:rPr>
                <w:iCs/>
                <w:lang w:val="en-GB"/>
              </w:rPr>
            </w:pPr>
            <w:r w:rsidRPr="00B8664C">
              <w:rPr>
                <w:iCs/>
                <w:lang w:val="en-GB"/>
              </w:rPr>
              <w:t xml:space="preserve">Concomitant administration of Kaletra and </w:t>
            </w:r>
            <w:r>
              <w:rPr>
                <w:iCs/>
                <w:lang w:val="en-GB"/>
              </w:rPr>
              <w:t>pimozide</w:t>
            </w:r>
            <w:r w:rsidRPr="00B8664C">
              <w:rPr>
                <w:iCs/>
                <w:lang w:val="en-GB"/>
              </w:rPr>
              <w:t xml:space="preserve"> is contraindicated as it may increase</w:t>
            </w:r>
            <w:r>
              <w:rPr>
                <w:iCs/>
                <w:lang w:val="en-GB"/>
              </w:rPr>
              <w:t xml:space="preserve"> the risk of serious haematologic abnormalities or other serious adverse effects from this agent (see section 4.3)</w:t>
            </w:r>
          </w:p>
        </w:tc>
      </w:tr>
      <w:tr w:rsidR="00BE1421" w:rsidRPr="00342F7C" w14:paraId="25B69C79" w14:textId="77777777" w:rsidTr="008E20B3">
        <w:tc>
          <w:tcPr>
            <w:tcW w:w="2400" w:type="dxa"/>
            <w:tcBorders>
              <w:top w:val="single" w:sz="4" w:space="0" w:color="auto"/>
              <w:left w:val="single" w:sz="4" w:space="0" w:color="auto"/>
              <w:bottom w:val="single" w:sz="4" w:space="0" w:color="auto"/>
              <w:right w:val="single" w:sz="4" w:space="0" w:color="auto"/>
            </w:tcBorders>
          </w:tcPr>
          <w:p w14:paraId="5DB4291A" w14:textId="77777777" w:rsidR="00BE1421" w:rsidRPr="00B8664C" w:rsidRDefault="00BE1421" w:rsidP="000B2D5F">
            <w:pPr>
              <w:pStyle w:val="EMEANormal"/>
              <w:rPr>
                <w:bCs/>
                <w:iCs/>
                <w:lang w:val="en-GB"/>
              </w:rPr>
            </w:pPr>
            <w:r w:rsidRPr="00B8664C">
              <w:rPr>
                <w:bCs/>
                <w:iCs/>
                <w:lang w:val="en-GB"/>
              </w:rPr>
              <w:t>Quetiapine</w:t>
            </w:r>
          </w:p>
        </w:tc>
        <w:tc>
          <w:tcPr>
            <w:tcW w:w="3240" w:type="dxa"/>
            <w:gridSpan w:val="2"/>
            <w:tcBorders>
              <w:top w:val="single" w:sz="4" w:space="0" w:color="auto"/>
              <w:left w:val="single" w:sz="4" w:space="0" w:color="auto"/>
              <w:bottom w:val="single" w:sz="4" w:space="0" w:color="auto"/>
              <w:right w:val="single" w:sz="4" w:space="0" w:color="auto"/>
            </w:tcBorders>
          </w:tcPr>
          <w:p w14:paraId="6399C2EE" w14:textId="77777777" w:rsidR="00BE1421" w:rsidRPr="00B8664C" w:rsidRDefault="00BE1421" w:rsidP="000B2D5F">
            <w:pPr>
              <w:pStyle w:val="EMEANormal"/>
              <w:rPr>
                <w:lang w:val="en-GB"/>
              </w:rPr>
            </w:pPr>
            <w:r w:rsidRPr="00B8664C">
              <w:rPr>
                <w:lang w:val="en-GB"/>
              </w:rPr>
              <w:t>Due to CYP3A inhibition by lopinavir/ritonavir, concentrations of quetiapine are expected to increase.</w:t>
            </w:r>
          </w:p>
        </w:tc>
        <w:tc>
          <w:tcPr>
            <w:tcW w:w="3574" w:type="dxa"/>
            <w:gridSpan w:val="2"/>
            <w:tcBorders>
              <w:top w:val="single" w:sz="4" w:space="0" w:color="auto"/>
              <w:left w:val="single" w:sz="4" w:space="0" w:color="auto"/>
              <w:bottom w:val="single" w:sz="4" w:space="0" w:color="auto"/>
              <w:right w:val="single" w:sz="4" w:space="0" w:color="auto"/>
            </w:tcBorders>
          </w:tcPr>
          <w:p w14:paraId="1CD8014D" w14:textId="77777777" w:rsidR="00BE1421" w:rsidRPr="00B8664C" w:rsidRDefault="00BE1421" w:rsidP="000B2D5F">
            <w:pPr>
              <w:pStyle w:val="EMEANormal"/>
              <w:rPr>
                <w:iCs/>
                <w:lang w:val="en-GB"/>
              </w:rPr>
            </w:pPr>
            <w:r w:rsidRPr="00B8664C">
              <w:rPr>
                <w:iCs/>
                <w:lang w:val="en-GB"/>
              </w:rPr>
              <w:t>Concomitant administration of Kaletra and quetiapine is contraindicated as it may increase quetiapine-related toxicity.</w:t>
            </w:r>
          </w:p>
        </w:tc>
      </w:tr>
      <w:tr w:rsidR="00BE1421" w:rsidRPr="00342F7C" w14:paraId="5E74E337"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699D9BF5" w14:textId="77777777" w:rsidR="00BE1421" w:rsidRPr="00342F7C" w:rsidRDefault="00BE1421" w:rsidP="00D11B95">
            <w:pPr>
              <w:pStyle w:val="EMEANormal"/>
              <w:keepNext/>
              <w:rPr>
                <w:i/>
                <w:lang w:val="en-GB"/>
              </w:rPr>
            </w:pPr>
            <w:r w:rsidRPr="00342F7C">
              <w:rPr>
                <w:i/>
                <w:lang w:val="en-GB"/>
              </w:rPr>
              <w:t>Benzodiazepines</w:t>
            </w:r>
          </w:p>
        </w:tc>
      </w:tr>
      <w:tr w:rsidR="00BE1421" w:rsidRPr="00342F7C" w14:paraId="3F53C7B5" w14:textId="77777777" w:rsidTr="008E20B3">
        <w:tc>
          <w:tcPr>
            <w:tcW w:w="2400" w:type="dxa"/>
            <w:tcBorders>
              <w:top w:val="single" w:sz="4" w:space="0" w:color="auto"/>
              <w:left w:val="single" w:sz="4" w:space="0" w:color="auto"/>
              <w:bottom w:val="single" w:sz="4" w:space="0" w:color="auto"/>
              <w:right w:val="single" w:sz="4" w:space="0" w:color="auto"/>
            </w:tcBorders>
          </w:tcPr>
          <w:p w14:paraId="453D8D52" w14:textId="77777777" w:rsidR="00BE1421" w:rsidRPr="00342F7C" w:rsidRDefault="00BE1421" w:rsidP="00D11B95">
            <w:pPr>
              <w:pStyle w:val="EMEANormal"/>
              <w:keepNext/>
              <w:rPr>
                <w:iCs/>
                <w:lang w:val="en-GB"/>
              </w:rPr>
            </w:pPr>
            <w:r w:rsidRPr="00342F7C">
              <w:rPr>
                <w:iCs/>
                <w:lang w:val="en-GB"/>
              </w:rPr>
              <w:t>Midazolam</w:t>
            </w:r>
          </w:p>
          <w:p w14:paraId="6563628C" w14:textId="77777777" w:rsidR="00BE1421" w:rsidRPr="00342F7C" w:rsidRDefault="00BE1421" w:rsidP="00D11B95">
            <w:pPr>
              <w:pStyle w:val="EMEANormal"/>
              <w:keepNext/>
              <w:rPr>
                <w:i/>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30C873F2" w14:textId="77777777" w:rsidR="00BE1421" w:rsidRPr="00342F7C" w:rsidRDefault="00BE1421" w:rsidP="00D11B95">
            <w:pPr>
              <w:pStyle w:val="EMEANormal"/>
              <w:keepNext/>
              <w:rPr>
                <w:i/>
                <w:lang w:val="en-GB"/>
              </w:rPr>
            </w:pPr>
            <w:r w:rsidRPr="00342F7C">
              <w:rPr>
                <w:iCs/>
                <w:lang w:val="en-GB"/>
              </w:rPr>
              <w:t xml:space="preserve">Oral Midazolam: </w:t>
            </w:r>
          </w:p>
          <w:p w14:paraId="1514D1A6" w14:textId="77777777" w:rsidR="00BE1421" w:rsidRPr="00342F7C" w:rsidRDefault="00BE1421" w:rsidP="00D11B95">
            <w:pPr>
              <w:pStyle w:val="EMEANormal"/>
              <w:keepNext/>
              <w:rPr>
                <w:iCs/>
                <w:lang w:val="en-GB"/>
              </w:rPr>
            </w:pPr>
            <w:r w:rsidRPr="00342F7C">
              <w:rPr>
                <w:iCs/>
                <w:lang w:val="en-GB"/>
              </w:rPr>
              <w:t xml:space="preserve">AUC: ↑ 13-fold </w:t>
            </w:r>
          </w:p>
          <w:p w14:paraId="5ABB92C3" w14:textId="77777777" w:rsidR="00BE1421" w:rsidRPr="00342F7C" w:rsidRDefault="00BE1421" w:rsidP="00D11B95">
            <w:pPr>
              <w:pStyle w:val="EMEANormal"/>
              <w:keepNext/>
              <w:rPr>
                <w:iCs/>
                <w:lang w:val="en-GB"/>
              </w:rPr>
            </w:pPr>
            <w:r w:rsidRPr="00342F7C">
              <w:rPr>
                <w:iCs/>
                <w:lang w:val="en-GB"/>
              </w:rPr>
              <w:t>Parenteral Midazolam:</w:t>
            </w:r>
          </w:p>
          <w:p w14:paraId="68FA2B4A" w14:textId="77777777" w:rsidR="00BE1421" w:rsidRPr="00342F7C" w:rsidRDefault="00BE1421" w:rsidP="00D11B95">
            <w:pPr>
              <w:pStyle w:val="EMEANormal"/>
              <w:keepNext/>
              <w:rPr>
                <w:iCs/>
                <w:lang w:val="en-GB"/>
              </w:rPr>
            </w:pPr>
            <w:r w:rsidRPr="00342F7C">
              <w:rPr>
                <w:iCs/>
                <w:lang w:val="en-GB"/>
              </w:rPr>
              <w:t>AUC: ↑ 4-fold</w:t>
            </w:r>
          </w:p>
          <w:p w14:paraId="605B97AA" w14:textId="77777777" w:rsidR="00BE1421" w:rsidRPr="00342F7C" w:rsidRDefault="00BE1421" w:rsidP="00D11B95">
            <w:pPr>
              <w:pStyle w:val="EMEANormal"/>
              <w:keepNext/>
              <w:rPr>
                <w:lang w:val="en-GB"/>
              </w:rPr>
            </w:pPr>
            <w:r w:rsidRPr="00342F7C">
              <w:rPr>
                <w:lang w:val="en-GB"/>
              </w:rPr>
              <w:t xml:space="preserve">Due to CYP3A inhibition by </w:t>
            </w:r>
            <w:r>
              <w:rPr>
                <w:lang w:val="en-GB"/>
              </w:rPr>
              <w:t>lopinavir/ritonavir</w:t>
            </w:r>
          </w:p>
          <w:p w14:paraId="34D6302C" w14:textId="77777777" w:rsidR="00BE1421" w:rsidRPr="00342F7C" w:rsidRDefault="00BE1421" w:rsidP="00D11B95">
            <w:pPr>
              <w:pStyle w:val="EMEANormal"/>
              <w:keepNext/>
              <w:rPr>
                <w:iCs/>
                <w:lang w:val="en-GB"/>
              </w:rPr>
            </w:pPr>
          </w:p>
        </w:tc>
        <w:tc>
          <w:tcPr>
            <w:tcW w:w="3574" w:type="dxa"/>
            <w:gridSpan w:val="2"/>
            <w:tcBorders>
              <w:top w:val="single" w:sz="4" w:space="0" w:color="auto"/>
              <w:left w:val="single" w:sz="4" w:space="0" w:color="auto"/>
              <w:bottom w:val="single" w:sz="4" w:space="0" w:color="auto"/>
              <w:right w:val="single" w:sz="4" w:space="0" w:color="auto"/>
            </w:tcBorders>
          </w:tcPr>
          <w:p w14:paraId="1802D28A" w14:textId="77777777" w:rsidR="00BE1421" w:rsidRPr="00342F7C" w:rsidRDefault="00BE1421" w:rsidP="00D11B95">
            <w:pPr>
              <w:pStyle w:val="EMEANormal"/>
              <w:keepNext/>
              <w:rPr>
                <w:lang w:val="en-GB"/>
              </w:rPr>
            </w:pPr>
            <w:r w:rsidRPr="00342F7C">
              <w:rPr>
                <w:iCs/>
                <w:lang w:val="en-GB"/>
              </w:rPr>
              <w:t>Kaletra must not be co</w:t>
            </w:r>
            <w:r w:rsidRPr="00342F7C">
              <w:rPr>
                <w:iCs/>
                <w:lang w:val="en-GB"/>
              </w:rPr>
              <w:noBreakHyphen/>
              <w:t>administered with oral midazolam (see section 4.3), whereas caution should be used with co</w:t>
            </w:r>
            <w:r w:rsidRPr="00342F7C">
              <w:rPr>
                <w:iCs/>
                <w:lang w:val="en-GB"/>
              </w:rPr>
              <w:noBreakHyphen/>
              <w:t>administration of Kaletra and parenteral midazolam.  If Kaletra is co</w:t>
            </w:r>
            <w:r w:rsidRPr="00342F7C">
              <w:rPr>
                <w:iCs/>
                <w:lang w:val="en-GB"/>
              </w:rPr>
              <w:noBreakHyphen/>
              <w:t>administered with parenteral midazolam, it should be done in an intensive care unit (ICU) or similar setting which ensures close clinical monitoring and appropriate medical management in case of respiratory depression and/or prolonged sedation.  Dosage adjustment for midazolam should be considered especially if more than a single dose of midazolam is administered.</w:t>
            </w:r>
          </w:p>
        </w:tc>
      </w:tr>
      <w:tr w:rsidR="00BE1421" w:rsidRPr="00DC2361" w14:paraId="72C1935B"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0C2140DA" w14:textId="77777777" w:rsidR="00BE1421" w:rsidRPr="00DC2361" w:rsidRDefault="00BE1421" w:rsidP="002A3B2E">
            <w:pPr>
              <w:pStyle w:val="EMEANormal"/>
              <w:keepNext/>
              <w:rPr>
                <w:bCs/>
                <w:i/>
                <w:lang w:val="en-GB"/>
              </w:rPr>
            </w:pPr>
            <w:r w:rsidRPr="00DC2361">
              <w:rPr>
                <w:i/>
                <w:szCs w:val="22"/>
              </w:rPr>
              <w:t>Beta</w:t>
            </w:r>
            <w:r w:rsidRPr="00DC2361">
              <w:rPr>
                <w:i/>
                <w:szCs w:val="22"/>
                <w:vertAlign w:val="subscript"/>
              </w:rPr>
              <w:t>2</w:t>
            </w:r>
            <w:r w:rsidRPr="00DC2361">
              <w:rPr>
                <w:i/>
                <w:szCs w:val="22"/>
              </w:rPr>
              <w:t>-adrenoceptor agonist (long acting)</w:t>
            </w:r>
          </w:p>
        </w:tc>
      </w:tr>
      <w:tr w:rsidR="00BE1421" w:rsidRPr="00342F7C" w14:paraId="1E66C717" w14:textId="77777777" w:rsidTr="008E20B3">
        <w:tc>
          <w:tcPr>
            <w:tcW w:w="2400" w:type="dxa"/>
            <w:tcBorders>
              <w:top w:val="single" w:sz="4" w:space="0" w:color="auto"/>
              <w:left w:val="single" w:sz="4" w:space="0" w:color="auto"/>
              <w:bottom w:val="single" w:sz="4" w:space="0" w:color="auto"/>
              <w:right w:val="single" w:sz="4" w:space="0" w:color="auto"/>
            </w:tcBorders>
          </w:tcPr>
          <w:p w14:paraId="073EF1B0" w14:textId="77777777" w:rsidR="00BE1421" w:rsidRPr="00342F7C" w:rsidRDefault="00BE1421" w:rsidP="002A3B2E">
            <w:pPr>
              <w:pStyle w:val="EMEANormal"/>
              <w:keepNext/>
              <w:rPr>
                <w:lang w:val="en-GB"/>
              </w:rPr>
            </w:pPr>
            <w:r>
              <w:rPr>
                <w:lang w:val="en-GB"/>
              </w:rPr>
              <w:t>Salmeterol</w:t>
            </w:r>
          </w:p>
        </w:tc>
        <w:tc>
          <w:tcPr>
            <w:tcW w:w="3240" w:type="dxa"/>
            <w:gridSpan w:val="2"/>
            <w:tcBorders>
              <w:top w:val="single" w:sz="4" w:space="0" w:color="auto"/>
              <w:left w:val="single" w:sz="4" w:space="0" w:color="auto"/>
              <w:bottom w:val="single" w:sz="4" w:space="0" w:color="auto"/>
              <w:right w:val="single" w:sz="4" w:space="0" w:color="auto"/>
            </w:tcBorders>
          </w:tcPr>
          <w:p w14:paraId="14CAA882" w14:textId="77777777" w:rsidR="00BE1421" w:rsidRDefault="00BE1421" w:rsidP="002A3B2E">
            <w:pPr>
              <w:pStyle w:val="EMEANormal"/>
              <w:keepNext/>
              <w:rPr>
                <w:lang w:val="en-GB"/>
              </w:rPr>
            </w:pPr>
            <w:r>
              <w:rPr>
                <w:lang w:val="en-GB"/>
              </w:rPr>
              <w:t>Salmeterol:</w:t>
            </w:r>
          </w:p>
          <w:p w14:paraId="3DAF4637" w14:textId="77777777" w:rsidR="00BE1421" w:rsidRPr="00342F7C" w:rsidRDefault="00BE1421" w:rsidP="002A3B2E">
            <w:pPr>
              <w:pStyle w:val="EMEANormal"/>
              <w:keepNext/>
              <w:rPr>
                <w:lang w:val="en-GB"/>
              </w:rPr>
            </w:pPr>
            <w:r>
              <w:rPr>
                <w:lang w:val="en-GB"/>
              </w:rPr>
              <w:t>Concentrations are expected to increase due to CYP3A inhibition by lopinavir/ritonavir.</w:t>
            </w:r>
          </w:p>
        </w:tc>
        <w:tc>
          <w:tcPr>
            <w:tcW w:w="3574" w:type="dxa"/>
            <w:gridSpan w:val="2"/>
            <w:tcBorders>
              <w:top w:val="single" w:sz="4" w:space="0" w:color="auto"/>
              <w:left w:val="single" w:sz="4" w:space="0" w:color="auto"/>
              <w:bottom w:val="single" w:sz="4" w:space="0" w:color="auto"/>
              <w:right w:val="single" w:sz="4" w:space="0" w:color="auto"/>
            </w:tcBorders>
          </w:tcPr>
          <w:p w14:paraId="08256E4C" w14:textId="77777777" w:rsidR="00BE1421" w:rsidRPr="0071232B" w:rsidRDefault="00BE1421" w:rsidP="002A3B2E">
            <w:pPr>
              <w:keepNext/>
              <w:autoSpaceDE w:val="0"/>
              <w:autoSpaceDN w:val="0"/>
              <w:adjustRightInd w:val="0"/>
              <w:rPr>
                <w:sz w:val="22"/>
                <w:szCs w:val="22"/>
                <w:lang w:eastAsia="de-DE"/>
              </w:rPr>
            </w:pPr>
            <w:r w:rsidRPr="0071232B">
              <w:rPr>
                <w:sz w:val="22"/>
                <w:szCs w:val="22"/>
                <w:lang w:eastAsia="de-DE"/>
              </w:rPr>
              <w:t>The combination may result in increased risk of cardiovascular adverse events associated with salmeterol, including QT prolongation, palpitations and sinus tachycardia.</w:t>
            </w:r>
          </w:p>
          <w:p w14:paraId="1F050392" w14:textId="77777777" w:rsidR="00BE1421" w:rsidRPr="00342F7C" w:rsidRDefault="00BE1421" w:rsidP="002A3B2E">
            <w:pPr>
              <w:pStyle w:val="EMEANormal"/>
              <w:keepNext/>
              <w:rPr>
                <w:lang w:val="en-GB"/>
              </w:rPr>
            </w:pPr>
            <w:r w:rsidRPr="0071232B">
              <w:rPr>
                <w:szCs w:val="22"/>
                <w:lang w:eastAsia="de-DE"/>
              </w:rPr>
              <w:t xml:space="preserve">Therefore, concomitant administration of </w:t>
            </w:r>
            <w:r>
              <w:rPr>
                <w:szCs w:val="22"/>
                <w:lang w:eastAsia="de-DE"/>
              </w:rPr>
              <w:t>Kaletra</w:t>
            </w:r>
            <w:r w:rsidRPr="0071232B">
              <w:rPr>
                <w:szCs w:val="22"/>
                <w:lang w:eastAsia="de-DE"/>
              </w:rPr>
              <w:t xml:space="preserve"> with </w:t>
            </w:r>
            <w:r w:rsidRPr="00AC3B88">
              <w:rPr>
                <w:iCs/>
                <w:szCs w:val="22"/>
                <w:lang w:eastAsia="fr-FR"/>
              </w:rPr>
              <w:t>salmeterol</w:t>
            </w:r>
            <w:r w:rsidRPr="0071232B">
              <w:rPr>
                <w:szCs w:val="22"/>
                <w:lang w:eastAsia="de-DE"/>
              </w:rPr>
              <w:t xml:space="preserve"> is not recommended (see section 4.4).</w:t>
            </w:r>
          </w:p>
        </w:tc>
      </w:tr>
      <w:tr w:rsidR="00BE1421" w:rsidRPr="00342F7C" w14:paraId="11C5E348"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67F08908" w14:textId="77777777" w:rsidR="00BE1421" w:rsidRPr="00342F7C" w:rsidRDefault="00BE1421" w:rsidP="000B2D5F">
            <w:pPr>
              <w:pStyle w:val="EMEANormal"/>
              <w:rPr>
                <w:i/>
                <w:lang w:val="en-GB"/>
              </w:rPr>
            </w:pPr>
            <w:r w:rsidRPr="00342F7C">
              <w:rPr>
                <w:bCs/>
                <w:i/>
                <w:lang w:val="en-GB"/>
              </w:rPr>
              <w:t>Calcium channel blockers</w:t>
            </w:r>
          </w:p>
        </w:tc>
      </w:tr>
      <w:tr w:rsidR="00BE1421" w:rsidRPr="00342F7C" w14:paraId="4218F8D4" w14:textId="77777777" w:rsidTr="008E20B3">
        <w:tc>
          <w:tcPr>
            <w:tcW w:w="2400" w:type="dxa"/>
            <w:tcBorders>
              <w:top w:val="single" w:sz="4" w:space="0" w:color="auto"/>
              <w:left w:val="single" w:sz="4" w:space="0" w:color="auto"/>
              <w:bottom w:val="single" w:sz="4" w:space="0" w:color="auto"/>
              <w:right w:val="single" w:sz="4" w:space="0" w:color="auto"/>
            </w:tcBorders>
          </w:tcPr>
          <w:p w14:paraId="6FACFFCB" w14:textId="77777777" w:rsidR="00BE1421" w:rsidRPr="00342F7C" w:rsidRDefault="00BE1421" w:rsidP="000B2D5F">
            <w:pPr>
              <w:pStyle w:val="EMEANormal"/>
              <w:rPr>
                <w:lang w:val="en-GB"/>
              </w:rPr>
            </w:pPr>
            <w:r w:rsidRPr="00342F7C">
              <w:rPr>
                <w:lang w:val="en-GB"/>
              </w:rPr>
              <w:t>Felodipine, Nifedipine, and Nicardipine</w:t>
            </w:r>
          </w:p>
        </w:tc>
        <w:tc>
          <w:tcPr>
            <w:tcW w:w="3240" w:type="dxa"/>
            <w:gridSpan w:val="2"/>
            <w:tcBorders>
              <w:top w:val="single" w:sz="4" w:space="0" w:color="auto"/>
              <w:left w:val="single" w:sz="4" w:space="0" w:color="auto"/>
              <w:bottom w:val="single" w:sz="4" w:space="0" w:color="auto"/>
              <w:right w:val="single" w:sz="4" w:space="0" w:color="auto"/>
            </w:tcBorders>
          </w:tcPr>
          <w:p w14:paraId="5ADE0941" w14:textId="77777777" w:rsidR="00BE1421" w:rsidRPr="00342F7C" w:rsidRDefault="00BE1421" w:rsidP="000B2D5F">
            <w:pPr>
              <w:pStyle w:val="EMEANormal"/>
              <w:rPr>
                <w:lang w:val="en-GB"/>
              </w:rPr>
            </w:pPr>
            <w:r w:rsidRPr="00342F7C">
              <w:rPr>
                <w:lang w:val="en-GB"/>
              </w:rPr>
              <w:t>Felodipine, Nifedipine, Nicardipine:</w:t>
            </w:r>
          </w:p>
          <w:p w14:paraId="1315DBDB" w14:textId="77777777" w:rsidR="00BE1421" w:rsidRPr="00342F7C" w:rsidRDefault="00BE1421" w:rsidP="000B2D5F">
            <w:pPr>
              <w:pStyle w:val="EMEANormal"/>
              <w:rPr>
                <w:lang w:val="en-GB"/>
              </w:rPr>
            </w:pPr>
            <w:r w:rsidRPr="00342F7C">
              <w:rPr>
                <w:lang w:val="en-GB"/>
              </w:rPr>
              <w:t xml:space="preserve">Concentrations may be increased due to CYP3A inhibition by </w:t>
            </w:r>
            <w:r>
              <w:rPr>
                <w:lang w:val="en-GB"/>
              </w:rPr>
              <w:t>lopinavir/ritonavir</w:t>
            </w:r>
            <w:r w:rsidRPr="00342F7C">
              <w:rPr>
                <w:lang w:val="en-GB"/>
              </w:rPr>
              <w:t>.</w:t>
            </w:r>
          </w:p>
        </w:tc>
        <w:tc>
          <w:tcPr>
            <w:tcW w:w="3574" w:type="dxa"/>
            <w:gridSpan w:val="2"/>
            <w:tcBorders>
              <w:top w:val="single" w:sz="4" w:space="0" w:color="auto"/>
              <w:left w:val="single" w:sz="4" w:space="0" w:color="auto"/>
              <w:bottom w:val="single" w:sz="4" w:space="0" w:color="auto"/>
              <w:right w:val="single" w:sz="4" w:space="0" w:color="auto"/>
            </w:tcBorders>
          </w:tcPr>
          <w:p w14:paraId="48A020D9" w14:textId="77777777" w:rsidR="00BE1421" w:rsidRPr="00342F7C" w:rsidRDefault="00BE1421" w:rsidP="000B2D5F">
            <w:pPr>
              <w:pStyle w:val="EMEANormal"/>
              <w:rPr>
                <w:lang w:val="en-GB"/>
              </w:rPr>
            </w:pPr>
            <w:r w:rsidRPr="00342F7C">
              <w:rPr>
                <w:szCs w:val="22"/>
                <w:lang w:val="en-GB"/>
              </w:rPr>
              <w:t>Clinical monitoring of therapeutic and adverse effects is recommended when these medicines are concomitantly administered with Kaletra.</w:t>
            </w:r>
          </w:p>
        </w:tc>
      </w:tr>
      <w:tr w:rsidR="00BE1421" w:rsidRPr="00342F7C" w14:paraId="74593A72"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530EA83E" w14:textId="77777777" w:rsidR="00BE1421" w:rsidRPr="00342F7C" w:rsidRDefault="00BE1421" w:rsidP="000B2D5F">
            <w:pPr>
              <w:pStyle w:val="EMEANormal"/>
              <w:rPr>
                <w:i/>
                <w:lang w:val="en-GB"/>
              </w:rPr>
            </w:pPr>
            <w:r w:rsidRPr="00342F7C">
              <w:rPr>
                <w:i/>
                <w:lang w:val="en-GB"/>
              </w:rPr>
              <w:t>Corticosteroids</w:t>
            </w:r>
          </w:p>
        </w:tc>
      </w:tr>
      <w:tr w:rsidR="00BE1421" w:rsidRPr="00342F7C" w14:paraId="066BD5AA" w14:textId="77777777" w:rsidTr="008E20B3">
        <w:tc>
          <w:tcPr>
            <w:tcW w:w="2400" w:type="dxa"/>
            <w:tcBorders>
              <w:top w:val="single" w:sz="4" w:space="0" w:color="auto"/>
              <w:left w:val="single" w:sz="4" w:space="0" w:color="auto"/>
              <w:bottom w:val="single" w:sz="4" w:space="0" w:color="auto"/>
              <w:right w:val="single" w:sz="4" w:space="0" w:color="auto"/>
            </w:tcBorders>
          </w:tcPr>
          <w:p w14:paraId="1E242525" w14:textId="77777777" w:rsidR="00BE1421" w:rsidRPr="00342F7C" w:rsidRDefault="00BE1421" w:rsidP="000B2D5F">
            <w:pPr>
              <w:pStyle w:val="EMEANormal"/>
              <w:rPr>
                <w:lang w:val="en-GB"/>
              </w:rPr>
            </w:pPr>
            <w:r w:rsidRPr="00342F7C">
              <w:rPr>
                <w:bCs/>
                <w:iCs/>
                <w:lang w:val="en-GB"/>
              </w:rPr>
              <w:t>Dexamethasone</w:t>
            </w:r>
          </w:p>
        </w:tc>
        <w:tc>
          <w:tcPr>
            <w:tcW w:w="3240" w:type="dxa"/>
            <w:gridSpan w:val="2"/>
            <w:tcBorders>
              <w:top w:val="single" w:sz="4" w:space="0" w:color="auto"/>
              <w:left w:val="single" w:sz="4" w:space="0" w:color="auto"/>
              <w:bottom w:val="single" w:sz="4" w:space="0" w:color="auto"/>
              <w:right w:val="single" w:sz="4" w:space="0" w:color="auto"/>
            </w:tcBorders>
          </w:tcPr>
          <w:p w14:paraId="6BB1CE7C" w14:textId="77777777" w:rsidR="00BE1421" w:rsidRPr="00342F7C" w:rsidRDefault="00BE1421" w:rsidP="000B2D5F">
            <w:pPr>
              <w:pStyle w:val="EMEANormal"/>
              <w:rPr>
                <w:lang w:val="en-GB"/>
              </w:rPr>
            </w:pPr>
            <w:r w:rsidRPr="00342F7C">
              <w:rPr>
                <w:lang w:val="en-GB"/>
              </w:rPr>
              <w:t>Lopinavir:</w:t>
            </w:r>
          </w:p>
          <w:p w14:paraId="1F4B6748" w14:textId="77777777" w:rsidR="00BE1421" w:rsidRPr="00342F7C" w:rsidRDefault="00BE1421" w:rsidP="000B2D5F">
            <w:pPr>
              <w:pStyle w:val="EMEANormal"/>
              <w:rPr>
                <w:lang w:val="en-GB"/>
              </w:rPr>
            </w:pPr>
            <w:r w:rsidRPr="00342F7C">
              <w:rPr>
                <w:lang w:val="en-GB"/>
              </w:rPr>
              <w:t>Concentrations may be decreased due to CYP3A induction by dexamethasone.</w:t>
            </w:r>
          </w:p>
        </w:tc>
        <w:tc>
          <w:tcPr>
            <w:tcW w:w="3574" w:type="dxa"/>
            <w:gridSpan w:val="2"/>
            <w:tcBorders>
              <w:top w:val="single" w:sz="4" w:space="0" w:color="auto"/>
              <w:left w:val="single" w:sz="4" w:space="0" w:color="auto"/>
              <w:bottom w:val="single" w:sz="4" w:space="0" w:color="auto"/>
              <w:right w:val="single" w:sz="4" w:space="0" w:color="auto"/>
            </w:tcBorders>
          </w:tcPr>
          <w:p w14:paraId="2AC5EEED" w14:textId="77777777" w:rsidR="00BE1421" w:rsidRPr="00342F7C" w:rsidRDefault="00BE1421" w:rsidP="000B2D5F">
            <w:pPr>
              <w:pStyle w:val="EMEANormal"/>
              <w:rPr>
                <w:lang w:val="en-GB"/>
              </w:rPr>
            </w:pPr>
            <w:r w:rsidRPr="00342F7C">
              <w:rPr>
                <w:szCs w:val="22"/>
                <w:lang w:val="en-GB"/>
              </w:rPr>
              <w:t>Clinical monitoring of antiviral efficacy is recommended when these medicines are concomitantly administered with Kaletra.</w:t>
            </w:r>
          </w:p>
        </w:tc>
      </w:tr>
      <w:tr w:rsidR="00BE1421" w:rsidRPr="00342F7C" w14:paraId="2A24FD42" w14:textId="77777777" w:rsidTr="008E20B3">
        <w:tc>
          <w:tcPr>
            <w:tcW w:w="2400" w:type="dxa"/>
            <w:tcBorders>
              <w:top w:val="single" w:sz="4" w:space="0" w:color="auto"/>
              <w:left w:val="single" w:sz="4" w:space="0" w:color="auto"/>
              <w:bottom w:val="single" w:sz="4" w:space="0" w:color="auto"/>
              <w:right w:val="single" w:sz="4" w:space="0" w:color="auto"/>
            </w:tcBorders>
          </w:tcPr>
          <w:p w14:paraId="71F08CE2" w14:textId="77777777" w:rsidR="00BE1421" w:rsidRPr="00342F7C" w:rsidRDefault="00BE1421" w:rsidP="00D11B95">
            <w:pPr>
              <w:pStyle w:val="EMEANormal"/>
              <w:keepNext/>
              <w:rPr>
                <w:lang w:val="en-GB"/>
              </w:rPr>
            </w:pPr>
            <w:r>
              <w:rPr>
                <w:iCs/>
                <w:lang w:val="en-GB"/>
              </w:rPr>
              <w:t>Inhaled, injectable or intranasal fluticasone propionate, budesonide, triamcinolone</w:t>
            </w:r>
          </w:p>
        </w:tc>
        <w:tc>
          <w:tcPr>
            <w:tcW w:w="3240" w:type="dxa"/>
            <w:gridSpan w:val="2"/>
            <w:tcBorders>
              <w:top w:val="single" w:sz="4" w:space="0" w:color="auto"/>
              <w:left w:val="single" w:sz="4" w:space="0" w:color="auto"/>
              <w:bottom w:val="single" w:sz="4" w:space="0" w:color="auto"/>
              <w:right w:val="single" w:sz="4" w:space="0" w:color="auto"/>
            </w:tcBorders>
          </w:tcPr>
          <w:p w14:paraId="3459A7CC" w14:textId="77777777" w:rsidR="00BE1421" w:rsidRPr="00342F7C" w:rsidRDefault="00BE1421" w:rsidP="00D11B95">
            <w:pPr>
              <w:pStyle w:val="EMEANormal"/>
              <w:keepNext/>
              <w:rPr>
                <w:iCs/>
                <w:lang w:val="en-GB"/>
              </w:rPr>
            </w:pPr>
            <w:r w:rsidRPr="00342F7C">
              <w:rPr>
                <w:iCs/>
                <w:lang w:val="en-GB"/>
              </w:rPr>
              <w:t>Fluticasone propionate</w:t>
            </w:r>
            <w:r>
              <w:rPr>
                <w:iCs/>
                <w:lang w:val="en-GB"/>
              </w:rPr>
              <w:t xml:space="preserve">, </w:t>
            </w:r>
            <w:r w:rsidRPr="00C15E8E">
              <w:rPr>
                <w:iCs/>
                <w:lang w:val="en-GB"/>
              </w:rPr>
              <w:t>50 </w:t>
            </w:r>
            <w:r w:rsidRPr="00C15E8E">
              <w:rPr>
                <w:iCs/>
                <w:lang w:val="en-GB"/>
              </w:rPr>
              <w:sym w:font="Symbol" w:char="006D"/>
            </w:r>
            <w:r w:rsidRPr="00C15E8E">
              <w:rPr>
                <w:iCs/>
                <w:lang w:val="en-GB"/>
              </w:rPr>
              <w:t>g intranasal 4 times daily</w:t>
            </w:r>
            <w:r w:rsidRPr="00342F7C">
              <w:rPr>
                <w:iCs/>
                <w:lang w:val="en-GB"/>
              </w:rPr>
              <w:t>:</w:t>
            </w:r>
          </w:p>
          <w:p w14:paraId="6E8713F3" w14:textId="77777777" w:rsidR="00BE1421" w:rsidRPr="00342F7C" w:rsidRDefault="00BE1421" w:rsidP="00D11B95">
            <w:pPr>
              <w:pStyle w:val="EMEANormal"/>
              <w:keepNext/>
              <w:rPr>
                <w:lang w:val="en-GB"/>
              </w:rPr>
            </w:pPr>
            <w:r w:rsidRPr="00342F7C">
              <w:rPr>
                <w:lang w:val="en-GB"/>
              </w:rPr>
              <w:t xml:space="preserve">Plasma concentrations </w:t>
            </w:r>
            <w:r w:rsidRPr="00342F7C">
              <w:rPr>
                <w:iCs/>
                <w:lang w:val="en-GB"/>
              </w:rPr>
              <w:t>↑</w:t>
            </w:r>
          </w:p>
          <w:p w14:paraId="4F153F1F" w14:textId="77777777" w:rsidR="00BE1421" w:rsidRPr="00342F7C" w:rsidRDefault="00BE1421" w:rsidP="00D11B95">
            <w:pPr>
              <w:pStyle w:val="EMEANormal"/>
              <w:keepNext/>
              <w:rPr>
                <w:iCs/>
                <w:lang w:val="en-GB"/>
              </w:rPr>
            </w:pPr>
            <w:r w:rsidRPr="00342F7C">
              <w:rPr>
                <w:lang w:val="en-GB"/>
              </w:rPr>
              <w:t xml:space="preserve">Cortisol levels ↓ 86% </w:t>
            </w:r>
          </w:p>
          <w:p w14:paraId="7D236D30" w14:textId="77777777" w:rsidR="00BE1421" w:rsidRPr="00342F7C" w:rsidRDefault="00BE1421" w:rsidP="00D11B95">
            <w:pPr>
              <w:pStyle w:val="EMEANormal"/>
              <w:keepNext/>
              <w:rPr>
                <w:lang w:val="en-GB"/>
              </w:rPr>
            </w:pPr>
          </w:p>
        </w:tc>
        <w:tc>
          <w:tcPr>
            <w:tcW w:w="3574" w:type="dxa"/>
            <w:gridSpan w:val="2"/>
            <w:tcBorders>
              <w:top w:val="single" w:sz="4" w:space="0" w:color="auto"/>
              <w:left w:val="single" w:sz="4" w:space="0" w:color="auto"/>
              <w:bottom w:val="single" w:sz="4" w:space="0" w:color="auto"/>
              <w:right w:val="single" w:sz="4" w:space="0" w:color="auto"/>
            </w:tcBorders>
          </w:tcPr>
          <w:p w14:paraId="5320BDFA" w14:textId="77777777" w:rsidR="00BE1421" w:rsidRPr="00342F7C" w:rsidRDefault="00BE1421" w:rsidP="00D11B95">
            <w:pPr>
              <w:pStyle w:val="EMEANormal"/>
              <w:keepNext/>
              <w:rPr>
                <w:lang w:val="en-GB"/>
              </w:rPr>
            </w:pPr>
            <w:r w:rsidRPr="00342F7C">
              <w:rPr>
                <w:iCs/>
                <w:lang w:val="en-GB"/>
              </w:rPr>
              <w:t>Greater effects may be expected when fluticasone propionate is inhaled.  Systemic corticosteroid effects including Cushing's syndrome and adrenal suppression have been reported in patients receiving ritonavir and inhaled or intranasally administered fluticasone propionate; this could also occur with other corticosteroids metabolised via the P450 3A pathway e.g. budesonide</w:t>
            </w:r>
            <w:r>
              <w:rPr>
                <w:iCs/>
                <w:lang w:val="en-GB"/>
              </w:rPr>
              <w:t xml:space="preserve"> and triamcinolone</w:t>
            </w:r>
            <w:r w:rsidRPr="00342F7C">
              <w:rPr>
                <w:iCs/>
                <w:lang w:val="en-GB"/>
              </w:rPr>
              <w:t xml:space="preserve">.  Consequently, concomitant administration of Kaletra and these glucocorticoids is not recommended unless the potential benefit of treatment outweighs the risk of systemic corticosteroid effects (see section 4.4).  A dose reduction of the glucocorticoid should be considered with close monitoring of local and systemic effects or a switch to a glucocorticoid, which is not a substrate for CYP3A4 (e.g. beclomethasone).  Moreover, in case of withdrawal of glucocorticoids progressive dose reduction may have to be performed over a longer period.  </w:t>
            </w:r>
          </w:p>
        </w:tc>
      </w:tr>
      <w:tr w:rsidR="00BE1421" w:rsidRPr="00342F7C" w14:paraId="78793250"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681493DB" w14:textId="77777777" w:rsidR="00BE1421" w:rsidRPr="00342F7C" w:rsidRDefault="00BE1421" w:rsidP="002A3B2E">
            <w:pPr>
              <w:pStyle w:val="EMEANormal"/>
              <w:keepNext/>
              <w:rPr>
                <w:i/>
                <w:iCs/>
                <w:lang w:val="en-GB"/>
              </w:rPr>
            </w:pPr>
            <w:r w:rsidRPr="00342F7C">
              <w:rPr>
                <w:i/>
                <w:iCs/>
                <w:lang w:val="en-GB"/>
              </w:rPr>
              <w:t>Phosphodiesterase(PDE5) inhibitors</w:t>
            </w:r>
          </w:p>
        </w:tc>
      </w:tr>
      <w:tr w:rsidR="00BE1421" w:rsidRPr="00342F7C" w14:paraId="23C1CC9A" w14:textId="77777777" w:rsidTr="008E20B3">
        <w:trPr>
          <w:cantSplit/>
        </w:trPr>
        <w:tc>
          <w:tcPr>
            <w:tcW w:w="2400" w:type="dxa"/>
            <w:tcBorders>
              <w:top w:val="single" w:sz="4" w:space="0" w:color="auto"/>
              <w:left w:val="single" w:sz="4" w:space="0" w:color="auto"/>
              <w:bottom w:val="single" w:sz="4" w:space="0" w:color="auto"/>
              <w:right w:val="single" w:sz="4" w:space="0" w:color="auto"/>
            </w:tcBorders>
          </w:tcPr>
          <w:p w14:paraId="5C8C2DA2" w14:textId="77777777" w:rsidR="00BE1421" w:rsidRDefault="00BE1421" w:rsidP="002A3B2E">
            <w:pPr>
              <w:pStyle w:val="EMEANormal"/>
              <w:keepNext/>
              <w:rPr>
                <w:lang w:val="en-GB"/>
              </w:rPr>
            </w:pPr>
            <w:r>
              <w:rPr>
                <w:lang w:val="en-GB"/>
              </w:rPr>
              <w:t xml:space="preserve">Avanafil </w:t>
            </w:r>
          </w:p>
          <w:p w14:paraId="08BF8263" w14:textId="77777777" w:rsidR="00BE1421" w:rsidRPr="00342F7C" w:rsidRDefault="00BE1421" w:rsidP="002A3B2E">
            <w:pPr>
              <w:pStyle w:val="EMEANormal"/>
              <w:keepNext/>
              <w:rPr>
                <w:lang w:val="en-GB"/>
              </w:rPr>
            </w:pPr>
            <w:r>
              <w:rPr>
                <w:lang w:val="en-GB"/>
              </w:rPr>
              <w:t xml:space="preserve">(ritonavir 600 mg BID) </w:t>
            </w:r>
          </w:p>
        </w:tc>
        <w:tc>
          <w:tcPr>
            <w:tcW w:w="3240" w:type="dxa"/>
            <w:gridSpan w:val="2"/>
            <w:tcBorders>
              <w:top w:val="single" w:sz="4" w:space="0" w:color="auto"/>
              <w:left w:val="single" w:sz="4" w:space="0" w:color="auto"/>
              <w:bottom w:val="single" w:sz="4" w:space="0" w:color="auto"/>
              <w:right w:val="single" w:sz="4" w:space="0" w:color="auto"/>
            </w:tcBorders>
          </w:tcPr>
          <w:p w14:paraId="35F9BDF9" w14:textId="77777777" w:rsidR="00BE1421" w:rsidRPr="00342F7C" w:rsidRDefault="00BE1421" w:rsidP="002A3B2E">
            <w:pPr>
              <w:pStyle w:val="EMEANormal"/>
              <w:keepNext/>
              <w:rPr>
                <w:lang w:val="en-GB"/>
              </w:rPr>
            </w:pPr>
            <w:r>
              <w:rPr>
                <w:lang w:val="en-GB"/>
              </w:rPr>
              <w:t>Avanafil</w:t>
            </w:r>
            <w:r w:rsidRPr="00342F7C">
              <w:rPr>
                <w:lang w:val="en-GB"/>
              </w:rPr>
              <w:t>:</w:t>
            </w:r>
          </w:p>
          <w:p w14:paraId="48F9C12A" w14:textId="77777777" w:rsidR="00BE1421" w:rsidRPr="00342F7C" w:rsidRDefault="00BE1421" w:rsidP="002A3B2E">
            <w:pPr>
              <w:pStyle w:val="EMEANormal"/>
              <w:keepNext/>
              <w:rPr>
                <w:lang w:val="en-GB"/>
              </w:rPr>
            </w:pPr>
            <w:r w:rsidRPr="00342F7C">
              <w:rPr>
                <w:lang w:val="en-GB"/>
              </w:rPr>
              <w:t xml:space="preserve">AUC: ↑ </w:t>
            </w:r>
            <w:r>
              <w:rPr>
                <w:lang w:val="en-GB"/>
              </w:rPr>
              <w:t>13</w:t>
            </w:r>
            <w:r w:rsidRPr="00342F7C">
              <w:rPr>
                <w:lang w:val="en-GB"/>
              </w:rPr>
              <w:t xml:space="preserve">-fold </w:t>
            </w:r>
          </w:p>
          <w:p w14:paraId="30743B94" w14:textId="77777777" w:rsidR="00BE1421" w:rsidRPr="00342F7C" w:rsidRDefault="00BE1421" w:rsidP="002A3B2E">
            <w:pPr>
              <w:pStyle w:val="EMEANormal"/>
              <w:keepNext/>
              <w:rPr>
                <w:lang w:val="en-GB"/>
              </w:rPr>
            </w:pPr>
            <w:r w:rsidRPr="00342F7C">
              <w:rPr>
                <w:lang w:val="en-GB"/>
              </w:rPr>
              <w:t xml:space="preserve">Due to CYP3A inhibition by </w:t>
            </w:r>
            <w:r>
              <w:rPr>
                <w:lang w:val="en-GB"/>
              </w:rPr>
              <w:t>lopinavir/ritonavir</w:t>
            </w:r>
            <w:r w:rsidRPr="00342F7C">
              <w:rPr>
                <w:lang w:val="en-GB"/>
              </w:rPr>
              <w:t>.</w:t>
            </w:r>
          </w:p>
        </w:tc>
        <w:tc>
          <w:tcPr>
            <w:tcW w:w="3574" w:type="dxa"/>
            <w:gridSpan w:val="2"/>
            <w:tcBorders>
              <w:top w:val="single" w:sz="4" w:space="0" w:color="auto"/>
              <w:left w:val="single" w:sz="4" w:space="0" w:color="auto"/>
              <w:bottom w:val="single" w:sz="4" w:space="0" w:color="auto"/>
              <w:right w:val="single" w:sz="4" w:space="0" w:color="auto"/>
            </w:tcBorders>
          </w:tcPr>
          <w:p w14:paraId="761E7601" w14:textId="77777777" w:rsidR="00BE1421" w:rsidRPr="00342F7C" w:rsidRDefault="00BE1421" w:rsidP="002A3B2E">
            <w:pPr>
              <w:pStyle w:val="EMEANormal"/>
              <w:keepNext/>
              <w:rPr>
                <w:lang w:val="en-GB"/>
              </w:rPr>
            </w:pPr>
            <w:r w:rsidRPr="00342F7C">
              <w:rPr>
                <w:lang w:val="en-GB"/>
              </w:rPr>
              <w:t xml:space="preserve">The use of </w:t>
            </w:r>
            <w:r>
              <w:rPr>
                <w:lang w:val="en-GB"/>
              </w:rPr>
              <w:t>avanafil</w:t>
            </w:r>
            <w:r w:rsidRPr="00342F7C">
              <w:rPr>
                <w:lang w:val="en-GB"/>
              </w:rPr>
              <w:t xml:space="preserve"> with Kaletra is contraindicated (see section 4.3).  </w:t>
            </w:r>
          </w:p>
          <w:p w14:paraId="09A1EB05" w14:textId="77777777" w:rsidR="00BE1421" w:rsidRPr="0071232B" w:rsidRDefault="00BE1421" w:rsidP="002A3B2E">
            <w:pPr>
              <w:pStyle w:val="EMEANormal"/>
              <w:keepNext/>
              <w:rPr>
                <w:u w:val="single"/>
                <w:lang w:val="en-GB"/>
              </w:rPr>
            </w:pPr>
          </w:p>
        </w:tc>
      </w:tr>
      <w:tr w:rsidR="00BE1421" w:rsidRPr="00342F7C" w14:paraId="4B3A2A4F" w14:textId="77777777" w:rsidTr="008E20B3">
        <w:trPr>
          <w:cantSplit/>
        </w:trPr>
        <w:tc>
          <w:tcPr>
            <w:tcW w:w="2400" w:type="dxa"/>
            <w:tcBorders>
              <w:top w:val="single" w:sz="4" w:space="0" w:color="auto"/>
              <w:left w:val="single" w:sz="4" w:space="0" w:color="auto"/>
              <w:bottom w:val="single" w:sz="4" w:space="0" w:color="auto"/>
              <w:right w:val="single" w:sz="4" w:space="0" w:color="auto"/>
            </w:tcBorders>
          </w:tcPr>
          <w:p w14:paraId="5CD2E2BF" w14:textId="77777777" w:rsidR="00BE1421" w:rsidRPr="00342F7C" w:rsidRDefault="00BE1421" w:rsidP="000B2D5F">
            <w:pPr>
              <w:pStyle w:val="EMEANormal"/>
              <w:rPr>
                <w:lang w:val="en-GB"/>
              </w:rPr>
            </w:pPr>
            <w:r w:rsidRPr="00342F7C">
              <w:rPr>
                <w:lang w:val="en-GB"/>
              </w:rPr>
              <w:t xml:space="preserve">Tadalafil </w:t>
            </w:r>
          </w:p>
          <w:p w14:paraId="21519913" w14:textId="77777777" w:rsidR="00BE1421" w:rsidRPr="00342F7C" w:rsidRDefault="00BE1421" w:rsidP="000B2D5F">
            <w:pPr>
              <w:pStyle w:val="EMEANormal"/>
              <w:rPr>
                <w:lang w:val="en-GB"/>
              </w:rPr>
            </w:pPr>
          </w:p>
          <w:p w14:paraId="526A1FA7" w14:textId="77777777" w:rsidR="00BE1421" w:rsidRPr="00342F7C" w:rsidRDefault="00BE1421" w:rsidP="000B2D5F">
            <w:pPr>
              <w:pStyle w:val="EMEANormal"/>
              <w:rPr>
                <w:i/>
                <w:iCs/>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4C4D3AE2" w14:textId="77777777" w:rsidR="00BE1421" w:rsidRPr="00342F7C" w:rsidRDefault="00BE1421" w:rsidP="000B2D5F">
            <w:pPr>
              <w:pStyle w:val="EMEANormal"/>
              <w:rPr>
                <w:lang w:val="en-GB"/>
              </w:rPr>
            </w:pPr>
            <w:r w:rsidRPr="00342F7C">
              <w:rPr>
                <w:lang w:val="en-GB"/>
              </w:rPr>
              <w:t>Tadalafil:</w:t>
            </w:r>
          </w:p>
          <w:p w14:paraId="49D8DB8C" w14:textId="77777777" w:rsidR="00BE1421" w:rsidRPr="00342F7C" w:rsidRDefault="00BE1421" w:rsidP="000B2D5F">
            <w:pPr>
              <w:pStyle w:val="EMEANormal"/>
              <w:rPr>
                <w:lang w:val="en-GB"/>
              </w:rPr>
            </w:pPr>
            <w:r w:rsidRPr="00342F7C">
              <w:rPr>
                <w:lang w:val="en-GB"/>
              </w:rPr>
              <w:t>AUC: ↑ 2-fold</w:t>
            </w:r>
          </w:p>
          <w:p w14:paraId="1F6B75D5" w14:textId="77777777" w:rsidR="00BE1421" w:rsidRPr="00342F7C" w:rsidRDefault="00BE1421" w:rsidP="000B2D5F">
            <w:pPr>
              <w:pStyle w:val="EMEANormal"/>
              <w:rPr>
                <w:lang w:val="en-GB"/>
              </w:rPr>
            </w:pPr>
            <w:r w:rsidRPr="00342F7C">
              <w:rPr>
                <w:lang w:val="en-GB"/>
              </w:rPr>
              <w:t>Due to CYP3A</w:t>
            </w:r>
            <w:r>
              <w:rPr>
                <w:lang w:val="en-GB"/>
              </w:rPr>
              <w:t>4</w:t>
            </w:r>
            <w:r w:rsidRPr="00342F7C">
              <w:rPr>
                <w:lang w:val="en-GB"/>
              </w:rPr>
              <w:t xml:space="preserve"> inhibition by </w:t>
            </w:r>
            <w:r>
              <w:rPr>
                <w:lang w:val="en-GB"/>
              </w:rPr>
              <w:t>lopinavir/ritonavir</w:t>
            </w:r>
            <w:r w:rsidRPr="00342F7C">
              <w:rPr>
                <w:lang w:val="en-GB"/>
              </w:rPr>
              <w:t>.</w:t>
            </w:r>
          </w:p>
        </w:tc>
        <w:tc>
          <w:tcPr>
            <w:tcW w:w="3574" w:type="dxa"/>
            <w:gridSpan w:val="2"/>
            <w:vMerge w:val="restart"/>
            <w:tcBorders>
              <w:top w:val="single" w:sz="4" w:space="0" w:color="auto"/>
              <w:left w:val="single" w:sz="4" w:space="0" w:color="auto"/>
              <w:bottom w:val="single" w:sz="4" w:space="0" w:color="auto"/>
              <w:right w:val="single" w:sz="4" w:space="0" w:color="auto"/>
            </w:tcBorders>
          </w:tcPr>
          <w:p w14:paraId="78943C66" w14:textId="77777777" w:rsidR="00BE1421" w:rsidRPr="0071232B" w:rsidRDefault="00BE1421" w:rsidP="0071232B">
            <w:pPr>
              <w:pStyle w:val="EMEANormal"/>
              <w:rPr>
                <w:lang w:val="en-GB"/>
              </w:rPr>
            </w:pPr>
            <w:r w:rsidRPr="0071232B">
              <w:rPr>
                <w:u w:val="single"/>
                <w:lang w:val="en-GB"/>
              </w:rPr>
              <w:t>For the treatment of pulmonary arterial hypertension</w:t>
            </w:r>
            <w:r w:rsidRPr="0071232B">
              <w:rPr>
                <w:lang w:val="en-GB"/>
              </w:rPr>
              <w:t>: Co</w:t>
            </w:r>
            <w:r w:rsidRPr="0071232B">
              <w:rPr>
                <w:lang w:val="en-GB"/>
              </w:rPr>
              <w:noBreakHyphen/>
              <w:t xml:space="preserve">administration of Kaletra with sildenafil is contraindicated (see section 4.3).  </w:t>
            </w:r>
            <w:r>
              <w:rPr>
                <w:lang w:val="en-GB"/>
              </w:rPr>
              <w:t>Co-administration of Kaletra w</w:t>
            </w:r>
            <w:r w:rsidRPr="0071232B">
              <w:rPr>
                <w:lang w:val="en-GB"/>
              </w:rPr>
              <w:t>ith tadalafil is not recommended.</w:t>
            </w:r>
          </w:p>
          <w:p w14:paraId="69DE14F4" w14:textId="77777777" w:rsidR="00BE1421" w:rsidRPr="0071232B" w:rsidRDefault="00BE1421" w:rsidP="0071232B">
            <w:pPr>
              <w:pStyle w:val="EMEANormal"/>
              <w:rPr>
                <w:lang w:val="en-GB"/>
              </w:rPr>
            </w:pPr>
          </w:p>
          <w:p w14:paraId="07D6D73F" w14:textId="77777777" w:rsidR="00BE1421" w:rsidRDefault="00BE1421" w:rsidP="0071232B">
            <w:pPr>
              <w:pStyle w:val="EMEANormal"/>
              <w:rPr>
                <w:lang w:val="en-GB"/>
              </w:rPr>
            </w:pPr>
            <w:r w:rsidRPr="0071232B">
              <w:rPr>
                <w:u w:val="single"/>
                <w:lang w:val="en-GB"/>
              </w:rPr>
              <w:t>For erectile dysfunction</w:t>
            </w:r>
            <w:r w:rsidRPr="0071232B">
              <w:rPr>
                <w:lang w:val="en-GB"/>
              </w:rPr>
              <w:t>:</w:t>
            </w:r>
          </w:p>
          <w:p w14:paraId="580C3000" w14:textId="77777777" w:rsidR="00BE1421" w:rsidRPr="00342F7C" w:rsidRDefault="00BE1421" w:rsidP="0071232B">
            <w:pPr>
              <w:pStyle w:val="EMEANormal"/>
              <w:rPr>
                <w:lang w:val="en-GB"/>
              </w:rPr>
            </w:pPr>
            <w:r w:rsidRPr="00342F7C">
              <w:rPr>
                <w:lang w:val="en-GB"/>
              </w:rPr>
              <w:t xml:space="preserve">Particular caution must be used when prescribing sildenafil or tadalafil in patients receiving Kaletra with increased monitoring for adverse events including hypotension, syncope, visual changes and prolonged erection (see section 4.4).  </w:t>
            </w:r>
          </w:p>
          <w:p w14:paraId="669A5EF7" w14:textId="77777777" w:rsidR="00BE1421" w:rsidRPr="00342F7C" w:rsidRDefault="00BE1421" w:rsidP="000B2D5F">
            <w:pPr>
              <w:pStyle w:val="EMEANormal"/>
              <w:rPr>
                <w:lang w:val="en-GB"/>
              </w:rPr>
            </w:pPr>
            <w:r w:rsidRPr="00342F7C">
              <w:rPr>
                <w:lang w:val="en-GB"/>
              </w:rPr>
              <w:t>When co</w:t>
            </w:r>
            <w:r w:rsidRPr="00342F7C">
              <w:rPr>
                <w:lang w:val="en-GB"/>
              </w:rPr>
              <w:noBreakHyphen/>
              <w:t xml:space="preserve">administered with Kaletra, sildenafil doses must not exceed 25 mg in 48 hours and tadalafil doses must not exceed 10 mg every 72 hours.  </w:t>
            </w:r>
          </w:p>
        </w:tc>
      </w:tr>
      <w:tr w:rsidR="00BE1421" w:rsidRPr="00342F7C" w14:paraId="65A0F7A8" w14:textId="77777777" w:rsidTr="008E20B3">
        <w:trPr>
          <w:cantSplit/>
        </w:trPr>
        <w:tc>
          <w:tcPr>
            <w:tcW w:w="2400" w:type="dxa"/>
            <w:tcBorders>
              <w:top w:val="single" w:sz="4" w:space="0" w:color="auto"/>
              <w:left w:val="single" w:sz="4" w:space="0" w:color="auto"/>
              <w:bottom w:val="single" w:sz="4" w:space="0" w:color="auto"/>
              <w:right w:val="single" w:sz="4" w:space="0" w:color="auto"/>
            </w:tcBorders>
          </w:tcPr>
          <w:p w14:paraId="1175E6DA" w14:textId="77777777" w:rsidR="00BE1421" w:rsidRPr="00342F7C" w:rsidRDefault="00BE1421" w:rsidP="000B2D5F">
            <w:pPr>
              <w:pStyle w:val="EMEANormal"/>
              <w:rPr>
                <w:lang w:val="en-GB"/>
              </w:rPr>
            </w:pPr>
            <w:r w:rsidRPr="00342F7C">
              <w:rPr>
                <w:lang w:val="en-GB"/>
              </w:rPr>
              <w:t>Sildenafil</w:t>
            </w:r>
          </w:p>
          <w:p w14:paraId="7325FDFA" w14:textId="77777777" w:rsidR="00BE1421" w:rsidRPr="00342F7C" w:rsidRDefault="00BE1421" w:rsidP="000B2D5F">
            <w:pPr>
              <w:pStyle w:val="EMEANormal"/>
              <w:rPr>
                <w:lang w:val="en-GB"/>
              </w:rPr>
            </w:pPr>
          </w:p>
          <w:p w14:paraId="138D5649" w14:textId="77777777" w:rsidR="00BE1421" w:rsidRPr="00342F7C" w:rsidRDefault="00BE1421" w:rsidP="000B2D5F">
            <w:pPr>
              <w:pStyle w:val="EMEANormal"/>
              <w:rPr>
                <w:i/>
                <w:iCs/>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3033E8BD" w14:textId="77777777" w:rsidR="00BE1421" w:rsidRPr="00342F7C" w:rsidRDefault="00BE1421" w:rsidP="000B2D5F">
            <w:pPr>
              <w:pStyle w:val="EMEANormal"/>
              <w:rPr>
                <w:lang w:val="en-GB"/>
              </w:rPr>
            </w:pPr>
            <w:r w:rsidRPr="00342F7C">
              <w:rPr>
                <w:lang w:val="en-GB"/>
              </w:rPr>
              <w:t>Sildenafil:</w:t>
            </w:r>
            <w:r w:rsidRPr="00342F7C">
              <w:rPr>
                <w:u w:val="single"/>
                <w:lang w:val="en-GB"/>
              </w:rPr>
              <w:t xml:space="preserve"> </w:t>
            </w:r>
          </w:p>
          <w:p w14:paraId="527479AB" w14:textId="77777777" w:rsidR="00BE1421" w:rsidRPr="00342F7C" w:rsidRDefault="00BE1421" w:rsidP="000B2D5F">
            <w:pPr>
              <w:pStyle w:val="EMEANormal"/>
              <w:rPr>
                <w:lang w:val="en-GB"/>
              </w:rPr>
            </w:pPr>
            <w:r w:rsidRPr="00342F7C">
              <w:rPr>
                <w:lang w:val="en-GB"/>
              </w:rPr>
              <w:t>AUC: ↑ 11-fold</w:t>
            </w:r>
          </w:p>
          <w:p w14:paraId="596C7B3F" w14:textId="77777777" w:rsidR="00BE1421" w:rsidRPr="00342F7C" w:rsidRDefault="00BE1421" w:rsidP="000B2D5F">
            <w:pPr>
              <w:pStyle w:val="EMEANormal"/>
              <w:rPr>
                <w:lang w:val="en-GB"/>
              </w:rPr>
            </w:pPr>
            <w:r w:rsidRPr="00342F7C">
              <w:rPr>
                <w:lang w:val="en-GB"/>
              </w:rPr>
              <w:t xml:space="preserve">Due to CYP3A inhibition by </w:t>
            </w:r>
            <w:r>
              <w:rPr>
                <w:lang w:val="en-GB"/>
              </w:rPr>
              <w:t>lopinavir/ritonavir</w:t>
            </w:r>
            <w:r w:rsidRPr="00342F7C">
              <w:rPr>
                <w:lang w:val="en-GB"/>
              </w:rPr>
              <w:t>.</w:t>
            </w:r>
          </w:p>
          <w:p w14:paraId="31C10FD5" w14:textId="77777777" w:rsidR="00BE1421" w:rsidRPr="00342F7C" w:rsidRDefault="00BE1421" w:rsidP="000B2D5F">
            <w:pPr>
              <w:pStyle w:val="EMEANormal"/>
              <w:rPr>
                <w:lang w:val="en-GB"/>
              </w:rPr>
            </w:pPr>
          </w:p>
        </w:tc>
        <w:tc>
          <w:tcPr>
            <w:tcW w:w="3574" w:type="dxa"/>
            <w:gridSpan w:val="2"/>
            <w:vMerge/>
            <w:tcBorders>
              <w:top w:val="single" w:sz="4" w:space="0" w:color="auto"/>
              <w:left w:val="single" w:sz="4" w:space="0" w:color="auto"/>
              <w:bottom w:val="single" w:sz="4" w:space="0" w:color="auto"/>
              <w:right w:val="single" w:sz="4" w:space="0" w:color="auto"/>
            </w:tcBorders>
            <w:vAlign w:val="center"/>
          </w:tcPr>
          <w:p w14:paraId="56892017" w14:textId="77777777" w:rsidR="00BE1421" w:rsidRPr="00342F7C" w:rsidRDefault="00BE1421" w:rsidP="000B2D5F">
            <w:pPr>
              <w:rPr>
                <w:sz w:val="22"/>
                <w:szCs w:val="20"/>
              </w:rPr>
            </w:pPr>
          </w:p>
        </w:tc>
      </w:tr>
      <w:tr w:rsidR="00BE1421" w:rsidRPr="00342F7C" w14:paraId="2C1EEE02" w14:textId="77777777" w:rsidTr="008E20B3">
        <w:tc>
          <w:tcPr>
            <w:tcW w:w="2400" w:type="dxa"/>
            <w:tcBorders>
              <w:top w:val="single" w:sz="4" w:space="0" w:color="auto"/>
              <w:left w:val="single" w:sz="4" w:space="0" w:color="auto"/>
              <w:bottom w:val="single" w:sz="4" w:space="0" w:color="auto"/>
              <w:right w:val="single" w:sz="4" w:space="0" w:color="auto"/>
            </w:tcBorders>
          </w:tcPr>
          <w:p w14:paraId="6B49D80C" w14:textId="77777777" w:rsidR="00BE1421" w:rsidRPr="00342F7C" w:rsidRDefault="00BE1421" w:rsidP="000B2D5F">
            <w:pPr>
              <w:pStyle w:val="EMEANormal"/>
              <w:rPr>
                <w:lang w:val="en-GB"/>
              </w:rPr>
            </w:pPr>
            <w:r w:rsidRPr="00342F7C">
              <w:rPr>
                <w:lang w:val="en-GB"/>
              </w:rPr>
              <w:t xml:space="preserve">Vardenafil </w:t>
            </w:r>
          </w:p>
          <w:p w14:paraId="0AF23368" w14:textId="77777777" w:rsidR="00BE1421" w:rsidRPr="00342F7C" w:rsidRDefault="00BE1421" w:rsidP="000B2D5F">
            <w:pPr>
              <w:pStyle w:val="EMEANormal"/>
              <w:rPr>
                <w:lang w:val="en-GB"/>
              </w:rPr>
            </w:pPr>
          </w:p>
          <w:p w14:paraId="08AAD7C1" w14:textId="77777777" w:rsidR="00BE1421" w:rsidRPr="00342F7C" w:rsidRDefault="00BE1421" w:rsidP="000B2D5F">
            <w:pPr>
              <w:pStyle w:val="EMEANormal"/>
              <w:rPr>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1D23B8B8" w14:textId="77777777" w:rsidR="00BE1421" w:rsidRPr="00342F7C" w:rsidRDefault="00BE1421" w:rsidP="000B2D5F">
            <w:pPr>
              <w:pStyle w:val="EMEANormal"/>
              <w:rPr>
                <w:lang w:val="en-GB"/>
              </w:rPr>
            </w:pPr>
            <w:r w:rsidRPr="00342F7C">
              <w:rPr>
                <w:lang w:val="en-GB"/>
              </w:rPr>
              <w:t>Vardenafil:</w:t>
            </w:r>
          </w:p>
          <w:p w14:paraId="7E7227C2" w14:textId="77777777" w:rsidR="00BE1421" w:rsidRPr="00342F7C" w:rsidRDefault="00BE1421" w:rsidP="000B2D5F">
            <w:pPr>
              <w:pStyle w:val="EMEANormal"/>
              <w:rPr>
                <w:lang w:val="en-GB"/>
              </w:rPr>
            </w:pPr>
            <w:r w:rsidRPr="00342F7C">
              <w:rPr>
                <w:lang w:val="en-GB"/>
              </w:rPr>
              <w:t xml:space="preserve">AUC: ↑ 49-fold </w:t>
            </w:r>
          </w:p>
          <w:p w14:paraId="7C6C312A" w14:textId="77777777" w:rsidR="00BE1421" w:rsidRPr="00342F7C" w:rsidRDefault="00BE1421" w:rsidP="008E20B3">
            <w:pPr>
              <w:pStyle w:val="EMEANormal"/>
              <w:rPr>
                <w:lang w:val="en-GB"/>
              </w:rPr>
            </w:pPr>
            <w:r w:rsidRPr="00342F7C">
              <w:rPr>
                <w:lang w:val="en-GB"/>
              </w:rPr>
              <w:t xml:space="preserve">Due to CYP3A inhibition by </w:t>
            </w:r>
            <w:r>
              <w:rPr>
                <w:lang w:val="en-GB"/>
              </w:rPr>
              <w:t>lopinavir/ritonavir</w:t>
            </w:r>
            <w:r w:rsidRPr="00342F7C">
              <w:rPr>
                <w:lang w:val="en-GB"/>
              </w:rPr>
              <w:t>.</w:t>
            </w:r>
          </w:p>
        </w:tc>
        <w:tc>
          <w:tcPr>
            <w:tcW w:w="3574" w:type="dxa"/>
            <w:gridSpan w:val="2"/>
            <w:tcBorders>
              <w:top w:val="single" w:sz="4" w:space="0" w:color="auto"/>
              <w:left w:val="single" w:sz="4" w:space="0" w:color="auto"/>
              <w:bottom w:val="single" w:sz="4" w:space="0" w:color="auto"/>
              <w:right w:val="single" w:sz="4" w:space="0" w:color="auto"/>
            </w:tcBorders>
          </w:tcPr>
          <w:p w14:paraId="5DA7037B" w14:textId="77777777" w:rsidR="00BE1421" w:rsidRPr="00342F7C" w:rsidRDefault="00BE1421" w:rsidP="000B2D5F">
            <w:pPr>
              <w:pStyle w:val="EMEANormal"/>
              <w:rPr>
                <w:lang w:val="en-GB"/>
              </w:rPr>
            </w:pPr>
            <w:r w:rsidRPr="00342F7C">
              <w:rPr>
                <w:lang w:val="en-GB"/>
              </w:rPr>
              <w:t xml:space="preserve">The use of vardenafil with Kaletra is contraindicated (see section 4.3).  </w:t>
            </w:r>
          </w:p>
          <w:p w14:paraId="6B3D5CD3" w14:textId="77777777" w:rsidR="00BE1421" w:rsidRPr="00342F7C" w:rsidRDefault="00BE1421" w:rsidP="000B2D5F">
            <w:pPr>
              <w:pStyle w:val="EMEANormal"/>
              <w:rPr>
                <w:lang w:val="en-GB"/>
              </w:rPr>
            </w:pPr>
          </w:p>
        </w:tc>
      </w:tr>
      <w:tr w:rsidR="00BE1421" w:rsidRPr="00342F7C" w14:paraId="6DBD41A8"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399D972C" w14:textId="77777777" w:rsidR="00BE1421" w:rsidRPr="00342F7C" w:rsidRDefault="00BE1421" w:rsidP="005766B5">
            <w:pPr>
              <w:pStyle w:val="EMEANormal"/>
              <w:rPr>
                <w:i/>
                <w:lang w:val="en-GB"/>
              </w:rPr>
            </w:pPr>
            <w:r>
              <w:rPr>
                <w:i/>
                <w:lang w:val="en-GB"/>
              </w:rPr>
              <w:t>Ergot alkaloids</w:t>
            </w:r>
          </w:p>
        </w:tc>
      </w:tr>
      <w:tr w:rsidR="00BE1421" w:rsidRPr="00342F7C" w14:paraId="4051FBDF" w14:textId="77777777" w:rsidTr="008E20B3">
        <w:tc>
          <w:tcPr>
            <w:tcW w:w="2410" w:type="dxa"/>
            <w:gridSpan w:val="2"/>
            <w:tcBorders>
              <w:top w:val="single" w:sz="4" w:space="0" w:color="auto"/>
              <w:left w:val="single" w:sz="4" w:space="0" w:color="auto"/>
              <w:bottom w:val="single" w:sz="4" w:space="0" w:color="auto"/>
              <w:right w:val="single" w:sz="4" w:space="0" w:color="auto"/>
            </w:tcBorders>
          </w:tcPr>
          <w:p w14:paraId="108CBF99" w14:textId="77777777" w:rsidR="00BE1421" w:rsidRPr="00961BBD" w:rsidRDefault="00BE1421" w:rsidP="005766B5">
            <w:pPr>
              <w:pStyle w:val="EMEANormal"/>
              <w:rPr>
                <w:color w:val="000000"/>
              </w:rPr>
            </w:pPr>
            <w:r>
              <w:rPr>
                <w:color w:val="000000"/>
              </w:rPr>
              <w:t>Dihydroergotamine, ergonovine, ergotamine, methylergonovine</w:t>
            </w:r>
          </w:p>
        </w:tc>
        <w:tc>
          <w:tcPr>
            <w:tcW w:w="3260" w:type="dxa"/>
            <w:gridSpan w:val="2"/>
            <w:tcBorders>
              <w:top w:val="single" w:sz="4" w:space="0" w:color="auto"/>
              <w:left w:val="single" w:sz="4" w:space="0" w:color="auto"/>
              <w:bottom w:val="single" w:sz="4" w:space="0" w:color="auto"/>
              <w:right w:val="single" w:sz="4" w:space="0" w:color="auto"/>
            </w:tcBorders>
          </w:tcPr>
          <w:p w14:paraId="029F03E9" w14:textId="77777777" w:rsidR="00BE1421" w:rsidRPr="00961BBD" w:rsidRDefault="00BE1421" w:rsidP="005766B5">
            <w:pPr>
              <w:pStyle w:val="EMEANormal"/>
              <w:rPr>
                <w:color w:val="000000"/>
              </w:rPr>
            </w:pPr>
            <w:r>
              <w:rPr>
                <w:color w:val="000000"/>
              </w:rPr>
              <w:t xml:space="preserve">Serum concentrations may be increased due to CYP3A inhibition by </w:t>
            </w:r>
            <w:r>
              <w:rPr>
                <w:lang w:val="en-GB"/>
              </w:rPr>
              <w:t>lopinavir/ritonavir</w:t>
            </w:r>
            <w:r>
              <w:rPr>
                <w:color w:val="000000"/>
              </w:rPr>
              <w:t>.</w:t>
            </w:r>
          </w:p>
        </w:tc>
        <w:tc>
          <w:tcPr>
            <w:tcW w:w="3544" w:type="dxa"/>
            <w:tcBorders>
              <w:top w:val="single" w:sz="4" w:space="0" w:color="auto"/>
              <w:left w:val="single" w:sz="4" w:space="0" w:color="auto"/>
              <w:bottom w:val="single" w:sz="4" w:space="0" w:color="auto"/>
              <w:right w:val="single" w:sz="4" w:space="0" w:color="auto"/>
            </w:tcBorders>
          </w:tcPr>
          <w:p w14:paraId="2965C562" w14:textId="77777777" w:rsidR="00BE1421" w:rsidRPr="00961BBD" w:rsidRDefault="00BE1421" w:rsidP="005766B5">
            <w:pPr>
              <w:pStyle w:val="EMEANormal"/>
              <w:rPr>
                <w:color w:val="000000"/>
              </w:rPr>
            </w:pPr>
            <w:r>
              <w:rPr>
                <w:color w:val="000000"/>
              </w:rPr>
              <w:t>Concomitant administration of Kaletra and ergot alkaloids are contraindicated as it may lead to acute ergot toxicity, including vasospasm and ischaemia (see section 4.3).</w:t>
            </w:r>
          </w:p>
        </w:tc>
      </w:tr>
      <w:tr w:rsidR="00BE1421" w:rsidRPr="00342F7C" w14:paraId="26597181"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24387E7E" w14:textId="77777777" w:rsidR="00BE1421" w:rsidRPr="00220601" w:rsidRDefault="00BE1421" w:rsidP="005766B5">
            <w:pPr>
              <w:pStyle w:val="EMEANormal"/>
              <w:rPr>
                <w:i/>
                <w:color w:val="000000"/>
              </w:rPr>
            </w:pPr>
            <w:r w:rsidRPr="00220601">
              <w:rPr>
                <w:i/>
                <w:color w:val="000000"/>
              </w:rPr>
              <w:t>GI motility agent</w:t>
            </w:r>
          </w:p>
        </w:tc>
      </w:tr>
      <w:tr w:rsidR="00BE1421" w:rsidRPr="00342F7C" w14:paraId="1B986A8B" w14:textId="77777777" w:rsidTr="008E20B3">
        <w:tc>
          <w:tcPr>
            <w:tcW w:w="2410" w:type="dxa"/>
            <w:gridSpan w:val="2"/>
            <w:tcBorders>
              <w:top w:val="single" w:sz="4" w:space="0" w:color="auto"/>
              <w:left w:val="single" w:sz="4" w:space="0" w:color="auto"/>
              <w:bottom w:val="single" w:sz="4" w:space="0" w:color="auto"/>
              <w:right w:val="single" w:sz="4" w:space="0" w:color="auto"/>
            </w:tcBorders>
          </w:tcPr>
          <w:p w14:paraId="50643183" w14:textId="77777777" w:rsidR="00BE1421" w:rsidRDefault="00BE1421" w:rsidP="005766B5">
            <w:pPr>
              <w:pStyle w:val="EMEANormal"/>
              <w:rPr>
                <w:color w:val="000000"/>
              </w:rPr>
            </w:pPr>
            <w:r>
              <w:rPr>
                <w:color w:val="000000"/>
              </w:rPr>
              <w:t>Cisapride</w:t>
            </w:r>
          </w:p>
        </w:tc>
        <w:tc>
          <w:tcPr>
            <w:tcW w:w="3260" w:type="dxa"/>
            <w:gridSpan w:val="2"/>
            <w:tcBorders>
              <w:top w:val="single" w:sz="4" w:space="0" w:color="auto"/>
              <w:left w:val="single" w:sz="4" w:space="0" w:color="auto"/>
              <w:bottom w:val="single" w:sz="4" w:space="0" w:color="auto"/>
              <w:right w:val="single" w:sz="4" w:space="0" w:color="auto"/>
            </w:tcBorders>
          </w:tcPr>
          <w:p w14:paraId="2ECC4BA7" w14:textId="77777777" w:rsidR="00BE1421" w:rsidRDefault="00BE1421" w:rsidP="005766B5">
            <w:pPr>
              <w:pStyle w:val="EMEANormal"/>
              <w:rPr>
                <w:color w:val="000000"/>
              </w:rPr>
            </w:pPr>
            <w:r>
              <w:rPr>
                <w:color w:val="000000"/>
              </w:rPr>
              <w:t xml:space="preserve">Serum concentrations may be increased due to CYP3A inhibition by </w:t>
            </w:r>
            <w:r>
              <w:rPr>
                <w:lang w:val="en-GB"/>
              </w:rPr>
              <w:t>lopinavir/ritonavir</w:t>
            </w:r>
            <w:r>
              <w:rPr>
                <w:color w:val="000000"/>
              </w:rPr>
              <w:t>.</w:t>
            </w:r>
          </w:p>
        </w:tc>
        <w:tc>
          <w:tcPr>
            <w:tcW w:w="3544" w:type="dxa"/>
            <w:tcBorders>
              <w:top w:val="single" w:sz="4" w:space="0" w:color="auto"/>
              <w:left w:val="single" w:sz="4" w:space="0" w:color="auto"/>
              <w:bottom w:val="single" w:sz="4" w:space="0" w:color="auto"/>
              <w:right w:val="single" w:sz="4" w:space="0" w:color="auto"/>
            </w:tcBorders>
          </w:tcPr>
          <w:p w14:paraId="6E7F1012" w14:textId="77777777" w:rsidR="00BE1421" w:rsidRDefault="00BE1421" w:rsidP="005766B5">
            <w:pPr>
              <w:pStyle w:val="EMEANormal"/>
              <w:rPr>
                <w:color w:val="000000"/>
              </w:rPr>
            </w:pPr>
            <w:r>
              <w:rPr>
                <w:color w:val="000000"/>
              </w:rPr>
              <w:t>Concomitant administration of Kaletra and cisapride is contraindicated as it may increase the risk of serious arrhythmias from this agent (see section 4.3).</w:t>
            </w:r>
          </w:p>
        </w:tc>
      </w:tr>
      <w:tr w:rsidR="00BE1421" w:rsidRPr="00342F7C" w14:paraId="3803DF5F"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413C0E78" w14:textId="77777777" w:rsidR="00BE1421" w:rsidRPr="00220601" w:rsidRDefault="00BE1421" w:rsidP="005766B5">
            <w:pPr>
              <w:pStyle w:val="EMEANormal"/>
              <w:rPr>
                <w:i/>
                <w:color w:val="000000"/>
              </w:rPr>
            </w:pPr>
            <w:r>
              <w:rPr>
                <w:i/>
                <w:color w:val="000000"/>
              </w:rPr>
              <w:t>HCV direct acting antivirals</w:t>
            </w:r>
          </w:p>
        </w:tc>
      </w:tr>
      <w:tr w:rsidR="00BE1421" w:rsidRPr="00342F7C" w14:paraId="3087858D" w14:textId="77777777" w:rsidTr="007E69A6">
        <w:tc>
          <w:tcPr>
            <w:tcW w:w="2410" w:type="dxa"/>
            <w:gridSpan w:val="2"/>
            <w:tcBorders>
              <w:top w:val="single" w:sz="4" w:space="0" w:color="auto"/>
              <w:left w:val="single" w:sz="4" w:space="0" w:color="auto"/>
              <w:bottom w:val="single" w:sz="4" w:space="0" w:color="auto"/>
              <w:right w:val="single" w:sz="4" w:space="0" w:color="auto"/>
            </w:tcBorders>
          </w:tcPr>
          <w:p w14:paraId="079D07D2" w14:textId="77777777" w:rsidR="00BE1421" w:rsidRPr="0029146F" w:rsidRDefault="00BE1421" w:rsidP="00542CB5">
            <w:pPr>
              <w:pStyle w:val="EMEANormal"/>
              <w:rPr>
                <w:color w:val="000000"/>
              </w:rPr>
            </w:pPr>
            <w:r w:rsidRPr="0029146F">
              <w:rPr>
                <w:color w:val="000000"/>
              </w:rPr>
              <w:t>Elbasvir/grazoprevir</w:t>
            </w:r>
          </w:p>
          <w:p w14:paraId="2E41C1A1" w14:textId="77777777" w:rsidR="00BE1421" w:rsidRPr="0029146F" w:rsidRDefault="00BE1421" w:rsidP="00542CB5">
            <w:pPr>
              <w:pStyle w:val="EMEANormal"/>
              <w:rPr>
                <w:color w:val="000000"/>
              </w:rPr>
            </w:pPr>
            <w:r w:rsidRPr="0029146F">
              <w:rPr>
                <w:color w:val="000000"/>
              </w:rPr>
              <w:t>(50/200 mg QD)</w:t>
            </w:r>
          </w:p>
        </w:tc>
        <w:tc>
          <w:tcPr>
            <w:tcW w:w="3260" w:type="dxa"/>
            <w:gridSpan w:val="2"/>
            <w:tcBorders>
              <w:top w:val="single" w:sz="4" w:space="0" w:color="auto"/>
              <w:left w:val="single" w:sz="4" w:space="0" w:color="auto"/>
              <w:bottom w:val="single" w:sz="4" w:space="0" w:color="auto"/>
              <w:right w:val="single" w:sz="4" w:space="0" w:color="auto"/>
            </w:tcBorders>
          </w:tcPr>
          <w:p w14:paraId="2BAE1C20" w14:textId="77777777" w:rsidR="00BE1421" w:rsidRPr="006E0E58" w:rsidRDefault="00BE1421" w:rsidP="00542CB5">
            <w:pPr>
              <w:pStyle w:val="EMEANormal"/>
              <w:rPr>
                <w:color w:val="000000"/>
              </w:rPr>
            </w:pPr>
          </w:p>
          <w:p w14:paraId="5179BAE9" w14:textId="77777777" w:rsidR="00BE1421" w:rsidRPr="0029146F" w:rsidRDefault="00BE1421" w:rsidP="00542CB5">
            <w:pPr>
              <w:pStyle w:val="EMEANormal"/>
              <w:rPr>
                <w:color w:val="000000"/>
              </w:rPr>
            </w:pPr>
            <w:r w:rsidRPr="0029146F">
              <w:rPr>
                <w:color w:val="000000"/>
              </w:rPr>
              <w:t>Elbasvir:</w:t>
            </w:r>
          </w:p>
          <w:p w14:paraId="46045AD4" w14:textId="77777777" w:rsidR="00BE1421" w:rsidRPr="0029146F" w:rsidRDefault="00BE1421" w:rsidP="00542CB5">
            <w:pPr>
              <w:pStyle w:val="EMEANormal"/>
              <w:rPr>
                <w:color w:val="000000"/>
                <w:lang w:eastAsia="en-GB"/>
              </w:rPr>
            </w:pPr>
            <w:r w:rsidRPr="0029146F">
              <w:rPr>
                <w:color w:val="000000"/>
                <w:lang w:eastAsia="en-GB"/>
              </w:rPr>
              <w:t xml:space="preserve">AUC: </w:t>
            </w:r>
            <w:r w:rsidRPr="0029146F">
              <w:rPr>
                <w:lang w:val="en-GB"/>
              </w:rPr>
              <w:t>↑</w:t>
            </w:r>
            <w:r w:rsidRPr="0029146F">
              <w:rPr>
                <w:color w:val="000000"/>
                <w:lang w:eastAsia="en-GB"/>
              </w:rPr>
              <w:t xml:space="preserve"> 2.71-fold</w:t>
            </w:r>
          </w:p>
          <w:p w14:paraId="301D5D38" w14:textId="77777777" w:rsidR="00BE1421" w:rsidRPr="0029146F" w:rsidRDefault="00BE1421" w:rsidP="00542CB5">
            <w:pPr>
              <w:pStyle w:val="EMEANormal"/>
              <w:rPr>
                <w:color w:val="000000"/>
                <w:lang w:eastAsia="en-GB"/>
              </w:rPr>
            </w:pPr>
            <w:r w:rsidRPr="0029146F">
              <w:rPr>
                <w:color w:val="000000"/>
                <w:lang w:eastAsia="en-GB"/>
              </w:rPr>
              <w:t>C</w:t>
            </w:r>
            <w:r w:rsidRPr="0029146F">
              <w:rPr>
                <w:color w:val="000000"/>
                <w:vertAlign w:val="subscript"/>
                <w:lang w:eastAsia="en-GB"/>
              </w:rPr>
              <w:t>max</w:t>
            </w:r>
            <w:r w:rsidRPr="0029146F">
              <w:rPr>
                <w:color w:val="000000"/>
                <w:lang w:eastAsia="en-GB"/>
              </w:rPr>
              <w:t xml:space="preserve">: </w:t>
            </w:r>
            <w:r w:rsidRPr="0029146F">
              <w:rPr>
                <w:lang w:val="en-GB"/>
              </w:rPr>
              <w:t>↑</w:t>
            </w:r>
            <w:r w:rsidRPr="0029146F">
              <w:rPr>
                <w:color w:val="000000"/>
                <w:lang w:eastAsia="en-GB"/>
              </w:rPr>
              <w:t xml:space="preserve"> 1.87-fold</w:t>
            </w:r>
          </w:p>
          <w:p w14:paraId="718DFDE4" w14:textId="77777777" w:rsidR="00BE1421" w:rsidRPr="0029146F" w:rsidRDefault="00BE1421" w:rsidP="00542CB5">
            <w:pPr>
              <w:pStyle w:val="EMEANormal"/>
              <w:rPr>
                <w:color w:val="000000"/>
              </w:rPr>
            </w:pPr>
            <w:r w:rsidRPr="0029146F">
              <w:rPr>
                <w:color w:val="000000"/>
                <w:lang w:eastAsia="en-GB"/>
              </w:rPr>
              <w:t>C</w:t>
            </w:r>
            <w:r w:rsidRPr="0029146F">
              <w:rPr>
                <w:color w:val="000000"/>
                <w:vertAlign w:val="subscript"/>
                <w:lang w:eastAsia="en-GB"/>
              </w:rPr>
              <w:t>24</w:t>
            </w:r>
            <w:r w:rsidRPr="0029146F">
              <w:rPr>
                <w:color w:val="000000"/>
                <w:lang w:eastAsia="en-GB"/>
              </w:rPr>
              <w:t xml:space="preserve">: </w:t>
            </w:r>
            <w:r w:rsidRPr="0029146F">
              <w:rPr>
                <w:lang w:val="en-GB"/>
              </w:rPr>
              <w:t>↑</w:t>
            </w:r>
            <w:r w:rsidRPr="0029146F">
              <w:rPr>
                <w:color w:val="000000"/>
                <w:lang w:eastAsia="en-GB"/>
              </w:rPr>
              <w:t xml:space="preserve"> 3.58-fold</w:t>
            </w:r>
          </w:p>
          <w:p w14:paraId="6F51F7C8" w14:textId="77777777" w:rsidR="00BE1421" w:rsidRPr="0029146F" w:rsidRDefault="00BE1421" w:rsidP="00542CB5">
            <w:pPr>
              <w:pStyle w:val="EMEANormal"/>
              <w:rPr>
                <w:color w:val="000000"/>
              </w:rPr>
            </w:pPr>
          </w:p>
          <w:p w14:paraId="369B997C" w14:textId="77777777" w:rsidR="00BE1421" w:rsidRPr="0029146F" w:rsidRDefault="00BE1421" w:rsidP="00542CB5">
            <w:pPr>
              <w:pStyle w:val="EMEANormal"/>
              <w:rPr>
                <w:color w:val="000000"/>
              </w:rPr>
            </w:pPr>
            <w:r w:rsidRPr="0029146F">
              <w:rPr>
                <w:color w:val="000000"/>
              </w:rPr>
              <w:t>Grazoprevir:</w:t>
            </w:r>
          </w:p>
          <w:p w14:paraId="0A5BFE32" w14:textId="77777777" w:rsidR="00BE1421" w:rsidRPr="0029146F" w:rsidRDefault="00BE1421" w:rsidP="00542CB5">
            <w:pPr>
              <w:pStyle w:val="EMEANormal"/>
              <w:rPr>
                <w:color w:val="000000"/>
                <w:lang w:eastAsia="en-GB"/>
              </w:rPr>
            </w:pPr>
            <w:r w:rsidRPr="0029146F">
              <w:rPr>
                <w:color w:val="000000"/>
                <w:lang w:eastAsia="en-GB"/>
              </w:rPr>
              <w:t xml:space="preserve">AUC: </w:t>
            </w:r>
            <w:r w:rsidRPr="0029146F">
              <w:rPr>
                <w:lang w:val="en-GB"/>
              </w:rPr>
              <w:t>↑</w:t>
            </w:r>
            <w:r w:rsidRPr="0029146F">
              <w:rPr>
                <w:color w:val="000000"/>
                <w:lang w:eastAsia="en-GB"/>
              </w:rPr>
              <w:t xml:space="preserve"> 11.86-fold</w:t>
            </w:r>
          </w:p>
          <w:p w14:paraId="063376F8" w14:textId="77777777" w:rsidR="00BE1421" w:rsidRPr="0029146F" w:rsidRDefault="00BE1421" w:rsidP="00542CB5">
            <w:pPr>
              <w:pStyle w:val="EMEANormal"/>
              <w:rPr>
                <w:color w:val="000000"/>
                <w:lang w:eastAsia="en-GB"/>
              </w:rPr>
            </w:pPr>
            <w:r w:rsidRPr="0029146F">
              <w:rPr>
                <w:color w:val="000000"/>
                <w:lang w:eastAsia="en-GB"/>
              </w:rPr>
              <w:t>C</w:t>
            </w:r>
            <w:r w:rsidRPr="0029146F">
              <w:rPr>
                <w:color w:val="000000"/>
                <w:vertAlign w:val="subscript"/>
                <w:lang w:eastAsia="en-GB"/>
              </w:rPr>
              <w:t>max</w:t>
            </w:r>
            <w:r w:rsidRPr="0029146F">
              <w:rPr>
                <w:color w:val="000000"/>
                <w:lang w:eastAsia="en-GB"/>
              </w:rPr>
              <w:t xml:space="preserve">: </w:t>
            </w:r>
            <w:r w:rsidRPr="0029146F">
              <w:rPr>
                <w:lang w:val="en-GB"/>
              </w:rPr>
              <w:t>↑</w:t>
            </w:r>
            <w:r w:rsidRPr="0029146F">
              <w:rPr>
                <w:color w:val="000000"/>
                <w:lang w:eastAsia="en-GB"/>
              </w:rPr>
              <w:t xml:space="preserve"> 6.31-fold</w:t>
            </w:r>
          </w:p>
          <w:p w14:paraId="7F67C169" w14:textId="77777777" w:rsidR="00BE1421" w:rsidRPr="0029146F" w:rsidRDefault="00BE1421" w:rsidP="00542CB5">
            <w:pPr>
              <w:pStyle w:val="EMEANormal"/>
              <w:rPr>
                <w:lang w:val="en-GB"/>
              </w:rPr>
            </w:pPr>
            <w:r w:rsidRPr="0029146F">
              <w:rPr>
                <w:color w:val="000000"/>
                <w:lang w:eastAsia="en-GB"/>
              </w:rPr>
              <w:t>C</w:t>
            </w:r>
            <w:r w:rsidRPr="0029146F">
              <w:rPr>
                <w:color w:val="000000"/>
                <w:vertAlign w:val="subscript"/>
                <w:lang w:eastAsia="en-GB"/>
              </w:rPr>
              <w:t>24</w:t>
            </w:r>
            <w:r w:rsidRPr="0029146F">
              <w:rPr>
                <w:color w:val="000000"/>
                <w:lang w:eastAsia="en-GB"/>
              </w:rPr>
              <w:t xml:space="preserve">: </w:t>
            </w:r>
            <w:r w:rsidRPr="0029146F">
              <w:rPr>
                <w:lang w:val="en-GB"/>
              </w:rPr>
              <w:t>↑ 20.70-fold</w:t>
            </w:r>
          </w:p>
          <w:p w14:paraId="4A73D7A0" w14:textId="77777777" w:rsidR="00BE1421" w:rsidRPr="0029146F" w:rsidRDefault="00BE1421" w:rsidP="00542CB5">
            <w:pPr>
              <w:pStyle w:val="EMEANormal"/>
              <w:rPr>
                <w:lang w:val="en-GB"/>
              </w:rPr>
            </w:pPr>
          </w:p>
          <w:p w14:paraId="5923DFFA" w14:textId="77777777" w:rsidR="00BE1421" w:rsidRPr="0029146F" w:rsidRDefault="00BE1421" w:rsidP="00542CB5">
            <w:pPr>
              <w:pStyle w:val="EMEANormal"/>
              <w:rPr>
                <w:lang w:val="en-GB"/>
              </w:rPr>
            </w:pPr>
            <w:r w:rsidRPr="0029146F">
              <w:rPr>
                <w:lang w:val="en-GB"/>
              </w:rPr>
              <w:t>(combinations of mechanisms including CYP3A inhibition)</w:t>
            </w:r>
          </w:p>
          <w:p w14:paraId="50546544" w14:textId="77777777" w:rsidR="00BE1421" w:rsidRPr="0029146F" w:rsidRDefault="00BE1421" w:rsidP="00542CB5">
            <w:pPr>
              <w:pStyle w:val="EMEANormal"/>
              <w:rPr>
                <w:lang w:val="en-GB"/>
              </w:rPr>
            </w:pPr>
          </w:p>
          <w:p w14:paraId="50BDCDAD" w14:textId="77777777" w:rsidR="00BE1421" w:rsidRPr="0029146F" w:rsidRDefault="00BE1421" w:rsidP="00542CB5">
            <w:pPr>
              <w:pStyle w:val="EMEANormal"/>
              <w:rPr>
                <w:lang w:val="en-GB"/>
              </w:rPr>
            </w:pPr>
            <w:r w:rsidRPr="0029146F">
              <w:rPr>
                <w:lang w:val="en-GB"/>
              </w:rPr>
              <w:t xml:space="preserve">Lopinavir: </w:t>
            </w:r>
            <w:r w:rsidRPr="0029146F">
              <w:rPr>
                <w:szCs w:val="22"/>
                <w:lang w:val="en-GB"/>
              </w:rPr>
              <w:t>↔</w:t>
            </w:r>
          </w:p>
        </w:tc>
        <w:tc>
          <w:tcPr>
            <w:tcW w:w="3544" w:type="dxa"/>
            <w:tcBorders>
              <w:top w:val="single" w:sz="4" w:space="0" w:color="auto"/>
              <w:left w:val="single" w:sz="4" w:space="0" w:color="auto"/>
              <w:bottom w:val="single" w:sz="4" w:space="0" w:color="auto"/>
              <w:right w:val="single" w:sz="4" w:space="0" w:color="auto"/>
            </w:tcBorders>
          </w:tcPr>
          <w:p w14:paraId="1C8835E0" w14:textId="77777777" w:rsidR="00BE1421" w:rsidRPr="006E0E58" w:rsidRDefault="00BE1421" w:rsidP="00542CB5">
            <w:pPr>
              <w:pStyle w:val="EMEANormal"/>
              <w:rPr>
                <w:color w:val="000000"/>
              </w:rPr>
            </w:pPr>
            <w:r w:rsidRPr="0029146F">
              <w:rPr>
                <w:color w:val="000000"/>
              </w:rPr>
              <w:t>Concomitant administration of elbasvir/grazoprevir with Kaletra is con</w:t>
            </w:r>
            <w:r w:rsidRPr="006E0E58">
              <w:rPr>
                <w:color w:val="000000"/>
              </w:rPr>
              <w:t>traindicated (see section 4.3).</w:t>
            </w:r>
          </w:p>
        </w:tc>
      </w:tr>
      <w:tr w:rsidR="00BE1421" w:rsidRPr="00342F7C" w14:paraId="438FEE33" w14:textId="77777777" w:rsidTr="007E69A6">
        <w:tc>
          <w:tcPr>
            <w:tcW w:w="2410" w:type="dxa"/>
            <w:gridSpan w:val="2"/>
            <w:tcBorders>
              <w:top w:val="single" w:sz="4" w:space="0" w:color="auto"/>
              <w:left w:val="single" w:sz="4" w:space="0" w:color="auto"/>
              <w:bottom w:val="single" w:sz="4" w:space="0" w:color="auto"/>
              <w:right w:val="single" w:sz="4" w:space="0" w:color="auto"/>
            </w:tcBorders>
          </w:tcPr>
          <w:p w14:paraId="5A1B4E62" w14:textId="77777777" w:rsidR="00BE1421" w:rsidRPr="0029146F" w:rsidRDefault="00BE1421" w:rsidP="00542CB5">
            <w:pPr>
              <w:pStyle w:val="EMEANormal"/>
              <w:rPr>
                <w:color w:val="000000"/>
              </w:rPr>
            </w:pPr>
            <w:r>
              <w:rPr>
                <w:color w:val="000000"/>
              </w:rPr>
              <w:t>Glecaprevir/pibrentasvir</w:t>
            </w:r>
          </w:p>
        </w:tc>
        <w:tc>
          <w:tcPr>
            <w:tcW w:w="3260" w:type="dxa"/>
            <w:gridSpan w:val="2"/>
            <w:tcBorders>
              <w:top w:val="single" w:sz="4" w:space="0" w:color="auto"/>
              <w:left w:val="single" w:sz="4" w:space="0" w:color="auto"/>
              <w:bottom w:val="single" w:sz="4" w:space="0" w:color="auto"/>
              <w:right w:val="single" w:sz="4" w:space="0" w:color="auto"/>
            </w:tcBorders>
          </w:tcPr>
          <w:p w14:paraId="649AEF79" w14:textId="77777777" w:rsidR="00BE1421" w:rsidRPr="006E0E58" w:rsidRDefault="00BE1421" w:rsidP="00463201">
            <w:pPr>
              <w:pStyle w:val="EMEANormal"/>
              <w:rPr>
                <w:color w:val="000000"/>
              </w:rPr>
            </w:pPr>
            <w:r>
              <w:rPr>
                <w:color w:val="000000"/>
              </w:rPr>
              <w:t>Serum concentrations may be increased due to P-glycoprotein, BCRP and OATP1B inhibition by lopinavir/ritonavir.</w:t>
            </w:r>
          </w:p>
        </w:tc>
        <w:tc>
          <w:tcPr>
            <w:tcW w:w="3544" w:type="dxa"/>
            <w:tcBorders>
              <w:top w:val="single" w:sz="4" w:space="0" w:color="auto"/>
              <w:left w:val="single" w:sz="4" w:space="0" w:color="auto"/>
              <w:bottom w:val="single" w:sz="4" w:space="0" w:color="auto"/>
              <w:right w:val="single" w:sz="4" w:space="0" w:color="auto"/>
            </w:tcBorders>
          </w:tcPr>
          <w:p w14:paraId="26E1E80C" w14:textId="77777777" w:rsidR="00BE1421" w:rsidRPr="0029146F" w:rsidRDefault="00BE1421" w:rsidP="00542CB5">
            <w:pPr>
              <w:pStyle w:val="EMEANormal"/>
              <w:rPr>
                <w:color w:val="000000"/>
              </w:rPr>
            </w:pPr>
            <w:r>
              <w:rPr>
                <w:color w:val="000000"/>
              </w:rPr>
              <w:t>Concomitant administration of glecaprevir/pibrentasvir and Kaletra is not recommended due to an increased risk of ALT elevations associated with increased glecaprevir exposure.</w:t>
            </w:r>
          </w:p>
        </w:tc>
      </w:tr>
      <w:tr w:rsidR="00BE1421" w:rsidRPr="00342F7C" w14:paraId="7DB4A816" w14:textId="77777777" w:rsidTr="007E69A6">
        <w:tc>
          <w:tcPr>
            <w:tcW w:w="2410" w:type="dxa"/>
            <w:gridSpan w:val="2"/>
            <w:tcBorders>
              <w:top w:val="single" w:sz="4" w:space="0" w:color="auto"/>
              <w:left w:val="single" w:sz="4" w:space="0" w:color="auto"/>
              <w:bottom w:val="single" w:sz="4" w:space="0" w:color="auto"/>
              <w:right w:val="single" w:sz="4" w:space="0" w:color="auto"/>
            </w:tcBorders>
          </w:tcPr>
          <w:p w14:paraId="03B1EC34" w14:textId="77777777" w:rsidR="00BE1421" w:rsidRPr="0029146F" w:rsidRDefault="00BE1421" w:rsidP="005F7244">
            <w:pPr>
              <w:pStyle w:val="EMEANormal"/>
              <w:keepNext/>
              <w:rPr>
                <w:color w:val="000000"/>
              </w:rPr>
            </w:pPr>
            <w:r w:rsidRPr="0029146F">
              <w:rPr>
                <w:color w:val="000000"/>
              </w:rPr>
              <w:t>Ombitasvir/paritaprevir/ritonavir + dasabuvir</w:t>
            </w:r>
          </w:p>
          <w:p w14:paraId="5BBF39EA" w14:textId="77777777" w:rsidR="00BE1421" w:rsidRPr="006E0E58" w:rsidRDefault="00BE1421" w:rsidP="005F7244">
            <w:pPr>
              <w:pStyle w:val="EMEANormal"/>
              <w:keepNext/>
              <w:rPr>
                <w:color w:val="000000"/>
              </w:rPr>
            </w:pPr>
          </w:p>
          <w:p w14:paraId="521DBA98" w14:textId="77777777" w:rsidR="00BE1421" w:rsidRPr="0029146F" w:rsidRDefault="00BE1421" w:rsidP="005F7244">
            <w:pPr>
              <w:pStyle w:val="EMEANormal"/>
              <w:keepNext/>
              <w:rPr>
                <w:color w:val="000000"/>
              </w:rPr>
            </w:pPr>
            <w:r w:rsidRPr="0029146F">
              <w:rPr>
                <w:color w:val="000000"/>
              </w:rPr>
              <w:t xml:space="preserve">(25/150/100 mg QD + </w:t>
            </w:r>
            <w:r>
              <w:rPr>
                <w:color w:val="000000"/>
              </w:rPr>
              <w:t>40</w:t>
            </w:r>
            <w:r w:rsidRPr="0029146F">
              <w:rPr>
                <w:color w:val="000000"/>
              </w:rPr>
              <w:t>0 mg BID)</w:t>
            </w:r>
          </w:p>
          <w:p w14:paraId="598C4B55" w14:textId="77777777" w:rsidR="00BE1421" w:rsidRPr="0029146F" w:rsidRDefault="00BE1421" w:rsidP="005F7244">
            <w:pPr>
              <w:pStyle w:val="EMEANormal"/>
              <w:keepNext/>
              <w:rPr>
                <w:color w:val="000000"/>
              </w:rPr>
            </w:pPr>
          </w:p>
          <w:p w14:paraId="7632EE37" w14:textId="77777777" w:rsidR="00BE1421" w:rsidRPr="0029146F" w:rsidRDefault="00BE1421" w:rsidP="005F7244">
            <w:pPr>
              <w:pStyle w:val="EMEANormal"/>
              <w:keepNext/>
              <w:rPr>
                <w:color w:val="000000"/>
              </w:rPr>
            </w:pPr>
            <w:r w:rsidRPr="0029146F">
              <w:rPr>
                <w:color w:val="000000"/>
              </w:rPr>
              <w:t xml:space="preserve">Lopinavir/ritonavir </w:t>
            </w:r>
          </w:p>
          <w:p w14:paraId="1AE9BB3B" w14:textId="77777777" w:rsidR="00BE1421" w:rsidRPr="0029146F" w:rsidRDefault="00BE1421" w:rsidP="005F7244">
            <w:pPr>
              <w:pStyle w:val="EMEANormal"/>
              <w:keepNext/>
              <w:rPr>
                <w:color w:val="000000"/>
              </w:rPr>
            </w:pPr>
            <w:r w:rsidRPr="0029146F">
              <w:rPr>
                <w:color w:val="000000"/>
              </w:rPr>
              <w:t>400/100 mg BID</w:t>
            </w:r>
          </w:p>
        </w:tc>
        <w:tc>
          <w:tcPr>
            <w:tcW w:w="3260" w:type="dxa"/>
            <w:gridSpan w:val="2"/>
            <w:tcBorders>
              <w:top w:val="single" w:sz="4" w:space="0" w:color="auto"/>
              <w:left w:val="single" w:sz="4" w:space="0" w:color="auto"/>
              <w:bottom w:val="single" w:sz="4" w:space="0" w:color="auto"/>
              <w:right w:val="single" w:sz="4" w:space="0" w:color="auto"/>
            </w:tcBorders>
          </w:tcPr>
          <w:p w14:paraId="13C074AB" w14:textId="77777777" w:rsidR="00BE1421" w:rsidRPr="0029146F" w:rsidRDefault="00BE1421" w:rsidP="005F7244">
            <w:pPr>
              <w:pStyle w:val="EMEANormal"/>
              <w:keepNext/>
              <w:rPr>
                <w:color w:val="000000"/>
              </w:rPr>
            </w:pPr>
            <w:r w:rsidRPr="0029146F">
              <w:rPr>
                <w:color w:val="000000"/>
              </w:rPr>
              <w:t xml:space="preserve">Ombitasvir: </w:t>
            </w:r>
            <w:r w:rsidRPr="0029146F">
              <w:rPr>
                <w:szCs w:val="22"/>
                <w:lang w:val="en-GB"/>
              </w:rPr>
              <w:t>↔</w:t>
            </w:r>
            <w:r w:rsidRPr="0029146F">
              <w:rPr>
                <w:color w:val="000000"/>
              </w:rPr>
              <w:t xml:space="preserve"> </w:t>
            </w:r>
          </w:p>
          <w:p w14:paraId="59487A5E" w14:textId="77777777" w:rsidR="00BE1421" w:rsidRPr="006E0E58" w:rsidRDefault="00BE1421" w:rsidP="005F7244">
            <w:pPr>
              <w:pStyle w:val="EMEANormal"/>
              <w:keepNext/>
              <w:rPr>
                <w:color w:val="000000"/>
              </w:rPr>
            </w:pPr>
          </w:p>
          <w:p w14:paraId="4C8B5578" w14:textId="77777777" w:rsidR="00BE1421" w:rsidRPr="006E0E58" w:rsidRDefault="00BE1421" w:rsidP="005F7244">
            <w:pPr>
              <w:pStyle w:val="EMEANormal"/>
              <w:keepNext/>
              <w:rPr>
                <w:color w:val="000000"/>
              </w:rPr>
            </w:pPr>
            <w:r w:rsidRPr="006E0E58">
              <w:rPr>
                <w:color w:val="000000"/>
              </w:rPr>
              <w:t>Paritaprevir:</w:t>
            </w:r>
          </w:p>
          <w:p w14:paraId="185AB6F6" w14:textId="77777777" w:rsidR="00BE1421" w:rsidRPr="0029146F" w:rsidRDefault="00BE1421" w:rsidP="005F7244">
            <w:pPr>
              <w:pStyle w:val="EMEANormal"/>
              <w:keepNext/>
              <w:rPr>
                <w:color w:val="000000"/>
                <w:lang w:eastAsia="en-GB"/>
              </w:rPr>
            </w:pPr>
            <w:r w:rsidRPr="00D11B95">
              <w:rPr>
                <w:color w:val="000000"/>
                <w:lang w:eastAsia="en-GB"/>
              </w:rPr>
              <w:t xml:space="preserve">AUC: </w:t>
            </w:r>
            <w:r w:rsidRPr="00D11B95">
              <w:rPr>
                <w:lang w:val="en-GB"/>
              </w:rPr>
              <w:t>↑</w:t>
            </w:r>
            <w:r w:rsidRPr="00D11B95">
              <w:rPr>
                <w:color w:val="000000"/>
                <w:lang w:eastAsia="en-GB"/>
              </w:rPr>
              <w:t xml:space="preserve"> </w:t>
            </w:r>
            <w:r>
              <w:rPr>
                <w:color w:val="000000"/>
                <w:lang w:eastAsia="en-GB"/>
              </w:rPr>
              <w:t>2</w:t>
            </w:r>
            <w:r w:rsidRPr="0029146F">
              <w:rPr>
                <w:color w:val="000000"/>
                <w:lang w:eastAsia="en-GB"/>
              </w:rPr>
              <w:t>.17-fold</w:t>
            </w:r>
          </w:p>
          <w:p w14:paraId="6B29B117" w14:textId="77777777" w:rsidR="00BE1421" w:rsidRPr="0029146F" w:rsidRDefault="00BE1421" w:rsidP="005F7244">
            <w:pPr>
              <w:pStyle w:val="EMEANormal"/>
              <w:keepNext/>
              <w:rPr>
                <w:color w:val="000000"/>
                <w:lang w:eastAsia="en-GB"/>
              </w:rPr>
            </w:pPr>
            <w:r w:rsidRPr="0029146F">
              <w:rPr>
                <w:color w:val="000000"/>
                <w:lang w:eastAsia="en-GB"/>
              </w:rPr>
              <w:t>C</w:t>
            </w:r>
            <w:r w:rsidRPr="0029146F">
              <w:rPr>
                <w:color w:val="000000"/>
                <w:vertAlign w:val="subscript"/>
                <w:lang w:eastAsia="en-GB"/>
              </w:rPr>
              <w:t>max</w:t>
            </w:r>
            <w:r w:rsidRPr="0029146F">
              <w:rPr>
                <w:color w:val="000000"/>
                <w:lang w:eastAsia="en-GB"/>
              </w:rPr>
              <w:t xml:space="preserve">: </w:t>
            </w:r>
            <w:r w:rsidRPr="0029146F">
              <w:rPr>
                <w:lang w:val="en-GB"/>
              </w:rPr>
              <w:t>↑</w:t>
            </w:r>
            <w:r w:rsidRPr="0029146F">
              <w:rPr>
                <w:color w:val="000000"/>
                <w:lang w:eastAsia="en-GB"/>
              </w:rPr>
              <w:t xml:space="preserve"> </w:t>
            </w:r>
            <w:r>
              <w:rPr>
                <w:color w:val="000000"/>
                <w:lang w:eastAsia="en-GB"/>
              </w:rPr>
              <w:t>2</w:t>
            </w:r>
            <w:r w:rsidRPr="0029146F">
              <w:rPr>
                <w:color w:val="000000"/>
                <w:lang w:eastAsia="en-GB"/>
              </w:rPr>
              <w:t>.04-fold</w:t>
            </w:r>
          </w:p>
          <w:p w14:paraId="397BA243" w14:textId="77777777" w:rsidR="00BE1421" w:rsidRPr="0029146F" w:rsidRDefault="00BE1421" w:rsidP="005F7244">
            <w:pPr>
              <w:pStyle w:val="EMEANormal"/>
              <w:keepNext/>
              <w:rPr>
                <w:color w:val="000000"/>
                <w:lang w:eastAsia="en-GB"/>
              </w:rPr>
            </w:pPr>
            <w:r w:rsidRPr="0029146F">
              <w:rPr>
                <w:color w:val="000000"/>
                <w:lang w:eastAsia="en-GB"/>
              </w:rPr>
              <w:t>C</w:t>
            </w:r>
            <w:r w:rsidRPr="0029146F">
              <w:rPr>
                <w:color w:val="000000"/>
                <w:vertAlign w:val="subscript"/>
                <w:lang w:eastAsia="en-GB"/>
              </w:rPr>
              <w:t>trough</w:t>
            </w:r>
            <w:r w:rsidRPr="0029146F">
              <w:rPr>
                <w:color w:val="000000"/>
                <w:lang w:eastAsia="en-GB"/>
              </w:rPr>
              <w:t xml:space="preserve">: </w:t>
            </w:r>
            <w:r w:rsidRPr="0029146F">
              <w:rPr>
                <w:lang w:val="en-GB"/>
              </w:rPr>
              <w:t>↑</w:t>
            </w:r>
            <w:r w:rsidRPr="0029146F">
              <w:rPr>
                <w:color w:val="000000"/>
                <w:lang w:eastAsia="en-GB"/>
              </w:rPr>
              <w:t xml:space="preserve"> </w:t>
            </w:r>
            <w:r>
              <w:rPr>
                <w:color w:val="000000"/>
                <w:lang w:eastAsia="en-GB"/>
              </w:rPr>
              <w:t>2</w:t>
            </w:r>
            <w:r w:rsidRPr="0029146F">
              <w:rPr>
                <w:color w:val="000000"/>
                <w:lang w:eastAsia="en-GB"/>
              </w:rPr>
              <w:t>.36-fold</w:t>
            </w:r>
          </w:p>
          <w:p w14:paraId="570CB530" w14:textId="77777777" w:rsidR="00BE1421" w:rsidRPr="006E0E58" w:rsidRDefault="00BE1421" w:rsidP="005F7244">
            <w:pPr>
              <w:pStyle w:val="EMEANormal"/>
              <w:keepNext/>
              <w:rPr>
                <w:color w:val="000000"/>
                <w:lang w:eastAsia="en-GB"/>
              </w:rPr>
            </w:pPr>
          </w:p>
          <w:p w14:paraId="1D8FCBE8" w14:textId="77777777" w:rsidR="00BE1421" w:rsidRPr="0029146F" w:rsidRDefault="00BE1421" w:rsidP="005F7244">
            <w:pPr>
              <w:pStyle w:val="EMEANormal"/>
              <w:keepNext/>
              <w:rPr>
                <w:color w:val="000000"/>
                <w:lang w:eastAsia="en-GB"/>
              </w:rPr>
            </w:pPr>
            <w:r w:rsidRPr="0029146F">
              <w:rPr>
                <w:color w:val="000000"/>
                <w:lang w:eastAsia="en-GB"/>
              </w:rPr>
              <w:t>(inhibition of CYP3A/efflux transporters)</w:t>
            </w:r>
          </w:p>
          <w:p w14:paraId="308E321D" w14:textId="77777777" w:rsidR="00BE1421" w:rsidRPr="0029146F" w:rsidRDefault="00BE1421" w:rsidP="005F7244">
            <w:pPr>
              <w:pStyle w:val="EMEANormal"/>
              <w:keepNext/>
              <w:rPr>
                <w:color w:val="000000"/>
                <w:lang w:eastAsia="en-GB"/>
              </w:rPr>
            </w:pPr>
          </w:p>
          <w:p w14:paraId="5A254A2A" w14:textId="77777777" w:rsidR="00BE1421" w:rsidRPr="0029146F" w:rsidRDefault="00BE1421" w:rsidP="005F7244">
            <w:pPr>
              <w:pStyle w:val="EMEANormal"/>
              <w:keepNext/>
              <w:rPr>
                <w:color w:val="000000"/>
                <w:lang w:eastAsia="en-GB"/>
              </w:rPr>
            </w:pPr>
            <w:r w:rsidRPr="0029146F">
              <w:rPr>
                <w:color w:val="000000"/>
                <w:lang w:eastAsia="en-GB"/>
              </w:rPr>
              <w:t xml:space="preserve">Dasabuvir: </w:t>
            </w:r>
            <w:r w:rsidRPr="0029146F">
              <w:rPr>
                <w:szCs w:val="22"/>
                <w:lang w:val="en-GB"/>
              </w:rPr>
              <w:t>↔</w:t>
            </w:r>
          </w:p>
          <w:p w14:paraId="639B1FF9" w14:textId="77777777" w:rsidR="00BE1421" w:rsidRPr="0029146F" w:rsidRDefault="00BE1421" w:rsidP="005F7244">
            <w:pPr>
              <w:pStyle w:val="EMEANormal"/>
              <w:keepNext/>
              <w:rPr>
                <w:color w:val="000000"/>
                <w:lang w:eastAsia="en-GB"/>
              </w:rPr>
            </w:pPr>
          </w:p>
          <w:p w14:paraId="512670D1" w14:textId="77777777" w:rsidR="00BE1421" w:rsidRPr="0029146F" w:rsidRDefault="00BE1421" w:rsidP="005F7244">
            <w:pPr>
              <w:pStyle w:val="EMEANormal"/>
              <w:keepNext/>
              <w:rPr>
                <w:color w:val="000000"/>
              </w:rPr>
            </w:pPr>
            <w:r w:rsidRPr="0029146F">
              <w:rPr>
                <w:color w:val="000000"/>
                <w:lang w:eastAsia="en-GB"/>
              </w:rPr>
              <w:t xml:space="preserve">Lopinavir: </w:t>
            </w:r>
            <w:r w:rsidRPr="0029146F">
              <w:rPr>
                <w:szCs w:val="22"/>
                <w:lang w:val="en-GB"/>
              </w:rPr>
              <w:t>↔</w:t>
            </w:r>
          </w:p>
        </w:tc>
        <w:tc>
          <w:tcPr>
            <w:tcW w:w="3544" w:type="dxa"/>
            <w:vMerge w:val="restart"/>
            <w:tcBorders>
              <w:top w:val="single" w:sz="4" w:space="0" w:color="auto"/>
              <w:left w:val="single" w:sz="4" w:space="0" w:color="auto"/>
              <w:right w:val="single" w:sz="4" w:space="0" w:color="auto"/>
            </w:tcBorders>
          </w:tcPr>
          <w:p w14:paraId="4AC2E834" w14:textId="77777777" w:rsidR="00BE1421" w:rsidRPr="0029146F" w:rsidRDefault="00BE1421" w:rsidP="005F7244">
            <w:pPr>
              <w:pStyle w:val="EMEANormal"/>
              <w:keepNext/>
              <w:rPr>
                <w:color w:val="000000"/>
              </w:rPr>
            </w:pPr>
            <w:r w:rsidRPr="0029146F">
              <w:rPr>
                <w:color w:val="000000"/>
              </w:rPr>
              <w:t>Co-administration is contraindicated.</w:t>
            </w:r>
          </w:p>
          <w:p w14:paraId="3252EA68" w14:textId="77777777" w:rsidR="00BE1421" w:rsidRPr="006E0E58" w:rsidRDefault="00BE1421" w:rsidP="005F7244">
            <w:pPr>
              <w:pStyle w:val="EMEANormal"/>
              <w:keepNext/>
              <w:rPr>
                <w:color w:val="000000"/>
              </w:rPr>
            </w:pPr>
          </w:p>
          <w:p w14:paraId="31F7779E" w14:textId="77777777" w:rsidR="00BE1421" w:rsidRPr="0029146F" w:rsidRDefault="00BE1421" w:rsidP="005F7244">
            <w:pPr>
              <w:pStyle w:val="EMEANormal"/>
              <w:keepNext/>
              <w:rPr>
                <w:color w:val="000000"/>
              </w:rPr>
            </w:pPr>
            <w:r w:rsidRPr="0029146F">
              <w:rPr>
                <w:color w:val="000000"/>
              </w:rPr>
              <w:t xml:space="preserve">Lopinavir/ritonavir 800/200 mg QD </w:t>
            </w:r>
            <w:r>
              <w:rPr>
                <w:color w:val="000000"/>
              </w:rPr>
              <w:t>was</w:t>
            </w:r>
            <w:r w:rsidRPr="0029146F">
              <w:rPr>
                <w:color w:val="000000"/>
              </w:rPr>
              <w:t xml:space="preserve"> administered with ombitasvir/paritaprevir/ritonavir with or without dasabuvir.  The effect on DAAs and lopinavir was similar to that observed when lopinavir/ritonavir 400/100 mg BID was administered (see section 4.3).</w:t>
            </w:r>
          </w:p>
        </w:tc>
      </w:tr>
      <w:tr w:rsidR="00BE1421" w:rsidRPr="00342F7C" w14:paraId="147D7EE3" w14:textId="77777777" w:rsidTr="007E69A6">
        <w:tc>
          <w:tcPr>
            <w:tcW w:w="2410" w:type="dxa"/>
            <w:gridSpan w:val="2"/>
            <w:tcBorders>
              <w:top w:val="single" w:sz="4" w:space="0" w:color="auto"/>
              <w:left w:val="single" w:sz="4" w:space="0" w:color="auto"/>
              <w:bottom w:val="single" w:sz="4" w:space="0" w:color="auto"/>
              <w:right w:val="single" w:sz="4" w:space="0" w:color="auto"/>
            </w:tcBorders>
          </w:tcPr>
          <w:p w14:paraId="16A13CF8" w14:textId="77777777" w:rsidR="00BE1421" w:rsidRPr="0029146F" w:rsidRDefault="00BE1421" w:rsidP="005F7244">
            <w:pPr>
              <w:pStyle w:val="EMEANormal"/>
              <w:keepNext/>
              <w:rPr>
                <w:color w:val="000000"/>
              </w:rPr>
            </w:pPr>
            <w:r w:rsidRPr="0029146F">
              <w:rPr>
                <w:color w:val="000000"/>
              </w:rPr>
              <w:t>Ombitasvir/paritaprevir/ ritonavir</w:t>
            </w:r>
          </w:p>
          <w:p w14:paraId="42ACBC01" w14:textId="77777777" w:rsidR="00BE1421" w:rsidRPr="0029146F" w:rsidRDefault="00BE1421" w:rsidP="005F7244">
            <w:pPr>
              <w:pStyle w:val="EMEANormal"/>
              <w:keepNext/>
              <w:rPr>
                <w:color w:val="000000"/>
              </w:rPr>
            </w:pPr>
          </w:p>
          <w:p w14:paraId="77B537E5" w14:textId="77777777" w:rsidR="00BE1421" w:rsidRPr="0029146F" w:rsidRDefault="00BE1421" w:rsidP="005F7244">
            <w:pPr>
              <w:pStyle w:val="EMEANormal"/>
              <w:keepNext/>
              <w:rPr>
                <w:color w:val="000000"/>
              </w:rPr>
            </w:pPr>
            <w:r w:rsidRPr="0029146F">
              <w:rPr>
                <w:color w:val="000000"/>
              </w:rPr>
              <w:t>(25/150/100 m</w:t>
            </w:r>
            <w:r>
              <w:rPr>
                <w:color w:val="000000"/>
              </w:rPr>
              <w:t xml:space="preserve">g </w:t>
            </w:r>
            <w:r w:rsidRPr="0029146F">
              <w:rPr>
                <w:color w:val="000000"/>
              </w:rPr>
              <w:t>QD)</w:t>
            </w:r>
          </w:p>
          <w:p w14:paraId="7E2E3B9B" w14:textId="77777777" w:rsidR="00BE1421" w:rsidRPr="0029146F" w:rsidRDefault="00BE1421" w:rsidP="005F7244">
            <w:pPr>
              <w:pStyle w:val="EMEANormal"/>
              <w:keepNext/>
              <w:rPr>
                <w:color w:val="000000"/>
              </w:rPr>
            </w:pPr>
          </w:p>
          <w:p w14:paraId="4EB1AD68" w14:textId="77777777" w:rsidR="00BE1421" w:rsidRPr="0029146F" w:rsidRDefault="00BE1421" w:rsidP="005F7244">
            <w:pPr>
              <w:pStyle w:val="EMEANormal"/>
              <w:keepNext/>
              <w:rPr>
                <w:color w:val="000000"/>
              </w:rPr>
            </w:pPr>
            <w:r w:rsidRPr="0029146F">
              <w:rPr>
                <w:color w:val="000000"/>
              </w:rPr>
              <w:t>Lopinavir/ritonavir</w:t>
            </w:r>
          </w:p>
          <w:p w14:paraId="1156519D" w14:textId="77777777" w:rsidR="00BE1421" w:rsidRPr="0029146F" w:rsidRDefault="00BE1421" w:rsidP="005F7244">
            <w:pPr>
              <w:pStyle w:val="EMEANormal"/>
              <w:keepNext/>
              <w:rPr>
                <w:color w:val="000000"/>
              </w:rPr>
            </w:pPr>
            <w:r w:rsidRPr="0029146F">
              <w:rPr>
                <w:color w:val="000000"/>
              </w:rPr>
              <w:t>400/100 mg BID</w:t>
            </w:r>
          </w:p>
        </w:tc>
        <w:tc>
          <w:tcPr>
            <w:tcW w:w="3260" w:type="dxa"/>
            <w:gridSpan w:val="2"/>
            <w:tcBorders>
              <w:top w:val="single" w:sz="4" w:space="0" w:color="auto"/>
              <w:left w:val="single" w:sz="4" w:space="0" w:color="auto"/>
              <w:bottom w:val="single" w:sz="4" w:space="0" w:color="auto"/>
              <w:right w:val="single" w:sz="4" w:space="0" w:color="auto"/>
            </w:tcBorders>
          </w:tcPr>
          <w:p w14:paraId="3785BDEA" w14:textId="77777777" w:rsidR="00BE1421" w:rsidRPr="0029146F" w:rsidRDefault="00BE1421" w:rsidP="005F7244">
            <w:pPr>
              <w:pStyle w:val="EMEANormal"/>
              <w:keepNext/>
              <w:rPr>
                <w:color w:val="000000"/>
              </w:rPr>
            </w:pPr>
            <w:r w:rsidRPr="0029146F">
              <w:rPr>
                <w:color w:val="000000"/>
              </w:rPr>
              <w:t>Ombitasvir:</w:t>
            </w:r>
            <w:r w:rsidRPr="0029146F">
              <w:rPr>
                <w:color w:val="000000"/>
                <w:lang w:eastAsia="en-GB"/>
              </w:rPr>
              <w:t xml:space="preserve"> </w:t>
            </w:r>
            <w:r w:rsidRPr="0029146F">
              <w:rPr>
                <w:szCs w:val="22"/>
                <w:lang w:val="en-GB"/>
              </w:rPr>
              <w:t>↔</w:t>
            </w:r>
          </w:p>
          <w:p w14:paraId="20D39798" w14:textId="77777777" w:rsidR="00BE1421" w:rsidRPr="0029146F" w:rsidRDefault="00BE1421" w:rsidP="005F7244">
            <w:pPr>
              <w:pStyle w:val="EMEANormal"/>
              <w:keepNext/>
              <w:rPr>
                <w:color w:val="000000"/>
              </w:rPr>
            </w:pPr>
          </w:p>
          <w:p w14:paraId="706B7709" w14:textId="77777777" w:rsidR="00BE1421" w:rsidRPr="0029146F" w:rsidRDefault="00BE1421" w:rsidP="005F7244">
            <w:pPr>
              <w:pStyle w:val="EMEANormal"/>
              <w:keepNext/>
              <w:rPr>
                <w:color w:val="000000"/>
              </w:rPr>
            </w:pPr>
            <w:r w:rsidRPr="0029146F">
              <w:rPr>
                <w:color w:val="000000"/>
              </w:rPr>
              <w:t>Paritaprevir:</w:t>
            </w:r>
          </w:p>
          <w:p w14:paraId="65C285C9" w14:textId="77777777" w:rsidR="00BE1421" w:rsidRPr="0029146F" w:rsidRDefault="00BE1421" w:rsidP="005F7244">
            <w:pPr>
              <w:pStyle w:val="EMEANormal"/>
              <w:keepNext/>
              <w:rPr>
                <w:color w:val="000000"/>
                <w:lang w:eastAsia="en-GB"/>
              </w:rPr>
            </w:pPr>
            <w:r w:rsidRPr="0029146F">
              <w:rPr>
                <w:color w:val="000000"/>
                <w:lang w:eastAsia="en-GB"/>
              </w:rPr>
              <w:t xml:space="preserve">AUC: </w:t>
            </w:r>
            <w:r w:rsidRPr="0029146F">
              <w:rPr>
                <w:lang w:val="en-GB"/>
              </w:rPr>
              <w:t>↑</w:t>
            </w:r>
            <w:r w:rsidRPr="0029146F">
              <w:rPr>
                <w:color w:val="000000"/>
                <w:lang w:eastAsia="en-GB"/>
              </w:rPr>
              <w:t xml:space="preserve"> </w:t>
            </w:r>
            <w:r>
              <w:rPr>
                <w:color w:val="000000"/>
                <w:lang w:eastAsia="en-GB"/>
              </w:rPr>
              <w:t>6</w:t>
            </w:r>
            <w:r w:rsidRPr="0029146F">
              <w:rPr>
                <w:color w:val="000000"/>
                <w:lang w:eastAsia="en-GB"/>
              </w:rPr>
              <w:t>.10-fold</w:t>
            </w:r>
          </w:p>
          <w:p w14:paraId="7293510D" w14:textId="77777777" w:rsidR="00BE1421" w:rsidRPr="0029146F" w:rsidRDefault="00BE1421" w:rsidP="005F7244">
            <w:pPr>
              <w:pStyle w:val="EMEANormal"/>
              <w:keepNext/>
              <w:rPr>
                <w:color w:val="000000"/>
                <w:lang w:eastAsia="en-GB"/>
              </w:rPr>
            </w:pPr>
            <w:r w:rsidRPr="0029146F">
              <w:rPr>
                <w:color w:val="000000"/>
                <w:lang w:eastAsia="en-GB"/>
              </w:rPr>
              <w:t>C</w:t>
            </w:r>
            <w:r w:rsidRPr="0029146F">
              <w:rPr>
                <w:color w:val="000000"/>
                <w:vertAlign w:val="subscript"/>
                <w:lang w:eastAsia="en-GB"/>
              </w:rPr>
              <w:t>max</w:t>
            </w:r>
            <w:r w:rsidRPr="0029146F">
              <w:rPr>
                <w:color w:val="000000"/>
                <w:lang w:eastAsia="en-GB"/>
              </w:rPr>
              <w:t xml:space="preserve">: </w:t>
            </w:r>
            <w:r w:rsidRPr="0029146F">
              <w:rPr>
                <w:lang w:val="en-GB"/>
              </w:rPr>
              <w:t>↑</w:t>
            </w:r>
            <w:r w:rsidRPr="0029146F">
              <w:rPr>
                <w:color w:val="000000"/>
                <w:lang w:eastAsia="en-GB"/>
              </w:rPr>
              <w:t xml:space="preserve"> </w:t>
            </w:r>
            <w:r>
              <w:rPr>
                <w:color w:val="000000"/>
                <w:lang w:eastAsia="en-GB"/>
              </w:rPr>
              <w:t>4</w:t>
            </w:r>
            <w:r w:rsidRPr="0029146F">
              <w:rPr>
                <w:color w:val="000000"/>
                <w:lang w:eastAsia="en-GB"/>
              </w:rPr>
              <w:t>.76-fold</w:t>
            </w:r>
          </w:p>
          <w:p w14:paraId="1899422E" w14:textId="77777777" w:rsidR="00BE1421" w:rsidRPr="0029146F" w:rsidRDefault="00BE1421" w:rsidP="005F7244">
            <w:pPr>
              <w:pStyle w:val="EMEANormal"/>
              <w:keepNext/>
              <w:rPr>
                <w:color w:val="000000"/>
                <w:lang w:eastAsia="en-GB"/>
              </w:rPr>
            </w:pPr>
            <w:r w:rsidRPr="0029146F">
              <w:rPr>
                <w:color w:val="000000"/>
                <w:lang w:eastAsia="en-GB"/>
              </w:rPr>
              <w:t>C</w:t>
            </w:r>
            <w:r w:rsidRPr="0029146F">
              <w:rPr>
                <w:color w:val="000000"/>
                <w:vertAlign w:val="subscript"/>
                <w:lang w:eastAsia="en-GB"/>
              </w:rPr>
              <w:t>trough</w:t>
            </w:r>
            <w:r w:rsidRPr="0029146F">
              <w:rPr>
                <w:color w:val="000000"/>
                <w:lang w:eastAsia="en-GB"/>
              </w:rPr>
              <w:t xml:space="preserve">: </w:t>
            </w:r>
            <w:r w:rsidRPr="0029146F">
              <w:rPr>
                <w:lang w:val="en-GB"/>
              </w:rPr>
              <w:t>↑</w:t>
            </w:r>
            <w:r w:rsidRPr="0029146F">
              <w:rPr>
                <w:color w:val="000000"/>
                <w:lang w:eastAsia="en-GB"/>
              </w:rPr>
              <w:t xml:space="preserve"> 1</w:t>
            </w:r>
            <w:r>
              <w:rPr>
                <w:color w:val="000000"/>
                <w:lang w:eastAsia="en-GB"/>
              </w:rPr>
              <w:t>2</w:t>
            </w:r>
            <w:r w:rsidRPr="0029146F">
              <w:rPr>
                <w:color w:val="000000"/>
                <w:lang w:eastAsia="en-GB"/>
              </w:rPr>
              <w:t>.33-fold</w:t>
            </w:r>
          </w:p>
          <w:p w14:paraId="4A8CAC43" w14:textId="77777777" w:rsidR="00BE1421" w:rsidRPr="0029146F" w:rsidRDefault="00BE1421" w:rsidP="005F7244">
            <w:pPr>
              <w:pStyle w:val="EMEANormal"/>
              <w:keepNext/>
              <w:rPr>
                <w:color w:val="000000"/>
                <w:lang w:eastAsia="en-GB"/>
              </w:rPr>
            </w:pPr>
          </w:p>
          <w:p w14:paraId="11B9601B" w14:textId="77777777" w:rsidR="00BE1421" w:rsidRPr="0029146F" w:rsidRDefault="00BE1421" w:rsidP="005F7244">
            <w:pPr>
              <w:pStyle w:val="EMEANormal"/>
              <w:keepNext/>
              <w:rPr>
                <w:color w:val="000000"/>
                <w:lang w:eastAsia="en-GB"/>
              </w:rPr>
            </w:pPr>
            <w:r w:rsidRPr="0029146F">
              <w:rPr>
                <w:szCs w:val="22"/>
                <w:lang w:val="en-GB"/>
              </w:rPr>
              <w:t>(inhibition of CYP3A/efflux transporters)</w:t>
            </w:r>
          </w:p>
          <w:p w14:paraId="0FA8B684" w14:textId="77777777" w:rsidR="00BE1421" w:rsidRPr="0029146F" w:rsidRDefault="00BE1421" w:rsidP="005F7244">
            <w:pPr>
              <w:pStyle w:val="EMEANormal"/>
              <w:keepNext/>
              <w:rPr>
                <w:color w:val="000000"/>
                <w:lang w:eastAsia="en-GB"/>
              </w:rPr>
            </w:pPr>
          </w:p>
          <w:p w14:paraId="566E9D19" w14:textId="77777777" w:rsidR="00BE1421" w:rsidRPr="0029146F" w:rsidRDefault="00BE1421" w:rsidP="005F7244">
            <w:pPr>
              <w:pStyle w:val="EMEANormal"/>
              <w:keepNext/>
              <w:rPr>
                <w:color w:val="000000"/>
              </w:rPr>
            </w:pPr>
            <w:r w:rsidRPr="0029146F">
              <w:rPr>
                <w:lang w:val="en-GB"/>
              </w:rPr>
              <w:t xml:space="preserve">Lopinavir: </w:t>
            </w:r>
            <w:r w:rsidRPr="0029146F">
              <w:rPr>
                <w:szCs w:val="22"/>
                <w:lang w:val="en-GB"/>
              </w:rPr>
              <w:t>↔</w:t>
            </w:r>
          </w:p>
        </w:tc>
        <w:tc>
          <w:tcPr>
            <w:tcW w:w="3544" w:type="dxa"/>
            <w:vMerge/>
            <w:tcBorders>
              <w:left w:val="single" w:sz="4" w:space="0" w:color="auto"/>
              <w:bottom w:val="single" w:sz="4" w:space="0" w:color="auto"/>
              <w:right w:val="single" w:sz="4" w:space="0" w:color="auto"/>
            </w:tcBorders>
          </w:tcPr>
          <w:p w14:paraId="6C8DBC4B" w14:textId="77777777" w:rsidR="00BE1421" w:rsidDel="009B5BD2" w:rsidRDefault="00BE1421" w:rsidP="005F7244">
            <w:pPr>
              <w:pStyle w:val="EMEANormal"/>
              <w:keepNext/>
              <w:rPr>
                <w:color w:val="000000"/>
              </w:rPr>
            </w:pPr>
          </w:p>
        </w:tc>
      </w:tr>
      <w:tr w:rsidR="00BE1421" w:rsidRPr="00342F7C" w14:paraId="6D00CBF6" w14:textId="77777777" w:rsidTr="007E69A6">
        <w:tc>
          <w:tcPr>
            <w:tcW w:w="2410" w:type="dxa"/>
            <w:gridSpan w:val="2"/>
            <w:tcBorders>
              <w:top w:val="single" w:sz="4" w:space="0" w:color="auto"/>
              <w:left w:val="single" w:sz="4" w:space="0" w:color="auto"/>
              <w:bottom w:val="single" w:sz="4" w:space="0" w:color="auto"/>
              <w:right w:val="single" w:sz="4" w:space="0" w:color="auto"/>
            </w:tcBorders>
          </w:tcPr>
          <w:p w14:paraId="2D7984D6" w14:textId="77777777" w:rsidR="00BE1421" w:rsidRPr="0029146F" w:rsidRDefault="00BE1421" w:rsidP="00542CB5">
            <w:pPr>
              <w:pStyle w:val="EMEANormal"/>
              <w:rPr>
                <w:color w:val="000000"/>
              </w:rPr>
            </w:pPr>
            <w:r>
              <w:rPr>
                <w:color w:val="000000"/>
              </w:rPr>
              <w:t>Sofosbuvir/velpatasvir/ voxilaprevir</w:t>
            </w:r>
          </w:p>
        </w:tc>
        <w:tc>
          <w:tcPr>
            <w:tcW w:w="3260" w:type="dxa"/>
            <w:gridSpan w:val="2"/>
            <w:tcBorders>
              <w:top w:val="single" w:sz="4" w:space="0" w:color="auto"/>
              <w:left w:val="single" w:sz="4" w:space="0" w:color="auto"/>
              <w:bottom w:val="single" w:sz="4" w:space="0" w:color="auto"/>
              <w:right w:val="single" w:sz="4" w:space="0" w:color="auto"/>
            </w:tcBorders>
          </w:tcPr>
          <w:p w14:paraId="29E9CC54" w14:textId="77777777" w:rsidR="00BE1421" w:rsidRPr="0029146F" w:rsidRDefault="00BE1421" w:rsidP="00542CB5">
            <w:pPr>
              <w:pStyle w:val="EMEANormal"/>
              <w:rPr>
                <w:color w:val="000000"/>
              </w:rPr>
            </w:pPr>
            <w:r>
              <w:rPr>
                <w:color w:val="000000"/>
              </w:rPr>
              <w:t>Serum concentrations of sofosbuvir, velpatasvir and voxilaprevir may be increased due to P-glycoprotein, BCRP and OATP1B1/3 inhibition by lopinavir/ritonavir. However, only the increase in voxilaprevir exposure is considered clinically relevant.</w:t>
            </w:r>
          </w:p>
        </w:tc>
        <w:tc>
          <w:tcPr>
            <w:tcW w:w="3544" w:type="dxa"/>
            <w:tcBorders>
              <w:left w:val="single" w:sz="4" w:space="0" w:color="auto"/>
              <w:bottom w:val="single" w:sz="4" w:space="0" w:color="auto"/>
              <w:right w:val="single" w:sz="4" w:space="0" w:color="auto"/>
            </w:tcBorders>
          </w:tcPr>
          <w:p w14:paraId="09506A0B" w14:textId="77777777" w:rsidR="00BE1421" w:rsidDel="009B5BD2" w:rsidRDefault="00BE1421" w:rsidP="00542CB5">
            <w:pPr>
              <w:pStyle w:val="EMEANormal"/>
              <w:rPr>
                <w:color w:val="000000"/>
              </w:rPr>
            </w:pPr>
            <w:r>
              <w:rPr>
                <w:color w:val="000000"/>
              </w:rPr>
              <w:t>It is not recommended to co</w:t>
            </w:r>
            <w:r>
              <w:rPr>
                <w:color w:val="000000"/>
              </w:rPr>
              <w:noBreakHyphen/>
              <w:t>administer Kaletra and sofosbuvir/velpatasvir/ voxilaprevir.</w:t>
            </w:r>
          </w:p>
        </w:tc>
      </w:tr>
      <w:tr w:rsidR="00BE1421" w:rsidRPr="00342F7C" w14:paraId="7EE09495"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529D7D66" w14:textId="77777777" w:rsidR="00BE1421" w:rsidRPr="00342F7C" w:rsidRDefault="00BE1421" w:rsidP="00D11B95">
            <w:pPr>
              <w:pStyle w:val="EMEANormal"/>
              <w:keepNext/>
              <w:rPr>
                <w:i/>
                <w:lang w:val="en-GB"/>
              </w:rPr>
            </w:pPr>
            <w:r>
              <w:rPr>
                <w:i/>
                <w:lang w:val="en-GB"/>
              </w:rPr>
              <w:t>HCV protease inhibitors</w:t>
            </w:r>
          </w:p>
        </w:tc>
      </w:tr>
      <w:tr w:rsidR="00BE1421" w:rsidRPr="00342F7C" w14:paraId="0D2A9874" w14:textId="77777777" w:rsidTr="008E20B3">
        <w:tc>
          <w:tcPr>
            <w:tcW w:w="2400" w:type="dxa"/>
            <w:tcBorders>
              <w:top w:val="single" w:sz="4" w:space="0" w:color="auto"/>
              <w:left w:val="single" w:sz="4" w:space="0" w:color="auto"/>
              <w:bottom w:val="single" w:sz="4" w:space="0" w:color="auto"/>
              <w:right w:val="single" w:sz="4" w:space="0" w:color="auto"/>
            </w:tcBorders>
          </w:tcPr>
          <w:p w14:paraId="08B112DD" w14:textId="77777777" w:rsidR="00BE1421" w:rsidRPr="003B5E4E" w:rsidRDefault="00BE1421" w:rsidP="00F72D01">
            <w:pPr>
              <w:rPr>
                <w:sz w:val="22"/>
                <w:szCs w:val="22"/>
              </w:rPr>
            </w:pPr>
            <w:r w:rsidRPr="003B5E4E">
              <w:rPr>
                <w:sz w:val="22"/>
                <w:szCs w:val="22"/>
                <w:lang w:val="fr-FR" w:eastAsia="fr-FR"/>
              </w:rPr>
              <w:t>Simeprevir 200 mg daily (</w:t>
            </w:r>
            <w:r w:rsidRPr="003B5E4E">
              <w:rPr>
                <w:sz w:val="22"/>
                <w:szCs w:val="22"/>
              </w:rPr>
              <w:t>ri</w:t>
            </w:r>
            <w:r w:rsidRPr="003B5E4E">
              <w:rPr>
                <w:spacing w:val="-1"/>
                <w:sz w:val="22"/>
                <w:szCs w:val="22"/>
              </w:rPr>
              <w:t>t</w:t>
            </w:r>
            <w:r w:rsidRPr="003B5E4E">
              <w:rPr>
                <w:sz w:val="22"/>
                <w:szCs w:val="22"/>
              </w:rPr>
              <w:t xml:space="preserve">onavir </w:t>
            </w:r>
            <w:r w:rsidRPr="003B5E4E">
              <w:rPr>
                <w:spacing w:val="-1"/>
                <w:sz w:val="22"/>
                <w:szCs w:val="22"/>
              </w:rPr>
              <w:t>1</w:t>
            </w:r>
            <w:r w:rsidRPr="003B5E4E">
              <w:rPr>
                <w:sz w:val="22"/>
                <w:szCs w:val="22"/>
              </w:rPr>
              <w:t>00</w:t>
            </w:r>
            <w:r w:rsidRPr="003B5E4E">
              <w:rPr>
                <w:spacing w:val="-7"/>
                <w:sz w:val="22"/>
                <w:szCs w:val="22"/>
              </w:rPr>
              <w:t xml:space="preserve"> </w:t>
            </w:r>
            <w:r w:rsidRPr="003B5E4E">
              <w:rPr>
                <w:spacing w:val="-2"/>
                <w:sz w:val="22"/>
                <w:szCs w:val="22"/>
              </w:rPr>
              <w:t>m</w:t>
            </w:r>
            <w:r w:rsidRPr="003B5E4E">
              <w:rPr>
                <w:sz w:val="22"/>
                <w:szCs w:val="22"/>
              </w:rPr>
              <w:t>g</w:t>
            </w:r>
            <w:r w:rsidRPr="003B5E4E">
              <w:rPr>
                <w:spacing w:val="-2"/>
                <w:sz w:val="22"/>
                <w:szCs w:val="22"/>
              </w:rPr>
              <w:t xml:space="preserve"> </w:t>
            </w:r>
            <w:r w:rsidRPr="003B5E4E">
              <w:rPr>
                <w:sz w:val="22"/>
                <w:szCs w:val="22"/>
              </w:rPr>
              <w:t>BID)</w:t>
            </w:r>
          </w:p>
          <w:p w14:paraId="0C2D7025" w14:textId="77777777" w:rsidR="00BE1421" w:rsidRPr="003B5E4E" w:rsidRDefault="00BE1421" w:rsidP="00F72D01">
            <w:pPr>
              <w:pStyle w:val="NormalWeb"/>
              <w:spacing w:before="0" w:beforeAutospacing="0" w:after="0" w:afterAutospacing="0"/>
              <w:rPr>
                <w:rFonts w:ascii="Times New Roman" w:hAnsi="Times New Roman" w:cs="Times New Roman" w:hint="default"/>
                <w:sz w:val="22"/>
                <w:szCs w:val="22"/>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4633F656" w14:textId="77777777" w:rsidR="00BE1421" w:rsidRPr="003B5E4E" w:rsidRDefault="00BE1421" w:rsidP="00F72D01">
            <w:pPr>
              <w:pStyle w:val="EMEANormal"/>
              <w:rPr>
                <w:szCs w:val="22"/>
                <w:lang w:eastAsia="en-GB"/>
              </w:rPr>
            </w:pPr>
            <w:r w:rsidRPr="003B5E4E">
              <w:rPr>
                <w:szCs w:val="22"/>
                <w:lang w:eastAsia="en-GB"/>
              </w:rPr>
              <w:t>Simeprevir:</w:t>
            </w:r>
          </w:p>
          <w:p w14:paraId="527E123D" w14:textId="77777777" w:rsidR="00BE1421" w:rsidRPr="00B7410C" w:rsidRDefault="00BE1421" w:rsidP="00F72D01">
            <w:pPr>
              <w:pStyle w:val="EMEANormal"/>
              <w:rPr>
                <w:szCs w:val="22"/>
                <w:lang w:eastAsia="en-GB"/>
              </w:rPr>
            </w:pPr>
            <w:r w:rsidRPr="003B5E4E">
              <w:rPr>
                <w:szCs w:val="22"/>
                <w:lang w:eastAsia="en-GB"/>
              </w:rPr>
              <w:t>AUC</w:t>
            </w:r>
            <w:r w:rsidRPr="009670E5">
              <w:rPr>
                <w:szCs w:val="22"/>
                <w:lang w:val="en-GB"/>
              </w:rPr>
              <w:t>:</w:t>
            </w:r>
            <w:r w:rsidRPr="009670E5">
              <w:rPr>
                <w:szCs w:val="22"/>
                <w:lang w:eastAsia="en-GB"/>
              </w:rPr>
              <w:t xml:space="preserve"> </w:t>
            </w:r>
            <w:r w:rsidRPr="009670E5">
              <w:rPr>
                <w:szCs w:val="22"/>
                <w:lang w:val="fr-FR" w:eastAsia="fr-FR"/>
              </w:rPr>
              <w:t>↑</w:t>
            </w:r>
            <w:r w:rsidRPr="009670E5">
              <w:rPr>
                <w:spacing w:val="-4"/>
                <w:szCs w:val="22"/>
                <w:lang w:val="fr-FR" w:eastAsia="fr-FR"/>
              </w:rPr>
              <w:t xml:space="preserve"> </w:t>
            </w:r>
            <w:r w:rsidRPr="00B7410C">
              <w:rPr>
                <w:spacing w:val="1"/>
                <w:szCs w:val="22"/>
                <w:lang w:val="fr-FR" w:eastAsia="fr-FR"/>
              </w:rPr>
              <w:t>7.2-fold</w:t>
            </w:r>
          </w:p>
          <w:p w14:paraId="498E9590" w14:textId="77777777" w:rsidR="00BE1421" w:rsidRPr="00B7410C" w:rsidRDefault="00BE1421" w:rsidP="00F72D01">
            <w:pPr>
              <w:pStyle w:val="EMEANormal"/>
              <w:rPr>
                <w:szCs w:val="22"/>
                <w:lang w:eastAsia="en-GB"/>
              </w:rPr>
            </w:pPr>
            <w:r w:rsidRPr="00B7410C">
              <w:rPr>
                <w:szCs w:val="22"/>
                <w:lang w:eastAsia="en-GB"/>
              </w:rPr>
              <w:t>C</w:t>
            </w:r>
            <w:r w:rsidRPr="00B7410C">
              <w:rPr>
                <w:szCs w:val="22"/>
                <w:vertAlign w:val="subscript"/>
                <w:lang w:eastAsia="en-GB"/>
              </w:rPr>
              <w:t>max</w:t>
            </w:r>
            <w:r w:rsidRPr="00B7410C">
              <w:rPr>
                <w:szCs w:val="22"/>
                <w:lang w:val="en-GB"/>
              </w:rPr>
              <w:t>:</w:t>
            </w:r>
            <w:r w:rsidRPr="00B7410C">
              <w:rPr>
                <w:szCs w:val="22"/>
                <w:lang w:eastAsia="en-GB"/>
              </w:rPr>
              <w:t xml:space="preserve"> </w:t>
            </w:r>
            <w:r w:rsidRPr="00B7410C">
              <w:rPr>
                <w:szCs w:val="22"/>
                <w:lang w:val="fr-FR" w:eastAsia="fr-FR"/>
              </w:rPr>
              <w:t>↑ 4.7-fold</w:t>
            </w:r>
          </w:p>
          <w:p w14:paraId="7E0C8243" w14:textId="77777777" w:rsidR="00BE1421" w:rsidRPr="00B7410C" w:rsidRDefault="00BE1421" w:rsidP="00F72D01">
            <w:pPr>
              <w:pStyle w:val="EMEANormal"/>
              <w:rPr>
                <w:szCs w:val="22"/>
                <w:lang w:val="en-GB"/>
              </w:rPr>
            </w:pPr>
            <w:r w:rsidRPr="00B7410C">
              <w:rPr>
                <w:szCs w:val="22"/>
                <w:lang w:eastAsia="en-GB"/>
              </w:rPr>
              <w:t>C</w:t>
            </w:r>
            <w:r w:rsidRPr="00B7410C">
              <w:rPr>
                <w:szCs w:val="22"/>
                <w:vertAlign w:val="subscript"/>
                <w:lang w:eastAsia="en-GB"/>
              </w:rPr>
              <w:t>min</w:t>
            </w:r>
            <w:r w:rsidRPr="00B7410C">
              <w:rPr>
                <w:szCs w:val="22"/>
                <w:lang w:val="en-GB"/>
              </w:rPr>
              <w:t>:</w:t>
            </w:r>
            <w:r w:rsidRPr="00B7410C">
              <w:rPr>
                <w:szCs w:val="22"/>
                <w:lang w:eastAsia="en-GB"/>
              </w:rPr>
              <w:t xml:space="preserve"> </w:t>
            </w:r>
            <w:r w:rsidRPr="00B7410C">
              <w:rPr>
                <w:szCs w:val="22"/>
                <w:lang w:val="fr-FR" w:eastAsia="fr-FR"/>
              </w:rPr>
              <w:t>↑ 14.4-fold</w:t>
            </w:r>
          </w:p>
        </w:tc>
        <w:tc>
          <w:tcPr>
            <w:tcW w:w="3574" w:type="dxa"/>
            <w:gridSpan w:val="2"/>
            <w:tcBorders>
              <w:top w:val="single" w:sz="4" w:space="0" w:color="auto"/>
              <w:left w:val="single" w:sz="4" w:space="0" w:color="auto"/>
              <w:bottom w:val="single" w:sz="4" w:space="0" w:color="auto"/>
              <w:right w:val="single" w:sz="4" w:space="0" w:color="auto"/>
            </w:tcBorders>
          </w:tcPr>
          <w:p w14:paraId="40EE3316" w14:textId="77777777" w:rsidR="00BE1421" w:rsidRPr="000F6FCC" w:rsidRDefault="00BE1421" w:rsidP="00F72D01">
            <w:pPr>
              <w:pStyle w:val="NormalWeb"/>
              <w:rPr>
                <w:rFonts w:ascii="Times New Roman" w:hAnsi="Times New Roman" w:cs="Times New Roman" w:hint="default"/>
                <w:sz w:val="22"/>
                <w:szCs w:val="22"/>
                <w:lang w:val="en-GB"/>
              </w:rPr>
            </w:pPr>
            <w:r w:rsidRPr="000F6FCC">
              <w:rPr>
                <w:rFonts w:ascii="Times New Roman" w:hAnsi="Times New Roman" w:cs="Times New Roman" w:hint="default"/>
                <w:color w:val="000000"/>
                <w:sz w:val="22"/>
                <w:szCs w:val="22"/>
              </w:rPr>
              <w:t>It is not recommended to co</w:t>
            </w:r>
            <w:r w:rsidRPr="000F6FCC">
              <w:rPr>
                <w:rFonts w:ascii="Times New Roman" w:hAnsi="Times New Roman" w:cs="Times New Roman" w:hint="default"/>
                <w:color w:val="000000"/>
                <w:sz w:val="22"/>
                <w:szCs w:val="22"/>
              </w:rPr>
              <w:noBreakHyphen/>
              <w:t xml:space="preserve">administer Kaletra and </w:t>
            </w:r>
            <w:r>
              <w:rPr>
                <w:rFonts w:ascii="Times New Roman" w:hAnsi="Times New Roman" w:cs="Times New Roman" w:hint="default"/>
                <w:color w:val="000000"/>
                <w:sz w:val="22"/>
                <w:szCs w:val="22"/>
              </w:rPr>
              <w:t>simeprevir</w:t>
            </w:r>
            <w:r w:rsidRPr="000F6FCC">
              <w:rPr>
                <w:rFonts w:ascii="Times New Roman" w:hAnsi="Times New Roman" w:cs="Times New Roman" w:hint="default"/>
                <w:color w:val="000000"/>
                <w:sz w:val="22"/>
                <w:szCs w:val="22"/>
              </w:rPr>
              <w:t>.</w:t>
            </w:r>
          </w:p>
        </w:tc>
      </w:tr>
      <w:tr w:rsidR="00BE1421" w:rsidRPr="00342F7C" w14:paraId="1F09FEDB"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36275C3A" w14:textId="77777777" w:rsidR="00BE1421" w:rsidRPr="00342F7C" w:rsidRDefault="00BE1421" w:rsidP="002A3B2E">
            <w:pPr>
              <w:pStyle w:val="EMEANormal"/>
              <w:keepNext/>
              <w:rPr>
                <w:i/>
                <w:lang w:val="en-GB"/>
              </w:rPr>
            </w:pPr>
            <w:r w:rsidRPr="00342F7C">
              <w:rPr>
                <w:i/>
                <w:lang w:val="en-GB"/>
              </w:rPr>
              <w:t>Herbal products</w:t>
            </w:r>
          </w:p>
        </w:tc>
      </w:tr>
      <w:tr w:rsidR="00BE1421" w:rsidRPr="00342F7C" w14:paraId="129AD928" w14:textId="77777777" w:rsidTr="008E20B3">
        <w:tc>
          <w:tcPr>
            <w:tcW w:w="2400" w:type="dxa"/>
            <w:tcBorders>
              <w:top w:val="single" w:sz="4" w:space="0" w:color="auto"/>
              <w:left w:val="single" w:sz="4" w:space="0" w:color="auto"/>
              <w:bottom w:val="single" w:sz="4" w:space="0" w:color="auto"/>
              <w:right w:val="single" w:sz="4" w:space="0" w:color="auto"/>
            </w:tcBorders>
          </w:tcPr>
          <w:p w14:paraId="5D82CC9B" w14:textId="77777777" w:rsidR="00BE1421" w:rsidRPr="00342F7C" w:rsidRDefault="00BE1421" w:rsidP="002A3B2E">
            <w:pPr>
              <w:pStyle w:val="EMEANormal"/>
              <w:keepNext/>
              <w:rPr>
                <w:i/>
                <w:lang w:val="en-GB"/>
              </w:rPr>
            </w:pPr>
            <w:smartTag w:uri="urn:schemas-microsoft-com:office:smarttags" w:element="City">
              <w:smartTag w:uri="urn:schemas-microsoft-com:office:smarttags" w:element="place">
                <w:r w:rsidRPr="00342F7C">
                  <w:rPr>
                    <w:bCs/>
                    <w:iCs/>
                    <w:lang w:val="en-GB"/>
                  </w:rPr>
                  <w:t>St John’s</w:t>
                </w:r>
              </w:smartTag>
            </w:smartTag>
            <w:r w:rsidRPr="00342F7C">
              <w:rPr>
                <w:bCs/>
                <w:iCs/>
                <w:lang w:val="en-GB"/>
              </w:rPr>
              <w:t xml:space="preserve"> wort</w:t>
            </w:r>
            <w:r w:rsidRPr="00342F7C">
              <w:rPr>
                <w:bCs/>
                <w:i/>
                <w:lang w:val="en-GB"/>
              </w:rPr>
              <w:t xml:space="preserve"> </w:t>
            </w:r>
            <w:r w:rsidRPr="00342F7C">
              <w:rPr>
                <w:lang w:val="en-GB"/>
              </w:rPr>
              <w:t>(</w:t>
            </w:r>
            <w:r w:rsidRPr="00342F7C">
              <w:rPr>
                <w:i/>
                <w:lang w:val="en-GB"/>
              </w:rPr>
              <w:t>Hypericum perforatum)</w:t>
            </w:r>
          </w:p>
        </w:tc>
        <w:tc>
          <w:tcPr>
            <w:tcW w:w="3240" w:type="dxa"/>
            <w:gridSpan w:val="2"/>
            <w:tcBorders>
              <w:top w:val="single" w:sz="4" w:space="0" w:color="auto"/>
              <w:left w:val="single" w:sz="4" w:space="0" w:color="auto"/>
              <w:bottom w:val="single" w:sz="4" w:space="0" w:color="auto"/>
              <w:right w:val="single" w:sz="4" w:space="0" w:color="auto"/>
            </w:tcBorders>
          </w:tcPr>
          <w:p w14:paraId="7DF04739" w14:textId="77777777" w:rsidR="00BE1421" w:rsidRPr="00342F7C" w:rsidRDefault="00BE1421" w:rsidP="002A3B2E">
            <w:pPr>
              <w:pStyle w:val="EMEANormal"/>
              <w:keepNext/>
              <w:rPr>
                <w:lang w:val="en-GB"/>
              </w:rPr>
            </w:pPr>
            <w:r w:rsidRPr="00342F7C">
              <w:rPr>
                <w:lang w:val="en-GB"/>
              </w:rPr>
              <w:t>Lopinavir:</w:t>
            </w:r>
          </w:p>
          <w:p w14:paraId="05E94BA6" w14:textId="77777777" w:rsidR="00BE1421" w:rsidRPr="00342F7C" w:rsidRDefault="00BE1421" w:rsidP="002A3B2E">
            <w:pPr>
              <w:pStyle w:val="EMEANormal"/>
              <w:keepNext/>
              <w:rPr>
                <w:lang w:val="en-GB"/>
              </w:rPr>
            </w:pPr>
            <w:r w:rsidRPr="00342F7C">
              <w:rPr>
                <w:lang w:val="en-GB"/>
              </w:rPr>
              <w:t xml:space="preserve">Concentrations may be reduced due to induction of CYP3A by the herbal preparation </w:t>
            </w:r>
            <w:smartTag w:uri="urn:schemas-microsoft-com:office:smarttags" w:element="City">
              <w:smartTag w:uri="urn:schemas-microsoft-com:office:smarttags" w:element="place">
                <w:r w:rsidRPr="00342F7C">
                  <w:rPr>
                    <w:lang w:val="en-GB"/>
                  </w:rPr>
                  <w:t>St John’s</w:t>
                </w:r>
              </w:smartTag>
            </w:smartTag>
            <w:r w:rsidRPr="00342F7C">
              <w:rPr>
                <w:lang w:val="en-GB"/>
              </w:rPr>
              <w:t xml:space="preserve"> wort.  </w:t>
            </w:r>
          </w:p>
          <w:p w14:paraId="6207CF2F" w14:textId="77777777" w:rsidR="00BE1421" w:rsidRPr="00342F7C" w:rsidRDefault="00BE1421" w:rsidP="002A3B2E">
            <w:pPr>
              <w:pStyle w:val="EMEANormal"/>
              <w:keepNext/>
              <w:rPr>
                <w:lang w:val="en-GB"/>
              </w:rPr>
            </w:pPr>
          </w:p>
        </w:tc>
        <w:tc>
          <w:tcPr>
            <w:tcW w:w="3574" w:type="dxa"/>
            <w:gridSpan w:val="2"/>
            <w:tcBorders>
              <w:top w:val="single" w:sz="4" w:space="0" w:color="auto"/>
              <w:left w:val="single" w:sz="4" w:space="0" w:color="auto"/>
              <w:bottom w:val="single" w:sz="4" w:space="0" w:color="auto"/>
              <w:right w:val="single" w:sz="4" w:space="0" w:color="auto"/>
            </w:tcBorders>
          </w:tcPr>
          <w:p w14:paraId="60A41A89" w14:textId="77777777" w:rsidR="00BE1421" w:rsidRPr="00342F7C" w:rsidRDefault="00BE1421" w:rsidP="002A3B2E">
            <w:pPr>
              <w:pStyle w:val="EMEANormal"/>
              <w:keepNext/>
              <w:rPr>
                <w:lang w:val="en-GB"/>
              </w:rPr>
            </w:pPr>
            <w:r w:rsidRPr="00342F7C">
              <w:rPr>
                <w:lang w:val="en-GB"/>
              </w:rPr>
              <w:t xml:space="preserve">Herbal preparations containing </w:t>
            </w:r>
            <w:smartTag w:uri="urn:schemas-microsoft-com:office:smarttags" w:element="City">
              <w:smartTag w:uri="urn:schemas-microsoft-com:office:smarttags" w:element="place">
                <w:r w:rsidRPr="00342F7C">
                  <w:rPr>
                    <w:lang w:val="en-GB"/>
                  </w:rPr>
                  <w:t>St John’s</w:t>
                </w:r>
              </w:smartTag>
            </w:smartTag>
            <w:r w:rsidRPr="00342F7C">
              <w:rPr>
                <w:lang w:val="en-GB"/>
              </w:rPr>
              <w:t xml:space="preserve"> wort must not be combined with lopinavir and ritonavir.  If a patient is already taking </w:t>
            </w:r>
            <w:smartTag w:uri="urn:schemas-microsoft-com:office:smarttags" w:element="City">
              <w:r w:rsidRPr="00342F7C">
                <w:rPr>
                  <w:lang w:val="en-GB"/>
                </w:rPr>
                <w:t>St John’s</w:t>
              </w:r>
            </w:smartTag>
            <w:r w:rsidRPr="00342F7C">
              <w:rPr>
                <w:lang w:val="en-GB"/>
              </w:rPr>
              <w:t xml:space="preserve"> wort, stop </w:t>
            </w:r>
            <w:smartTag w:uri="urn:schemas-microsoft-com:office:smarttags" w:element="City">
              <w:smartTag w:uri="urn:schemas-microsoft-com:office:smarttags" w:element="place">
                <w:r w:rsidRPr="00342F7C">
                  <w:rPr>
                    <w:lang w:val="en-GB"/>
                  </w:rPr>
                  <w:t>St John’s</w:t>
                </w:r>
              </w:smartTag>
            </w:smartTag>
            <w:r w:rsidRPr="00342F7C">
              <w:rPr>
                <w:lang w:val="en-GB"/>
              </w:rPr>
              <w:t xml:space="preserve"> wort and if possible check viral levels.  Lopinavir and ritonavir levels may increase on stopping </w:t>
            </w:r>
            <w:smartTag w:uri="urn:schemas-microsoft-com:office:smarttags" w:element="City">
              <w:smartTag w:uri="urn:schemas-microsoft-com:office:smarttags" w:element="place">
                <w:r w:rsidRPr="00342F7C">
                  <w:rPr>
                    <w:lang w:val="en-GB"/>
                  </w:rPr>
                  <w:t>St John’s</w:t>
                </w:r>
              </w:smartTag>
            </w:smartTag>
            <w:r w:rsidRPr="00342F7C">
              <w:rPr>
                <w:lang w:val="en-GB"/>
              </w:rPr>
              <w:t xml:space="preserve"> wort.  The dose of Kaletra may need adjusting.  The inducing effect may persist for at least 2 weeks after cessation of treatment with </w:t>
            </w:r>
            <w:smartTag w:uri="urn:schemas-microsoft-com:office:smarttags" w:element="City">
              <w:smartTag w:uri="urn:schemas-microsoft-com:office:smarttags" w:element="place">
                <w:r w:rsidRPr="00342F7C">
                  <w:rPr>
                    <w:lang w:val="en-GB"/>
                  </w:rPr>
                  <w:t>St John’s</w:t>
                </w:r>
              </w:smartTag>
            </w:smartTag>
            <w:r w:rsidRPr="00342F7C">
              <w:rPr>
                <w:lang w:val="en-GB"/>
              </w:rPr>
              <w:t xml:space="preserve"> wort (see section 4.3).  Therefore, Kaletra can be started safely 2 weeks after cessation of </w:t>
            </w:r>
            <w:smartTag w:uri="urn:schemas-microsoft-com:office:smarttags" w:element="City">
              <w:smartTag w:uri="urn:schemas-microsoft-com:office:smarttags" w:element="place">
                <w:r w:rsidRPr="00342F7C">
                  <w:rPr>
                    <w:lang w:val="en-GB"/>
                  </w:rPr>
                  <w:t>St John's</w:t>
                </w:r>
              </w:smartTag>
            </w:smartTag>
            <w:r w:rsidRPr="00342F7C">
              <w:rPr>
                <w:lang w:val="en-GB"/>
              </w:rPr>
              <w:t xml:space="preserve"> wort. </w:t>
            </w:r>
            <w:r w:rsidRPr="00342F7C">
              <w:rPr>
                <w:i/>
                <w:lang w:val="en-GB"/>
              </w:rPr>
              <w:t xml:space="preserve"> </w:t>
            </w:r>
          </w:p>
        </w:tc>
      </w:tr>
      <w:tr w:rsidR="00BE1421" w:rsidRPr="00342F7C" w14:paraId="0D5D7A45"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59898FC6" w14:textId="77777777" w:rsidR="00BE1421" w:rsidRPr="00342F7C" w:rsidRDefault="00BE1421" w:rsidP="00573B91">
            <w:pPr>
              <w:pStyle w:val="EMEANormal"/>
              <w:keepNext/>
              <w:rPr>
                <w:i/>
                <w:iCs/>
                <w:lang w:val="en-GB"/>
              </w:rPr>
            </w:pPr>
            <w:r w:rsidRPr="00342F7C">
              <w:rPr>
                <w:i/>
                <w:iCs/>
                <w:lang w:val="en-GB"/>
              </w:rPr>
              <w:t>Immunosuppressants</w:t>
            </w:r>
          </w:p>
        </w:tc>
      </w:tr>
      <w:tr w:rsidR="00BE1421" w:rsidRPr="00342F7C" w14:paraId="2478A984" w14:textId="77777777" w:rsidTr="008E20B3">
        <w:tc>
          <w:tcPr>
            <w:tcW w:w="2400" w:type="dxa"/>
            <w:tcBorders>
              <w:top w:val="single" w:sz="4" w:space="0" w:color="auto"/>
              <w:left w:val="single" w:sz="4" w:space="0" w:color="auto"/>
              <w:bottom w:val="single" w:sz="4" w:space="0" w:color="auto"/>
              <w:right w:val="single" w:sz="4" w:space="0" w:color="auto"/>
            </w:tcBorders>
          </w:tcPr>
          <w:p w14:paraId="56286CA7" w14:textId="77777777" w:rsidR="00BE1421" w:rsidRPr="00342F7C" w:rsidRDefault="00BE1421" w:rsidP="00573B91">
            <w:pPr>
              <w:pStyle w:val="EMEANormal"/>
              <w:keepNext/>
              <w:rPr>
                <w:lang w:val="en-GB"/>
              </w:rPr>
            </w:pPr>
            <w:r w:rsidRPr="00342F7C">
              <w:rPr>
                <w:bCs/>
                <w:iCs/>
                <w:lang w:val="en-GB"/>
              </w:rPr>
              <w:t>Cyclosporin, Sirolimus (rapamycin), and Tacrolimus</w:t>
            </w:r>
          </w:p>
        </w:tc>
        <w:tc>
          <w:tcPr>
            <w:tcW w:w="3240" w:type="dxa"/>
            <w:gridSpan w:val="2"/>
            <w:tcBorders>
              <w:top w:val="single" w:sz="4" w:space="0" w:color="auto"/>
              <w:left w:val="single" w:sz="4" w:space="0" w:color="auto"/>
              <w:bottom w:val="single" w:sz="4" w:space="0" w:color="auto"/>
              <w:right w:val="single" w:sz="4" w:space="0" w:color="auto"/>
            </w:tcBorders>
          </w:tcPr>
          <w:p w14:paraId="67DD165C" w14:textId="77777777" w:rsidR="00BE1421" w:rsidRPr="00342F7C" w:rsidRDefault="00BE1421" w:rsidP="00573B91">
            <w:pPr>
              <w:pStyle w:val="EMEANormal"/>
              <w:keepNext/>
              <w:rPr>
                <w:lang w:val="en-GB"/>
              </w:rPr>
            </w:pPr>
            <w:r w:rsidRPr="00342F7C">
              <w:rPr>
                <w:bCs/>
                <w:iCs/>
                <w:lang w:val="en-GB"/>
              </w:rPr>
              <w:t>Cyclosporin, Sirolimus (rapamycin), Tacrolimus:</w:t>
            </w:r>
            <w:r w:rsidRPr="00342F7C">
              <w:rPr>
                <w:lang w:val="en-GB"/>
              </w:rPr>
              <w:t xml:space="preserve"> </w:t>
            </w:r>
          </w:p>
          <w:p w14:paraId="27AFC381" w14:textId="77777777" w:rsidR="00BE1421" w:rsidRPr="00342F7C" w:rsidRDefault="00BE1421" w:rsidP="00573B91">
            <w:pPr>
              <w:pStyle w:val="EMEANormal"/>
              <w:keepNext/>
              <w:rPr>
                <w:lang w:val="en-GB"/>
              </w:rPr>
            </w:pPr>
            <w:r w:rsidRPr="00342F7C">
              <w:rPr>
                <w:lang w:val="en-GB"/>
              </w:rPr>
              <w:t xml:space="preserve">Concentrations may be increased due to CYP3A inhibition by </w:t>
            </w:r>
            <w:r>
              <w:rPr>
                <w:lang w:val="en-GB"/>
              </w:rPr>
              <w:t>lopinavir/ritonavir</w:t>
            </w:r>
            <w:r w:rsidRPr="00342F7C">
              <w:rPr>
                <w:lang w:val="en-GB"/>
              </w:rPr>
              <w:t>.</w:t>
            </w:r>
          </w:p>
        </w:tc>
        <w:tc>
          <w:tcPr>
            <w:tcW w:w="3574" w:type="dxa"/>
            <w:gridSpan w:val="2"/>
            <w:tcBorders>
              <w:top w:val="single" w:sz="4" w:space="0" w:color="auto"/>
              <w:left w:val="single" w:sz="4" w:space="0" w:color="auto"/>
              <w:bottom w:val="single" w:sz="4" w:space="0" w:color="auto"/>
              <w:right w:val="single" w:sz="4" w:space="0" w:color="auto"/>
            </w:tcBorders>
          </w:tcPr>
          <w:p w14:paraId="1CEBFDEA" w14:textId="77777777" w:rsidR="00BE1421" w:rsidRPr="00342F7C" w:rsidRDefault="00BE1421" w:rsidP="00573B91">
            <w:pPr>
              <w:pStyle w:val="EMEANormal"/>
              <w:keepNext/>
              <w:rPr>
                <w:lang w:val="en-GB"/>
              </w:rPr>
            </w:pPr>
            <w:r w:rsidRPr="00342F7C">
              <w:rPr>
                <w:lang w:val="en-GB"/>
              </w:rPr>
              <w:t>More frequent therapeutic concentration monitoring is recommended until plasma levels of these products have been stabilised.</w:t>
            </w:r>
          </w:p>
        </w:tc>
      </w:tr>
      <w:tr w:rsidR="00BE1421" w:rsidRPr="00342F7C" w14:paraId="17996308"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440BE693" w14:textId="77777777" w:rsidR="00BE1421" w:rsidRPr="00342F7C" w:rsidRDefault="00BE1421" w:rsidP="000B2D5F">
            <w:pPr>
              <w:pStyle w:val="EMEANormal"/>
              <w:rPr>
                <w:i/>
                <w:lang w:val="en-GB"/>
              </w:rPr>
            </w:pPr>
            <w:r w:rsidRPr="00342F7C">
              <w:rPr>
                <w:bCs/>
                <w:i/>
                <w:lang w:val="en-GB"/>
              </w:rPr>
              <w:t>Lipid lowering agents</w:t>
            </w:r>
          </w:p>
        </w:tc>
      </w:tr>
      <w:tr w:rsidR="00BE1421" w:rsidRPr="00342F7C" w14:paraId="01ADB370" w14:textId="77777777" w:rsidTr="005F7244">
        <w:tc>
          <w:tcPr>
            <w:tcW w:w="2400" w:type="dxa"/>
            <w:tcBorders>
              <w:top w:val="single" w:sz="4" w:space="0" w:color="auto"/>
              <w:left w:val="single" w:sz="4" w:space="0" w:color="auto"/>
              <w:bottom w:val="single" w:sz="4" w:space="0" w:color="auto"/>
              <w:right w:val="single" w:sz="4" w:space="0" w:color="auto"/>
            </w:tcBorders>
          </w:tcPr>
          <w:p w14:paraId="7278E446" w14:textId="77777777" w:rsidR="00BE1421" w:rsidRPr="00342F7C" w:rsidRDefault="00BE1421" w:rsidP="000B2D5F">
            <w:pPr>
              <w:pStyle w:val="EMEANormal"/>
              <w:rPr>
                <w:lang w:val="en-GB"/>
              </w:rPr>
            </w:pPr>
            <w:r w:rsidRPr="00342F7C">
              <w:rPr>
                <w:lang w:val="en-GB"/>
              </w:rPr>
              <w:t>Lovastatin and Simvastatin</w:t>
            </w:r>
          </w:p>
        </w:tc>
        <w:tc>
          <w:tcPr>
            <w:tcW w:w="3270" w:type="dxa"/>
            <w:gridSpan w:val="3"/>
            <w:tcBorders>
              <w:top w:val="single" w:sz="4" w:space="0" w:color="auto"/>
              <w:left w:val="single" w:sz="4" w:space="0" w:color="auto"/>
              <w:bottom w:val="single" w:sz="4" w:space="0" w:color="auto"/>
              <w:right w:val="single" w:sz="4" w:space="0" w:color="auto"/>
            </w:tcBorders>
          </w:tcPr>
          <w:p w14:paraId="22DA3E61" w14:textId="77777777" w:rsidR="00BE1421" w:rsidRPr="00342F7C" w:rsidRDefault="00BE1421" w:rsidP="000B2D5F">
            <w:pPr>
              <w:pStyle w:val="EMEANormal"/>
              <w:rPr>
                <w:lang w:val="en-GB"/>
              </w:rPr>
            </w:pPr>
            <w:r w:rsidRPr="00342F7C">
              <w:rPr>
                <w:lang w:val="en-GB"/>
              </w:rPr>
              <w:t>Lovastatin, Simvastatin:</w:t>
            </w:r>
          </w:p>
          <w:p w14:paraId="2997C6E9" w14:textId="77777777" w:rsidR="00BE1421" w:rsidRPr="00342F7C" w:rsidRDefault="00BE1421" w:rsidP="000B2D5F">
            <w:pPr>
              <w:pStyle w:val="EMEANormal"/>
              <w:rPr>
                <w:lang w:val="en-GB"/>
              </w:rPr>
            </w:pPr>
            <w:r w:rsidRPr="00342F7C">
              <w:rPr>
                <w:lang w:val="en-GB"/>
              </w:rPr>
              <w:t xml:space="preserve">Markedly increased plasma concentrations due to CYP3A inhibition by </w:t>
            </w:r>
            <w:r>
              <w:rPr>
                <w:lang w:val="en-GB"/>
              </w:rPr>
              <w:t>lopinavir/ritonavir</w:t>
            </w:r>
            <w:r w:rsidRPr="00342F7C">
              <w:rPr>
                <w:lang w:val="en-GB"/>
              </w:rPr>
              <w:t>.</w:t>
            </w:r>
          </w:p>
        </w:tc>
        <w:tc>
          <w:tcPr>
            <w:tcW w:w="3544" w:type="dxa"/>
            <w:tcBorders>
              <w:top w:val="single" w:sz="4" w:space="0" w:color="auto"/>
              <w:left w:val="single" w:sz="4" w:space="0" w:color="auto"/>
              <w:bottom w:val="single" w:sz="4" w:space="0" w:color="auto"/>
              <w:right w:val="single" w:sz="4" w:space="0" w:color="auto"/>
            </w:tcBorders>
          </w:tcPr>
          <w:p w14:paraId="3EB6B0E9" w14:textId="77777777" w:rsidR="00BE1421" w:rsidRPr="00342F7C" w:rsidRDefault="00BE1421" w:rsidP="000B2D5F">
            <w:pPr>
              <w:pStyle w:val="EMEANormal"/>
              <w:rPr>
                <w:lang w:val="en-GB"/>
              </w:rPr>
            </w:pPr>
            <w:r w:rsidRPr="00342F7C">
              <w:rPr>
                <w:lang w:val="en-GB"/>
              </w:rPr>
              <w:t>Since increased concentrations of HMG-CoA reductase inhibitors may cause myopathy, including rhabdomyolysis, the combination of these agents with Kaletra is contraindicated (see section 4.3).</w:t>
            </w:r>
          </w:p>
        </w:tc>
      </w:tr>
      <w:tr w:rsidR="00BE1421" w:rsidRPr="00C15E8E" w14:paraId="722103C3" w14:textId="77777777" w:rsidTr="006D2C49">
        <w:tc>
          <w:tcPr>
            <w:tcW w:w="9214" w:type="dxa"/>
            <w:gridSpan w:val="5"/>
            <w:tcBorders>
              <w:top w:val="single" w:sz="4" w:space="0" w:color="auto"/>
              <w:left w:val="single" w:sz="4" w:space="0" w:color="auto"/>
              <w:bottom w:val="single" w:sz="4" w:space="0" w:color="auto"/>
              <w:right w:val="single" w:sz="4" w:space="0" w:color="auto"/>
            </w:tcBorders>
          </w:tcPr>
          <w:p w14:paraId="7FC98C87" w14:textId="77777777" w:rsidR="00BE1421" w:rsidRPr="00113667" w:rsidRDefault="00BE1421" w:rsidP="005D4938">
            <w:pPr>
              <w:pStyle w:val="EMEANormal1"/>
              <w:keepNext/>
              <w:rPr>
                <w:i/>
                <w:lang w:val="en-GB"/>
              </w:rPr>
            </w:pPr>
            <w:r w:rsidRPr="00113667">
              <w:rPr>
                <w:i/>
                <w:lang w:val="en-GB"/>
              </w:rPr>
              <w:t>Lipid-modifying agents</w:t>
            </w:r>
          </w:p>
        </w:tc>
      </w:tr>
      <w:tr w:rsidR="00BE1421" w:rsidRPr="00342F7C" w14:paraId="34855E47" w14:textId="77777777" w:rsidTr="00214829">
        <w:tc>
          <w:tcPr>
            <w:tcW w:w="2410" w:type="dxa"/>
            <w:gridSpan w:val="2"/>
            <w:tcBorders>
              <w:top w:val="single" w:sz="4" w:space="0" w:color="auto"/>
              <w:left w:val="single" w:sz="4" w:space="0" w:color="auto"/>
              <w:bottom w:val="single" w:sz="4" w:space="0" w:color="auto"/>
              <w:right w:val="single" w:sz="4" w:space="0" w:color="auto"/>
            </w:tcBorders>
          </w:tcPr>
          <w:p w14:paraId="779A562F" w14:textId="77777777" w:rsidR="00BE1421" w:rsidRPr="00342F7C" w:rsidRDefault="00BE1421" w:rsidP="005D4938">
            <w:pPr>
              <w:pStyle w:val="EMEANormal"/>
              <w:keepNext/>
              <w:rPr>
                <w:lang w:val="en-GB"/>
              </w:rPr>
            </w:pPr>
            <w:r>
              <w:rPr>
                <w:lang w:val="en-GB"/>
              </w:rPr>
              <w:t>Lomitapide</w:t>
            </w:r>
          </w:p>
        </w:tc>
        <w:tc>
          <w:tcPr>
            <w:tcW w:w="3260" w:type="dxa"/>
            <w:gridSpan w:val="2"/>
            <w:tcBorders>
              <w:top w:val="single" w:sz="4" w:space="0" w:color="auto"/>
              <w:left w:val="single" w:sz="4" w:space="0" w:color="auto"/>
              <w:bottom w:val="single" w:sz="4" w:space="0" w:color="auto"/>
              <w:right w:val="single" w:sz="4" w:space="0" w:color="auto"/>
            </w:tcBorders>
          </w:tcPr>
          <w:p w14:paraId="76E93D23" w14:textId="77777777" w:rsidR="00BE1421" w:rsidRPr="00342F7C" w:rsidRDefault="00BE1421" w:rsidP="005D4938">
            <w:pPr>
              <w:pStyle w:val="EMEANormal"/>
              <w:keepNext/>
              <w:rPr>
                <w:lang w:val="en-GB"/>
              </w:rPr>
            </w:pPr>
            <w:r>
              <w:rPr>
                <w:szCs w:val="22"/>
              </w:rPr>
              <w:t>CYP3A4 inhibitors increase the exposure of lomitapide, with strong inhibitors increasing exposure approximately 27</w:t>
            </w:r>
            <w:r>
              <w:rPr>
                <w:szCs w:val="22"/>
              </w:rPr>
              <w:noBreakHyphen/>
              <w:t>fold.  Due to CYP3A inhibition by lopinavir/ritonavir, concentrations of lomitapide are expected to increase.</w:t>
            </w:r>
          </w:p>
        </w:tc>
        <w:tc>
          <w:tcPr>
            <w:tcW w:w="3544" w:type="dxa"/>
            <w:tcBorders>
              <w:top w:val="single" w:sz="4" w:space="0" w:color="auto"/>
              <w:left w:val="single" w:sz="4" w:space="0" w:color="auto"/>
              <w:bottom w:val="single" w:sz="4" w:space="0" w:color="auto"/>
              <w:right w:val="single" w:sz="4" w:space="0" w:color="auto"/>
            </w:tcBorders>
          </w:tcPr>
          <w:p w14:paraId="6CDB4F7D" w14:textId="77777777" w:rsidR="00BE1421" w:rsidRPr="00342F7C" w:rsidRDefault="00BE1421" w:rsidP="005D4938">
            <w:pPr>
              <w:pStyle w:val="EMEANormal"/>
              <w:keepNext/>
              <w:rPr>
                <w:lang w:val="en-GB"/>
              </w:rPr>
            </w:pPr>
            <w:r>
              <w:rPr>
                <w:szCs w:val="22"/>
              </w:rPr>
              <w:t>Concomitant use of Kaletra with lomitapide is contraindicated (see prescribing information for lomitapide) (see section 4.3).</w:t>
            </w:r>
          </w:p>
        </w:tc>
      </w:tr>
      <w:tr w:rsidR="00BE1421" w:rsidRPr="00342F7C" w14:paraId="59403234" w14:textId="77777777" w:rsidTr="005F7244">
        <w:tc>
          <w:tcPr>
            <w:tcW w:w="2410" w:type="dxa"/>
            <w:gridSpan w:val="2"/>
            <w:tcBorders>
              <w:top w:val="single" w:sz="4" w:space="0" w:color="auto"/>
              <w:left w:val="single" w:sz="4" w:space="0" w:color="auto"/>
              <w:bottom w:val="single" w:sz="4" w:space="0" w:color="auto"/>
              <w:right w:val="single" w:sz="4" w:space="0" w:color="auto"/>
            </w:tcBorders>
          </w:tcPr>
          <w:p w14:paraId="7B7EAAF9" w14:textId="77777777" w:rsidR="00BE1421" w:rsidRPr="00342F7C" w:rsidRDefault="00BE1421" w:rsidP="005F7244">
            <w:pPr>
              <w:pStyle w:val="EMEANormal"/>
              <w:keepNext/>
              <w:rPr>
                <w:lang w:val="en-GB"/>
              </w:rPr>
            </w:pPr>
            <w:r w:rsidRPr="00342F7C">
              <w:rPr>
                <w:lang w:val="en-GB"/>
              </w:rPr>
              <w:t>Atorvastatin</w:t>
            </w:r>
          </w:p>
        </w:tc>
        <w:tc>
          <w:tcPr>
            <w:tcW w:w="3260" w:type="dxa"/>
            <w:gridSpan w:val="2"/>
            <w:tcBorders>
              <w:top w:val="single" w:sz="4" w:space="0" w:color="auto"/>
              <w:left w:val="single" w:sz="4" w:space="0" w:color="auto"/>
              <w:bottom w:val="single" w:sz="4" w:space="0" w:color="auto"/>
              <w:right w:val="single" w:sz="4" w:space="0" w:color="auto"/>
            </w:tcBorders>
          </w:tcPr>
          <w:p w14:paraId="457202D9" w14:textId="77777777" w:rsidR="00BE1421" w:rsidRPr="00342F7C" w:rsidRDefault="00BE1421" w:rsidP="005F7244">
            <w:pPr>
              <w:pStyle w:val="EMEANormal"/>
              <w:keepNext/>
              <w:rPr>
                <w:lang w:val="en-GB"/>
              </w:rPr>
            </w:pPr>
            <w:r w:rsidRPr="00342F7C">
              <w:rPr>
                <w:lang w:val="en-GB"/>
              </w:rPr>
              <w:t>Atorvastatin:</w:t>
            </w:r>
          </w:p>
          <w:p w14:paraId="41E42A5B" w14:textId="77777777" w:rsidR="00BE1421" w:rsidRPr="00342F7C" w:rsidRDefault="00BE1421" w:rsidP="005F7244">
            <w:pPr>
              <w:pStyle w:val="EMEANormal"/>
              <w:keepNext/>
              <w:rPr>
                <w:lang w:val="en-GB"/>
              </w:rPr>
            </w:pPr>
            <w:r w:rsidRPr="00342F7C">
              <w:rPr>
                <w:lang w:val="en-GB"/>
              </w:rPr>
              <w:t xml:space="preserve">AUC: ↑ 5.9-fold </w:t>
            </w:r>
          </w:p>
          <w:p w14:paraId="6939B1A2" w14:textId="77777777" w:rsidR="00BE1421" w:rsidRPr="00342F7C" w:rsidRDefault="00BE1421" w:rsidP="005F7244">
            <w:pPr>
              <w:pStyle w:val="EMEANormal"/>
              <w:keepNext/>
              <w:rPr>
                <w:lang w:val="en-GB"/>
              </w:rPr>
            </w:pPr>
            <w:r w:rsidRPr="00342F7C">
              <w:rPr>
                <w:lang w:val="en-GB"/>
              </w:rPr>
              <w:t>C</w:t>
            </w:r>
            <w:r w:rsidRPr="00342F7C">
              <w:rPr>
                <w:vertAlign w:val="subscript"/>
                <w:lang w:val="en-GB"/>
              </w:rPr>
              <w:t>max</w:t>
            </w:r>
            <w:r w:rsidRPr="00342F7C">
              <w:rPr>
                <w:lang w:val="en-GB"/>
              </w:rPr>
              <w:t>:</w:t>
            </w:r>
            <w:r>
              <w:rPr>
                <w:lang w:val="en-GB"/>
              </w:rPr>
              <w:t xml:space="preserve"> </w:t>
            </w:r>
            <w:r w:rsidRPr="00342F7C">
              <w:rPr>
                <w:lang w:val="en-GB"/>
              </w:rPr>
              <w:t>↑ 4.7-fold</w:t>
            </w:r>
          </w:p>
          <w:p w14:paraId="6560861E" w14:textId="77777777" w:rsidR="00BE1421" w:rsidRPr="00342F7C" w:rsidRDefault="00BE1421" w:rsidP="005F7244">
            <w:pPr>
              <w:pStyle w:val="EMEANormal"/>
              <w:keepNext/>
              <w:rPr>
                <w:lang w:val="en-GB"/>
              </w:rPr>
            </w:pPr>
            <w:r w:rsidRPr="00342F7C">
              <w:rPr>
                <w:lang w:val="en-GB"/>
              </w:rPr>
              <w:t xml:space="preserve">Due to CYP3A inhibition by </w:t>
            </w:r>
            <w:r>
              <w:rPr>
                <w:lang w:val="en-GB"/>
              </w:rPr>
              <w:t>lopinavir/ritonavir</w:t>
            </w:r>
            <w:r w:rsidRPr="00342F7C">
              <w:rPr>
                <w:lang w:val="en-GB"/>
              </w:rPr>
              <w:t>.</w:t>
            </w:r>
          </w:p>
        </w:tc>
        <w:tc>
          <w:tcPr>
            <w:tcW w:w="3544" w:type="dxa"/>
            <w:tcBorders>
              <w:top w:val="single" w:sz="4" w:space="0" w:color="auto"/>
              <w:left w:val="single" w:sz="4" w:space="0" w:color="auto"/>
              <w:bottom w:val="single" w:sz="4" w:space="0" w:color="auto"/>
              <w:right w:val="single" w:sz="4" w:space="0" w:color="auto"/>
            </w:tcBorders>
          </w:tcPr>
          <w:p w14:paraId="430606D0" w14:textId="77777777" w:rsidR="00BE1421" w:rsidRPr="00342F7C" w:rsidRDefault="00BE1421" w:rsidP="005F7244">
            <w:pPr>
              <w:pStyle w:val="EMEANormal"/>
              <w:keepNext/>
              <w:rPr>
                <w:lang w:val="en-GB"/>
              </w:rPr>
            </w:pPr>
            <w:r w:rsidRPr="00342F7C">
              <w:rPr>
                <w:lang w:val="en-GB"/>
              </w:rPr>
              <w:t xml:space="preserve">The combination of Kaletra with atorvastatin is not recommended.  If the use of atorvastatin is considered strictly necessary, the lowest possible dose of atorvastatin should be administered with careful safety monitoring (see section 4.4).  </w:t>
            </w:r>
          </w:p>
        </w:tc>
      </w:tr>
      <w:tr w:rsidR="00BE1421" w:rsidRPr="00342F7C" w14:paraId="0CCAA371" w14:textId="77777777" w:rsidTr="005F7244">
        <w:tc>
          <w:tcPr>
            <w:tcW w:w="2410" w:type="dxa"/>
            <w:gridSpan w:val="2"/>
            <w:tcBorders>
              <w:top w:val="single" w:sz="4" w:space="0" w:color="auto"/>
              <w:left w:val="single" w:sz="4" w:space="0" w:color="auto"/>
              <w:bottom w:val="single" w:sz="4" w:space="0" w:color="auto"/>
              <w:right w:val="single" w:sz="4" w:space="0" w:color="auto"/>
            </w:tcBorders>
          </w:tcPr>
          <w:p w14:paraId="0ED2CA2A" w14:textId="77777777" w:rsidR="00BE1421" w:rsidRPr="00342F7C" w:rsidRDefault="00BE1421" w:rsidP="0089797D">
            <w:pPr>
              <w:pStyle w:val="EMEANormal"/>
              <w:keepNext/>
              <w:rPr>
                <w:lang w:val="en-GB"/>
              </w:rPr>
            </w:pPr>
            <w:r w:rsidRPr="00342F7C">
              <w:rPr>
                <w:lang w:val="en-GB"/>
              </w:rPr>
              <w:t>Rosuvastatin, 20 mg QD</w:t>
            </w:r>
          </w:p>
          <w:p w14:paraId="47A2557F" w14:textId="77777777" w:rsidR="00BE1421" w:rsidRPr="00342F7C" w:rsidRDefault="00BE1421" w:rsidP="0089797D">
            <w:pPr>
              <w:pStyle w:val="EMEANormal"/>
              <w:keepNext/>
              <w:rPr>
                <w:iCs/>
                <w:lang w:val="en-GB"/>
              </w:rPr>
            </w:pPr>
          </w:p>
        </w:tc>
        <w:tc>
          <w:tcPr>
            <w:tcW w:w="3260" w:type="dxa"/>
            <w:gridSpan w:val="2"/>
            <w:tcBorders>
              <w:top w:val="single" w:sz="4" w:space="0" w:color="auto"/>
              <w:left w:val="single" w:sz="4" w:space="0" w:color="auto"/>
              <w:bottom w:val="single" w:sz="4" w:space="0" w:color="auto"/>
              <w:right w:val="single" w:sz="4" w:space="0" w:color="auto"/>
            </w:tcBorders>
          </w:tcPr>
          <w:p w14:paraId="39B6B15E" w14:textId="77777777" w:rsidR="00BE1421" w:rsidRPr="00342F7C" w:rsidRDefault="00BE1421" w:rsidP="0089797D">
            <w:pPr>
              <w:pStyle w:val="EMEANormal"/>
              <w:keepNext/>
              <w:rPr>
                <w:lang w:val="en-GB"/>
              </w:rPr>
            </w:pPr>
            <w:r w:rsidRPr="00342F7C">
              <w:rPr>
                <w:lang w:val="en-GB"/>
              </w:rPr>
              <w:t>Rosuvastatin:</w:t>
            </w:r>
          </w:p>
          <w:p w14:paraId="30BF40E3" w14:textId="77777777" w:rsidR="00BE1421" w:rsidRPr="00342F7C" w:rsidRDefault="00BE1421" w:rsidP="0089797D">
            <w:pPr>
              <w:pStyle w:val="EMEANormal"/>
              <w:keepNext/>
              <w:rPr>
                <w:lang w:val="en-GB"/>
              </w:rPr>
            </w:pPr>
            <w:r w:rsidRPr="00342F7C">
              <w:rPr>
                <w:lang w:val="en-GB"/>
              </w:rPr>
              <w:t xml:space="preserve">AUC: ↑ 2-fold </w:t>
            </w:r>
          </w:p>
          <w:p w14:paraId="342900DC" w14:textId="77777777" w:rsidR="00BE1421" w:rsidRPr="00342F7C" w:rsidRDefault="00BE1421" w:rsidP="0089797D">
            <w:pPr>
              <w:pStyle w:val="EMEANormal"/>
              <w:keepNext/>
              <w:rPr>
                <w:lang w:val="en-GB"/>
              </w:rPr>
            </w:pPr>
            <w:r w:rsidRPr="00342F7C">
              <w:rPr>
                <w:lang w:val="en-GB"/>
              </w:rPr>
              <w:t>C</w:t>
            </w:r>
            <w:r w:rsidRPr="00342F7C">
              <w:rPr>
                <w:vertAlign w:val="subscript"/>
                <w:lang w:val="en-GB"/>
              </w:rPr>
              <w:t>max</w:t>
            </w:r>
            <w:r w:rsidRPr="00342F7C">
              <w:rPr>
                <w:lang w:val="en-GB"/>
              </w:rPr>
              <w:t xml:space="preserve">: </w:t>
            </w:r>
            <w:r w:rsidRPr="00342F7C">
              <w:rPr>
                <w:vertAlign w:val="subscript"/>
                <w:lang w:val="en-GB"/>
              </w:rPr>
              <w:t xml:space="preserve"> </w:t>
            </w:r>
            <w:r w:rsidRPr="00342F7C">
              <w:rPr>
                <w:lang w:val="en-GB"/>
              </w:rPr>
              <w:t>↑ 5-fold</w:t>
            </w:r>
          </w:p>
          <w:p w14:paraId="2412BAD6" w14:textId="77777777" w:rsidR="00BE1421" w:rsidRPr="00342F7C" w:rsidRDefault="00BE1421" w:rsidP="0089797D">
            <w:pPr>
              <w:pStyle w:val="EMEANormal"/>
              <w:keepNext/>
              <w:rPr>
                <w:lang w:val="en-GB"/>
              </w:rPr>
            </w:pPr>
            <w:r w:rsidRPr="00342F7C">
              <w:rPr>
                <w:lang w:val="en-GB"/>
              </w:rPr>
              <w:t>While rosuvastatin is poorly metabolised by CYP3A4, an increase of its plasma concentrations was observed.  The mechanism of this interaction may result from inhibition of transport proteins.</w:t>
            </w:r>
          </w:p>
        </w:tc>
        <w:tc>
          <w:tcPr>
            <w:tcW w:w="3544" w:type="dxa"/>
            <w:tcBorders>
              <w:top w:val="single" w:sz="4" w:space="0" w:color="auto"/>
              <w:left w:val="single" w:sz="4" w:space="0" w:color="auto"/>
              <w:bottom w:val="single" w:sz="4" w:space="0" w:color="auto"/>
              <w:right w:val="single" w:sz="4" w:space="0" w:color="auto"/>
            </w:tcBorders>
          </w:tcPr>
          <w:p w14:paraId="7D965F15" w14:textId="77777777" w:rsidR="00BE1421" w:rsidRPr="00342F7C" w:rsidRDefault="00BE1421" w:rsidP="0089797D">
            <w:pPr>
              <w:pStyle w:val="EMEANormal"/>
              <w:keepNext/>
              <w:rPr>
                <w:lang w:val="en-GB"/>
              </w:rPr>
            </w:pPr>
            <w:r w:rsidRPr="00342F7C">
              <w:rPr>
                <w:lang w:val="en-GB"/>
              </w:rPr>
              <w:t>Caution should be exercised and reduced doses should be considered when Kaletra is co</w:t>
            </w:r>
            <w:r w:rsidRPr="00342F7C">
              <w:rPr>
                <w:lang w:val="en-GB"/>
              </w:rPr>
              <w:noBreakHyphen/>
              <w:t>administered with rosuvastatin (see section 4.4).</w:t>
            </w:r>
          </w:p>
        </w:tc>
      </w:tr>
      <w:tr w:rsidR="00BE1421" w:rsidRPr="00342F7C" w14:paraId="56D5DF92" w14:textId="77777777" w:rsidTr="005F7244">
        <w:tc>
          <w:tcPr>
            <w:tcW w:w="2410" w:type="dxa"/>
            <w:gridSpan w:val="2"/>
            <w:tcBorders>
              <w:top w:val="single" w:sz="4" w:space="0" w:color="auto"/>
              <w:left w:val="single" w:sz="4" w:space="0" w:color="auto"/>
              <w:bottom w:val="single" w:sz="4" w:space="0" w:color="auto"/>
              <w:right w:val="single" w:sz="4" w:space="0" w:color="auto"/>
            </w:tcBorders>
          </w:tcPr>
          <w:p w14:paraId="54ECCE70" w14:textId="77777777" w:rsidR="00BE1421" w:rsidRPr="00342F7C" w:rsidRDefault="00BE1421" w:rsidP="000B2D5F">
            <w:pPr>
              <w:pStyle w:val="EMEANormal"/>
              <w:rPr>
                <w:lang w:val="en-GB"/>
              </w:rPr>
            </w:pPr>
            <w:r w:rsidRPr="00342F7C">
              <w:rPr>
                <w:lang w:val="en-GB"/>
              </w:rPr>
              <w:t>Fluvastatin or Pravastatin</w:t>
            </w:r>
          </w:p>
        </w:tc>
        <w:tc>
          <w:tcPr>
            <w:tcW w:w="3260" w:type="dxa"/>
            <w:gridSpan w:val="2"/>
            <w:tcBorders>
              <w:top w:val="single" w:sz="4" w:space="0" w:color="auto"/>
              <w:left w:val="single" w:sz="4" w:space="0" w:color="auto"/>
              <w:bottom w:val="single" w:sz="4" w:space="0" w:color="auto"/>
              <w:right w:val="single" w:sz="4" w:space="0" w:color="auto"/>
            </w:tcBorders>
          </w:tcPr>
          <w:p w14:paraId="1BB874DC" w14:textId="77777777" w:rsidR="00BE1421" w:rsidRPr="00342F7C" w:rsidRDefault="00BE1421" w:rsidP="000B2D5F">
            <w:pPr>
              <w:pStyle w:val="EMEANormal"/>
              <w:rPr>
                <w:lang w:val="en-GB"/>
              </w:rPr>
            </w:pPr>
            <w:r w:rsidRPr="00342F7C">
              <w:rPr>
                <w:lang w:val="en-GB"/>
              </w:rPr>
              <w:t xml:space="preserve">Fluvastatin, Pravastatin: </w:t>
            </w:r>
          </w:p>
          <w:p w14:paraId="0E67CB0E" w14:textId="77777777" w:rsidR="00BE1421" w:rsidRPr="00342F7C" w:rsidRDefault="00BE1421" w:rsidP="000B2D5F">
            <w:pPr>
              <w:pStyle w:val="EMEANormal"/>
              <w:rPr>
                <w:lang w:val="en-GB"/>
              </w:rPr>
            </w:pPr>
            <w:r w:rsidRPr="00342F7C">
              <w:rPr>
                <w:lang w:val="en-GB"/>
              </w:rPr>
              <w:t>No clinical relevant interaction expected.</w:t>
            </w:r>
          </w:p>
          <w:p w14:paraId="3EE5953A" w14:textId="77777777" w:rsidR="00BE1421" w:rsidRPr="00342F7C" w:rsidRDefault="00BE1421" w:rsidP="000B2D5F">
            <w:pPr>
              <w:pStyle w:val="EMEANormal"/>
              <w:rPr>
                <w:lang w:val="en-GB"/>
              </w:rPr>
            </w:pPr>
            <w:r w:rsidRPr="00342F7C">
              <w:rPr>
                <w:lang w:val="en-GB"/>
              </w:rPr>
              <w:t>Pravastatin is not metabolised by CYP450.</w:t>
            </w:r>
          </w:p>
          <w:p w14:paraId="089AB44E" w14:textId="77777777" w:rsidR="00BE1421" w:rsidRPr="00342F7C" w:rsidRDefault="00BE1421" w:rsidP="000B2D5F">
            <w:pPr>
              <w:pStyle w:val="EMEANormal"/>
              <w:rPr>
                <w:lang w:val="en-GB"/>
              </w:rPr>
            </w:pPr>
            <w:r w:rsidRPr="00342F7C">
              <w:rPr>
                <w:lang w:val="en-GB"/>
              </w:rPr>
              <w:t>Fluvastatin is partially metabolised by CYP2C9.</w:t>
            </w:r>
          </w:p>
        </w:tc>
        <w:tc>
          <w:tcPr>
            <w:tcW w:w="3544" w:type="dxa"/>
            <w:tcBorders>
              <w:top w:val="single" w:sz="4" w:space="0" w:color="auto"/>
              <w:left w:val="single" w:sz="4" w:space="0" w:color="auto"/>
              <w:bottom w:val="single" w:sz="4" w:space="0" w:color="auto"/>
              <w:right w:val="single" w:sz="4" w:space="0" w:color="auto"/>
            </w:tcBorders>
          </w:tcPr>
          <w:p w14:paraId="3203CCD5" w14:textId="77777777" w:rsidR="00BE1421" w:rsidRPr="00342F7C" w:rsidRDefault="00BE1421" w:rsidP="000B2D5F">
            <w:pPr>
              <w:pStyle w:val="EMEANormal"/>
              <w:rPr>
                <w:lang w:val="en-GB"/>
              </w:rPr>
            </w:pPr>
            <w:r w:rsidRPr="00342F7C">
              <w:rPr>
                <w:lang w:val="en-GB"/>
              </w:rPr>
              <w:t>If treatment with an HMG-CoA reductase inhibitor is indicated, fluvastatin or pravastatin is recommended.</w:t>
            </w:r>
          </w:p>
        </w:tc>
      </w:tr>
      <w:tr w:rsidR="00BE1421" w:rsidRPr="00342F7C" w14:paraId="11C3A040"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65EEB5DC" w14:textId="77777777" w:rsidR="00BE1421" w:rsidRPr="00342F7C" w:rsidRDefault="00BE1421" w:rsidP="002A3B2E">
            <w:pPr>
              <w:pStyle w:val="EMEANormal"/>
              <w:keepNext/>
              <w:rPr>
                <w:i/>
                <w:iCs/>
                <w:lang w:val="en-GB"/>
              </w:rPr>
            </w:pPr>
            <w:r w:rsidRPr="00342F7C">
              <w:rPr>
                <w:i/>
                <w:iCs/>
                <w:lang w:val="en-GB"/>
              </w:rPr>
              <w:t>Opioids</w:t>
            </w:r>
          </w:p>
        </w:tc>
      </w:tr>
      <w:tr w:rsidR="00BE1421" w:rsidRPr="00342F7C" w14:paraId="7D10E93D" w14:textId="77777777" w:rsidTr="008E20B3">
        <w:tc>
          <w:tcPr>
            <w:tcW w:w="2400" w:type="dxa"/>
            <w:tcBorders>
              <w:top w:val="single" w:sz="4" w:space="0" w:color="auto"/>
              <w:left w:val="single" w:sz="4" w:space="0" w:color="auto"/>
              <w:bottom w:val="single" w:sz="4" w:space="0" w:color="auto"/>
              <w:right w:val="single" w:sz="4" w:space="0" w:color="auto"/>
            </w:tcBorders>
          </w:tcPr>
          <w:p w14:paraId="18E77D3C" w14:textId="77777777" w:rsidR="00BE1421" w:rsidRPr="00342F7C" w:rsidRDefault="00BE1421" w:rsidP="002A3B2E">
            <w:pPr>
              <w:pStyle w:val="EMEANormal"/>
              <w:keepNext/>
              <w:rPr>
                <w:lang w:val="en-GB"/>
              </w:rPr>
            </w:pPr>
            <w:r w:rsidRPr="00342F7C">
              <w:rPr>
                <w:bCs/>
                <w:iCs/>
                <w:lang w:val="en-GB"/>
              </w:rPr>
              <w:t>Buprenorphine, 16 mg QD</w:t>
            </w:r>
          </w:p>
        </w:tc>
        <w:tc>
          <w:tcPr>
            <w:tcW w:w="3240" w:type="dxa"/>
            <w:gridSpan w:val="2"/>
            <w:tcBorders>
              <w:top w:val="single" w:sz="4" w:space="0" w:color="auto"/>
              <w:left w:val="single" w:sz="4" w:space="0" w:color="auto"/>
              <w:bottom w:val="single" w:sz="4" w:space="0" w:color="auto"/>
              <w:right w:val="single" w:sz="4" w:space="0" w:color="auto"/>
            </w:tcBorders>
          </w:tcPr>
          <w:p w14:paraId="03BC334D" w14:textId="77777777" w:rsidR="00BE1421" w:rsidRPr="00342F7C" w:rsidRDefault="00BE1421" w:rsidP="002A3B2E">
            <w:pPr>
              <w:pStyle w:val="EMEANormal"/>
              <w:keepNext/>
              <w:rPr>
                <w:bCs/>
                <w:iCs/>
                <w:lang w:val="en-GB"/>
              </w:rPr>
            </w:pPr>
            <w:r w:rsidRPr="00342F7C">
              <w:rPr>
                <w:bCs/>
                <w:iCs/>
                <w:lang w:val="en-GB"/>
              </w:rPr>
              <w:t>Buprenorphine:</w:t>
            </w:r>
            <w:r w:rsidRPr="00342F7C">
              <w:rPr>
                <w:szCs w:val="22"/>
                <w:lang w:val="en-GB"/>
              </w:rPr>
              <w:t xml:space="preserve"> ↔</w:t>
            </w:r>
          </w:p>
          <w:p w14:paraId="6608D5E8" w14:textId="77777777" w:rsidR="00BE1421" w:rsidRPr="00342F7C" w:rsidRDefault="00BE1421" w:rsidP="002A3B2E">
            <w:pPr>
              <w:pStyle w:val="EMEANormal"/>
              <w:keepNext/>
              <w:rPr>
                <w:lang w:val="en-GB"/>
              </w:rPr>
            </w:pPr>
          </w:p>
        </w:tc>
        <w:tc>
          <w:tcPr>
            <w:tcW w:w="3574" w:type="dxa"/>
            <w:gridSpan w:val="2"/>
            <w:tcBorders>
              <w:top w:val="single" w:sz="4" w:space="0" w:color="auto"/>
              <w:left w:val="single" w:sz="4" w:space="0" w:color="auto"/>
              <w:bottom w:val="single" w:sz="4" w:space="0" w:color="auto"/>
              <w:right w:val="single" w:sz="4" w:space="0" w:color="auto"/>
            </w:tcBorders>
          </w:tcPr>
          <w:p w14:paraId="7C030350" w14:textId="77777777" w:rsidR="00BE1421" w:rsidRPr="00342F7C" w:rsidRDefault="00BE1421" w:rsidP="002A3B2E">
            <w:pPr>
              <w:pStyle w:val="EMEANormal"/>
              <w:keepNext/>
              <w:rPr>
                <w:lang w:val="en-GB"/>
              </w:rPr>
            </w:pPr>
            <w:r w:rsidRPr="00342F7C">
              <w:rPr>
                <w:lang w:val="en-GB"/>
              </w:rPr>
              <w:t>No dose adjustment necessary.</w:t>
            </w:r>
          </w:p>
          <w:p w14:paraId="1AA312B2" w14:textId="77777777" w:rsidR="00BE1421" w:rsidRPr="00342F7C" w:rsidRDefault="00BE1421" w:rsidP="002A3B2E">
            <w:pPr>
              <w:pStyle w:val="EMEANormal"/>
              <w:keepNext/>
              <w:rPr>
                <w:lang w:val="en-GB"/>
              </w:rPr>
            </w:pPr>
          </w:p>
        </w:tc>
      </w:tr>
      <w:tr w:rsidR="00BE1421" w:rsidRPr="00342F7C" w14:paraId="3DB3E9A6" w14:textId="77777777" w:rsidTr="008E20B3">
        <w:tc>
          <w:tcPr>
            <w:tcW w:w="2400" w:type="dxa"/>
            <w:tcBorders>
              <w:top w:val="single" w:sz="4" w:space="0" w:color="auto"/>
              <w:left w:val="single" w:sz="4" w:space="0" w:color="auto"/>
              <w:bottom w:val="single" w:sz="4" w:space="0" w:color="auto"/>
              <w:right w:val="single" w:sz="4" w:space="0" w:color="auto"/>
            </w:tcBorders>
          </w:tcPr>
          <w:p w14:paraId="0CD0BA4E" w14:textId="77777777" w:rsidR="00BE1421" w:rsidRPr="00342F7C" w:rsidRDefault="00BE1421" w:rsidP="002A3B2E">
            <w:pPr>
              <w:pStyle w:val="EMEANormal"/>
              <w:keepNext/>
              <w:rPr>
                <w:bCs/>
                <w:iCs/>
                <w:lang w:val="en-GB"/>
              </w:rPr>
            </w:pPr>
            <w:r w:rsidRPr="00342F7C">
              <w:rPr>
                <w:bCs/>
                <w:iCs/>
                <w:lang w:val="en-GB"/>
              </w:rPr>
              <w:t>Methadone</w:t>
            </w:r>
          </w:p>
          <w:p w14:paraId="3E88009A" w14:textId="77777777" w:rsidR="00BE1421" w:rsidRPr="00342F7C" w:rsidRDefault="00BE1421" w:rsidP="002A3B2E">
            <w:pPr>
              <w:pStyle w:val="EMEANormal"/>
              <w:keepNext/>
              <w:rPr>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028BEB9E" w14:textId="77777777" w:rsidR="00BE1421" w:rsidRPr="00342F7C" w:rsidRDefault="00BE1421" w:rsidP="002A3B2E">
            <w:pPr>
              <w:pStyle w:val="EMEANormal"/>
              <w:keepNext/>
              <w:rPr>
                <w:i/>
                <w:lang w:val="en-GB"/>
              </w:rPr>
            </w:pPr>
            <w:r w:rsidRPr="00342F7C">
              <w:rPr>
                <w:bCs/>
                <w:iCs/>
                <w:lang w:val="en-GB"/>
              </w:rPr>
              <w:t>Methadone:</w:t>
            </w:r>
            <w:r w:rsidRPr="00342F7C">
              <w:rPr>
                <w:i/>
                <w:lang w:val="en-GB"/>
              </w:rPr>
              <w:t xml:space="preserve"> </w:t>
            </w:r>
            <w:r w:rsidRPr="00342F7C">
              <w:rPr>
                <w:lang w:val="en-GB"/>
              </w:rPr>
              <w:t>↓</w:t>
            </w:r>
          </w:p>
          <w:p w14:paraId="4CDAAD71" w14:textId="77777777" w:rsidR="00BE1421" w:rsidRPr="00342F7C" w:rsidRDefault="00BE1421" w:rsidP="002A3B2E">
            <w:pPr>
              <w:pStyle w:val="EMEANormal"/>
              <w:keepNext/>
              <w:rPr>
                <w:lang w:val="en-GB"/>
              </w:rPr>
            </w:pPr>
          </w:p>
        </w:tc>
        <w:tc>
          <w:tcPr>
            <w:tcW w:w="3574" w:type="dxa"/>
            <w:gridSpan w:val="2"/>
            <w:tcBorders>
              <w:top w:val="single" w:sz="4" w:space="0" w:color="auto"/>
              <w:left w:val="single" w:sz="4" w:space="0" w:color="auto"/>
              <w:bottom w:val="single" w:sz="4" w:space="0" w:color="auto"/>
              <w:right w:val="single" w:sz="4" w:space="0" w:color="auto"/>
            </w:tcBorders>
          </w:tcPr>
          <w:p w14:paraId="7C3CA5DC" w14:textId="77777777" w:rsidR="00BE1421" w:rsidRPr="00342F7C" w:rsidRDefault="00BE1421" w:rsidP="002A3B2E">
            <w:pPr>
              <w:pStyle w:val="EMEANormal"/>
              <w:keepNext/>
              <w:rPr>
                <w:lang w:val="en-GB"/>
              </w:rPr>
            </w:pPr>
            <w:r w:rsidRPr="00342F7C">
              <w:rPr>
                <w:lang w:val="en-GB"/>
              </w:rPr>
              <w:t>Monitoring plasma concentrations of methadone is recommended.</w:t>
            </w:r>
          </w:p>
        </w:tc>
      </w:tr>
      <w:tr w:rsidR="00BE1421" w:rsidRPr="00342F7C" w14:paraId="2E05DBFA"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3A17618B" w14:textId="77777777" w:rsidR="00BE1421" w:rsidRPr="00342F7C" w:rsidRDefault="00BE1421" w:rsidP="008E20B3">
            <w:pPr>
              <w:pStyle w:val="EMEANormal"/>
              <w:rPr>
                <w:bCs/>
                <w:i/>
                <w:iCs/>
                <w:lang w:val="en-GB"/>
              </w:rPr>
            </w:pPr>
            <w:r w:rsidRPr="00342F7C">
              <w:rPr>
                <w:i/>
                <w:iCs/>
                <w:lang w:val="en-GB"/>
              </w:rPr>
              <w:t xml:space="preserve">Oral </w:t>
            </w:r>
            <w:r>
              <w:rPr>
                <w:i/>
                <w:iCs/>
                <w:lang w:val="en-GB"/>
              </w:rPr>
              <w:t>c</w:t>
            </w:r>
            <w:r w:rsidRPr="00342F7C">
              <w:rPr>
                <w:i/>
                <w:iCs/>
                <w:lang w:val="en-GB"/>
              </w:rPr>
              <w:t>ontraceptives</w:t>
            </w:r>
          </w:p>
        </w:tc>
      </w:tr>
      <w:tr w:rsidR="00BE1421" w:rsidRPr="00342F7C" w14:paraId="223A67CE" w14:textId="77777777" w:rsidTr="003C1BB0">
        <w:trPr>
          <w:trHeight w:val="1925"/>
        </w:trPr>
        <w:tc>
          <w:tcPr>
            <w:tcW w:w="2400" w:type="dxa"/>
            <w:tcBorders>
              <w:top w:val="single" w:sz="4" w:space="0" w:color="auto"/>
              <w:left w:val="single" w:sz="4" w:space="0" w:color="auto"/>
              <w:bottom w:val="single" w:sz="4" w:space="0" w:color="auto"/>
              <w:right w:val="single" w:sz="4" w:space="0" w:color="auto"/>
            </w:tcBorders>
          </w:tcPr>
          <w:p w14:paraId="31D4CE6D" w14:textId="77777777" w:rsidR="00BE1421" w:rsidRPr="00342F7C" w:rsidRDefault="00BE1421" w:rsidP="000B2D5F">
            <w:pPr>
              <w:pStyle w:val="EMEANormal"/>
              <w:rPr>
                <w:lang w:val="en-GB"/>
              </w:rPr>
            </w:pPr>
            <w:r w:rsidRPr="00342F7C">
              <w:rPr>
                <w:lang w:val="en-GB"/>
              </w:rPr>
              <w:t>Ethinyl Oestradiol</w:t>
            </w:r>
          </w:p>
        </w:tc>
        <w:tc>
          <w:tcPr>
            <w:tcW w:w="3240" w:type="dxa"/>
            <w:gridSpan w:val="2"/>
            <w:tcBorders>
              <w:top w:val="single" w:sz="4" w:space="0" w:color="auto"/>
              <w:left w:val="single" w:sz="4" w:space="0" w:color="auto"/>
              <w:bottom w:val="single" w:sz="4" w:space="0" w:color="auto"/>
              <w:right w:val="single" w:sz="4" w:space="0" w:color="auto"/>
            </w:tcBorders>
          </w:tcPr>
          <w:p w14:paraId="4C0005D0" w14:textId="77777777" w:rsidR="00BE1421" w:rsidRPr="00342F7C" w:rsidRDefault="00BE1421" w:rsidP="000B2D5F">
            <w:pPr>
              <w:pStyle w:val="EMEANormal"/>
              <w:rPr>
                <w:i/>
                <w:lang w:val="en-GB"/>
              </w:rPr>
            </w:pPr>
            <w:r w:rsidRPr="00342F7C">
              <w:rPr>
                <w:lang w:val="en-GB"/>
              </w:rPr>
              <w:t>Ethinyl Oestradiol: ↓</w:t>
            </w:r>
          </w:p>
          <w:p w14:paraId="37EBCAB7" w14:textId="77777777" w:rsidR="00BE1421" w:rsidRPr="00342F7C" w:rsidRDefault="00BE1421" w:rsidP="000B2D5F">
            <w:pPr>
              <w:pStyle w:val="EMEANormal"/>
              <w:rPr>
                <w:lang w:val="en-GB"/>
              </w:rPr>
            </w:pPr>
          </w:p>
        </w:tc>
        <w:tc>
          <w:tcPr>
            <w:tcW w:w="3574" w:type="dxa"/>
            <w:gridSpan w:val="2"/>
            <w:tcBorders>
              <w:top w:val="single" w:sz="4" w:space="0" w:color="auto"/>
              <w:left w:val="single" w:sz="4" w:space="0" w:color="auto"/>
              <w:bottom w:val="single" w:sz="4" w:space="0" w:color="auto"/>
              <w:right w:val="single" w:sz="4" w:space="0" w:color="auto"/>
            </w:tcBorders>
          </w:tcPr>
          <w:p w14:paraId="6BCC9343" w14:textId="77777777" w:rsidR="00BE1421" w:rsidRPr="00342F7C" w:rsidRDefault="00BE1421" w:rsidP="000B2D5F">
            <w:pPr>
              <w:pStyle w:val="EMEANormal"/>
              <w:rPr>
                <w:lang w:val="en-GB"/>
              </w:rPr>
            </w:pPr>
            <w:r w:rsidRPr="00342F7C">
              <w:rPr>
                <w:lang w:val="en-GB"/>
              </w:rPr>
              <w:t>In case of co</w:t>
            </w:r>
            <w:r w:rsidRPr="00342F7C">
              <w:rPr>
                <w:lang w:val="en-GB"/>
              </w:rPr>
              <w:noBreakHyphen/>
              <w:t>administration of Kaletra with contraceptives containing ethinyl oestradiol (whatever the contraceptive formulation e.g. oral or patch), additional methods of contraception must be used.</w:t>
            </w:r>
          </w:p>
        </w:tc>
      </w:tr>
      <w:tr w:rsidR="00BE1421" w:rsidRPr="00342F7C" w14:paraId="49816C18"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35AD040E" w14:textId="77777777" w:rsidR="00BE1421" w:rsidRPr="00342F7C" w:rsidRDefault="00BE1421" w:rsidP="000B2D5F">
            <w:pPr>
              <w:pStyle w:val="EMEANormal"/>
              <w:rPr>
                <w:i/>
                <w:iCs/>
                <w:lang w:val="en-GB"/>
              </w:rPr>
            </w:pPr>
            <w:r w:rsidRPr="00342F7C">
              <w:rPr>
                <w:i/>
                <w:iCs/>
                <w:lang w:val="en-GB"/>
              </w:rPr>
              <w:t>Smoking cessation aids</w:t>
            </w:r>
          </w:p>
        </w:tc>
      </w:tr>
      <w:tr w:rsidR="00BE1421" w:rsidRPr="00342F7C" w14:paraId="63B36799" w14:textId="77777777" w:rsidTr="008F531F">
        <w:tc>
          <w:tcPr>
            <w:tcW w:w="2400" w:type="dxa"/>
            <w:tcBorders>
              <w:top w:val="single" w:sz="4" w:space="0" w:color="auto"/>
              <w:left w:val="single" w:sz="4" w:space="0" w:color="auto"/>
              <w:bottom w:val="single" w:sz="4" w:space="0" w:color="auto"/>
              <w:right w:val="single" w:sz="4" w:space="0" w:color="auto"/>
            </w:tcBorders>
          </w:tcPr>
          <w:p w14:paraId="051CBADA" w14:textId="77777777" w:rsidR="00BE1421" w:rsidRPr="00342F7C" w:rsidRDefault="00BE1421" w:rsidP="000B2D5F">
            <w:pPr>
              <w:pStyle w:val="EMEANormal"/>
              <w:rPr>
                <w:lang w:val="en-GB"/>
              </w:rPr>
            </w:pPr>
            <w:r w:rsidRPr="00342F7C">
              <w:rPr>
                <w:lang w:val="en-GB"/>
              </w:rPr>
              <w:t>Bupropion</w:t>
            </w:r>
          </w:p>
        </w:tc>
        <w:tc>
          <w:tcPr>
            <w:tcW w:w="3270" w:type="dxa"/>
            <w:gridSpan w:val="3"/>
            <w:tcBorders>
              <w:top w:val="single" w:sz="4" w:space="0" w:color="auto"/>
              <w:left w:val="single" w:sz="4" w:space="0" w:color="auto"/>
              <w:bottom w:val="single" w:sz="4" w:space="0" w:color="auto"/>
              <w:right w:val="single" w:sz="4" w:space="0" w:color="auto"/>
            </w:tcBorders>
          </w:tcPr>
          <w:p w14:paraId="3A38E06A" w14:textId="77777777" w:rsidR="00BE1421" w:rsidRPr="00342F7C" w:rsidRDefault="00BE1421" w:rsidP="000B2D5F">
            <w:pPr>
              <w:pStyle w:val="EMEANormal"/>
              <w:rPr>
                <w:lang w:val="en-GB"/>
              </w:rPr>
            </w:pPr>
            <w:r w:rsidRPr="00342F7C">
              <w:rPr>
                <w:lang w:val="en-GB"/>
              </w:rPr>
              <w:t>Buproprion and its active metabolite, hydroxybupropion:</w:t>
            </w:r>
          </w:p>
          <w:p w14:paraId="33060439" w14:textId="77777777" w:rsidR="00BE1421" w:rsidRPr="00342F7C" w:rsidRDefault="00BE1421" w:rsidP="000B2D5F">
            <w:pPr>
              <w:pStyle w:val="EMEANormal"/>
              <w:rPr>
                <w:lang w:val="en-GB"/>
              </w:rPr>
            </w:pPr>
            <w:r w:rsidRPr="00342F7C">
              <w:rPr>
                <w:lang w:val="en-GB"/>
              </w:rPr>
              <w:t>AUC and C</w:t>
            </w:r>
            <w:r w:rsidRPr="00342F7C">
              <w:rPr>
                <w:vertAlign w:val="subscript"/>
                <w:lang w:val="en-GB"/>
              </w:rPr>
              <w:t>max</w:t>
            </w:r>
            <w:r w:rsidRPr="00342F7C">
              <w:rPr>
                <w:lang w:val="en-GB"/>
              </w:rPr>
              <w:t xml:space="preserve"> ↓ ~50% </w:t>
            </w:r>
          </w:p>
          <w:p w14:paraId="08DCBDA7" w14:textId="77777777" w:rsidR="00BE1421" w:rsidRPr="00342F7C" w:rsidRDefault="00BE1421" w:rsidP="000B2D5F">
            <w:pPr>
              <w:pStyle w:val="EMEANormal"/>
              <w:rPr>
                <w:lang w:val="en-GB"/>
              </w:rPr>
            </w:pPr>
          </w:p>
          <w:p w14:paraId="176452F6" w14:textId="77777777" w:rsidR="00BE1421" w:rsidRPr="00342F7C" w:rsidRDefault="00BE1421" w:rsidP="000B2D5F">
            <w:pPr>
              <w:pStyle w:val="EMEANormal"/>
              <w:rPr>
                <w:lang w:val="en-GB"/>
              </w:rPr>
            </w:pPr>
            <w:r w:rsidRPr="00342F7C">
              <w:rPr>
                <w:lang w:val="en-GB"/>
              </w:rPr>
              <w:t>This effect may be due to induction of bupropion metabolism.</w:t>
            </w:r>
          </w:p>
          <w:p w14:paraId="7ECF700B" w14:textId="77777777" w:rsidR="00BE1421" w:rsidRPr="00342F7C" w:rsidRDefault="00BE1421" w:rsidP="000B2D5F">
            <w:pPr>
              <w:pStyle w:val="EMEANormal"/>
              <w:rPr>
                <w:szCs w:val="22"/>
                <w:lang w:val="en-GB"/>
              </w:rPr>
            </w:pPr>
          </w:p>
        </w:tc>
        <w:tc>
          <w:tcPr>
            <w:tcW w:w="3544" w:type="dxa"/>
            <w:tcBorders>
              <w:top w:val="single" w:sz="4" w:space="0" w:color="auto"/>
              <w:left w:val="single" w:sz="4" w:space="0" w:color="auto"/>
              <w:bottom w:val="single" w:sz="4" w:space="0" w:color="auto"/>
              <w:right w:val="single" w:sz="4" w:space="0" w:color="auto"/>
            </w:tcBorders>
          </w:tcPr>
          <w:p w14:paraId="770A5D8A" w14:textId="77777777" w:rsidR="00BE1421" w:rsidRPr="00342F7C" w:rsidRDefault="00BE1421" w:rsidP="008E20B3">
            <w:pPr>
              <w:pStyle w:val="EMEANormal"/>
              <w:rPr>
                <w:szCs w:val="22"/>
                <w:lang w:val="en-GB"/>
              </w:rPr>
            </w:pPr>
            <w:r w:rsidRPr="00342F7C">
              <w:rPr>
                <w:lang w:val="en-GB"/>
              </w:rPr>
              <w:t>If the co</w:t>
            </w:r>
            <w:r w:rsidRPr="00342F7C">
              <w:rPr>
                <w:lang w:val="en-GB"/>
              </w:rPr>
              <w:noBreakHyphen/>
              <w:t xml:space="preserve">administration of </w:t>
            </w:r>
            <w:r>
              <w:rPr>
                <w:lang w:val="en-GB"/>
              </w:rPr>
              <w:t>Kaletra</w:t>
            </w:r>
            <w:r w:rsidRPr="00342F7C">
              <w:rPr>
                <w:lang w:val="en-GB"/>
              </w:rPr>
              <w:t xml:space="preserve"> with bupropion is judged unavoidable, this should be done under close clinical monitoring for bupropion efficacy, without exceeding the recommended dosage, despite the observed induction.</w:t>
            </w:r>
          </w:p>
        </w:tc>
      </w:tr>
      <w:tr w:rsidR="00BE1421" w:rsidRPr="00342F7C" w14:paraId="5E41C03A" w14:textId="77777777" w:rsidTr="00B84095">
        <w:tc>
          <w:tcPr>
            <w:tcW w:w="9214" w:type="dxa"/>
            <w:gridSpan w:val="5"/>
            <w:tcBorders>
              <w:top w:val="single" w:sz="4" w:space="0" w:color="auto"/>
              <w:left w:val="single" w:sz="4" w:space="0" w:color="auto"/>
              <w:bottom w:val="single" w:sz="4" w:space="0" w:color="auto"/>
              <w:right w:val="single" w:sz="4" w:space="0" w:color="auto"/>
            </w:tcBorders>
          </w:tcPr>
          <w:p w14:paraId="749A4B25" w14:textId="77777777" w:rsidR="00BE1421" w:rsidRPr="00342F7C" w:rsidRDefault="00BE1421" w:rsidP="00445C1C">
            <w:pPr>
              <w:pStyle w:val="EMEANormal"/>
              <w:keepNext/>
              <w:rPr>
                <w:i/>
                <w:iCs/>
                <w:lang w:val="en-GB"/>
              </w:rPr>
            </w:pPr>
            <w:r>
              <w:rPr>
                <w:i/>
                <w:iCs/>
                <w:lang w:val="en-GB"/>
              </w:rPr>
              <w:t>Thyroid hormone replacement therapy</w:t>
            </w:r>
          </w:p>
        </w:tc>
      </w:tr>
      <w:tr w:rsidR="00BE1421" w:rsidRPr="00342F7C" w14:paraId="125E3231" w14:textId="77777777" w:rsidTr="008F531F">
        <w:tc>
          <w:tcPr>
            <w:tcW w:w="2410" w:type="dxa"/>
            <w:gridSpan w:val="2"/>
            <w:tcBorders>
              <w:top w:val="single" w:sz="4" w:space="0" w:color="auto"/>
              <w:left w:val="single" w:sz="4" w:space="0" w:color="auto"/>
              <w:bottom w:val="single" w:sz="4" w:space="0" w:color="auto"/>
              <w:right w:val="single" w:sz="4" w:space="0" w:color="auto"/>
            </w:tcBorders>
          </w:tcPr>
          <w:p w14:paraId="1B785F98" w14:textId="77777777" w:rsidR="00BE1421" w:rsidRPr="00342F7C" w:rsidRDefault="00BE1421" w:rsidP="00445C1C">
            <w:pPr>
              <w:pStyle w:val="EMEANormal"/>
              <w:keepNext/>
              <w:rPr>
                <w:lang w:val="en-GB"/>
              </w:rPr>
            </w:pPr>
            <w:r>
              <w:rPr>
                <w:lang w:val="en-GB"/>
              </w:rPr>
              <w:t>Levothyroxine</w:t>
            </w:r>
          </w:p>
        </w:tc>
        <w:tc>
          <w:tcPr>
            <w:tcW w:w="3260" w:type="dxa"/>
            <w:gridSpan w:val="2"/>
            <w:tcBorders>
              <w:top w:val="single" w:sz="4" w:space="0" w:color="auto"/>
              <w:left w:val="single" w:sz="4" w:space="0" w:color="auto"/>
              <w:bottom w:val="single" w:sz="4" w:space="0" w:color="auto"/>
              <w:right w:val="single" w:sz="4" w:space="0" w:color="auto"/>
            </w:tcBorders>
          </w:tcPr>
          <w:p w14:paraId="73F7FA9F" w14:textId="77777777" w:rsidR="00BE1421" w:rsidRPr="00342F7C" w:rsidRDefault="00BE1421" w:rsidP="00445C1C">
            <w:pPr>
              <w:pStyle w:val="EMEANormal"/>
              <w:keepNext/>
              <w:rPr>
                <w:szCs w:val="22"/>
                <w:lang w:val="en-GB"/>
              </w:rPr>
            </w:pPr>
            <w:r>
              <w:rPr>
                <w:szCs w:val="22"/>
                <w:lang w:val="en-GB"/>
              </w:rPr>
              <w:t>Post</w:t>
            </w:r>
            <w:r>
              <w:rPr>
                <w:szCs w:val="22"/>
                <w:lang w:val="en-GB"/>
              </w:rPr>
              <w:noBreakHyphen/>
              <w:t>marketing cases have been reported indicating a potential interaction between ritonavir containing products and levothyroxine.</w:t>
            </w:r>
          </w:p>
        </w:tc>
        <w:tc>
          <w:tcPr>
            <w:tcW w:w="3544" w:type="dxa"/>
            <w:tcBorders>
              <w:top w:val="single" w:sz="4" w:space="0" w:color="auto"/>
              <w:left w:val="single" w:sz="4" w:space="0" w:color="auto"/>
              <w:bottom w:val="single" w:sz="4" w:space="0" w:color="auto"/>
              <w:right w:val="single" w:sz="4" w:space="0" w:color="auto"/>
            </w:tcBorders>
          </w:tcPr>
          <w:p w14:paraId="0B568CA4" w14:textId="77777777" w:rsidR="00BE1421" w:rsidRPr="00342F7C" w:rsidRDefault="00BE1421" w:rsidP="00445C1C">
            <w:pPr>
              <w:pStyle w:val="EMEANormal"/>
              <w:keepNext/>
              <w:rPr>
                <w:szCs w:val="22"/>
                <w:lang w:val="en-GB"/>
              </w:rPr>
            </w:pPr>
            <w:r>
              <w:rPr>
                <w:szCs w:val="22"/>
                <w:lang w:val="en-GB"/>
              </w:rPr>
              <w:t>Thyroid</w:t>
            </w:r>
            <w:r>
              <w:rPr>
                <w:szCs w:val="22"/>
                <w:lang w:val="en-GB"/>
              </w:rPr>
              <w:noBreakHyphen/>
              <w:t>stimulating hormone (TSH) should be monitored in patients treated with levothyroxine at least the first month after starting and/or ending lopinavir/ritonavir treatment.</w:t>
            </w:r>
          </w:p>
        </w:tc>
      </w:tr>
      <w:tr w:rsidR="00BE1421" w:rsidRPr="00342F7C" w14:paraId="32A0F6C8"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42B847A2" w14:textId="77777777" w:rsidR="00BE1421" w:rsidRPr="00342F7C" w:rsidRDefault="00BE1421" w:rsidP="000F64FB">
            <w:pPr>
              <w:pStyle w:val="EMEANormal"/>
              <w:keepNext/>
              <w:rPr>
                <w:lang w:val="en-GB"/>
              </w:rPr>
            </w:pPr>
            <w:r w:rsidRPr="00285200">
              <w:rPr>
                <w:i/>
                <w:iCs/>
                <w:lang w:val="en-GB"/>
              </w:rPr>
              <w:t>V</w:t>
            </w:r>
            <w:r>
              <w:rPr>
                <w:i/>
                <w:iCs/>
                <w:lang w:val="en-GB"/>
              </w:rPr>
              <w:t>asodilating agents</w:t>
            </w:r>
          </w:p>
        </w:tc>
      </w:tr>
      <w:tr w:rsidR="00BE1421" w:rsidRPr="00342F7C" w14:paraId="0ADE739C" w14:textId="77777777" w:rsidTr="008F531F">
        <w:tc>
          <w:tcPr>
            <w:tcW w:w="2400" w:type="dxa"/>
            <w:tcBorders>
              <w:top w:val="single" w:sz="4" w:space="0" w:color="auto"/>
              <w:left w:val="single" w:sz="4" w:space="0" w:color="auto"/>
              <w:bottom w:val="single" w:sz="4" w:space="0" w:color="auto"/>
              <w:right w:val="single" w:sz="4" w:space="0" w:color="auto"/>
            </w:tcBorders>
          </w:tcPr>
          <w:p w14:paraId="642823D5" w14:textId="77777777" w:rsidR="00BE1421" w:rsidRPr="00342F7C" w:rsidRDefault="00BE1421" w:rsidP="000F64FB">
            <w:pPr>
              <w:pStyle w:val="EMEANormal"/>
              <w:keepNext/>
              <w:rPr>
                <w:lang w:val="en-GB"/>
              </w:rPr>
            </w:pPr>
            <w:r>
              <w:rPr>
                <w:lang w:val="en-GB"/>
              </w:rPr>
              <w:t>Bosentan</w:t>
            </w:r>
          </w:p>
        </w:tc>
        <w:tc>
          <w:tcPr>
            <w:tcW w:w="3270" w:type="dxa"/>
            <w:gridSpan w:val="3"/>
            <w:tcBorders>
              <w:top w:val="single" w:sz="4" w:space="0" w:color="auto"/>
              <w:left w:val="single" w:sz="4" w:space="0" w:color="auto"/>
              <w:bottom w:val="single" w:sz="4" w:space="0" w:color="auto"/>
              <w:right w:val="single" w:sz="4" w:space="0" w:color="auto"/>
            </w:tcBorders>
          </w:tcPr>
          <w:p w14:paraId="72F37FA9" w14:textId="77777777" w:rsidR="00BE1421" w:rsidRDefault="00BE1421" w:rsidP="000F64FB">
            <w:pPr>
              <w:pStyle w:val="EMEANormal"/>
              <w:keepNext/>
              <w:rPr>
                <w:lang w:val="en-GB"/>
              </w:rPr>
            </w:pPr>
            <w:r>
              <w:rPr>
                <w:lang w:val="en-GB"/>
              </w:rPr>
              <w:t>Lopinavir - ritonavir:</w:t>
            </w:r>
          </w:p>
          <w:p w14:paraId="02757C12" w14:textId="77777777" w:rsidR="00BE1421" w:rsidRDefault="00BE1421" w:rsidP="000F64FB">
            <w:pPr>
              <w:pStyle w:val="EMEANormal"/>
              <w:keepNext/>
              <w:rPr>
                <w:lang w:val="en-GB"/>
              </w:rPr>
            </w:pPr>
            <w:r>
              <w:rPr>
                <w:lang w:val="en-GB"/>
              </w:rPr>
              <w:t>Lopinavir/ritonavir plasma concentrations may decrease due to CYP3A4 induction by bosentan.</w:t>
            </w:r>
          </w:p>
          <w:p w14:paraId="702573CF" w14:textId="77777777" w:rsidR="00BE1421" w:rsidRDefault="00BE1421" w:rsidP="000F64FB">
            <w:pPr>
              <w:pStyle w:val="EMEANormal"/>
              <w:keepNext/>
              <w:rPr>
                <w:lang w:val="en-GB"/>
              </w:rPr>
            </w:pPr>
          </w:p>
          <w:p w14:paraId="67D8D205" w14:textId="77777777" w:rsidR="00BE1421" w:rsidRPr="0071232B" w:rsidRDefault="00BE1421" w:rsidP="000F64FB">
            <w:pPr>
              <w:pStyle w:val="EMEANormal"/>
              <w:keepNext/>
              <w:rPr>
                <w:lang w:val="en-GB"/>
              </w:rPr>
            </w:pPr>
            <w:r w:rsidRPr="0071232B">
              <w:rPr>
                <w:lang w:val="en-GB"/>
              </w:rPr>
              <w:t>Bosentan:</w:t>
            </w:r>
          </w:p>
          <w:p w14:paraId="03FE0A79" w14:textId="77777777" w:rsidR="00BE1421" w:rsidRPr="0071232B" w:rsidRDefault="00BE1421" w:rsidP="000F64FB">
            <w:pPr>
              <w:pStyle w:val="EMEANormal"/>
              <w:keepNext/>
              <w:rPr>
                <w:lang w:val="en-GB"/>
              </w:rPr>
            </w:pPr>
            <w:r w:rsidRPr="0071232B">
              <w:rPr>
                <w:lang w:val="en-GB"/>
              </w:rPr>
              <w:t xml:space="preserve">AUC: ↑ 5-fold </w:t>
            </w:r>
          </w:p>
          <w:p w14:paraId="43E472B6" w14:textId="77777777" w:rsidR="00BE1421" w:rsidRPr="0071232B" w:rsidRDefault="00BE1421" w:rsidP="000F64FB">
            <w:pPr>
              <w:pStyle w:val="EMEANormal"/>
              <w:keepNext/>
              <w:rPr>
                <w:lang w:val="en-GB"/>
              </w:rPr>
            </w:pPr>
            <w:r w:rsidRPr="0071232B">
              <w:rPr>
                <w:lang w:val="en-GB"/>
              </w:rPr>
              <w:t>C</w:t>
            </w:r>
            <w:r w:rsidRPr="0071232B">
              <w:rPr>
                <w:vertAlign w:val="subscript"/>
                <w:lang w:val="en-GB"/>
              </w:rPr>
              <w:t>max</w:t>
            </w:r>
            <w:r w:rsidRPr="0071232B">
              <w:rPr>
                <w:lang w:val="en-GB"/>
              </w:rPr>
              <w:t>:</w:t>
            </w:r>
            <w:r>
              <w:rPr>
                <w:lang w:val="en-GB"/>
              </w:rPr>
              <w:t xml:space="preserve"> </w:t>
            </w:r>
            <w:r w:rsidRPr="0071232B">
              <w:rPr>
                <w:vertAlign w:val="subscript"/>
                <w:lang w:val="en-GB"/>
              </w:rPr>
              <w:t xml:space="preserve"> </w:t>
            </w:r>
            <w:r w:rsidRPr="0071232B">
              <w:rPr>
                <w:lang w:val="en-GB"/>
              </w:rPr>
              <w:t>↑ 6-fold</w:t>
            </w:r>
          </w:p>
          <w:p w14:paraId="2E119725" w14:textId="77777777" w:rsidR="00BE1421" w:rsidRPr="0071232B" w:rsidRDefault="00BE1421" w:rsidP="000F64FB">
            <w:pPr>
              <w:keepNext/>
              <w:autoSpaceDE w:val="0"/>
              <w:autoSpaceDN w:val="0"/>
              <w:adjustRightInd w:val="0"/>
              <w:rPr>
                <w:bCs/>
                <w:sz w:val="22"/>
                <w:szCs w:val="22"/>
                <w:u w:val="single"/>
              </w:rPr>
            </w:pPr>
            <w:r w:rsidRPr="00285200">
              <w:rPr>
                <w:bCs/>
                <w:sz w:val="22"/>
                <w:szCs w:val="22"/>
              </w:rPr>
              <w:t>Initially, bosentan C</w:t>
            </w:r>
            <w:r w:rsidRPr="00285200">
              <w:rPr>
                <w:bCs/>
                <w:sz w:val="22"/>
                <w:szCs w:val="22"/>
                <w:vertAlign w:val="subscript"/>
              </w:rPr>
              <w:t>min</w:t>
            </w:r>
            <w:r>
              <w:rPr>
                <w:bCs/>
                <w:sz w:val="22"/>
                <w:szCs w:val="22"/>
              </w:rPr>
              <w:t xml:space="preserve">: </w:t>
            </w:r>
            <w:r w:rsidRPr="00285200">
              <w:rPr>
                <w:sz w:val="22"/>
                <w:szCs w:val="22"/>
              </w:rPr>
              <w:t>↑</w:t>
            </w:r>
            <w:r w:rsidRPr="00285200">
              <w:rPr>
                <w:bCs/>
                <w:sz w:val="22"/>
                <w:szCs w:val="22"/>
              </w:rPr>
              <w:t xml:space="preserve"> by approximately</w:t>
            </w:r>
            <w:r w:rsidRPr="0071232B">
              <w:rPr>
                <w:bCs/>
                <w:sz w:val="22"/>
                <w:szCs w:val="22"/>
              </w:rPr>
              <w:t xml:space="preserve"> 48-fold.</w:t>
            </w:r>
            <w:r w:rsidRPr="0071232B">
              <w:rPr>
                <w:bCs/>
                <w:sz w:val="22"/>
                <w:szCs w:val="22"/>
                <w:u w:val="single"/>
              </w:rPr>
              <w:t xml:space="preserve"> </w:t>
            </w:r>
          </w:p>
          <w:p w14:paraId="73E036E9" w14:textId="77777777" w:rsidR="00BE1421" w:rsidRPr="00342F7C" w:rsidRDefault="00BE1421" w:rsidP="000F64FB">
            <w:pPr>
              <w:pStyle w:val="EMEANormal"/>
              <w:keepNext/>
              <w:rPr>
                <w:lang w:val="en-GB"/>
              </w:rPr>
            </w:pPr>
            <w:r w:rsidRPr="0071232B">
              <w:rPr>
                <w:lang w:val="en-GB"/>
              </w:rPr>
              <w:t>Due to CYP3A</w:t>
            </w:r>
            <w:r>
              <w:rPr>
                <w:lang w:val="en-GB"/>
              </w:rPr>
              <w:t>4</w:t>
            </w:r>
            <w:r w:rsidRPr="0071232B">
              <w:rPr>
                <w:lang w:val="en-GB"/>
              </w:rPr>
              <w:t xml:space="preserve"> inhibition by </w:t>
            </w:r>
            <w:r>
              <w:rPr>
                <w:lang w:val="en-GB"/>
              </w:rPr>
              <w:t>lopinavir/ritonavir</w:t>
            </w:r>
            <w:r w:rsidRPr="0071232B">
              <w:rPr>
                <w:lang w:val="en-GB"/>
              </w:rPr>
              <w:t>.</w:t>
            </w:r>
          </w:p>
        </w:tc>
        <w:tc>
          <w:tcPr>
            <w:tcW w:w="3544" w:type="dxa"/>
            <w:tcBorders>
              <w:top w:val="single" w:sz="4" w:space="0" w:color="auto"/>
              <w:left w:val="single" w:sz="4" w:space="0" w:color="auto"/>
              <w:bottom w:val="single" w:sz="4" w:space="0" w:color="auto"/>
              <w:right w:val="single" w:sz="4" w:space="0" w:color="auto"/>
            </w:tcBorders>
          </w:tcPr>
          <w:p w14:paraId="7BA78BFE" w14:textId="77777777" w:rsidR="00BE1421" w:rsidRPr="0071232B" w:rsidRDefault="00BE1421" w:rsidP="000F64FB">
            <w:pPr>
              <w:pStyle w:val="EMEANormal"/>
              <w:keepNext/>
              <w:rPr>
                <w:lang w:val="en-GB"/>
              </w:rPr>
            </w:pPr>
            <w:r w:rsidRPr="0071232B">
              <w:rPr>
                <w:lang w:val="en-GB"/>
              </w:rPr>
              <w:t>Caution should be exercised in administering Kaletra</w:t>
            </w:r>
            <w:r>
              <w:rPr>
                <w:lang w:val="en-GB"/>
              </w:rPr>
              <w:t xml:space="preserve"> with </w:t>
            </w:r>
            <w:r w:rsidRPr="0071232B">
              <w:rPr>
                <w:lang w:val="en-GB"/>
              </w:rPr>
              <w:t>bosentan.</w:t>
            </w:r>
          </w:p>
          <w:p w14:paraId="65B27925" w14:textId="77777777" w:rsidR="00BE1421" w:rsidRPr="00342F7C" w:rsidRDefault="00BE1421" w:rsidP="000F64FB">
            <w:pPr>
              <w:pStyle w:val="EMEANormal"/>
              <w:keepNext/>
              <w:rPr>
                <w:lang w:val="en-GB"/>
              </w:rPr>
            </w:pPr>
            <w:r w:rsidRPr="0071232B">
              <w:rPr>
                <w:bCs/>
              </w:rPr>
              <w:t xml:space="preserve">When </w:t>
            </w:r>
            <w:r>
              <w:rPr>
                <w:bCs/>
              </w:rPr>
              <w:t xml:space="preserve">Kaletra is </w:t>
            </w:r>
            <w:r w:rsidRPr="0071232B">
              <w:rPr>
                <w:bCs/>
              </w:rPr>
              <w:t xml:space="preserve">administered concomitantly with </w:t>
            </w:r>
            <w:r w:rsidRPr="00285200">
              <w:t>bosentan</w:t>
            </w:r>
            <w:r w:rsidRPr="0071232B">
              <w:rPr>
                <w:bCs/>
              </w:rPr>
              <w:t xml:space="preserve">, the </w:t>
            </w:r>
            <w:r>
              <w:rPr>
                <w:bCs/>
              </w:rPr>
              <w:t>efficacy of the HIV therapy should be monitored and patients should be closely observed for bosentan toxicity, especially during the first week of co-administration</w:t>
            </w:r>
            <w:r w:rsidRPr="0071232B">
              <w:rPr>
                <w:bCs/>
              </w:rPr>
              <w:t xml:space="preserve">. </w:t>
            </w:r>
            <w:r>
              <w:rPr>
                <w:bCs/>
              </w:rPr>
              <w:t xml:space="preserve"> </w:t>
            </w:r>
          </w:p>
        </w:tc>
      </w:tr>
      <w:tr w:rsidR="00BE1421" w:rsidRPr="00342F7C" w14:paraId="638B5633" w14:textId="77777777" w:rsidTr="008F531F">
        <w:tc>
          <w:tcPr>
            <w:tcW w:w="2400" w:type="dxa"/>
            <w:tcBorders>
              <w:top w:val="single" w:sz="4" w:space="0" w:color="auto"/>
              <w:left w:val="single" w:sz="4" w:space="0" w:color="auto"/>
              <w:bottom w:val="single" w:sz="4" w:space="0" w:color="auto"/>
              <w:right w:val="single" w:sz="4" w:space="0" w:color="auto"/>
            </w:tcBorders>
          </w:tcPr>
          <w:p w14:paraId="1305E21E" w14:textId="77777777" w:rsidR="00BE1421" w:rsidRDefault="00BE1421" w:rsidP="006029D2">
            <w:pPr>
              <w:pStyle w:val="EMEANormal"/>
              <w:rPr>
                <w:lang w:val="en-GB"/>
              </w:rPr>
            </w:pPr>
            <w:r>
              <w:rPr>
                <w:lang w:val="en-GB"/>
              </w:rPr>
              <w:t>Riociguat</w:t>
            </w:r>
          </w:p>
        </w:tc>
        <w:tc>
          <w:tcPr>
            <w:tcW w:w="3270" w:type="dxa"/>
            <w:gridSpan w:val="3"/>
            <w:tcBorders>
              <w:top w:val="single" w:sz="4" w:space="0" w:color="auto"/>
              <w:left w:val="single" w:sz="4" w:space="0" w:color="auto"/>
              <w:bottom w:val="single" w:sz="4" w:space="0" w:color="auto"/>
              <w:right w:val="single" w:sz="4" w:space="0" w:color="auto"/>
            </w:tcBorders>
          </w:tcPr>
          <w:p w14:paraId="63C06673" w14:textId="77777777" w:rsidR="00BE1421" w:rsidRDefault="00BE1421" w:rsidP="006029D2">
            <w:pPr>
              <w:pStyle w:val="EMEANormal"/>
              <w:rPr>
                <w:lang w:val="en-GB"/>
              </w:rPr>
            </w:pPr>
            <w:r>
              <w:rPr>
                <w:lang w:val="en-GB"/>
              </w:rPr>
              <w:t>Serum concentrations may be increased due to CYP3A and P</w:t>
            </w:r>
            <w:r>
              <w:rPr>
                <w:lang w:val="en-GB"/>
              </w:rPr>
              <w:noBreakHyphen/>
              <w:t>gp inhibition by lopinavir/ritonavir.</w:t>
            </w:r>
          </w:p>
        </w:tc>
        <w:tc>
          <w:tcPr>
            <w:tcW w:w="3544" w:type="dxa"/>
            <w:tcBorders>
              <w:top w:val="single" w:sz="4" w:space="0" w:color="auto"/>
              <w:left w:val="single" w:sz="4" w:space="0" w:color="auto"/>
              <w:bottom w:val="single" w:sz="4" w:space="0" w:color="auto"/>
              <w:right w:val="single" w:sz="4" w:space="0" w:color="auto"/>
            </w:tcBorders>
          </w:tcPr>
          <w:p w14:paraId="6727238A" w14:textId="77777777" w:rsidR="00BE1421" w:rsidRPr="0071232B" w:rsidRDefault="00BE1421" w:rsidP="006029D2">
            <w:pPr>
              <w:pStyle w:val="EMEANormal"/>
              <w:rPr>
                <w:lang w:val="en-GB"/>
              </w:rPr>
            </w:pPr>
            <w:r>
              <w:rPr>
                <w:lang w:val="en-GB"/>
              </w:rPr>
              <w:t>The co</w:t>
            </w:r>
            <w:r>
              <w:rPr>
                <w:lang w:val="en-GB"/>
              </w:rPr>
              <w:noBreakHyphen/>
              <w:t>administration of riociguat with Kaletra is not recommended (see section 4.4 and refer to riociguat SmPC).</w:t>
            </w:r>
          </w:p>
        </w:tc>
      </w:tr>
      <w:tr w:rsidR="00BE1421" w:rsidRPr="00342F7C" w14:paraId="2DB20D7C"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7376C009" w14:textId="77777777" w:rsidR="00BE1421" w:rsidRPr="00342F7C" w:rsidRDefault="00BE1421" w:rsidP="000B2D5F">
            <w:pPr>
              <w:pStyle w:val="EMEANormal"/>
              <w:rPr>
                <w:i/>
                <w:iCs/>
                <w:lang w:val="en-GB"/>
              </w:rPr>
            </w:pPr>
            <w:r w:rsidRPr="00342F7C">
              <w:rPr>
                <w:i/>
                <w:iCs/>
                <w:lang w:val="en-GB"/>
              </w:rPr>
              <w:t>Other medicinal products</w:t>
            </w:r>
          </w:p>
        </w:tc>
      </w:tr>
      <w:tr w:rsidR="00BE1421" w:rsidRPr="00342F7C" w14:paraId="25C0933F" w14:textId="77777777" w:rsidTr="008E20B3">
        <w:tc>
          <w:tcPr>
            <w:tcW w:w="9214" w:type="dxa"/>
            <w:gridSpan w:val="5"/>
            <w:tcBorders>
              <w:top w:val="single" w:sz="4" w:space="0" w:color="auto"/>
              <w:left w:val="single" w:sz="4" w:space="0" w:color="auto"/>
              <w:bottom w:val="single" w:sz="4" w:space="0" w:color="auto"/>
              <w:right w:val="single" w:sz="4" w:space="0" w:color="auto"/>
            </w:tcBorders>
          </w:tcPr>
          <w:p w14:paraId="22BC1D66" w14:textId="77777777" w:rsidR="00BE1421" w:rsidRPr="00342F7C" w:rsidRDefault="00BE1421" w:rsidP="000B2D5F">
            <w:pPr>
              <w:pStyle w:val="EMEANormal"/>
              <w:rPr>
                <w:iCs/>
                <w:lang w:val="en-GB"/>
              </w:rPr>
            </w:pPr>
            <w:r w:rsidRPr="00342F7C">
              <w:rPr>
                <w:lang w:val="en-GB"/>
              </w:rPr>
              <w:t>Based on known metabolic profiles, clinically significant interactions are not expected between Kaletra and dapsone, trimethoprim/sulfamethoxazole, azithromycin or fluconazole.</w:t>
            </w:r>
          </w:p>
        </w:tc>
      </w:tr>
    </w:tbl>
    <w:p w14:paraId="67DD8C69" w14:textId="77777777" w:rsidR="00D7303D" w:rsidRPr="00342F7C" w:rsidRDefault="00D7303D">
      <w:pPr>
        <w:pStyle w:val="EMEANormal"/>
        <w:rPr>
          <w:lang w:val="en-GB"/>
        </w:rPr>
      </w:pPr>
    </w:p>
    <w:p w14:paraId="39607EA6" w14:textId="77777777" w:rsidR="00D7303D" w:rsidRDefault="00266A4D" w:rsidP="000F64FB">
      <w:pPr>
        <w:pStyle w:val="EMEAHeading2SPC"/>
        <w:spacing w:beforeLines="0" w:before="0" w:afterLines="0" w:after="0"/>
        <w:rPr>
          <w:rFonts w:ascii="Times New Roman" w:hAnsi="Times New Roman"/>
          <w:lang w:val="en-GB"/>
        </w:rPr>
      </w:pPr>
      <w:r>
        <w:rPr>
          <w:rFonts w:ascii="Times New Roman" w:hAnsi="Times New Roman"/>
          <w:lang w:val="en-GB"/>
        </w:rPr>
        <w:t>4.6</w:t>
      </w:r>
      <w:r w:rsidR="00D7303D" w:rsidRPr="00342F7C">
        <w:rPr>
          <w:rFonts w:ascii="Times New Roman" w:hAnsi="Times New Roman"/>
          <w:lang w:val="en-GB"/>
        </w:rPr>
        <w:tab/>
        <w:t>Fertility, pregnancy and lactation</w:t>
      </w:r>
    </w:p>
    <w:p w14:paraId="45E76C5D" w14:textId="77777777" w:rsidR="000F64FB" w:rsidRPr="000F64FB" w:rsidRDefault="000F64FB" w:rsidP="000F64FB">
      <w:pPr>
        <w:pStyle w:val="EMEANormal"/>
        <w:rPr>
          <w:lang w:val="en-GB"/>
        </w:rPr>
      </w:pPr>
    </w:p>
    <w:p w14:paraId="5A34FF41" w14:textId="77777777" w:rsidR="00D7303D" w:rsidRPr="00342F7C" w:rsidRDefault="00D7303D">
      <w:pPr>
        <w:pStyle w:val="EMEANormal"/>
        <w:rPr>
          <w:u w:val="single"/>
          <w:lang w:val="en-GB"/>
        </w:rPr>
      </w:pPr>
      <w:r w:rsidRPr="00342F7C">
        <w:rPr>
          <w:u w:val="single"/>
          <w:lang w:val="en-GB"/>
        </w:rPr>
        <w:t>Pregnancy</w:t>
      </w:r>
    </w:p>
    <w:p w14:paraId="3E3147CA" w14:textId="77777777" w:rsidR="00D7303D" w:rsidRDefault="00D7303D" w:rsidP="00C54149">
      <w:pPr>
        <w:pStyle w:val="EMEANormal"/>
        <w:rPr>
          <w:lang w:val="en-GB"/>
        </w:rPr>
      </w:pPr>
      <w:r w:rsidRPr="00342F7C">
        <w:rPr>
          <w:lang w:val="en-GB"/>
        </w:rPr>
        <w:t>As a general rule, when deciding to use antiretroviral agents for the treatment of HIV infection in pregnant women and consequently for reducing the risk of HIV vertical transmission to the newborn, the animal data as well as the clinical experience in pregnant women should be taken into account in order to characterise the safety for the foetus.</w:t>
      </w:r>
    </w:p>
    <w:p w14:paraId="039BEECC" w14:textId="77777777" w:rsidR="00E9743C" w:rsidRPr="00E9743C" w:rsidRDefault="00E9743C" w:rsidP="00C54149">
      <w:pPr>
        <w:pStyle w:val="EMEANormal"/>
        <w:rPr>
          <w:lang w:val="en-GB"/>
        </w:rPr>
      </w:pPr>
    </w:p>
    <w:p w14:paraId="1024B67E" w14:textId="77777777" w:rsidR="00E9743C" w:rsidRPr="00E9743C" w:rsidRDefault="00E9743C" w:rsidP="00C54149">
      <w:pPr>
        <w:pStyle w:val="EMEANormal"/>
        <w:rPr>
          <w:lang w:val="en-GB"/>
        </w:rPr>
      </w:pPr>
      <w:r w:rsidRPr="00E9743C">
        <w:t xml:space="preserve">Lopinavir/ritonavir has been evaluated in </w:t>
      </w:r>
      <w:r w:rsidR="00444B6C">
        <w:t xml:space="preserve">over 3000 </w:t>
      </w:r>
      <w:r w:rsidRPr="00E9743C">
        <w:t>women during pregnancy, including over 1000 during the first trimester.</w:t>
      </w:r>
    </w:p>
    <w:p w14:paraId="6B79C3F5" w14:textId="77777777" w:rsidR="00D7303D" w:rsidRPr="00342F7C" w:rsidRDefault="00D7303D" w:rsidP="00C54149">
      <w:pPr>
        <w:pStyle w:val="EMEANormal"/>
        <w:rPr>
          <w:u w:val="single"/>
          <w:lang w:val="en-GB"/>
        </w:rPr>
      </w:pPr>
    </w:p>
    <w:p w14:paraId="395F7315" w14:textId="77777777" w:rsidR="00E9743C" w:rsidRPr="00E9743C" w:rsidRDefault="00D7303D" w:rsidP="002A3B2E">
      <w:pPr>
        <w:pStyle w:val="EMEANormal"/>
        <w:keepNext/>
        <w:keepLines/>
      </w:pPr>
      <w:r w:rsidRPr="00342F7C">
        <w:rPr>
          <w:lang w:val="en-GB"/>
        </w:rPr>
        <w:t>In post</w:t>
      </w:r>
      <w:r w:rsidRPr="00342F7C">
        <w:rPr>
          <w:lang w:val="en-GB"/>
        </w:rPr>
        <w:noBreakHyphen/>
        <w:t xml:space="preserve">marketing surveillance through the Antiretroviral Pregnancy Registry, established since January 1989, an increased risk of birth defects exposures with Kaletra has not been reported among over </w:t>
      </w:r>
      <w:r w:rsidR="00E9743C">
        <w:rPr>
          <w:lang w:val="en-GB"/>
        </w:rPr>
        <w:t>1000</w:t>
      </w:r>
      <w:r w:rsidR="00E9743C" w:rsidRPr="00342F7C">
        <w:rPr>
          <w:lang w:val="en-GB"/>
        </w:rPr>
        <w:t xml:space="preserve"> </w:t>
      </w:r>
      <w:r w:rsidRPr="00342F7C">
        <w:rPr>
          <w:lang w:val="en-GB"/>
        </w:rPr>
        <w:t>women exposed during the first trimester.  The prevalence of birth defects after any trimester exposure to lopinavir is comparable to the prevalence observed in the general population.  No pattern of birth defects suggestive of a common etiology was seen.  Studies in animals have shown reproductive toxicity (see section 5.3).  Based on the data mentioned, the malformative risk is unlikely in humans</w:t>
      </w:r>
      <w:r w:rsidRPr="00E9743C">
        <w:rPr>
          <w:lang w:val="en-GB"/>
        </w:rPr>
        <w:t>.</w:t>
      </w:r>
      <w:r w:rsidR="00E9743C" w:rsidRPr="00E9743C">
        <w:rPr>
          <w:lang w:val="en-GB"/>
        </w:rPr>
        <w:t xml:space="preserve">  </w:t>
      </w:r>
      <w:r w:rsidR="00E9743C" w:rsidRPr="00E9743C">
        <w:t>Lopinavir can be used during pregnancy if clinically needed.</w:t>
      </w:r>
    </w:p>
    <w:p w14:paraId="1DCEC7D2" w14:textId="77777777" w:rsidR="00D7303D" w:rsidRPr="00342F7C" w:rsidRDefault="00D7303D">
      <w:pPr>
        <w:pStyle w:val="EMEANormal"/>
        <w:rPr>
          <w:lang w:val="en-GB"/>
        </w:rPr>
      </w:pPr>
    </w:p>
    <w:p w14:paraId="20D478F1" w14:textId="77777777" w:rsidR="00D7303D" w:rsidRPr="00342F7C" w:rsidRDefault="00D7303D" w:rsidP="003C1BB0">
      <w:pPr>
        <w:pStyle w:val="EMEANormal"/>
        <w:keepNext/>
        <w:rPr>
          <w:u w:val="single"/>
          <w:lang w:val="en-GB"/>
        </w:rPr>
      </w:pPr>
      <w:r w:rsidRPr="00342F7C">
        <w:rPr>
          <w:u w:val="single"/>
          <w:lang w:val="en-GB"/>
        </w:rPr>
        <w:t>Breastfeeding</w:t>
      </w:r>
    </w:p>
    <w:p w14:paraId="12306B21" w14:textId="77777777" w:rsidR="00D7303D" w:rsidRPr="00342F7C" w:rsidRDefault="00D7303D" w:rsidP="003C1BB0">
      <w:pPr>
        <w:pStyle w:val="EMEANormal"/>
        <w:keepNext/>
        <w:rPr>
          <w:lang w:val="en-GB"/>
        </w:rPr>
      </w:pPr>
      <w:r w:rsidRPr="00342F7C">
        <w:rPr>
          <w:lang w:val="en-GB"/>
        </w:rPr>
        <w:t xml:space="preserve">Studies in rats revealed that lopinavir is excreted in the milk.  It is not known whether this medicinal product is excreted in human milk.  As a general rule, it is recommended that mothers infected by HIV do not breastfeed their babies under any circumstances in order to avoid transmission of HIV. </w:t>
      </w:r>
    </w:p>
    <w:p w14:paraId="668A7F97" w14:textId="77777777" w:rsidR="00D7303D" w:rsidRPr="00342F7C" w:rsidRDefault="00D7303D" w:rsidP="00DA0BCD">
      <w:pPr>
        <w:pStyle w:val="EMEANormal"/>
        <w:rPr>
          <w:u w:val="single"/>
          <w:lang w:val="en-GB"/>
        </w:rPr>
      </w:pPr>
    </w:p>
    <w:p w14:paraId="6A4DC34E" w14:textId="77777777" w:rsidR="00D7303D" w:rsidRPr="00342F7C" w:rsidRDefault="00D7303D" w:rsidP="00DA0BCD">
      <w:pPr>
        <w:pStyle w:val="EMEANormal"/>
        <w:rPr>
          <w:u w:val="single"/>
          <w:lang w:val="en-GB"/>
        </w:rPr>
      </w:pPr>
      <w:r w:rsidRPr="00342F7C">
        <w:rPr>
          <w:u w:val="single"/>
          <w:lang w:val="en-GB"/>
        </w:rPr>
        <w:t>Fertility</w:t>
      </w:r>
    </w:p>
    <w:p w14:paraId="444A866A" w14:textId="77777777" w:rsidR="00D7303D" w:rsidRDefault="00D7303D" w:rsidP="00DA0BCD">
      <w:pPr>
        <w:pStyle w:val="EMEANormal"/>
        <w:rPr>
          <w:lang w:val="en-GB"/>
        </w:rPr>
      </w:pPr>
      <w:r w:rsidRPr="00342F7C">
        <w:rPr>
          <w:lang w:val="en-GB"/>
        </w:rPr>
        <w:t>Animal studies have shown no effects on fertility.  No human data on the effect of lopinavir/ritonavir on fertility are available.</w:t>
      </w:r>
    </w:p>
    <w:p w14:paraId="7A136CBE" w14:textId="77777777" w:rsidR="000F64FB" w:rsidRPr="00342F7C" w:rsidRDefault="000F64FB" w:rsidP="00DA0BCD">
      <w:pPr>
        <w:pStyle w:val="EMEANormal"/>
        <w:rPr>
          <w:lang w:val="en-GB"/>
        </w:rPr>
      </w:pPr>
    </w:p>
    <w:p w14:paraId="563FA5DD" w14:textId="77777777" w:rsidR="00D7303D" w:rsidRDefault="00266A4D" w:rsidP="000F64FB">
      <w:pPr>
        <w:pStyle w:val="EMEAHeading2SPC"/>
        <w:spacing w:beforeLines="0" w:before="0" w:afterLines="0" w:after="0"/>
        <w:rPr>
          <w:rFonts w:ascii="Times New Roman" w:hAnsi="Times New Roman"/>
          <w:lang w:val="en-GB"/>
        </w:rPr>
      </w:pPr>
      <w:r>
        <w:rPr>
          <w:rFonts w:ascii="Times New Roman" w:hAnsi="Times New Roman"/>
          <w:lang w:val="en-GB"/>
        </w:rPr>
        <w:t>4.7</w:t>
      </w:r>
      <w:r w:rsidR="00D7303D" w:rsidRPr="00342F7C">
        <w:rPr>
          <w:rFonts w:ascii="Times New Roman" w:hAnsi="Times New Roman"/>
          <w:lang w:val="en-GB"/>
        </w:rPr>
        <w:tab/>
        <w:t>Effects on ability to drive and use machines</w:t>
      </w:r>
    </w:p>
    <w:p w14:paraId="62CAFE67" w14:textId="77777777" w:rsidR="000F64FB" w:rsidRPr="000F64FB" w:rsidRDefault="000F64FB" w:rsidP="000F64FB">
      <w:pPr>
        <w:pStyle w:val="EMEANormal"/>
        <w:rPr>
          <w:lang w:val="en-GB"/>
        </w:rPr>
      </w:pPr>
    </w:p>
    <w:p w14:paraId="208E9D92" w14:textId="77777777" w:rsidR="00D7303D" w:rsidRPr="00342F7C" w:rsidRDefault="00D7303D">
      <w:pPr>
        <w:pStyle w:val="EMEANormal"/>
        <w:rPr>
          <w:lang w:val="en-GB"/>
        </w:rPr>
      </w:pPr>
      <w:r w:rsidRPr="00342F7C">
        <w:rPr>
          <w:lang w:val="en-GB"/>
        </w:rPr>
        <w:t>No studies on the effects on the ability to drive and use machines have been performed.  Patients should be informed that nausea has been reported during treatment with Kaletra (see section 4.8).</w:t>
      </w:r>
    </w:p>
    <w:p w14:paraId="1A3FAFF3" w14:textId="77777777" w:rsidR="000F64FB" w:rsidRDefault="000F64FB" w:rsidP="000F64FB">
      <w:pPr>
        <w:pStyle w:val="EMEAHeading2SPC"/>
        <w:spacing w:beforeLines="0" w:before="0" w:afterLines="0" w:after="0"/>
        <w:rPr>
          <w:rFonts w:ascii="Times New Roman" w:hAnsi="Times New Roman"/>
          <w:lang w:val="en-GB"/>
        </w:rPr>
      </w:pPr>
    </w:p>
    <w:p w14:paraId="184DC2D0" w14:textId="77777777" w:rsidR="00D7303D" w:rsidRDefault="00266A4D" w:rsidP="000F64FB">
      <w:pPr>
        <w:pStyle w:val="EMEAHeading2SPC"/>
        <w:spacing w:beforeLines="0" w:before="0" w:afterLines="0" w:after="0"/>
        <w:rPr>
          <w:rFonts w:ascii="Times New Roman" w:hAnsi="Times New Roman"/>
          <w:lang w:val="en-GB"/>
        </w:rPr>
      </w:pPr>
      <w:r>
        <w:rPr>
          <w:rFonts w:ascii="Times New Roman" w:hAnsi="Times New Roman"/>
          <w:lang w:val="en-GB"/>
        </w:rPr>
        <w:t>4.8</w:t>
      </w:r>
      <w:r w:rsidR="00D7303D" w:rsidRPr="00342F7C">
        <w:rPr>
          <w:rFonts w:ascii="Times New Roman" w:hAnsi="Times New Roman"/>
          <w:lang w:val="en-GB"/>
        </w:rPr>
        <w:tab/>
        <w:t xml:space="preserve">Undesirable effects </w:t>
      </w:r>
    </w:p>
    <w:p w14:paraId="7A376E9D" w14:textId="77777777" w:rsidR="000F64FB" w:rsidRPr="000F64FB" w:rsidRDefault="000F64FB" w:rsidP="000F64FB">
      <w:pPr>
        <w:pStyle w:val="EMEANormal"/>
        <w:rPr>
          <w:lang w:val="en-GB"/>
        </w:rPr>
      </w:pPr>
    </w:p>
    <w:p w14:paraId="3B9B810F" w14:textId="77777777" w:rsidR="00D7303D" w:rsidRPr="00342F7C" w:rsidRDefault="00D7303D" w:rsidP="00A94B17">
      <w:pPr>
        <w:pStyle w:val="EMEANormal"/>
        <w:rPr>
          <w:u w:val="single"/>
          <w:lang w:val="en-GB"/>
        </w:rPr>
      </w:pPr>
      <w:r w:rsidRPr="00342F7C">
        <w:rPr>
          <w:u w:val="single"/>
          <w:lang w:val="en-GB"/>
        </w:rPr>
        <w:t>a. Summary of the safety profile</w:t>
      </w:r>
    </w:p>
    <w:p w14:paraId="57B2F863" w14:textId="77777777" w:rsidR="00D7303D" w:rsidRPr="00342F7C" w:rsidRDefault="00D7303D">
      <w:pPr>
        <w:pStyle w:val="EMEANormal"/>
        <w:rPr>
          <w:lang w:val="en-GB"/>
        </w:rPr>
      </w:pPr>
    </w:p>
    <w:p w14:paraId="07EFC2F0" w14:textId="77777777" w:rsidR="00D7303D" w:rsidRPr="00342F7C" w:rsidRDefault="00D7303D">
      <w:pPr>
        <w:pStyle w:val="EMEANormal"/>
        <w:rPr>
          <w:lang w:val="en-GB"/>
        </w:rPr>
      </w:pPr>
      <w:r w:rsidRPr="00342F7C">
        <w:rPr>
          <w:lang w:val="en-GB"/>
        </w:rPr>
        <w:t>The safety of Kaletra has been investigated in over 2600 patients in Phase II</w:t>
      </w:r>
      <w:r w:rsidRPr="00342F7C">
        <w:rPr>
          <w:lang w:val="en-GB"/>
        </w:rPr>
        <w:noBreakHyphen/>
        <w:t>IV clinical trials, of which over 700 have received a dose of 800/200 mg (6 capsules or 4 tablets) once daily.  Along with nucleoside reverse transcriptase inhibitors (NRTIs), in some studies, Kaletra was used in combination with efavirenz or nevirapine.</w:t>
      </w:r>
    </w:p>
    <w:p w14:paraId="141623EB" w14:textId="77777777" w:rsidR="00D7303D" w:rsidRPr="00342F7C" w:rsidRDefault="00D7303D">
      <w:pPr>
        <w:pStyle w:val="EMEANormal"/>
        <w:rPr>
          <w:lang w:val="en-GB"/>
        </w:rPr>
      </w:pPr>
    </w:p>
    <w:p w14:paraId="306CA0B9" w14:textId="77777777" w:rsidR="00D7303D" w:rsidRPr="00342F7C" w:rsidRDefault="00D7303D">
      <w:pPr>
        <w:pStyle w:val="EMEANormal"/>
        <w:rPr>
          <w:lang w:val="en-GB"/>
        </w:rPr>
      </w:pPr>
      <w:r w:rsidRPr="00342F7C">
        <w:rPr>
          <w:lang w:val="en-GB"/>
        </w:rPr>
        <w:t>The most common adverse reactions related to Kaletra therapy during clinical trials were diarrhoea</w:t>
      </w:r>
      <w:r w:rsidRPr="00342F7C">
        <w:rPr>
          <w:szCs w:val="22"/>
          <w:lang w:val="en-GB"/>
        </w:rPr>
        <w:t>, nausea, vomiting, hypertriglyceridaemia and hypercholesterolemia</w:t>
      </w:r>
      <w:r w:rsidRPr="00342F7C">
        <w:rPr>
          <w:lang w:val="en-GB"/>
        </w:rPr>
        <w:t>.  The risk of diarrhoea may be greater with once</w:t>
      </w:r>
      <w:r w:rsidR="00BD64AF">
        <w:rPr>
          <w:lang w:val="en-GB"/>
        </w:rPr>
        <w:noBreakHyphen/>
      </w:r>
      <w:r w:rsidRPr="00342F7C">
        <w:rPr>
          <w:lang w:val="en-GB"/>
        </w:rPr>
        <w:t xml:space="preserve">daily dosing of Kaletra.  </w:t>
      </w:r>
      <w:r w:rsidRPr="00342F7C">
        <w:rPr>
          <w:szCs w:val="22"/>
          <w:lang w:val="en-GB"/>
        </w:rPr>
        <w:t>Diarrhoea, nausea and vomiting may occur at the beginning of the treatment while hypertriglyceridaemia and hypercholesterolemia may occur later.  Treatment emergent adverse events led to premature study discontinuation for 7% of subjects from Phase II</w:t>
      </w:r>
      <w:r w:rsidRPr="00342F7C">
        <w:rPr>
          <w:szCs w:val="22"/>
          <w:lang w:val="en-GB"/>
        </w:rPr>
        <w:noBreakHyphen/>
        <w:t>IV studies.</w:t>
      </w:r>
    </w:p>
    <w:p w14:paraId="525EB571" w14:textId="77777777" w:rsidR="00D7303D" w:rsidRPr="00342F7C" w:rsidRDefault="00D7303D">
      <w:pPr>
        <w:pStyle w:val="EMEANormal"/>
        <w:rPr>
          <w:lang w:val="en-GB"/>
        </w:rPr>
      </w:pPr>
    </w:p>
    <w:p w14:paraId="1663A0E5" w14:textId="77777777" w:rsidR="00D7303D" w:rsidRPr="00342F7C" w:rsidRDefault="00D7303D">
      <w:pPr>
        <w:pStyle w:val="EMEANormal"/>
        <w:rPr>
          <w:lang w:val="en-GB"/>
        </w:rPr>
      </w:pPr>
      <w:r w:rsidRPr="00342F7C">
        <w:rPr>
          <w:lang w:val="en-GB"/>
        </w:rPr>
        <w:t>It is important to note that cases of pancreatitis have been reported in patients receiving Kaletra, including those who developed hypertriglyceridaemia.  Furthermore, rare increases in PR interval have been reported during Kaletra therapy (see section 4.4).</w:t>
      </w:r>
    </w:p>
    <w:p w14:paraId="072039CD" w14:textId="77777777" w:rsidR="00D7303D" w:rsidRPr="00342F7C" w:rsidRDefault="00D7303D">
      <w:pPr>
        <w:pStyle w:val="EMEANormal"/>
        <w:rPr>
          <w:lang w:val="en-GB"/>
        </w:rPr>
      </w:pPr>
    </w:p>
    <w:p w14:paraId="7A562152" w14:textId="77777777" w:rsidR="00D7303D" w:rsidRDefault="00D7303D" w:rsidP="00A67625">
      <w:pPr>
        <w:pStyle w:val="EMEAHeadingItalic"/>
        <w:spacing w:beforeLines="0" w:before="0" w:afterLines="0" w:after="0"/>
        <w:rPr>
          <w:i w:val="0"/>
          <w:u w:val="single"/>
          <w:lang w:val="en-GB"/>
        </w:rPr>
      </w:pPr>
      <w:r w:rsidRPr="00342F7C">
        <w:rPr>
          <w:i w:val="0"/>
          <w:u w:val="single"/>
          <w:lang w:val="en-GB"/>
        </w:rPr>
        <w:t>b. Tabulated list of adverse reactions</w:t>
      </w:r>
    </w:p>
    <w:p w14:paraId="55493B4D" w14:textId="77777777" w:rsidR="00A67625" w:rsidRPr="00A67625" w:rsidRDefault="00A67625" w:rsidP="00A67625">
      <w:pPr>
        <w:pStyle w:val="EMEANormal"/>
        <w:rPr>
          <w:lang w:val="en-GB"/>
        </w:rPr>
      </w:pPr>
    </w:p>
    <w:p w14:paraId="7574E431" w14:textId="77777777" w:rsidR="00D7303D" w:rsidRDefault="00D7303D" w:rsidP="00A67625">
      <w:pPr>
        <w:pStyle w:val="EMEAHeadingItalic"/>
        <w:spacing w:beforeLines="0" w:before="0" w:afterLines="0" w:after="0"/>
        <w:rPr>
          <w:szCs w:val="22"/>
          <w:lang w:val="en-GB"/>
        </w:rPr>
      </w:pPr>
      <w:r w:rsidRPr="00342F7C">
        <w:rPr>
          <w:lang w:val="en-GB"/>
        </w:rPr>
        <w:t>Adverse reactions</w:t>
      </w:r>
      <w:r w:rsidRPr="00342F7C">
        <w:rPr>
          <w:szCs w:val="22"/>
          <w:lang w:val="en-GB"/>
        </w:rPr>
        <w:t xml:space="preserve"> from clinical trials and post-marketing experience in adult and paediatric patients:</w:t>
      </w:r>
    </w:p>
    <w:p w14:paraId="2063293C" w14:textId="77777777" w:rsidR="00A67625" w:rsidRPr="00A67625" w:rsidRDefault="00A67625" w:rsidP="00A67625">
      <w:pPr>
        <w:pStyle w:val="EMEANormal"/>
        <w:rPr>
          <w:lang w:val="en-GB"/>
        </w:rPr>
      </w:pPr>
    </w:p>
    <w:p w14:paraId="173198F9" w14:textId="77777777" w:rsidR="00D7303D" w:rsidRPr="005A7D58" w:rsidRDefault="00D7303D" w:rsidP="0099677F">
      <w:pPr>
        <w:rPr>
          <w:sz w:val="22"/>
          <w:szCs w:val="22"/>
        </w:rPr>
      </w:pPr>
      <w:r w:rsidRPr="00342F7C">
        <w:rPr>
          <w:sz w:val="22"/>
        </w:rPr>
        <w:t>The following events have been identified as adverse reactions.  The frequency category includes all reported events of moderate to severe intensity, regardless of the individual causality assessment.</w:t>
      </w:r>
      <w:r w:rsidRPr="00342F7C">
        <w:rPr>
          <w:sz w:val="22"/>
          <w:szCs w:val="20"/>
        </w:rPr>
        <w:t xml:space="preserve">  </w:t>
      </w:r>
      <w:r w:rsidRPr="00342F7C">
        <w:rPr>
          <w:bCs/>
          <w:sz w:val="22"/>
          <w:szCs w:val="20"/>
        </w:rPr>
        <w:t xml:space="preserve">The adverse reactions are displayed by system organ class.  Within each frequency grouping, undesirable effects are presented in order of decreasing seriousness: very common (≥ 1/10), common (≥ 1/100 </w:t>
      </w:r>
      <w:r w:rsidRPr="005A7D58">
        <w:rPr>
          <w:bCs/>
          <w:sz w:val="22"/>
          <w:szCs w:val="22"/>
        </w:rPr>
        <w:t>to &lt; 1/10), uncommon (≥ 1/1000 to &lt; 1/100)</w:t>
      </w:r>
      <w:r w:rsidR="002B6A81" w:rsidRPr="005A7D58">
        <w:rPr>
          <w:bCs/>
          <w:sz w:val="22"/>
          <w:szCs w:val="22"/>
        </w:rPr>
        <w:t>,</w:t>
      </w:r>
      <w:r w:rsidRPr="005A7D58">
        <w:rPr>
          <w:bCs/>
          <w:sz w:val="22"/>
          <w:szCs w:val="22"/>
        </w:rPr>
        <w:t xml:space="preserve"> </w:t>
      </w:r>
      <w:r w:rsidR="0099677F" w:rsidRPr="005A7D58">
        <w:rPr>
          <w:bCs/>
          <w:sz w:val="22"/>
          <w:szCs w:val="22"/>
        </w:rPr>
        <w:t>rare (≥1/10,000 to &lt;1/1000)</w:t>
      </w:r>
      <w:r w:rsidR="002B6A81" w:rsidRPr="005A7D58">
        <w:rPr>
          <w:bCs/>
          <w:sz w:val="22"/>
          <w:szCs w:val="22"/>
        </w:rPr>
        <w:t xml:space="preserve"> and </w:t>
      </w:r>
      <w:r w:rsidR="002B6A81" w:rsidRPr="005A7D58">
        <w:rPr>
          <w:color w:val="000000"/>
          <w:sz w:val="22"/>
          <w:szCs w:val="22"/>
        </w:rPr>
        <w:t>not known (cannot be estimated from the available data)</w:t>
      </w:r>
      <w:r w:rsidRPr="005A7D58">
        <w:rPr>
          <w:bCs/>
          <w:sz w:val="22"/>
          <w:szCs w:val="22"/>
        </w:rPr>
        <w:t>.</w:t>
      </w:r>
    </w:p>
    <w:p w14:paraId="64C64872" w14:textId="77777777" w:rsidR="00D7303D" w:rsidRPr="00342F7C" w:rsidRDefault="00D7303D">
      <w:pPr>
        <w:pStyle w:val="EMEANormal"/>
        <w:tabs>
          <w:tab w:val="clear" w:pos="562"/>
          <w:tab w:val="left" w:pos="7340"/>
        </w:tabs>
        <w:suppressAutoHyphens w:val="0"/>
        <w:rPr>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9"/>
        <w:gridCol w:w="1657"/>
        <w:gridCol w:w="4374"/>
      </w:tblGrid>
      <w:tr w:rsidR="00D7303D" w:rsidRPr="00342F7C" w14:paraId="21F92245" w14:textId="77777777" w:rsidTr="00E4141B">
        <w:trPr>
          <w:cantSplit/>
        </w:trPr>
        <w:tc>
          <w:tcPr>
            <w:tcW w:w="9060" w:type="dxa"/>
            <w:gridSpan w:val="3"/>
            <w:tcBorders>
              <w:top w:val="single" w:sz="4" w:space="0" w:color="auto"/>
              <w:left w:val="single" w:sz="4" w:space="0" w:color="auto"/>
              <w:bottom w:val="single" w:sz="4" w:space="0" w:color="auto"/>
              <w:right w:val="single" w:sz="4" w:space="0" w:color="auto"/>
            </w:tcBorders>
          </w:tcPr>
          <w:p w14:paraId="25D61BE7" w14:textId="77777777" w:rsidR="00D7303D" w:rsidRPr="00342F7C" w:rsidRDefault="00D7303D" w:rsidP="002A3B2E">
            <w:pPr>
              <w:pStyle w:val="EMEANormal"/>
              <w:keepNext/>
              <w:spacing w:before="120" w:after="120"/>
              <w:jc w:val="center"/>
              <w:rPr>
                <w:b/>
                <w:bCs/>
                <w:szCs w:val="22"/>
                <w:lang w:val="en-GB"/>
              </w:rPr>
            </w:pPr>
            <w:r w:rsidRPr="00342F7C">
              <w:rPr>
                <w:b/>
                <w:bCs/>
                <w:szCs w:val="22"/>
                <w:lang w:val="en-GB"/>
              </w:rPr>
              <w:t>Undesirable effects in clinical studies and post-marketing in adult patients</w:t>
            </w:r>
          </w:p>
        </w:tc>
      </w:tr>
      <w:tr w:rsidR="00D7303D" w:rsidRPr="00342F7C" w14:paraId="759B2C1E" w14:textId="77777777" w:rsidTr="00E4141B">
        <w:trPr>
          <w:cantSplit/>
        </w:trPr>
        <w:tc>
          <w:tcPr>
            <w:tcW w:w="3029" w:type="dxa"/>
          </w:tcPr>
          <w:p w14:paraId="6DA47121" w14:textId="77777777" w:rsidR="00D7303D" w:rsidRPr="00342F7C" w:rsidRDefault="00D7303D" w:rsidP="002A3B2E">
            <w:pPr>
              <w:pStyle w:val="EMEANormal"/>
              <w:keepNext/>
              <w:spacing w:before="120" w:after="120"/>
              <w:jc w:val="center"/>
              <w:rPr>
                <w:b/>
                <w:bCs/>
                <w:szCs w:val="22"/>
                <w:lang w:val="en-GB"/>
              </w:rPr>
            </w:pPr>
            <w:r w:rsidRPr="00342F7C">
              <w:rPr>
                <w:b/>
                <w:bCs/>
                <w:szCs w:val="22"/>
                <w:lang w:val="en-GB"/>
              </w:rPr>
              <w:t>System organ class</w:t>
            </w:r>
          </w:p>
        </w:tc>
        <w:tc>
          <w:tcPr>
            <w:tcW w:w="1657" w:type="dxa"/>
            <w:tcBorders>
              <w:bottom w:val="single" w:sz="4" w:space="0" w:color="auto"/>
            </w:tcBorders>
          </w:tcPr>
          <w:p w14:paraId="5894E471" w14:textId="77777777" w:rsidR="00D7303D" w:rsidRPr="00342F7C" w:rsidRDefault="00D7303D" w:rsidP="002A3B2E">
            <w:pPr>
              <w:pStyle w:val="EMEANormal"/>
              <w:keepNext/>
              <w:spacing w:before="120" w:after="120"/>
              <w:jc w:val="center"/>
              <w:rPr>
                <w:b/>
                <w:bCs/>
                <w:szCs w:val="22"/>
                <w:lang w:val="en-GB"/>
              </w:rPr>
            </w:pPr>
            <w:r w:rsidRPr="00342F7C">
              <w:rPr>
                <w:b/>
                <w:bCs/>
                <w:szCs w:val="22"/>
                <w:lang w:val="en-GB"/>
              </w:rPr>
              <w:t>Frequency</w:t>
            </w:r>
          </w:p>
        </w:tc>
        <w:tc>
          <w:tcPr>
            <w:tcW w:w="4374" w:type="dxa"/>
            <w:tcBorders>
              <w:bottom w:val="single" w:sz="4" w:space="0" w:color="auto"/>
            </w:tcBorders>
          </w:tcPr>
          <w:p w14:paraId="630C9ACA" w14:textId="77777777" w:rsidR="00D7303D" w:rsidRPr="00342F7C" w:rsidRDefault="00D7303D" w:rsidP="002A3B2E">
            <w:pPr>
              <w:pStyle w:val="EMEANormal"/>
              <w:keepNext/>
              <w:spacing w:before="120" w:after="120"/>
              <w:jc w:val="center"/>
              <w:rPr>
                <w:b/>
                <w:bCs/>
                <w:szCs w:val="22"/>
                <w:lang w:val="en-GB"/>
              </w:rPr>
            </w:pPr>
            <w:r w:rsidRPr="00342F7C">
              <w:rPr>
                <w:b/>
                <w:bCs/>
                <w:szCs w:val="22"/>
                <w:lang w:val="en-GB"/>
              </w:rPr>
              <w:t>Adverse reaction</w:t>
            </w:r>
          </w:p>
        </w:tc>
      </w:tr>
      <w:tr w:rsidR="00D7303D" w:rsidRPr="00342F7C" w14:paraId="5702E663" w14:textId="77777777" w:rsidTr="00E4141B">
        <w:trPr>
          <w:cantSplit/>
        </w:trPr>
        <w:tc>
          <w:tcPr>
            <w:tcW w:w="3029" w:type="dxa"/>
            <w:vMerge w:val="restart"/>
          </w:tcPr>
          <w:p w14:paraId="5CF87AF3" w14:textId="77777777" w:rsidR="00D7303D" w:rsidRPr="00342F7C" w:rsidRDefault="00D7303D" w:rsidP="00C50403">
            <w:pPr>
              <w:pStyle w:val="EMEANormal"/>
              <w:rPr>
                <w:bCs/>
                <w:szCs w:val="22"/>
                <w:lang w:val="en-GB"/>
              </w:rPr>
            </w:pPr>
            <w:r w:rsidRPr="00342F7C">
              <w:rPr>
                <w:bCs/>
                <w:szCs w:val="22"/>
                <w:lang w:val="en-GB"/>
              </w:rPr>
              <w:t>Infections and infestations</w:t>
            </w:r>
          </w:p>
        </w:tc>
        <w:tc>
          <w:tcPr>
            <w:tcW w:w="1657" w:type="dxa"/>
            <w:tcBorders>
              <w:bottom w:val="nil"/>
            </w:tcBorders>
          </w:tcPr>
          <w:p w14:paraId="4391A673" w14:textId="77777777" w:rsidR="00D7303D" w:rsidRPr="00342F7C" w:rsidRDefault="00D7303D" w:rsidP="00C50403">
            <w:pPr>
              <w:pStyle w:val="EMEANormal"/>
              <w:rPr>
                <w:bCs/>
                <w:szCs w:val="22"/>
                <w:lang w:val="en-GB"/>
              </w:rPr>
            </w:pPr>
            <w:r w:rsidRPr="00342F7C">
              <w:rPr>
                <w:bCs/>
                <w:szCs w:val="22"/>
                <w:lang w:val="en-GB"/>
              </w:rPr>
              <w:t>Very common</w:t>
            </w:r>
          </w:p>
        </w:tc>
        <w:tc>
          <w:tcPr>
            <w:tcW w:w="4374" w:type="dxa"/>
            <w:tcBorders>
              <w:bottom w:val="nil"/>
            </w:tcBorders>
          </w:tcPr>
          <w:p w14:paraId="45AB7261" w14:textId="77777777" w:rsidR="00D7303D" w:rsidRPr="00342F7C" w:rsidRDefault="00D7303D" w:rsidP="00C50403">
            <w:pPr>
              <w:pStyle w:val="EMEANormal"/>
              <w:rPr>
                <w:bCs/>
                <w:szCs w:val="22"/>
                <w:lang w:val="en-GB"/>
              </w:rPr>
            </w:pPr>
            <w:r w:rsidRPr="00342F7C">
              <w:rPr>
                <w:bCs/>
                <w:szCs w:val="22"/>
                <w:lang w:val="en-GB"/>
              </w:rPr>
              <w:t>Upper respiratory tract infection</w:t>
            </w:r>
          </w:p>
          <w:p w14:paraId="5D4FBC97" w14:textId="77777777" w:rsidR="00D7303D" w:rsidRPr="00342F7C" w:rsidRDefault="00D7303D" w:rsidP="00C50403">
            <w:pPr>
              <w:pStyle w:val="EMEANormal"/>
              <w:rPr>
                <w:bCs/>
                <w:szCs w:val="22"/>
                <w:lang w:val="en-GB"/>
              </w:rPr>
            </w:pPr>
          </w:p>
        </w:tc>
      </w:tr>
      <w:tr w:rsidR="00D7303D" w:rsidRPr="00342F7C" w14:paraId="1A8E011B" w14:textId="77777777" w:rsidTr="00E4141B">
        <w:trPr>
          <w:cantSplit/>
        </w:trPr>
        <w:tc>
          <w:tcPr>
            <w:tcW w:w="3029" w:type="dxa"/>
            <w:vMerge/>
          </w:tcPr>
          <w:p w14:paraId="254D55A2" w14:textId="77777777" w:rsidR="00D7303D" w:rsidRPr="00342F7C" w:rsidRDefault="00D7303D" w:rsidP="00C50403">
            <w:pPr>
              <w:pStyle w:val="EMEANormal"/>
              <w:rPr>
                <w:b/>
                <w:bCs/>
                <w:szCs w:val="22"/>
                <w:lang w:val="en-GB"/>
              </w:rPr>
            </w:pPr>
          </w:p>
        </w:tc>
        <w:tc>
          <w:tcPr>
            <w:tcW w:w="1657" w:type="dxa"/>
            <w:tcBorders>
              <w:top w:val="nil"/>
              <w:bottom w:val="single" w:sz="4" w:space="0" w:color="auto"/>
            </w:tcBorders>
          </w:tcPr>
          <w:p w14:paraId="22DAF062" w14:textId="77777777" w:rsidR="00D7303D" w:rsidRPr="00342F7C" w:rsidRDefault="00D7303D" w:rsidP="00C50403">
            <w:pPr>
              <w:pStyle w:val="EMEANormal"/>
              <w:rPr>
                <w:bCs/>
                <w:szCs w:val="22"/>
                <w:lang w:val="en-GB"/>
              </w:rPr>
            </w:pPr>
            <w:r w:rsidRPr="00342F7C">
              <w:rPr>
                <w:bCs/>
                <w:szCs w:val="22"/>
                <w:lang w:val="en-GB"/>
              </w:rPr>
              <w:t>Common</w:t>
            </w:r>
          </w:p>
        </w:tc>
        <w:tc>
          <w:tcPr>
            <w:tcW w:w="4374" w:type="dxa"/>
            <w:tcBorders>
              <w:top w:val="nil"/>
              <w:bottom w:val="single" w:sz="4" w:space="0" w:color="auto"/>
            </w:tcBorders>
          </w:tcPr>
          <w:p w14:paraId="4444B2D9" w14:textId="77777777" w:rsidR="00D7303D" w:rsidRPr="00342F7C" w:rsidRDefault="00D7303D" w:rsidP="00C50403">
            <w:pPr>
              <w:pStyle w:val="EMEANormal"/>
              <w:rPr>
                <w:bCs/>
                <w:szCs w:val="22"/>
                <w:lang w:val="en-GB"/>
              </w:rPr>
            </w:pPr>
            <w:r w:rsidRPr="00342F7C">
              <w:rPr>
                <w:szCs w:val="22"/>
                <w:lang w:val="en-GB"/>
              </w:rPr>
              <w:t>Lower respiratory tract infection, skin infections including cellulitis, folliculitis and furuncle</w:t>
            </w:r>
          </w:p>
        </w:tc>
      </w:tr>
      <w:tr w:rsidR="00D7303D" w:rsidRPr="00342F7C" w14:paraId="61D19ED9" w14:textId="77777777" w:rsidTr="00E4141B">
        <w:trPr>
          <w:cantSplit/>
          <w:trHeight w:val="510"/>
        </w:trPr>
        <w:tc>
          <w:tcPr>
            <w:tcW w:w="3029" w:type="dxa"/>
          </w:tcPr>
          <w:p w14:paraId="54CD2D38" w14:textId="77777777" w:rsidR="00D7303D" w:rsidRPr="00342F7C" w:rsidRDefault="00D7303D" w:rsidP="00C50403">
            <w:pPr>
              <w:pStyle w:val="EMEANormal"/>
              <w:tabs>
                <w:tab w:val="clear" w:pos="562"/>
                <w:tab w:val="left" w:pos="7340"/>
              </w:tabs>
              <w:suppressAutoHyphens w:val="0"/>
              <w:rPr>
                <w:szCs w:val="22"/>
                <w:lang w:val="en-GB"/>
              </w:rPr>
            </w:pPr>
            <w:r w:rsidRPr="00342F7C">
              <w:rPr>
                <w:szCs w:val="22"/>
                <w:lang w:val="en-GB"/>
              </w:rPr>
              <w:t>Blood and lymphatic system disorders</w:t>
            </w:r>
          </w:p>
        </w:tc>
        <w:tc>
          <w:tcPr>
            <w:tcW w:w="1657" w:type="dxa"/>
          </w:tcPr>
          <w:p w14:paraId="5E4C90F6" w14:textId="77777777" w:rsidR="00D7303D" w:rsidRPr="00342F7C" w:rsidRDefault="00D7303D" w:rsidP="00C50403">
            <w:pPr>
              <w:pStyle w:val="EMEANormal"/>
              <w:jc w:val="both"/>
              <w:rPr>
                <w:szCs w:val="22"/>
                <w:lang w:val="en-GB"/>
              </w:rPr>
            </w:pPr>
            <w:r w:rsidRPr="00342F7C">
              <w:rPr>
                <w:szCs w:val="22"/>
                <w:lang w:val="en-GB"/>
              </w:rPr>
              <w:t>Common</w:t>
            </w:r>
          </w:p>
        </w:tc>
        <w:tc>
          <w:tcPr>
            <w:tcW w:w="4374" w:type="dxa"/>
          </w:tcPr>
          <w:p w14:paraId="3A62227B" w14:textId="77777777" w:rsidR="00D7303D" w:rsidRPr="00342F7C" w:rsidRDefault="00D7303D" w:rsidP="00C50403">
            <w:pPr>
              <w:pStyle w:val="EMEANormal"/>
              <w:tabs>
                <w:tab w:val="left" w:pos="980"/>
              </w:tabs>
              <w:rPr>
                <w:szCs w:val="22"/>
                <w:lang w:val="en-GB"/>
              </w:rPr>
            </w:pPr>
            <w:r w:rsidRPr="00342F7C">
              <w:rPr>
                <w:szCs w:val="22"/>
                <w:lang w:val="en-GB"/>
              </w:rPr>
              <w:t>Anaemia, leucopenia, neutropenia, lymphadenopathy</w:t>
            </w:r>
          </w:p>
        </w:tc>
      </w:tr>
      <w:tr w:rsidR="00D7303D" w:rsidRPr="00342F7C" w14:paraId="014B04A6" w14:textId="77777777" w:rsidTr="00E4141B">
        <w:trPr>
          <w:cantSplit/>
        </w:trPr>
        <w:tc>
          <w:tcPr>
            <w:tcW w:w="3029" w:type="dxa"/>
            <w:vMerge w:val="restart"/>
          </w:tcPr>
          <w:p w14:paraId="41C7E6B0" w14:textId="77777777" w:rsidR="00D7303D" w:rsidRPr="00342F7C" w:rsidRDefault="00D7303D" w:rsidP="00C50403">
            <w:pPr>
              <w:pStyle w:val="EMEANormal"/>
              <w:tabs>
                <w:tab w:val="clear" w:pos="562"/>
                <w:tab w:val="left" w:pos="7340"/>
              </w:tabs>
              <w:suppressAutoHyphens w:val="0"/>
              <w:rPr>
                <w:szCs w:val="22"/>
                <w:lang w:val="en-GB"/>
              </w:rPr>
            </w:pPr>
            <w:r w:rsidRPr="00342F7C">
              <w:rPr>
                <w:szCs w:val="22"/>
                <w:lang w:val="en-GB"/>
              </w:rPr>
              <w:t>Immune system disorders</w:t>
            </w:r>
          </w:p>
        </w:tc>
        <w:tc>
          <w:tcPr>
            <w:tcW w:w="1657" w:type="dxa"/>
            <w:tcBorders>
              <w:top w:val="single" w:sz="4" w:space="0" w:color="auto"/>
              <w:bottom w:val="nil"/>
            </w:tcBorders>
          </w:tcPr>
          <w:p w14:paraId="2CE9D172" w14:textId="77777777" w:rsidR="00D7303D" w:rsidRPr="00342F7C" w:rsidRDefault="00D7303D" w:rsidP="00C50403">
            <w:pPr>
              <w:pStyle w:val="EMEANormal"/>
              <w:rPr>
                <w:szCs w:val="22"/>
                <w:lang w:val="en-GB"/>
              </w:rPr>
            </w:pPr>
            <w:r w:rsidRPr="00342F7C">
              <w:rPr>
                <w:szCs w:val="22"/>
                <w:lang w:val="en-GB"/>
              </w:rPr>
              <w:t>Common</w:t>
            </w:r>
          </w:p>
        </w:tc>
        <w:tc>
          <w:tcPr>
            <w:tcW w:w="4374" w:type="dxa"/>
            <w:tcBorders>
              <w:top w:val="single" w:sz="4" w:space="0" w:color="auto"/>
              <w:bottom w:val="nil"/>
            </w:tcBorders>
          </w:tcPr>
          <w:p w14:paraId="2114BE49" w14:textId="77777777" w:rsidR="00D7303D" w:rsidRPr="00342F7C" w:rsidRDefault="00D7303D" w:rsidP="00C50403">
            <w:pPr>
              <w:pStyle w:val="EMEANormal"/>
              <w:rPr>
                <w:szCs w:val="22"/>
                <w:lang w:val="en-GB"/>
              </w:rPr>
            </w:pPr>
            <w:r w:rsidRPr="00342F7C">
              <w:rPr>
                <w:szCs w:val="22"/>
                <w:lang w:val="en-GB"/>
              </w:rPr>
              <w:t>Hypersensitivity including urticaria and angioedema</w:t>
            </w:r>
          </w:p>
          <w:p w14:paraId="33D4AF04" w14:textId="77777777" w:rsidR="00D7303D" w:rsidRPr="00342F7C" w:rsidRDefault="00D7303D" w:rsidP="00C50403">
            <w:pPr>
              <w:pStyle w:val="EMEANormal"/>
              <w:rPr>
                <w:szCs w:val="22"/>
                <w:lang w:val="en-GB"/>
              </w:rPr>
            </w:pPr>
          </w:p>
        </w:tc>
      </w:tr>
      <w:tr w:rsidR="00D7303D" w:rsidRPr="00342F7C" w14:paraId="44E1E919" w14:textId="77777777" w:rsidTr="00E4141B">
        <w:trPr>
          <w:cantSplit/>
        </w:trPr>
        <w:tc>
          <w:tcPr>
            <w:tcW w:w="3029" w:type="dxa"/>
            <w:vMerge/>
          </w:tcPr>
          <w:p w14:paraId="35FDFFC4" w14:textId="77777777" w:rsidR="00D7303D" w:rsidRPr="00342F7C" w:rsidRDefault="00D7303D" w:rsidP="00C50403">
            <w:pPr>
              <w:pStyle w:val="EMEANormal"/>
              <w:tabs>
                <w:tab w:val="clear" w:pos="562"/>
                <w:tab w:val="left" w:pos="7340"/>
              </w:tabs>
              <w:suppressAutoHyphens w:val="0"/>
              <w:rPr>
                <w:szCs w:val="22"/>
                <w:lang w:val="en-GB"/>
              </w:rPr>
            </w:pPr>
          </w:p>
        </w:tc>
        <w:tc>
          <w:tcPr>
            <w:tcW w:w="1657" w:type="dxa"/>
            <w:tcBorders>
              <w:top w:val="nil"/>
              <w:bottom w:val="single" w:sz="4" w:space="0" w:color="auto"/>
            </w:tcBorders>
          </w:tcPr>
          <w:p w14:paraId="6C49C32A" w14:textId="77777777" w:rsidR="00D7303D" w:rsidRPr="00342F7C" w:rsidRDefault="00D7303D" w:rsidP="00C50403">
            <w:pPr>
              <w:pStyle w:val="EMEANormal"/>
              <w:rPr>
                <w:szCs w:val="22"/>
                <w:lang w:val="en-GB"/>
              </w:rPr>
            </w:pPr>
            <w:r w:rsidRPr="00342F7C">
              <w:rPr>
                <w:szCs w:val="22"/>
                <w:lang w:val="en-GB"/>
              </w:rPr>
              <w:t>Uncommon</w:t>
            </w:r>
          </w:p>
        </w:tc>
        <w:tc>
          <w:tcPr>
            <w:tcW w:w="4374" w:type="dxa"/>
            <w:tcBorders>
              <w:top w:val="nil"/>
              <w:bottom w:val="single" w:sz="4" w:space="0" w:color="auto"/>
            </w:tcBorders>
          </w:tcPr>
          <w:p w14:paraId="64D11A11" w14:textId="77777777" w:rsidR="00D7303D" w:rsidRPr="00342F7C" w:rsidRDefault="00D7303D" w:rsidP="00C50403">
            <w:pPr>
              <w:pStyle w:val="EMEANormal"/>
              <w:rPr>
                <w:szCs w:val="22"/>
                <w:lang w:val="en-GB"/>
              </w:rPr>
            </w:pPr>
            <w:r w:rsidRPr="00342F7C">
              <w:rPr>
                <w:szCs w:val="22"/>
                <w:lang w:val="en-GB"/>
              </w:rPr>
              <w:t xml:space="preserve">Immune </w:t>
            </w:r>
            <w:r w:rsidR="00FC25FF">
              <w:rPr>
                <w:lang w:val="en-GB"/>
              </w:rPr>
              <w:t>r</w:t>
            </w:r>
            <w:r w:rsidR="00FC25FF" w:rsidRPr="00FC25FF">
              <w:rPr>
                <w:lang w:val="en-GB"/>
              </w:rPr>
              <w:t xml:space="preserve">econstitution </w:t>
            </w:r>
            <w:r w:rsidR="00FC25FF">
              <w:rPr>
                <w:lang w:val="en-GB"/>
              </w:rPr>
              <w:t>i</w:t>
            </w:r>
            <w:r w:rsidR="00FC25FF" w:rsidRPr="00FC25FF">
              <w:rPr>
                <w:lang w:val="en-GB"/>
              </w:rPr>
              <w:t>nflammatory</w:t>
            </w:r>
            <w:r w:rsidR="00FC25FF" w:rsidRPr="00FC25FF">
              <w:rPr>
                <w:i/>
                <w:lang w:val="en-GB"/>
              </w:rPr>
              <w:t xml:space="preserve"> </w:t>
            </w:r>
            <w:r w:rsidRPr="00342F7C">
              <w:rPr>
                <w:szCs w:val="22"/>
                <w:lang w:val="en-GB"/>
              </w:rPr>
              <w:t>syndrome</w:t>
            </w:r>
          </w:p>
        </w:tc>
      </w:tr>
      <w:tr w:rsidR="00D7303D" w:rsidRPr="00342F7C" w14:paraId="045F1619" w14:textId="77777777" w:rsidTr="00E4141B">
        <w:trPr>
          <w:cantSplit/>
          <w:trHeight w:val="233"/>
        </w:trPr>
        <w:tc>
          <w:tcPr>
            <w:tcW w:w="3029" w:type="dxa"/>
          </w:tcPr>
          <w:p w14:paraId="29B845A4" w14:textId="77777777" w:rsidR="00D7303D" w:rsidRPr="00342F7C" w:rsidRDefault="00D7303D" w:rsidP="00C50403">
            <w:pPr>
              <w:pStyle w:val="EMEANormal"/>
              <w:tabs>
                <w:tab w:val="clear" w:pos="562"/>
                <w:tab w:val="left" w:pos="7340"/>
              </w:tabs>
              <w:suppressAutoHyphens w:val="0"/>
              <w:rPr>
                <w:szCs w:val="22"/>
                <w:lang w:val="en-GB"/>
              </w:rPr>
            </w:pPr>
            <w:r w:rsidRPr="00342F7C">
              <w:rPr>
                <w:szCs w:val="22"/>
                <w:lang w:val="en-GB"/>
              </w:rPr>
              <w:t>Endocrine disorders</w:t>
            </w:r>
          </w:p>
        </w:tc>
        <w:tc>
          <w:tcPr>
            <w:tcW w:w="1657" w:type="dxa"/>
            <w:tcBorders>
              <w:top w:val="single" w:sz="4" w:space="0" w:color="auto"/>
            </w:tcBorders>
          </w:tcPr>
          <w:p w14:paraId="1D546B17" w14:textId="77777777" w:rsidR="00D7303D" w:rsidRPr="00342F7C" w:rsidRDefault="00D7303D" w:rsidP="00C50403">
            <w:pPr>
              <w:pStyle w:val="EMEANormal"/>
              <w:tabs>
                <w:tab w:val="clear" w:pos="562"/>
                <w:tab w:val="left" w:pos="7340"/>
              </w:tabs>
              <w:suppressAutoHyphens w:val="0"/>
              <w:rPr>
                <w:szCs w:val="22"/>
                <w:lang w:val="en-GB"/>
              </w:rPr>
            </w:pPr>
            <w:r w:rsidRPr="00342F7C">
              <w:rPr>
                <w:szCs w:val="22"/>
                <w:lang w:val="en-GB"/>
              </w:rPr>
              <w:t>Uncommon</w:t>
            </w:r>
          </w:p>
        </w:tc>
        <w:tc>
          <w:tcPr>
            <w:tcW w:w="4374" w:type="dxa"/>
            <w:tcBorders>
              <w:top w:val="single" w:sz="4" w:space="0" w:color="auto"/>
            </w:tcBorders>
          </w:tcPr>
          <w:p w14:paraId="4A9D01E9" w14:textId="77777777" w:rsidR="00D7303D" w:rsidRPr="00342F7C" w:rsidRDefault="00D7303D" w:rsidP="00C50403">
            <w:pPr>
              <w:pStyle w:val="EMEANormal"/>
              <w:tabs>
                <w:tab w:val="clear" w:pos="562"/>
                <w:tab w:val="left" w:pos="7340"/>
              </w:tabs>
              <w:suppressAutoHyphens w:val="0"/>
              <w:rPr>
                <w:szCs w:val="22"/>
                <w:lang w:val="en-GB"/>
              </w:rPr>
            </w:pPr>
            <w:r w:rsidRPr="00342F7C">
              <w:rPr>
                <w:szCs w:val="22"/>
                <w:lang w:val="en-GB"/>
              </w:rPr>
              <w:t>Hypogonadism</w:t>
            </w:r>
            <w:r w:rsidRPr="00342F7C" w:rsidDel="00C35CC3">
              <w:rPr>
                <w:szCs w:val="22"/>
                <w:lang w:val="en-GB"/>
              </w:rPr>
              <w:t xml:space="preserve"> </w:t>
            </w:r>
          </w:p>
        </w:tc>
      </w:tr>
      <w:tr w:rsidR="00D7303D" w:rsidRPr="00342F7C" w14:paraId="07954B07" w14:textId="77777777" w:rsidTr="00E4141B">
        <w:trPr>
          <w:cantSplit/>
        </w:trPr>
        <w:tc>
          <w:tcPr>
            <w:tcW w:w="3029" w:type="dxa"/>
            <w:vMerge w:val="restart"/>
          </w:tcPr>
          <w:p w14:paraId="4EDF7760" w14:textId="77777777" w:rsidR="00D7303D" w:rsidRPr="00342F7C" w:rsidRDefault="00D7303D" w:rsidP="00C50403">
            <w:pPr>
              <w:pStyle w:val="EMEANormal"/>
              <w:tabs>
                <w:tab w:val="clear" w:pos="562"/>
                <w:tab w:val="left" w:pos="7340"/>
              </w:tabs>
              <w:suppressAutoHyphens w:val="0"/>
              <w:rPr>
                <w:szCs w:val="22"/>
                <w:lang w:val="en-GB"/>
              </w:rPr>
            </w:pPr>
            <w:r w:rsidRPr="00342F7C">
              <w:rPr>
                <w:szCs w:val="22"/>
                <w:lang w:val="en-GB"/>
              </w:rPr>
              <w:t>Metabolism and nutrition disorders</w:t>
            </w:r>
          </w:p>
        </w:tc>
        <w:tc>
          <w:tcPr>
            <w:tcW w:w="1657" w:type="dxa"/>
            <w:tcBorders>
              <w:top w:val="single" w:sz="4" w:space="0" w:color="auto"/>
              <w:bottom w:val="nil"/>
            </w:tcBorders>
          </w:tcPr>
          <w:p w14:paraId="6DF383DA" w14:textId="77777777" w:rsidR="00D7303D" w:rsidRPr="00342F7C" w:rsidRDefault="00D7303D" w:rsidP="00C50403">
            <w:pPr>
              <w:pStyle w:val="EMEANormal"/>
              <w:tabs>
                <w:tab w:val="clear" w:pos="562"/>
                <w:tab w:val="left" w:pos="7340"/>
              </w:tabs>
              <w:suppressAutoHyphens w:val="0"/>
              <w:rPr>
                <w:szCs w:val="22"/>
                <w:lang w:val="en-GB"/>
              </w:rPr>
            </w:pPr>
            <w:r w:rsidRPr="00342F7C">
              <w:rPr>
                <w:szCs w:val="22"/>
                <w:lang w:val="en-GB"/>
              </w:rPr>
              <w:t>Common</w:t>
            </w:r>
          </w:p>
        </w:tc>
        <w:tc>
          <w:tcPr>
            <w:tcW w:w="4374" w:type="dxa"/>
            <w:tcBorders>
              <w:top w:val="single" w:sz="4" w:space="0" w:color="auto"/>
              <w:bottom w:val="nil"/>
            </w:tcBorders>
          </w:tcPr>
          <w:p w14:paraId="32162434" w14:textId="77777777" w:rsidR="00D7303D" w:rsidRPr="00342F7C" w:rsidRDefault="00D7303D" w:rsidP="00C50403">
            <w:pPr>
              <w:pStyle w:val="EMEANormal"/>
              <w:tabs>
                <w:tab w:val="clear" w:pos="562"/>
                <w:tab w:val="left" w:pos="7340"/>
              </w:tabs>
              <w:suppressAutoHyphens w:val="0"/>
              <w:rPr>
                <w:szCs w:val="22"/>
                <w:lang w:val="en-GB"/>
              </w:rPr>
            </w:pPr>
            <w:r w:rsidRPr="00342F7C">
              <w:rPr>
                <w:szCs w:val="22"/>
                <w:lang w:val="en-GB"/>
              </w:rPr>
              <w:t>Blood glucose disorders including diabetes mellitus, hypertriglyceridaemia, hypercholesterolemia, weight decreased, decreased appetite</w:t>
            </w:r>
            <w:r w:rsidRPr="00342F7C" w:rsidDel="00C35CC3">
              <w:rPr>
                <w:szCs w:val="22"/>
                <w:lang w:val="en-GB"/>
              </w:rPr>
              <w:t xml:space="preserve"> </w:t>
            </w:r>
          </w:p>
          <w:p w14:paraId="1677A8D9" w14:textId="77777777" w:rsidR="00D7303D" w:rsidRPr="00342F7C" w:rsidRDefault="00D7303D" w:rsidP="00C50403">
            <w:pPr>
              <w:pStyle w:val="EMEANormal"/>
              <w:tabs>
                <w:tab w:val="clear" w:pos="562"/>
                <w:tab w:val="left" w:pos="7340"/>
              </w:tabs>
              <w:suppressAutoHyphens w:val="0"/>
              <w:rPr>
                <w:szCs w:val="22"/>
                <w:lang w:val="en-GB"/>
              </w:rPr>
            </w:pPr>
          </w:p>
        </w:tc>
      </w:tr>
      <w:tr w:rsidR="00D7303D" w:rsidRPr="00342F7C" w14:paraId="2B45E5F6" w14:textId="77777777" w:rsidTr="00E4141B">
        <w:trPr>
          <w:cantSplit/>
        </w:trPr>
        <w:tc>
          <w:tcPr>
            <w:tcW w:w="3029" w:type="dxa"/>
            <w:vMerge/>
          </w:tcPr>
          <w:p w14:paraId="056BF5E2" w14:textId="77777777" w:rsidR="00D7303D" w:rsidRPr="00342F7C" w:rsidRDefault="00D7303D" w:rsidP="00C50403">
            <w:pPr>
              <w:pStyle w:val="EMEANormal"/>
              <w:tabs>
                <w:tab w:val="clear" w:pos="562"/>
                <w:tab w:val="left" w:pos="7340"/>
              </w:tabs>
              <w:suppressAutoHyphens w:val="0"/>
              <w:rPr>
                <w:szCs w:val="22"/>
                <w:lang w:val="en-GB"/>
              </w:rPr>
            </w:pPr>
          </w:p>
        </w:tc>
        <w:tc>
          <w:tcPr>
            <w:tcW w:w="1657" w:type="dxa"/>
            <w:tcBorders>
              <w:top w:val="nil"/>
              <w:bottom w:val="single" w:sz="4" w:space="0" w:color="auto"/>
            </w:tcBorders>
          </w:tcPr>
          <w:p w14:paraId="19C48445" w14:textId="77777777" w:rsidR="00D7303D" w:rsidRPr="00342F7C" w:rsidRDefault="00D7303D" w:rsidP="00C50403">
            <w:pPr>
              <w:pStyle w:val="EMEANormal"/>
              <w:tabs>
                <w:tab w:val="clear" w:pos="562"/>
                <w:tab w:val="left" w:pos="7340"/>
              </w:tabs>
              <w:suppressAutoHyphens w:val="0"/>
              <w:rPr>
                <w:szCs w:val="22"/>
                <w:lang w:val="en-GB"/>
              </w:rPr>
            </w:pPr>
            <w:r w:rsidRPr="00342F7C">
              <w:rPr>
                <w:szCs w:val="22"/>
                <w:lang w:val="en-GB"/>
              </w:rPr>
              <w:t>Uncommon</w:t>
            </w:r>
          </w:p>
        </w:tc>
        <w:tc>
          <w:tcPr>
            <w:tcW w:w="4374" w:type="dxa"/>
            <w:tcBorders>
              <w:top w:val="nil"/>
              <w:bottom w:val="single" w:sz="4" w:space="0" w:color="auto"/>
            </w:tcBorders>
          </w:tcPr>
          <w:p w14:paraId="23130224" w14:textId="77777777" w:rsidR="00D7303D" w:rsidRPr="00342F7C" w:rsidRDefault="00D7303D" w:rsidP="00C50403">
            <w:pPr>
              <w:pStyle w:val="EMEANormal"/>
              <w:tabs>
                <w:tab w:val="clear" w:pos="562"/>
                <w:tab w:val="left" w:pos="7340"/>
              </w:tabs>
              <w:suppressAutoHyphens w:val="0"/>
              <w:rPr>
                <w:szCs w:val="22"/>
                <w:lang w:val="en-GB"/>
              </w:rPr>
            </w:pPr>
            <w:r w:rsidRPr="00342F7C">
              <w:rPr>
                <w:szCs w:val="22"/>
                <w:lang w:val="en-GB"/>
              </w:rPr>
              <w:t>Weight increased, increased appetite</w:t>
            </w:r>
          </w:p>
        </w:tc>
      </w:tr>
      <w:tr w:rsidR="00D7303D" w:rsidRPr="00342F7C" w14:paraId="1D99DB3C" w14:textId="77777777" w:rsidTr="00E4141B">
        <w:trPr>
          <w:cantSplit/>
        </w:trPr>
        <w:tc>
          <w:tcPr>
            <w:tcW w:w="3029" w:type="dxa"/>
            <w:vMerge w:val="restart"/>
          </w:tcPr>
          <w:p w14:paraId="3393E1C3" w14:textId="77777777" w:rsidR="00D7303D" w:rsidRPr="00342F7C" w:rsidRDefault="00D7303D" w:rsidP="00C50403">
            <w:pPr>
              <w:pStyle w:val="EMEANormal"/>
              <w:tabs>
                <w:tab w:val="clear" w:pos="562"/>
                <w:tab w:val="left" w:pos="7340"/>
              </w:tabs>
              <w:suppressAutoHyphens w:val="0"/>
              <w:rPr>
                <w:szCs w:val="22"/>
                <w:lang w:val="en-GB"/>
              </w:rPr>
            </w:pPr>
            <w:r w:rsidRPr="00342F7C">
              <w:rPr>
                <w:szCs w:val="22"/>
                <w:lang w:val="en-GB"/>
              </w:rPr>
              <w:t>Psychiatric disorders</w:t>
            </w:r>
          </w:p>
        </w:tc>
        <w:tc>
          <w:tcPr>
            <w:tcW w:w="1657" w:type="dxa"/>
            <w:tcBorders>
              <w:top w:val="single" w:sz="4" w:space="0" w:color="auto"/>
              <w:bottom w:val="nil"/>
            </w:tcBorders>
          </w:tcPr>
          <w:p w14:paraId="4B48D60C" w14:textId="77777777" w:rsidR="00D7303D" w:rsidRPr="00342F7C" w:rsidRDefault="00D7303D" w:rsidP="00C50403">
            <w:pPr>
              <w:pStyle w:val="EMEANormal"/>
              <w:rPr>
                <w:szCs w:val="22"/>
                <w:lang w:val="en-GB"/>
              </w:rPr>
            </w:pPr>
            <w:r w:rsidRPr="00342F7C">
              <w:rPr>
                <w:szCs w:val="22"/>
                <w:lang w:val="en-GB"/>
              </w:rPr>
              <w:t>Common</w:t>
            </w:r>
          </w:p>
        </w:tc>
        <w:tc>
          <w:tcPr>
            <w:tcW w:w="4374" w:type="dxa"/>
            <w:tcBorders>
              <w:top w:val="single" w:sz="4" w:space="0" w:color="auto"/>
              <w:bottom w:val="nil"/>
            </w:tcBorders>
          </w:tcPr>
          <w:p w14:paraId="44486CE4" w14:textId="77777777" w:rsidR="00D7303D" w:rsidRPr="00342F7C" w:rsidRDefault="00D7303D" w:rsidP="00C50403">
            <w:pPr>
              <w:pStyle w:val="EMEANormal"/>
              <w:rPr>
                <w:szCs w:val="22"/>
                <w:lang w:val="en-GB"/>
              </w:rPr>
            </w:pPr>
            <w:r w:rsidRPr="00342F7C">
              <w:rPr>
                <w:szCs w:val="22"/>
                <w:lang w:val="en-GB"/>
              </w:rPr>
              <w:t>Anxiety</w:t>
            </w:r>
          </w:p>
          <w:p w14:paraId="29863B33" w14:textId="77777777" w:rsidR="00D7303D" w:rsidRPr="00342F7C" w:rsidRDefault="00D7303D" w:rsidP="00C50403">
            <w:pPr>
              <w:pStyle w:val="EMEANormal"/>
              <w:rPr>
                <w:szCs w:val="22"/>
                <w:lang w:val="en-GB"/>
              </w:rPr>
            </w:pPr>
          </w:p>
        </w:tc>
      </w:tr>
      <w:tr w:rsidR="00D7303D" w:rsidRPr="00342F7C" w14:paraId="20345325" w14:textId="77777777" w:rsidTr="00E4141B">
        <w:trPr>
          <w:cantSplit/>
        </w:trPr>
        <w:tc>
          <w:tcPr>
            <w:tcW w:w="3029" w:type="dxa"/>
            <w:vMerge/>
          </w:tcPr>
          <w:p w14:paraId="327C601E" w14:textId="77777777" w:rsidR="00D7303D" w:rsidRPr="00342F7C" w:rsidRDefault="00D7303D" w:rsidP="00C50403">
            <w:pPr>
              <w:pStyle w:val="EMEANormal"/>
              <w:tabs>
                <w:tab w:val="clear" w:pos="562"/>
                <w:tab w:val="left" w:pos="7340"/>
              </w:tabs>
              <w:suppressAutoHyphens w:val="0"/>
              <w:rPr>
                <w:szCs w:val="22"/>
                <w:lang w:val="en-GB"/>
              </w:rPr>
            </w:pPr>
          </w:p>
        </w:tc>
        <w:tc>
          <w:tcPr>
            <w:tcW w:w="1657" w:type="dxa"/>
            <w:tcBorders>
              <w:top w:val="nil"/>
              <w:bottom w:val="single" w:sz="4" w:space="0" w:color="auto"/>
            </w:tcBorders>
          </w:tcPr>
          <w:p w14:paraId="68803823" w14:textId="77777777" w:rsidR="00D7303D" w:rsidRPr="00342F7C" w:rsidRDefault="00D7303D" w:rsidP="00C50403">
            <w:pPr>
              <w:pStyle w:val="EMEANormal"/>
              <w:rPr>
                <w:szCs w:val="22"/>
                <w:lang w:val="en-GB"/>
              </w:rPr>
            </w:pPr>
            <w:r w:rsidRPr="00342F7C">
              <w:rPr>
                <w:szCs w:val="22"/>
                <w:lang w:val="en-GB"/>
              </w:rPr>
              <w:t>Uncommon</w:t>
            </w:r>
          </w:p>
        </w:tc>
        <w:tc>
          <w:tcPr>
            <w:tcW w:w="4374" w:type="dxa"/>
            <w:tcBorders>
              <w:top w:val="nil"/>
              <w:bottom w:val="single" w:sz="4" w:space="0" w:color="auto"/>
            </w:tcBorders>
          </w:tcPr>
          <w:p w14:paraId="19F67D5F" w14:textId="77777777" w:rsidR="00D7303D" w:rsidRPr="00342F7C" w:rsidRDefault="00D7303D" w:rsidP="00C50403">
            <w:pPr>
              <w:pStyle w:val="EMEANormal"/>
              <w:rPr>
                <w:szCs w:val="22"/>
                <w:lang w:val="en-GB"/>
              </w:rPr>
            </w:pPr>
            <w:r w:rsidRPr="00342F7C">
              <w:rPr>
                <w:szCs w:val="22"/>
                <w:lang w:val="en-GB"/>
              </w:rPr>
              <w:t>Abnormal dreams, libido decreased</w:t>
            </w:r>
          </w:p>
        </w:tc>
      </w:tr>
      <w:tr w:rsidR="00D7303D" w:rsidRPr="00342F7C" w14:paraId="3214F904" w14:textId="77777777" w:rsidTr="00E4141B">
        <w:trPr>
          <w:cantSplit/>
        </w:trPr>
        <w:tc>
          <w:tcPr>
            <w:tcW w:w="3029" w:type="dxa"/>
            <w:vMerge w:val="restart"/>
          </w:tcPr>
          <w:p w14:paraId="12667DAC" w14:textId="77777777" w:rsidR="00D7303D" w:rsidRPr="00342F7C" w:rsidRDefault="00D7303D" w:rsidP="00C50403">
            <w:pPr>
              <w:pStyle w:val="EMEANormal"/>
              <w:tabs>
                <w:tab w:val="clear" w:pos="562"/>
                <w:tab w:val="left" w:pos="7340"/>
              </w:tabs>
              <w:suppressAutoHyphens w:val="0"/>
              <w:rPr>
                <w:szCs w:val="22"/>
                <w:lang w:val="en-GB"/>
              </w:rPr>
            </w:pPr>
            <w:r w:rsidRPr="00342F7C">
              <w:rPr>
                <w:szCs w:val="22"/>
                <w:lang w:val="en-GB"/>
              </w:rPr>
              <w:t>Nervous system disorders</w:t>
            </w:r>
          </w:p>
        </w:tc>
        <w:tc>
          <w:tcPr>
            <w:tcW w:w="1657" w:type="dxa"/>
            <w:tcBorders>
              <w:top w:val="single" w:sz="4" w:space="0" w:color="auto"/>
              <w:bottom w:val="nil"/>
            </w:tcBorders>
          </w:tcPr>
          <w:p w14:paraId="00EFF10D" w14:textId="77777777" w:rsidR="00D7303D" w:rsidRPr="00342F7C" w:rsidRDefault="00D7303D" w:rsidP="00C50403">
            <w:pPr>
              <w:pStyle w:val="EMEANormal"/>
              <w:rPr>
                <w:szCs w:val="22"/>
                <w:lang w:val="en-GB"/>
              </w:rPr>
            </w:pPr>
            <w:r w:rsidRPr="00342F7C">
              <w:rPr>
                <w:szCs w:val="22"/>
                <w:lang w:val="en-GB"/>
              </w:rPr>
              <w:t>Common</w:t>
            </w:r>
          </w:p>
          <w:p w14:paraId="0FFF30BB" w14:textId="77777777" w:rsidR="00D7303D" w:rsidRPr="00342F7C" w:rsidRDefault="00D7303D" w:rsidP="00C50403">
            <w:pPr>
              <w:pStyle w:val="EMEANormal"/>
              <w:rPr>
                <w:szCs w:val="22"/>
                <w:lang w:val="en-GB"/>
              </w:rPr>
            </w:pPr>
          </w:p>
        </w:tc>
        <w:tc>
          <w:tcPr>
            <w:tcW w:w="4374" w:type="dxa"/>
            <w:tcBorders>
              <w:top w:val="single" w:sz="4" w:space="0" w:color="auto"/>
              <w:bottom w:val="nil"/>
            </w:tcBorders>
          </w:tcPr>
          <w:p w14:paraId="4BFD2178" w14:textId="77777777" w:rsidR="00D7303D" w:rsidRPr="00342F7C" w:rsidRDefault="00D7303D" w:rsidP="00C50403">
            <w:pPr>
              <w:pStyle w:val="EMEANormal"/>
              <w:rPr>
                <w:szCs w:val="22"/>
                <w:lang w:val="en-GB"/>
              </w:rPr>
            </w:pPr>
            <w:r w:rsidRPr="00342F7C">
              <w:rPr>
                <w:szCs w:val="22"/>
                <w:lang w:val="en-GB"/>
              </w:rPr>
              <w:t>Headache (including migraine), neuropathy (including peripheral neuropathy), dizziness, insomnia</w:t>
            </w:r>
          </w:p>
          <w:p w14:paraId="48F9CC07" w14:textId="77777777" w:rsidR="00D7303D" w:rsidRPr="00342F7C" w:rsidRDefault="00D7303D" w:rsidP="00C50403">
            <w:pPr>
              <w:pStyle w:val="EMEANormal"/>
              <w:rPr>
                <w:szCs w:val="22"/>
                <w:lang w:val="en-GB"/>
              </w:rPr>
            </w:pPr>
          </w:p>
        </w:tc>
      </w:tr>
      <w:tr w:rsidR="00D7303D" w:rsidRPr="00342F7C" w14:paraId="68278594" w14:textId="77777777" w:rsidTr="00E4141B">
        <w:trPr>
          <w:cantSplit/>
          <w:trHeight w:val="567"/>
        </w:trPr>
        <w:tc>
          <w:tcPr>
            <w:tcW w:w="3029" w:type="dxa"/>
            <w:vMerge/>
          </w:tcPr>
          <w:p w14:paraId="69A1EB70" w14:textId="77777777" w:rsidR="00D7303D" w:rsidRPr="00342F7C" w:rsidRDefault="00D7303D" w:rsidP="00C50403">
            <w:pPr>
              <w:pStyle w:val="EMEANormal"/>
              <w:tabs>
                <w:tab w:val="clear" w:pos="562"/>
                <w:tab w:val="left" w:pos="7340"/>
              </w:tabs>
              <w:suppressAutoHyphens w:val="0"/>
              <w:rPr>
                <w:szCs w:val="22"/>
                <w:lang w:val="en-GB"/>
              </w:rPr>
            </w:pPr>
          </w:p>
        </w:tc>
        <w:tc>
          <w:tcPr>
            <w:tcW w:w="1657" w:type="dxa"/>
            <w:tcBorders>
              <w:top w:val="nil"/>
            </w:tcBorders>
          </w:tcPr>
          <w:p w14:paraId="03D2117E" w14:textId="77777777" w:rsidR="00D7303D" w:rsidRPr="00342F7C" w:rsidRDefault="00D7303D" w:rsidP="00C50403">
            <w:pPr>
              <w:pStyle w:val="EMEANormal"/>
              <w:rPr>
                <w:szCs w:val="22"/>
                <w:lang w:val="en-GB"/>
              </w:rPr>
            </w:pPr>
            <w:r w:rsidRPr="00342F7C">
              <w:rPr>
                <w:szCs w:val="22"/>
                <w:lang w:val="en-GB"/>
              </w:rPr>
              <w:t>Uncommon</w:t>
            </w:r>
          </w:p>
        </w:tc>
        <w:tc>
          <w:tcPr>
            <w:tcW w:w="4374" w:type="dxa"/>
            <w:tcBorders>
              <w:top w:val="nil"/>
            </w:tcBorders>
          </w:tcPr>
          <w:p w14:paraId="2CF5AE2B" w14:textId="77777777" w:rsidR="00D7303D" w:rsidRPr="00342F7C" w:rsidRDefault="00D7303D" w:rsidP="00C50403">
            <w:pPr>
              <w:pStyle w:val="EMEANormal"/>
              <w:rPr>
                <w:szCs w:val="22"/>
                <w:lang w:val="en-GB"/>
              </w:rPr>
            </w:pPr>
            <w:r w:rsidRPr="00342F7C">
              <w:rPr>
                <w:szCs w:val="22"/>
                <w:lang w:val="en-GB"/>
              </w:rPr>
              <w:t xml:space="preserve">Cerebrovascular accident, convulsion, dysgeusia, ageusia, tremor </w:t>
            </w:r>
          </w:p>
        </w:tc>
      </w:tr>
      <w:tr w:rsidR="00D7303D" w:rsidRPr="00342F7C" w14:paraId="73F9BF53" w14:textId="77777777" w:rsidTr="00E4141B">
        <w:tc>
          <w:tcPr>
            <w:tcW w:w="3029" w:type="dxa"/>
          </w:tcPr>
          <w:p w14:paraId="4F3C766D" w14:textId="77777777" w:rsidR="00D7303D" w:rsidRPr="00342F7C" w:rsidRDefault="00D7303D" w:rsidP="00C50403">
            <w:pPr>
              <w:pStyle w:val="EMEANormal"/>
              <w:tabs>
                <w:tab w:val="clear" w:pos="562"/>
                <w:tab w:val="left" w:pos="7340"/>
              </w:tabs>
              <w:suppressAutoHyphens w:val="0"/>
              <w:rPr>
                <w:szCs w:val="22"/>
                <w:lang w:val="en-GB"/>
              </w:rPr>
            </w:pPr>
            <w:r w:rsidRPr="00342F7C">
              <w:rPr>
                <w:szCs w:val="22"/>
                <w:lang w:val="en-GB"/>
              </w:rPr>
              <w:t>Eye disorders</w:t>
            </w:r>
          </w:p>
        </w:tc>
        <w:tc>
          <w:tcPr>
            <w:tcW w:w="1657" w:type="dxa"/>
          </w:tcPr>
          <w:p w14:paraId="5D981082" w14:textId="77777777" w:rsidR="00D7303D" w:rsidRPr="00342F7C" w:rsidRDefault="00D7303D" w:rsidP="00C50403">
            <w:pPr>
              <w:pStyle w:val="EMEANormal"/>
              <w:rPr>
                <w:szCs w:val="22"/>
                <w:lang w:val="en-GB"/>
              </w:rPr>
            </w:pPr>
            <w:r w:rsidRPr="00342F7C">
              <w:rPr>
                <w:szCs w:val="22"/>
                <w:lang w:val="en-GB"/>
              </w:rPr>
              <w:t>Uncommon</w:t>
            </w:r>
          </w:p>
        </w:tc>
        <w:tc>
          <w:tcPr>
            <w:tcW w:w="4374" w:type="dxa"/>
          </w:tcPr>
          <w:p w14:paraId="2DBE2E0F" w14:textId="77777777" w:rsidR="00D7303D" w:rsidRPr="00342F7C" w:rsidRDefault="00D7303D" w:rsidP="00C50403">
            <w:pPr>
              <w:pStyle w:val="EMEANormal"/>
              <w:rPr>
                <w:szCs w:val="22"/>
                <w:lang w:val="en-GB"/>
              </w:rPr>
            </w:pPr>
            <w:r w:rsidRPr="00342F7C">
              <w:rPr>
                <w:szCs w:val="22"/>
                <w:lang w:val="en-GB"/>
              </w:rPr>
              <w:t>Visual impairment</w:t>
            </w:r>
          </w:p>
        </w:tc>
      </w:tr>
      <w:tr w:rsidR="00D7303D" w:rsidRPr="00342F7C" w14:paraId="3A608868" w14:textId="77777777" w:rsidTr="00E4141B">
        <w:trPr>
          <w:cantSplit/>
          <w:trHeight w:val="180"/>
        </w:trPr>
        <w:tc>
          <w:tcPr>
            <w:tcW w:w="3029" w:type="dxa"/>
          </w:tcPr>
          <w:p w14:paraId="4F2DD71A" w14:textId="77777777" w:rsidR="00D7303D" w:rsidRPr="00342F7C" w:rsidRDefault="00D7303D" w:rsidP="00C50403">
            <w:pPr>
              <w:pStyle w:val="EMEANormal"/>
              <w:tabs>
                <w:tab w:val="clear" w:pos="562"/>
                <w:tab w:val="left" w:pos="7340"/>
              </w:tabs>
              <w:suppressAutoHyphens w:val="0"/>
              <w:rPr>
                <w:szCs w:val="22"/>
                <w:lang w:val="en-GB"/>
              </w:rPr>
            </w:pPr>
            <w:r w:rsidRPr="00342F7C">
              <w:rPr>
                <w:szCs w:val="22"/>
                <w:lang w:val="en-GB"/>
              </w:rPr>
              <w:t>Ear and labyrinth disorders</w:t>
            </w:r>
          </w:p>
        </w:tc>
        <w:tc>
          <w:tcPr>
            <w:tcW w:w="1657" w:type="dxa"/>
            <w:tcBorders>
              <w:top w:val="single" w:sz="4" w:space="0" w:color="auto"/>
            </w:tcBorders>
          </w:tcPr>
          <w:p w14:paraId="2CA1D557" w14:textId="77777777" w:rsidR="00D7303D" w:rsidRPr="00342F7C" w:rsidRDefault="00D7303D" w:rsidP="00C50403">
            <w:pPr>
              <w:pStyle w:val="EMEANormal"/>
              <w:rPr>
                <w:szCs w:val="22"/>
                <w:lang w:val="en-GB"/>
              </w:rPr>
            </w:pPr>
            <w:r w:rsidRPr="00342F7C">
              <w:rPr>
                <w:szCs w:val="22"/>
                <w:lang w:val="en-GB"/>
              </w:rPr>
              <w:t>Uncommon</w:t>
            </w:r>
          </w:p>
        </w:tc>
        <w:tc>
          <w:tcPr>
            <w:tcW w:w="4374" w:type="dxa"/>
            <w:tcBorders>
              <w:top w:val="single" w:sz="4" w:space="0" w:color="auto"/>
            </w:tcBorders>
          </w:tcPr>
          <w:p w14:paraId="57823CBA" w14:textId="77777777" w:rsidR="00D7303D" w:rsidRPr="00342F7C" w:rsidRDefault="00D7303D" w:rsidP="00C50403">
            <w:pPr>
              <w:pStyle w:val="EMEANormal"/>
              <w:rPr>
                <w:szCs w:val="22"/>
                <w:lang w:val="en-GB"/>
              </w:rPr>
            </w:pPr>
            <w:r w:rsidRPr="00342F7C">
              <w:rPr>
                <w:szCs w:val="22"/>
                <w:lang w:val="en-GB"/>
              </w:rPr>
              <w:t>Tinnitus, vertigo</w:t>
            </w:r>
          </w:p>
        </w:tc>
      </w:tr>
      <w:tr w:rsidR="00D7303D" w:rsidRPr="00342F7C" w14:paraId="61901F2E" w14:textId="77777777" w:rsidTr="00E4141B">
        <w:trPr>
          <w:cantSplit/>
          <w:trHeight w:val="770"/>
        </w:trPr>
        <w:tc>
          <w:tcPr>
            <w:tcW w:w="3029" w:type="dxa"/>
          </w:tcPr>
          <w:p w14:paraId="245DD9A5" w14:textId="77777777" w:rsidR="00D7303D" w:rsidRPr="00342F7C" w:rsidRDefault="00D7303D" w:rsidP="00C50403">
            <w:pPr>
              <w:pStyle w:val="EMEANormal"/>
              <w:tabs>
                <w:tab w:val="clear" w:pos="562"/>
                <w:tab w:val="left" w:pos="7340"/>
              </w:tabs>
              <w:suppressAutoHyphens w:val="0"/>
              <w:rPr>
                <w:szCs w:val="22"/>
                <w:lang w:val="en-GB"/>
              </w:rPr>
            </w:pPr>
            <w:r w:rsidRPr="00342F7C">
              <w:rPr>
                <w:szCs w:val="22"/>
                <w:lang w:val="en-GB"/>
              </w:rPr>
              <w:t>Cardiac disorders</w:t>
            </w:r>
          </w:p>
        </w:tc>
        <w:tc>
          <w:tcPr>
            <w:tcW w:w="1657" w:type="dxa"/>
          </w:tcPr>
          <w:p w14:paraId="3F735CF1" w14:textId="77777777" w:rsidR="00D7303D" w:rsidRPr="00342F7C" w:rsidRDefault="00D7303D" w:rsidP="00C50403">
            <w:pPr>
              <w:pStyle w:val="EMEANormal"/>
              <w:rPr>
                <w:szCs w:val="22"/>
                <w:lang w:val="en-GB"/>
              </w:rPr>
            </w:pPr>
            <w:r w:rsidRPr="00342F7C">
              <w:rPr>
                <w:szCs w:val="22"/>
                <w:lang w:val="en-GB"/>
              </w:rPr>
              <w:t>Uncommon</w:t>
            </w:r>
          </w:p>
        </w:tc>
        <w:tc>
          <w:tcPr>
            <w:tcW w:w="4374" w:type="dxa"/>
          </w:tcPr>
          <w:p w14:paraId="47C166C3" w14:textId="77777777" w:rsidR="00D7303D" w:rsidRPr="00342F7C" w:rsidRDefault="00D7303D" w:rsidP="00C50403">
            <w:pPr>
              <w:pStyle w:val="EMEANormal"/>
              <w:rPr>
                <w:szCs w:val="22"/>
                <w:lang w:val="en-GB"/>
              </w:rPr>
            </w:pPr>
            <w:r w:rsidRPr="00342F7C">
              <w:rPr>
                <w:szCs w:val="22"/>
                <w:lang w:val="en-GB"/>
              </w:rPr>
              <w:t>Atherosclerosis such as myocardial infarction, atrioventricular block, tricuspid valve incompetence</w:t>
            </w:r>
          </w:p>
        </w:tc>
      </w:tr>
      <w:tr w:rsidR="00D7303D" w:rsidRPr="00342F7C" w14:paraId="325744DB" w14:textId="77777777" w:rsidTr="00E4141B">
        <w:trPr>
          <w:cantSplit/>
        </w:trPr>
        <w:tc>
          <w:tcPr>
            <w:tcW w:w="3029" w:type="dxa"/>
            <w:vMerge w:val="restart"/>
          </w:tcPr>
          <w:p w14:paraId="71090777" w14:textId="77777777" w:rsidR="00D7303D" w:rsidRPr="00342F7C" w:rsidRDefault="00D7303D" w:rsidP="00C50403">
            <w:pPr>
              <w:pStyle w:val="EMEANormal"/>
              <w:tabs>
                <w:tab w:val="left" w:pos="7340"/>
              </w:tabs>
              <w:rPr>
                <w:szCs w:val="22"/>
                <w:lang w:val="en-GB"/>
              </w:rPr>
            </w:pPr>
            <w:r w:rsidRPr="00342F7C">
              <w:rPr>
                <w:szCs w:val="22"/>
                <w:lang w:val="en-GB"/>
              </w:rPr>
              <w:t>Vascular disorders</w:t>
            </w:r>
          </w:p>
        </w:tc>
        <w:tc>
          <w:tcPr>
            <w:tcW w:w="1657" w:type="dxa"/>
            <w:tcBorders>
              <w:top w:val="single" w:sz="4" w:space="0" w:color="auto"/>
              <w:bottom w:val="nil"/>
            </w:tcBorders>
          </w:tcPr>
          <w:p w14:paraId="027065AF" w14:textId="77777777" w:rsidR="00D7303D" w:rsidRPr="00342F7C" w:rsidRDefault="00D7303D" w:rsidP="00C50403">
            <w:pPr>
              <w:pStyle w:val="EMEANormal"/>
              <w:rPr>
                <w:szCs w:val="22"/>
                <w:lang w:val="en-GB"/>
              </w:rPr>
            </w:pPr>
            <w:r w:rsidRPr="00342F7C">
              <w:rPr>
                <w:szCs w:val="22"/>
                <w:lang w:val="en-GB"/>
              </w:rPr>
              <w:t>Common</w:t>
            </w:r>
          </w:p>
        </w:tc>
        <w:tc>
          <w:tcPr>
            <w:tcW w:w="4374" w:type="dxa"/>
            <w:tcBorders>
              <w:top w:val="single" w:sz="4" w:space="0" w:color="auto"/>
              <w:bottom w:val="nil"/>
            </w:tcBorders>
          </w:tcPr>
          <w:p w14:paraId="2CF98B05" w14:textId="77777777" w:rsidR="00D7303D" w:rsidRPr="00342F7C" w:rsidRDefault="00D7303D" w:rsidP="00C50403">
            <w:pPr>
              <w:pStyle w:val="EMEANormal"/>
              <w:rPr>
                <w:szCs w:val="22"/>
                <w:lang w:val="en-GB"/>
              </w:rPr>
            </w:pPr>
            <w:r w:rsidRPr="00342F7C">
              <w:rPr>
                <w:szCs w:val="22"/>
                <w:lang w:val="en-GB"/>
              </w:rPr>
              <w:t>Hypertension</w:t>
            </w:r>
            <w:r w:rsidRPr="00342F7C" w:rsidDel="00C35CC3">
              <w:rPr>
                <w:szCs w:val="22"/>
                <w:lang w:val="en-GB"/>
              </w:rPr>
              <w:t xml:space="preserve"> </w:t>
            </w:r>
          </w:p>
          <w:p w14:paraId="7C570B3E" w14:textId="77777777" w:rsidR="00D7303D" w:rsidRPr="00342F7C" w:rsidRDefault="00D7303D" w:rsidP="00C50403">
            <w:pPr>
              <w:pStyle w:val="EMEANormal"/>
              <w:rPr>
                <w:szCs w:val="22"/>
                <w:lang w:val="en-GB"/>
              </w:rPr>
            </w:pPr>
          </w:p>
        </w:tc>
      </w:tr>
      <w:tr w:rsidR="00D7303D" w:rsidRPr="00342F7C" w14:paraId="3443470C" w14:textId="77777777" w:rsidTr="00E4141B">
        <w:trPr>
          <w:cantSplit/>
        </w:trPr>
        <w:tc>
          <w:tcPr>
            <w:tcW w:w="3029" w:type="dxa"/>
            <w:vMerge/>
          </w:tcPr>
          <w:p w14:paraId="58F95ECC" w14:textId="77777777" w:rsidR="00D7303D" w:rsidRPr="00342F7C" w:rsidRDefault="00D7303D" w:rsidP="00C50403">
            <w:pPr>
              <w:pStyle w:val="EMEANormal"/>
              <w:tabs>
                <w:tab w:val="clear" w:pos="562"/>
                <w:tab w:val="left" w:pos="7340"/>
              </w:tabs>
              <w:suppressAutoHyphens w:val="0"/>
              <w:rPr>
                <w:szCs w:val="22"/>
                <w:lang w:val="en-GB"/>
              </w:rPr>
            </w:pPr>
          </w:p>
        </w:tc>
        <w:tc>
          <w:tcPr>
            <w:tcW w:w="1657" w:type="dxa"/>
            <w:tcBorders>
              <w:top w:val="nil"/>
              <w:bottom w:val="single" w:sz="4" w:space="0" w:color="auto"/>
            </w:tcBorders>
          </w:tcPr>
          <w:p w14:paraId="71B69EC2" w14:textId="77777777" w:rsidR="00D7303D" w:rsidRPr="00342F7C" w:rsidRDefault="00D7303D" w:rsidP="00C50403">
            <w:pPr>
              <w:pStyle w:val="EMEANormal"/>
              <w:rPr>
                <w:szCs w:val="22"/>
                <w:lang w:val="en-GB"/>
              </w:rPr>
            </w:pPr>
            <w:r w:rsidRPr="00342F7C">
              <w:rPr>
                <w:szCs w:val="22"/>
                <w:lang w:val="en-GB"/>
              </w:rPr>
              <w:t>Uncommon</w:t>
            </w:r>
          </w:p>
        </w:tc>
        <w:tc>
          <w:tcPr>
            <w:tcW w:w="4374" w:type="dxa"/>
            <w:tcBorders>
              <w:top w:val="nil"/>
              <w:bottom w:val="single" w:sz="4" w:space="0" w:color="auto"/>
            </w:tcBorders>
          </w:tcPr>
          <w:p w14:paraId="05F572D7" w14:textId="77777777" w:rsidR="00D7303D" w:rsidRPr="00342F7C" w:rsidDel="00D53477" w:rsidRDefault="00D7303D" w:rsidP="00C50403">
            <w:pPr>
              <w:pStyle w:val="EMEANormal"/>
              <w:rPr>
                <w:szCs w:val="22"/>
                <w:lang w:val="en-GB"/>
              </w:rPr>
            </w:pPr>
            <w:r w:rsidRPr="00342F7C">
              <w:rPr>
                <w:szCs w:val="22"/>
                <w:lang w:val="en-GB"/>
              </w:rPr>
              <w:t>Deep vein thrombosis</w:t>
            </w:r>
          </w:p>
        </w:tc>
      </w:tr>
      <w:tr w:rsidR="00D7303D" w:rsidRPr="00342F7C" w14:paraId="68A1B5B3" w14:textId="77777777" w:rsidTr="00E4141B">
        <w:trPr>
          <w:cantSplit/>
        </w:trPr>
        <w:tc>
          <w:tcPr>
            <w:tcW w:w="3029" w:type="dxa"/>
            <w:vMerge w:val="restart"/>
          </w:tcPr>
          <w:p w14:paraId="14095FE5" w14:textId="77777777" w:rsidR="00D7303D" w:rsidRPr="00342F7C" w:rsidRDefault="00D7303D" w:rsidP="00C50403">
            <w:pPr>
              <w:pStyle w:val="EMEANormal"/>
              <w:tabs>
                <w:tab w:val="clear" w:pos="562"/>
                <w:tab w:val="left" w:pos="7340"/>
              </w:tabs>
              <w:suppressAutoHyphens w:val="0"/>
              <w:rPr>
                <w:szCs w:val="22"/>
                <w:lang w:val="en-GB"/>
              </w:rPr>
            </w:pPr>
            <w:r w:rsidRPr="00342F7C">
              <w:rPr>
                <w:szCs w:val="22"/>
                <w:lang w:val="en-GB"/>
              </w:rPr>
              <w:t>Gastrointestinal disorders</w:t>
            </w:r>
          </w:p>
        </w:tc>
        <w:tc>
          <w:tcPr>
            <w:tcW w:w="1657" w:type="dxa"/>
            <w:tcBorders>
              <w:top w:val="single" w:sz="4" w:space="0" w:color="auto"/>
              <w:bottom w:val="nil"/>
            </w:tcBorders>
          </w:tcPr>
          <w:p w14:paraId="46B08113" w14:textId="77777777" w:rsidR="00D7303D" w:rsidRPr="00342F7C" w:rsidRDefault="00D7303D" w:rsidP="00C50403">
            <w:pPr>
              <w:pStyle w:val="EMEANormal"/>
              <w:rPr>
                <w:szCs w:val="22"/>
                <w:lang w:val="en-GB"/>
              </w:rPr>
            </w:pPr>
            <w:r w:rsidRPr="00342F7C">
              <w:rPr>
                <w:szCs w:val="22"/>
                <w:lang w:val="en-GB"/>
              </w:rPr>
              <w:t>Very common</w:t>
            </w:r>
          </w:p>
          <w:p w14:paraId="7C54882C" w14:textId="77777777" w:rsidR="00D7303D" w:rsidRPr="00342F7C" w:rsidRDefault="00D7303D" w:rsidP="00C50403">
            <w:pPr>
              <w:pStyle w:val="EMEANormal"/>
              <w:rPr>
                <w:szCs w:val="22"/>
                <w:lang w:val="en-GB"/>
              </w:rPr>
            </w:pPr>
          </w:p>
        </w:tc>
        <w:tc>
          <w:tcPr>
            <w:tcW w:w="4374" w:type="dxa"/>
            <w:tcBorders>
              <w:top w:val="single" w:sz="4" w:space="0" w:color="auto"/>
              <w:bottom w:val="nil"/>
            </w:tcBorders>
          </w:tcPr>
          <w:p w14:paraId="51F8EAC2" w14:textId="77777777" w:rsidR="00D7303D" w:rsidRPr="00342F7C" w:rsidRDefault="00D7303D" w:rsidP="00C50403">
            <w:pPr>
              <w:pStyle w:val="EMEANormal"/>
              <w:rPr>
                <w:szCs w:val="22"/>
                <w:lang w:val="en-GB"/>
              </w:rPr>
            </w:pPr>
            <w:r w:rsidRPr="00342F7C">
              <w:rPr>
                <w:szCs w:val="22"/>
                <w:lang w:val="en-GB"/>
              </w:rPr>
              <w:t>Diarrhoea, nausea</w:t>
            </w:r>
          </w:p>
          <w:p w14:paraId="5552E82C" w14:textId="77777777" w:rsidR="00D7303D" w:rsidRPr="00342F7C" w:rsidRDefault="00D7303D" w:rsidP="00C50403">
            <w:pPr>
              <w:pStyle w:val="EMEANormal"/>
              <w:rPr>
                <w:szCs w:val="22"/>
                <w:lang w:val="en-GB"/>
              </w:rPr>
            </w:pPr>
          </w:p>
        </w:tc>
      </w:tr>
      <w:tr w:rsidR="00D7303D" w:rsidRPr="00342F7C" w14:paraId="5200715C" w14:textId="77777777" w:rsidTr="00E4141B">
        <w:trPr>
          <w:cantSplit/>
        </w:trPr>
        <w:tc>
          <w:tcPr>
            <w:tcW w:w="3029" w:type="dxa"/>
            <w:vMerge/>
          </w:tcPr>
          <w:p w14:paraId="1EC48C71" w14:textId="77777777" w:rsidR="00D7303D" w:rsidRPr="00342F7C" w:rsidRDefault="00D7303D" w:rsidP="00C50403">
            <w:pPr>
              <w:pStyle w:val="EMEANormal"/>
              <w:tabs>
                <w:tab w:val="clear" w:pos="562"/>
                <w:tab w:val="left" w:pos="7340"/>
              </w:tabs>
              <w:suppressAutoHyphens w:val="0"/>
              <w:rPr>
                <w:szCs w:val="22"/>
                <w:lang w:val="en-GB"/>
              </w:rPr>
            </w:pPr>
          </w:p>
        </w:tc>
        <w:tc>
          <w:tcPr>
            <w:tcW w:w="1657" w:type="dxa"/>
            <w:tcBorders>
              <w:top w:val="nil"/>
              <w:bottom w:val="single" w:sz="4" w:space="0" w:color="auto"/>
            </w:tcBorders>
          </w:tcPr>
          <w:p w14:paraId="754C7A8D" w14:textId="77777777" w:rsidR="00D7303D" w:rsidRPr="00342F7C" w:rsidRDefault="00D7303D" w:rsidP="00C50403">
            <w:pPr>
              <w:pStyle w:val="EMEANormal"/>
              <w:rPr>
                <w:szCs w:val="22"/>
                <w:lang w:val="en-GB"/>
              </w:rPr>
            </w:pPr>
            <w:r w:rsidRPr="00342F7C">
              <w:rPr>
                <w:szCs w:val="22"/>
                <w:lang w:val="en-GB"/>
              </w:rPr>
              <w:t>Common</w:t>
            </w:r>
          </w:p>
        </w:tc>
        <w:tc>
          <w:tcPr>
            <w:tcW w:w="4374" w:type="dxa"/>
            <w:tcBorders>
              <w:top w:val="nil"/>
              <w:bottom w:val="single" w:sz="4" w:space="0" w:color="auto"/>
            </w:tcBorders>
          </w:tcPr>
          <w:p w14:paraId="12067992" w14:textId="77777777" w:rsidR="00D7303D" w:rsidRPr="00342F7C" w:rsidRDefault="00D7303D" w:rsidP="00C50403">
            <w:pPr>
              <w:pStyle w:val="EMEANormal"/>
              <w:rPr>
                <w:szCs w:val="22"/>
                <w:lang w:val="en-GB"/>
              </w:rPr>
            </w:pPr>
            <w:r w:rsidRPr="00342F7C">
              <w:rPr>
                <w:szCs w:val="22"/>
                <w:lang w:val="en-GB"/>
              </w:rPr>
              <w:t>Pancreatitis</w:t>
            </w:r>
            <w:r w:rsidRPr="00342F7C">
              <w:rPr>
                <w:szCs w:val="22"/>
                <w:vertAlign w:val="superscript"/>
                <w:lang w:val="en-GB"/>
              </w:rPr>
              <w:t>1</w:t>
            </w:r>
            <w:r w:rsidRPr="00342F7C">
              <w:rPr>
                <w:szCs w:val="22"/>
                <w:lang w:val="en-GB"/>
              </w:rPr>
              <w:t>, vomiting, gastrooesophageal reflux disease, gastroenteritis and colitis, abdominal pain (upper and lower), abdominal distension, dyspepsia, haemorrhoids, flatulence</w:t>
            </w:r>
          </w:p>
          <w:p w14:paraId="1D72A3BE" w14:textId="77777777" w:rsidR="00D7303D" w:rsidRPr="00342F7C" w:rsidRDefault="00D7303D" w:rsidP="00C50403">
            <w:pPr>
              <w:pStyle w:val="EMEANormal"/>
              <w:rPr>
                <w:szCs w:val="22"/>
                <w:lang w:val="en-GB"/>
              </w:rPr>
            </w:pPr>
          </w:p>
        </w:tc>
      </w:tr>
      <w:tr w:rsidR="00D7303D" w:rsidRPr="00342F7C" w14:paraId="34EF6D47" w14:textId="77777777" w:rsidTr="00E4141B">
        <w:trPr>
          <w:cantSplit/>
          <w:trHeight w:val="1011"/>
        </w:trPr>
        <w:tc>
          <w:tcPr>
            <w:tcW w:w="3029" w:type="dxa"/>
            <w:vMerge/>
          </w:tcPr>
          <w:p w14:paraId="7609BF3E" w14:textId="77777777" w:rsidR="00D7303D" w:rsidRPr="00342F7C" w:rsidRDefault="00D7303D" w:rsidP="00C50403">
            <w:pPr>
              <w:pStyle w:val="EMEANormal"/>
              <w:tabs>
                <w:tab w:val="clear" w:pos="562"/>
                <w:tab w:val="left" w:pos="7340"/>
              </w:tabs>
              <w:suppressAutoHyphens w:val="0"/>
              <w:rPr>
                <w:szCs w:val="22"/>
                <w:lang w:val="en-GB"/>
              </w:rPr>
            </w:pPr>
          </w:p>
        </w:tc>
        <w:tc>
          <w:tcPr>
            <w:tcW w:w="1657" w:type="dxa"/>
            <w:tcBorders>
              <w:top w:val="single" w:sz="4" w:space="0" w:color="auto"/>
            </w:tcBorders>
          </w:tcPr>
          <w:p w14:paraId="6EFAB225" w14:textId="77777777" w:rsidR="00D7303D" w:rsidRPr="00342F7C" w:rsidRDefault="00D7303D" w:rsidP="00C50403">
            <w:pPr>
              <w:pStyle w:val="EMEANormal"/>
              <w:rPr>
                <w:szCs w:val="22"/>
                <w:lang w:val="en-GB"/>
              </w:rPr>
            </w:pPr>
            <w:r w:rsidRPr="00342F7C">
              <w:rPr>
                <w:szCs w:val="22"/>
                <w:lang w:val="en-GB"/>
              </w:rPr>
              <w:t>Uncommon</w:t>
            </w:r>
          </w:p>
        </w:tc>
        <w:tc>
          <w:tcPr>
            <w:tcW w:w="4374" w:type="dxa"/>
            <w:tcBorders>
              <w:top w:val="single" w:sz="4" w:space="0" w:color="auto"/>
            </w:tcBorders>
          </w:tcPr>
          <w:p w14:paraId="229122C4" w14:textId="77777777" w:rsidR="00D7303D" w:rsidRPr="00342F7C" w:rsidRDefault="00D7303D" w:rsidP="00592F94">
            <w:pPr>
              <w:pStyle w:val="EMEANormal"/>
              <w:rPr>
                <w:szCs w:val="22"/>
                <w:lang w:val="en-GB"/>
              </w:rPr>
            </w:pPr>
            <w:r w:rsidRPr="00342F7C">
              <w:rPr>
                <w:szCs w:val="22"/>
                <w:lang w:val="en-GB"/>
              </w:rPr>
              <w:t>Gastrointestinal haemorrhage including gastrointestinal ulcer, duodenitis, gastritis and rectal haemorrhage, stomatitis and oral ulcers, faecal incontinence, constipation, dry mouth</w:t>
            </w:r>
          </w:p>
        </w:tc>
      </w:tr>
      <w:tr w:rsidR="00D7303D" w:rsidRPr="00342F7C" w14:paraId="02497159" w14:textId="77777777" w:rsidTr="00E4141B">
        <w:tc>
          <w:tcPr>
            <w:tcW w:w="3029" w:type="dxa"/>
            <w:vMerge w:val="restart"/>
          </w:tcPr>
          <w:p w14:paraId="60401FD9" w14:textId="77777777" w:rsidR="00D7303D" w:rsidRPr="00342F7C" w:rsidRDefault="00D7303D" w:rsidP="00C50403">
            <w:pPr>
              <w:pStyle w:val="EMEANormal"/>
              <w:tabs>
                <w:tab w:val="clear" w:pos="562"/>
                <w:tab w:val="left" w:pos="7340"/>
              </w:tabs>
              <w:suppressAutoHyphens w:val="0"/>
              <w:rPr>
                <w:szCs w:val="22"/>
                <w:lang w:val="en-GB"/>
              </w:rPr>
            </w:pPr>
            <w:r w:rsidRPr="00342F7C">
              <w:rPr>
                <w:szCs w:val="22"/>
                <w:lang w:val="en-GB"/>
              </w:rPr>
              <w:t>Hepatobiliary disorders</w:t>
            </w:r>
          </w:p>
        </w:tc>
        <w:tc>
          <w:tcPr>
            <w:tcW w:w="1657" w:type="dxa"/>
            <w:tcBorders>
              <w:bottom w:val="nil"/>
            </w:tcBorders>
          </w:tcPr>
          <w:p w14:paraId="1712A69F" w14:textId="77777777" w:rsidR="00D7303D" w:rsidRPr="00342F7C" w:rsidRDefault="00D7303D" w:rsidP="00C50403">
            <w:pPr>
              <w:pStyle w:val="EMEANormal"/>
              <w:rPr>
                <w:szCs w:val="22"/>
                <w:lang w:val="en-GB"/>
              </w:rPr>
            </w:pPr>
            <w:r w:rsidRPr="00342F7C">
              <w:rPr>
                <w:szCs w:val="22"/>
                <w:lang w:val="en-GB"/>
              </w:rPr>
              <w:t>Common</w:t>
            </w:r>
          </w:p>
        </w:tc>
        <w:tc>
          <w:tcPr>
            <w:tcW w:w="4374" w:type="dxa"/>
            <w:tcBorders>
              <w:bottom w:val="nil"/>
            </w:tcBorders>
          </w:tcPr>
          <w:p w14:paraId="418ECC9F" w14:textId="77777777" w:rsidR="00D7303D" w:rsidRPr="00342F7C" w:rsidRDefault="00D7303D" w:rsidP="00C50403">
            <w:pPr>
              <w:pStyle w:val="EMEANormal"/>
              <w:rPr>
                <w:szCs w:val="22"/>
                <w:lang w:val="en-GB"/>
              </w:rPr>
            </w:pPr>
            <w:r w:rsidRPr="00342F7C">
              <w:rPr>
                <w:szCs w:val="22"/>
                <w:lang w:val="en-GB"/>
              </w:rPr>
              <w:t>Hepatitis including AST, ALT and GGT increases</w:t>
            </w:r>
          </w:p>
          <w:p w14:paraId="1E4CC5B5" w14:textId="77777777" w:rsidR="00D7303D" w:rsidRPr="00342F7C" w:rsidRDefault="00D7303D" w:rsidP="00C50403">
            <w:pPr>
              <w:pStyle w:val="EMEANormal"/>
              <w:rPr>
                <w:szCs w:val="22"/>
                <w:lang w:val="en-GB"/>
              </w:rPr>
            </w:pPr>
          </w:p>
        </w:tc>
      </w:tr>
      <w:tr w:rsidR="00D7303D" w:rsidRPr="00342F7C" w14:paraId="3DD891BD" w14:textId="77777777" w:rsidTr="00D10B37">
        <w:trPr>
          <w:trHeight w:val="893"/>
        </w:trPr>
        <w:tc>
          <w:tcPr>
            <w:tcW w:w="3029" w:type="dxa"/>
            <w:vMerge/>
          </w:tcPr>
          <w:p w14:paraId="568E0679" w14:textId="77777777" w:rsidR="00D7303D" w:rsidRPr="00342F7C" w:rsidRDefault="00D7303D" w:rsidP="00C50403">
            <w:pPr>
              <w:pStyle w:val="EMEANormal"/>
              <w:tabs>
                <w:tab w:val="clear" w:pos="562"/>
                <w:tab w:val="left" w:pos="7340"/>
              </w:tabs>
              <w:suppressAutoHyphens w:val="0"/>
              <w:rPr>
                <w:szCs w:val="22"/>
                <w:lang w:val="en-GB"/>
              </w:rPr>
            </w:pPr>
          </w:p>
        </w:tc>
        <w:tc>
          <w:tcPr>
            <w:tcW w:w="1657" w:type="dxa"/>
            <w:tcBorders>
              <w:top w:val="nil"/>
              <w:bottom w:val="nil"/>
            </w:tcBorders>
          </w:tcPr>
          <w:p w14:paraId="219B3112" w14:textId="77777777" w:rsidR="00D7303D" w:rsidRPr="00342F7C" w:rsidRDefault="00D7303D" w:rsidP="00C50403">
            <w:pPr>
              <w:pStyle w:val="EMEANormal"/>
              <w:rPr>
                <w:szCs w:val="22"/>
                <w:lang w:val="en-GB"/>
              </w:rPr>
            </w:pPr>
            <w:r w:rsidRPr="00342F7C">
              <w:rPr>
                <w:szCs w:val="22"/>
                <w:lang w:val="en-GB"/>
              </w:rPr>
              <w:t>Uncommon</w:t>
            </w:r>
          </w:p>
        </w:tc>
        <w:tc>
          <w:tcPr>
            <w:tcW w:w="4374" w:type="dxa"/>
            <w:tcBorders>
              <w:top w:val="nil"/>
              <w:bottom w:val="nil"/>
            </w:tcBorders>
          </w:tcPr>
          <w:p w14:paraId="59B6333D" w14:textId="77777777" w:rsidR="00D7303D" w:rsidRPr="00342F7C" w:rsidRDefault="0099677F" w:rsidP="00C50403">
            <w:pPr>
              <w:pStyle w:val="EMEANormal"/>
              <w:rPr>
                <w:szCs w:val="22"/>
                <w:lang w:val="en-GB"/>
              </w:rPr>
            </w:pPr>
            <w:r>
              <w:rPr>
                <w:szCs w:val="22"/>
                <w:lang w:val="en-GB"/>
              </w:rPr>
              <w:t>Jaundice, h</w:t>
            </w:r>
            <w:r w:rsidR="00D7303D" w:rsidRPr="00342F7C">
              <w:rPr>
                <w:szCs w:val="22"/>
                <w:lang w:val="en-GB"/>
              </w:rPr>
              <w:t>epatic steatosis, hepatomegaly, cholangitis, hyperbilirubinemia</w:t>
            </w:r>
          </w:p>
        </w:tc>
      </w:tr>
      <w:tr w:rsidR="00D7303D" w:rsidRPr="00342F7C" w14:paraId="76CFB681" w14:textId="77777777" w:rsidTr="00E4141B">
        <w:trPr>
          <w:cantSplit/>
        </w:trPr>
        <w:tc>
          <w:tcPr>
            <w:tcW w:w="3029" w:type="dxa"/>
            <w:vMerge w:val="restart"/>
          </w:tcPr>
          <w:p w14:paraId="385BCCB0" w14:textId="77777777" w:rsidR="00D7303D" w:rsidRPr="00342F7C" w:rsidRDefault="00D7303D" w:rsidP="00C50403">
            <w:pPr>
              <w:pStyle w:val="EMEANormal"/>
              <w:tabs>
                <w:tab w:val="clear" w:pos="562"/>
                <w:tab w:val="left" w:pos="7340"/>
              </w:tabs>
              <w:suppressAutoHyphens w:val="0"/>
              <w:rPr>
                <w:szCs w:val="22"/>
                <w:lang w:val="en-GB"/>
              </w:rPr>
            </w:pPr>
            <w:r w:rsidRPr="00342F7C">
              <w:rPr>
                <w:szCs w:val="22"/>
                <w:lang w:val="en-GB"/>
              </w:rPr>
              <w:t>Skin and subcutaneous tissue disorders</w:t>
            </w:r>
          </w:p>
        </w:tc>
        <w:tc>
          <w:tcPr>
            <w:tcW w:w="1657" w:type="dxa"/>
            <w:tcBorders>
              <w:top w:val="single" w:sz="4" w:space="0" w:color="auto"/>
              <w:bottom w:val="nil"/>
            </w:tcBorders>
          </w:tcPr>
          <w:p w14:paraId="34C84B4A" w14:textId="77777777" w:rsidR="00D7303D" w:rsidRPr="00342F7C" w:rsidRDefault="00D7303D" w:rsidP="00C50403">
            <w:pPr>
              <w:pStyle w:val="EMEANormal"/>
              <w:rPr>
                <w:szCs w:val="22"/>
                <w:lang w:val="en-GB"/>
              </w:rPr>
            </w:pPr>
            <w:r w:rsidRPr="00342F7C">
              <w:rPr>
                <w:szCs w:val="22"/>
                <w:lang w:val="en-GB"/>
              </w:rPr>
              <w:t>Common</w:t>
            </w:r>
          </w:p>
          <w:p w14:paraId="02FD1713" w14:textId="77777777" w:rsidR="00D7303D" w:rsidRPr="00342F7C" w:rsidRDefault="00D7303D" w:rsidP="00C50403">
            <w:pPr>
              <w:pStyle w:val="EMEANormal"/>
              <w:rPr>
                <w:szCs w:val="22"/>
                <w:lang w:val="en-GB"/>
              </w:rPr>
            </w:pPr>
          </w:p>
        </w:tc>
        <w:tc>
          <w:tcPr>
            <w:tcW w:w="4374" w:type="dxa"/>
            <w:tcBorders>
              <w:top w:val="single" w:sz="4" w:space="0" w:color="auto"/>
              <w:bottom w:val="nil"/>
            </w:tcBorders>
          </w:tcPr>
          <w:p w14:paraId="426AE86D" w14:textId="77777777" w:rsidR="00D7303D" w:rsidRPr="00342F7C" w:rsidRDefault="00CA7C65" w:rsidP="00C50403">
            <w:pPr>
              <w:pStyle w:val="EMEANormal"/>
              <w:rPr>
                <w:szCs w:val="22"/>
                <w:lang w:val="en-GB"/>
              </w:rPr>
            </w:pPr>
            <w:r>
              <w:rPr>
                <w:szCs w:val="22"/>
                <w:lang w:val="en-GB"/>
              </w:rPr>
              <w:t>R</w:t>
            </w:r>
            <w:r w:rsidR="00D7303D" w:rsidRPr="00342F7C">
              <w:rPr>
                <w:szCs w:val="22"/>
                <w:lang w:val="en-GB"/>
              </w:rPr>
              <w:t>ash including maculopapular rash, dermatitis/rash including eczema and seborrheic dermatitis, night sweats, pruri</w:t>
            </w:r>
            <w:r w:rsidR="00D7303D" w:rsidRPr="0026037D">
              <w:rPr>
                <w:szCs w:val="22"/>
                <w:lang w:val="en-GB"/>
              </w:rPr>
              <w:t>t</w:t>
            </w:r>
            <w:r w:rsidR="007079E7" w:rsidRPr="00C475F2">
              <w:rPr>
                <w:szCs w:val="22"/>
                <w:lang w:val="en-GB"/>
              </w:rPr>
              <w:t>u</w:t>
            </w:r>
            <w:r w:rsidR="00D7303D" w:rsidRPr="00C475F2">
              <w:rPr>
                <w:szCs w:val="22"/>
                <w:lang w:val="en-GB"/>
              </w:rPr>
              <w:t>s</w:t>
            </w:r>
          </w:p>
          <w:p w14:paraId="1A63841B" w14:textId="77777777" w:rsidR="00D7303D" w:rsidRPr="00342F7C" w:rsidRDefault="00D7303D" w:rsidP="00C50403">
            <w:pPr>
              <w:pStyle w:val="EMEANormal"/>
              <w:rPr>
                <w:szCs w:val="22"/>
                <w:lang w:val="en-GB"/>
              </w:rPr>
            </w:pPr>
          </w:p>
        </w:tc>
      </w:tr>
      <w:tr w:rsidR="00D7303D" w:rsidRPr="00342F7C" w14:paraId="746618C3" w14:textId="77777777" w:rsidTr="00E4141B">
        <w:trPr>
          <w:cantSplit/>
        </w:trPr>
        <w:tc>
          <w:tcPr>
            <w:tcW w:w="3029" w:type="dxa"/>
            <w:vMerge/>
          </w:tcPr>
          <w:p w14:paraId="199963A2" w14:textId="77777777" w:rsidR="00D7303D" w:rsidRPr="00342F7C" w:rsidRDefault="00D7303D" w:rsidP="00C50403">
            <w:pPr>
              <w:pStyle w:val="EMEANormal"/>
              <w:tabs>
                <w:tab w:val="clear" w:pos="562"/>
                <w:tab w:val="left" w:pos="7340"/>
              </w:tabs>
              <w:suppressAutoHyphens w:val="0"/>
              <w:rPr>
                <w:szCs w:val="22"/>
                <w:lang w:val="en-GB"/>
              </w:rPr>
            </w:pPr>
          </w:p>
        </w:tc>
        <w:tc>
          <w:tcPr>
            <w:tcW w:w="1657" w:type="dxa"/>
            <w:tcBorders>
              <w:top w:val="nil"/>
              <w:bottom w:val="nil"/>
            </w:tcBorders>
          </w:tcPr>
          <w:p w14:paraId="2C8FFF91" w14:textId="77777777" w:rsidR="00D7303D" w:rsidRPr="00342F7C" w:rsidRDefault="00D7303D" w:rsidP="00C50403">
            <w:pPr>
              <w:pStyle w:val="EMEANormal"/>
              <w:rPr>
                <w:szCs w:val="22"/>
                <w:lang w:val="en-GB"/>
              </w:rPr>
            </w:pPr>
            <w:r w:rsidRPr="00342F7C">
              <w:rPr>
                <w:szCs w:val="22"/>
                <w:lang w:val="en-GB"/>
              </w:rPr>
              <w:t>Uncommon</w:t>
            </w:r>
          </w:p>
        </w:tc>
        <w:tc>
          <w:tcPr>
            <w:tcW w:w="4374" w:type="dxa"/>
            <w:tcBorders>
              <w:top w:val="nil"/>
              <w:bottom w:val="nil"/>
            </w:tcBorders>
          </w:tcPr>
          <w:p w14:paraId="2B4C1C9E" w14:textId="77777777" w:rsidR="00D7303D" w:rsidRPr="00342F7C" w:rsidRDefault="00D7303D" w:rsidP="00C50403">
            <w:pPr>
              <w:pStyle w:val="EMEANormal"/>
              <w:rPr>
                <w:szCs w:val="22"/>
                <w:lang w:val="en-GB"/>
              </w:rPr>
            </w:pPr>
            <w:r w:rsidRPr="00342F7C">
              <w:rPr>
                <w:szCs w:val="22"/>
                <w:lang w:val="en-GB"/>
              </w:rPr>
              <w:t>Alopecia, capillaritis, vasculitis</w:t>
            </w:r>
            <w:r w:rsidRPr="00342F7C" w:rsidDel="0070020B">
              <w:rPr>
                <w:szCs w:val="22"/>
                <w:lang w:val="en-GB"/>
              </w:rPr>
              <w:t xml:space="preserve"> </w:t>
            </w:r>
          </w:p>
          <w:p w14:paraId="21F2A30E" w14:textId="77777777" w:rsidR="00D7303D" w:rsidRPr="00342F7C" w:rsidRDefault="00D7303D" w:rsidP="00C50403">
            <w:pPr>
              <w:pStyle w:val="EMEANormal"/>
              <w:rPr>
                <w:szCs w:val="22"/>
                <w:lang w:val="en-GB"/>
              </w:rPr>
            </w:pPr>
          </w:p>
        </w:tc>
      </w:tr>
      <w:tr w:rsidR="00E83E0F" w:rsidRPr="007E1E2E" w14:paraId="2F20A694" w14:textId="77777777" w:rsidTr="00E4141B">
        <w:trPr>
          <w:cantSplit/>
          <w:trHeight w:val="521"/>
        </w:trPr>
        <w:tc>
          <w:tcPr>
            <w:tcW w:w="3029" w:type="dxa"/>
            <w:vMerge/>
          </w:tcPr>
          <w:p w14:paraId="0BD0F863" w14:textId="77777777" w:rsidR="00E83E0F" w:rsidRPr="00342F7C" w:rsidRDefault="00E83E0F" w:rsidP="00C50403">
            <w:pPr>
              <w:pStyle w:val="EMEANormal"/>
              <w:tabs>
                <w:tab w:val="clear" w:pos="562"/>
                <w:tab w:val="left" w:pos="7340"/>
              </w:tabs>
              <w:suppressAutoHyphens w:val="0"/>
              <w:rPr>
                <w:szCs w:val="22"/>
                <w:lang w:val="en-GB"/>
              </w:rPr>
            </w:pPr>
          </w:p>
        </w:tc>
        <w:tc>
          <w:tcPr>
            <w:tcW w:w="1657" w:type="dxa"/>
            <w:tcBorders>
              <w:top w:val="nil"/>
            </w:tcBorders>
          </w:tcPr>
          <w:p w14:paraId="6AD5B811" w14:textId="77777777" w:rsidR="00E83E0F" w:rsidRPr="00342F7C" w:rsidRDefault="0099677F" w:rsidP="00C50403">
            <w:pPr>
              <w:pStyle w:val="EMEANormal"/>
              <w:rPr>
                <w:szCs w:val="22"/>
                <w:lang w:val="en-GB"/>
              </w:rPr>
            </w:pPr>
            <w:r>
              <w:rPr>
                <w:szCs w:val="22"/>
                <w:lang w:val="en-GB"/>
              </w:rPr>
              <w:t>Rare</w:t>
            </w:r>
          </w:p>
        </w:tc>
        <w:tc>
          <w:tcPr>
            <w:tcW w:w="4374" w:type="dxa"/>
            <w:tcBorders>
              <w:top w:val="nil"/>
            </w:tcBorders>
          </w:tcPr>
          <w:p w14:paraId="240356AB" w14:textId="77777777" w:rsidR="00E83E0F" w:rsidRPr="007E1E2E" w:rsidDel="0070020B" w:rsidRDefault="00E83E0F" w:rsidP="00011F6A">
            <w:pPr>
              <w:pStyle w:val="EMEANormal"/>
              <w:rPr>
                <w:szCs w:val="22"/>
                <w:lang w:val="fr-FR"/>
              </w:rPr>
            </w:pPr>
            <w:r w:rsidRPr="007E1E2E">
              <w:rPr>
                <w:szCs w:val="22"/>
                <w:lang w:val="fr-FR"/>
              </w:rPr>
              <w:t>Stevens-Johnson syndrome, erythema multiforme</w:t>
            </w:r>
          </w:p>
        </w:tc>
      </w:tr>
      <w:tr w:rsidR="00E83E0F" w:rsidRPr="00342F7C" w14:paraId="6B7F9B4E" w14:textId="77777777" w:rsidTr="00E4141B">
        <w:trPr>
          <w:cantSplit/>
        </w:trPr>
        <w:tc>
          <w:tcPr>
            <w:tcW w:w="3029" w:type="dxa"/>
            <w:vMerge w:val="restart"/>
          </w:tcPr>
          <w:p w14:paraId="12A3480C" w14:textId="77777777" w:rsidR="00E83E0F" w:rsidRPr="00342F7C" w:rsidRDefault="00E83E0F" w:rsidP="00C50403">
            <w:pPr>
              <w:pStyle w:val="EMEANormal"/>
              <w:tabs>
                <w:tab w:val="clear" w:pos="562"/>
                <w:tab w:val="left" w:pos="7340"/>
              </w:tabs>
              <w:suppressAutoHyphens w:val="0"/>
              <w:rPr>
                <w:szCs w:val="22"/>
                <w:lang w:val="en-GB"/>
              </w:rPr>
            </w:pPr>
            <w:r w:rsidRPr="00342F7C">
              <w:rPr>
                <w:szCs w:val="22"/>
                <w:lang w:val="en-GB"/>
              </w:rPr>
              <w:t>Musculoskeletal and connective tissue disorders</w:t>
            </w:r>
          </w:p>
        </w:tc>
        <w:tc>
          <w:tcPr>
            <w:tcW w:w="1657" w:type="dxa"/>
            <w:tcBorders>
              <w:top w:val="single" w:sz="4" w:space="0" w:color="auto"/>
              <w:bottom w:val="nil"/>
            </w:tcBorders>
          </w:tcPr>
          <w:p w14:paraId="1D0FA464" w14:textId="77777777" w:rsidR="00E83E0F" w:rsidRPr="00342F7C" w:rsidRDefault="00E83E0F" w:rsidP="00C50403">
            <w:pPr>
              <w:pStyle w:val="EMEANormal"/>
              <w:rPr>
                <w:szCs w:val="22"/>
                <w:lang w:val="en-GB"/>
              </w:rPr>
            </w:pPr>
            <w:r w:rsidRPr="00342F7C">
              <w:rPr>
                <w:szCs w:val="22"/>
                <w:lang w:val="en-GB"/>
              </w:rPr>
              <w:t>Common</w:t>
            </w:r>
          </w:p>
          <w:p w14:paraId="7C22545C" w14:textId="77777777" w:rsidR="00E83E0F" w:rsidRPr="00342F7C" w:rsidRDefault="00E83E0F" w:rsidP="00C50403">
            <w:pPr>
              <w:pStyle w:val="EMEANormal"/>
              <w:rPr>
                <w:szCs w:val="22"/>
                <w:lang w:val="en-GB"/>
              </w:rPr>
            </w:pPr>
          </w:p>
        </w:tc>
        <w:tc>
          <w:tcPr>
            <w:tcW w:w="4374" w:type="dxa"/>
            <w:tcBorders>
              <w:top w:val="single" w:sz="4" w:space="0" w:color="auto"/>
              <w:bottom w:val="nil"/>
            </w:tcBorders>
          </w:tcPr>
          <w:p w14:paraId="4C0B4AED" w14:textId="77777777" w:rsidR="00E83E0F" w:rsidRPr="00342F7C" w:rsidRDefault="00E83E0F" w:rsidP="00C50403">
            <w:pPr>
              <w:pStyle w:val="EMEANormal"/>
              <w:rPr>
                <w:szCs w:val="22"/>
                <w:lang w:val="en-GB"/>
              </w:rPr>
            </w:pPr>
            <w:r w:rsidRPr="00342F7C">
              <w:rPr>
                <w:szCs w:val="22"/>
                <w:lang w:val="en-GB"/>
              </w:rPr>
              <w:t xml:space="preserve">Myalgia, </w:t>
            </w:r>
            <w:r w:rsidRPr="00342F7C">
              <w:rPr>
                <w:lang w:val="en-GB"/>
              </w:rPr>
              <w:t>musculoskeletal pain including arthralgia and back pain, muscle disorders such as weakness and spasms</w:t>
            </w:r>
          </w:p>
          <w:p w14:paraId="68464986" w14:textId="77777777" w:rsidR="00E83E0F" w:rsidRPr="00342F7C" w:rsidRDefault="00E83E0F" w:rsidP="00C50403">
            <w:pPr>
              <w:pStyle w:val="EMEANormal"/>
              <w:rPr>
                <w:szCs w:val="22"/>
                <w:lang w:val="en-GB"/>
              </w:rPr>
            </w:pPr>
          </w:p>
        </w:tc>
      </w:tr>
      <w:tr w:rsidR="00E83E0F" w:rsidRPr="00342F7C" w14:paraId="03E1441C" w14:textId="77777777" w:rsidTr="00E4141B">
        <w:trPr>
          <w:cantSplit/>
        </w:trPr>
        <w:tc>
          <w:tcPr>
            <w:tcW w:w="3029" w:type="dxa"/>
            <w:vMerge/>
          </w:tcPr>
          <w:p w14:paraId="1975E252" w14:textId="77777777" w:rsidR="00E83E0F" w:rsidRPr="00342F7C" w:rsidRDefault="00E83E0F" w:rsidP="00C50403">
            <w:pPr>
              <w:pStyle w:val="EMEANormal"/>
              <w:tabs>
                <w:tab w:val="clear" w:pos="562"/>
                <w:tab w:val="left" w:pos="7340"/>
              </w:tabs>
              <w:suppressAutoHyphens w:val="0"/>
              <w:rPr>
                <w:szCs w:val="22"/>
                <w:lang w:val="en-GB"/>
              </w:rPr>
            </w:pPr>
          </w:p>
        </w:tc>
        <w:tc>
          <w:tcPr>
            <w:tcW w:w="1657" w:type="dxa"/>
            <w:tcBorders>
              <w:top w:val="nil"/>
              <w:bottom w:val="single" w:sz="4" w:space="0" w:color="auto"/>
            </w:tcBorders>
          </w:tcPr>
          <w:p w14:paraId="5A781551" w14:textId="77777777" w:rsidR="00E83E0F" w:rsidRPr="00342F7C" w:rsidRDefault="00E83E0F" w:rsidP="00C50403">
            <w:pPr>
              <w:pStyle w:val="EMEANormal"/>
              <w:rPr>
                <w:szCs w:val="22"/>
                <w:lang w:val="en-GB"/>
              </w:rPr>
            </w:pPr>
            <w:r w:rsidRPr="00342F7C">
              <w:rPr>
                <w:szCs w:val="22"/>
                <w:lang w:val="en-GB"/>
              </w:rPr>
              <w:t>Uncommon</w:t>
            </w:r>
          </w:p>
        </w:tc>
        <w:tc>
          <w:tcPr>
            <w:tcW w:w="4374" w:type="dxa"/>
            <w:tcBorders>
              <w:top w:val="nil"/>
              <w:bottom w:val="single" w:sz="4" w:space="0" w:color="auto"/>
            </w:tcBorders>
          </w:tcPr>
          <w:p w14:paraId="4BD6A0BD" w14:textId="77777777" w:rsidR="00E83E0F" w:rsidRPr="00342F7C" w:rsidRDefault="00E83E0F" w:rsidP="00C50403">
            <w:pPr>
              <w:pStyle w:val="EMEANormal"/>
              <w:rPr>
                <w:szCs w:val="22"/>
                <w:lang w:val="en-GB"/>
              </w:rPr>
            </w:pPr>
            <w:r w:rsidRPr="00342F7C">
              <w:rPr>
                <w:szCs w:val="22"/>
                <w:lang w:val="en-GB"/>
              </w:rPr>
              <w:t>Rhabdomyolysis, osteonecrosis</w:t>
            </w:r>
          </w:p>
        </w:tc>
      </w:tr>
      <w:tr w:rsidR="00E83E0F" w:rsidRPr="005A7D58" w14:paraId="4CF7FA15" w14:textId="77777777" w:rsidTr="00E4141B">
        <w:tc>
          <w:tcPr>
            <w:tcW w:w="3029" w:type="dxa"/>
          </w:tcPr>
          <w:p w14:paraId="73FEAAA7" w14:textId="77777777" w:rsidR="00E83E0F" w:rsidRPr="005A7D58" w:rsidRDefault="00E83E0F" w:rsidP="00C50403">
            <w:pPr>
              <w:pStyle w:val="EMEANormal"/>
              <w:tabs>
                <w:tab w:val="clear" w:pos="562"/>
                <w:tab w:val="left" w:pos="7340"/>
              </w:tabs>
              <w:suppressAutoHyphens w:val="0"/>
              <w:rPr>
                <w:szCs w:val="22"/>
                <w:lang w:val="en-GB"/>
              </w:rPr>
            </w:pPr>
            <w:r w:rsidRPr="005A7D58">
              <w:rPr>
                <w:szCs w:val="22"/>
                <w:lang w:val="en-GB"/>
              </w:rPr>
              <w:t>Renal and urinary disorders</w:t>
            </w:r>
          </w:p>
        </w:tc>
        <w:tc>
          <w:tcPr>
            <w:tcW w:w="1657" w:type="dxa"/>
          </w:tcPr>
          <w:p w14:paraId="0BE5C9A0" w14:textId="77777777" w:rsidR="00E83E0F" w:rsidRPr="005A7D58" w:rsidRDefault="00E83E0F" w:rsidP="00C50403">
            <w:pPr>
              <w:pStyle w:val="EMEANormal"/>
              <w:rPr>
                <w:szCs w:val="22"/>
                <w:lang w:val="en-GB"/>
              </w:rPr>
            </w:pPr>
            <w:r w:rsidRPr="005A7D58">
              <w:rPr>
                <w:szCs w:val="22"/>
                <w:lang w:val="en-GB"/>
              </w:rPr>
              <w:t>Uncommon</w:t>
            </w:r>
          </w:p>
          <w:p w14:paraId="0974A378" w14:textId="77777777" w:rsidR="002B6A81" w:rsidRPr="005A7D58" w:rsidRDefault="002B6A81" w:rsidP="00C50403">
            <w:pPr>
              <w:pStyle w:val="EMEANormal"/>
              <w:rPr>
                <w:szCs w:val="22"/>
                <w:lang w:val="en-GB"/>
              </w:rPr>
            </w:pPr>
          </w:p>
          <w:p w14:paraId="5AAFE9BD" w14:textId="77777777" w:rsidR="002B6A81" w:rsidRPr="005A7D58" w:rsidRDefault="002B6A81" w:rsidP="00C50403">
            <w:pPr>
              <w:pStyle w:val="EMEANormal"/>
              <w:rPr>
                <w:szCs w:val="22"/>
                <w:lang w:val="en-GB"/>
              </w:rPr>
            </w:pPr>
          </w:p>
          <w:p w14:paraId="29A6EBE0" w14:textId="77777777" w:rsidR="002B6A81" w:rsidRPr="005A7D58" w:rsidRDefault="002B6A81" w:rsidP="00C50403">
            <w:pPr>
              <w:pStyle w:val="EMEANormal"/>
              <w:rPr>
                <w:szCs w:val="22"/>
                <w:lang w:val="en-GB"/>
              </w:rPr>
            </w:pPr>
            <w:r w:rsidRPr="005A7D58">
              <w:rPr>
                <w:szCs w:val="22"/>
                <w:lang w:val="en-GB"/>
              </w:rPr>
              <w:t>Not known</w:t>
            </w:r>
          </w:p>
        </w:tc>
        <w:tc>
          <w:tcPr>
            <w:tcW w:w="4374" w:type="dxa"/>
          </w:tcPr>
          <w:p w14:paraId="03B3BFA7" w14:textId="77777777" w:rsidR="00E83E0F" w:rsidRPr="005A7D58" w:rsidRDefault="00E83E0F" w:rsidP="00C50403">
            <w:pPr>
              <w:pStyle w:val="EMEANormal"/>
              <w:rPr>
                <w:szCs w:val="22"/>
                <w:lang w:val="en-GB"/>
              </w:rPr>
            </w:pPr>
            <w:r w:rsidRPr="005A7D58">
              <w:rPr>
                <w:szCs w:val="22"/>
                <w:lang w:val="en-GB"/>
              </w:rPr>
              <w:t>Creatinine clearance decreased, nephritis, haematuria</w:t>
            </w:r>
          </w:p>
          <w:p w14:paraId="21CC23E4" w14:textId="77777777" w:rsidR="002B6A81" w:rsidRPr="005A7D58" w:rsidRDefault="002B6A81" w:rsidP="00C50403">
            <w:pPr>
              <w:pStyle w:val="EMEANormal"/>
              <w:rPr>
                <w:szCs w:val="22"/>
                <w:lang w:val="en-GB"/>
              </w:rPr>
            </w:pPr>
          </w:p>
          <w:p w14:paraId="2F899A7A" w14:textId="77777777" w:rsidR="002B6A81" w:rsidRPr="005A7D58" w:rsidRDefault="002B6A81" w:rsidP="00C50403">
            <w:pPr>
              <w:pStyle w:val="EMEANormal"/>
              <w:rPr>
                <w:szCs w:val="22"/>
                <w:lang w:val="en-GB"/>
              </w:rPr>
            </w:pPr>
            <w:r w:rsidRPr="005A7D58">
              <w:rPr>
                <w:color w:val="000000"/>
                <w:szCs w:val="22"/>
              </w:rPr>
              <w:t>Nephrolithiasis</w:t>
            </w:r>
          </w:p>
        </w:tc>
      </w:tr>
      <w:tr w:rsidR="00E83E0F" w:rsidRPr="00342F7C" w14:paraId="35F47EC3" w14:textId="77777777" w:rsidTr="00E4141B">
        <w:trPr>
          <w:cantSplit/>
          <w:trHeight w:val="465"/>
        </w:trPr>
        <w:tc>
          <w:tcPr>
            <w:tcW w:w="3029" w:type="dxa"/>
          </w:tcPr>
          <w:p w14:paraId="6041E792" w14:textId="77777777" w:rsidR="00E83E0F" w:rsidRPr="00342F7C" w:rsidRDefault="00E83E0F" w:rsidP="00C50403">
            <w:pPr>
              <w:pStyle w:val="EMEANormal"/>
              <w:tabs>
                <w:tab w:val="clear" w:pos="562"/>
                <w:tab w:val="left" w:pos="7340"/>
              </w:tabs>
              <w:suppressAutoHyphens w:val="0"/>
              <w:rPr>
                <w:szCs w:val="22"/>
                <w:lang w:val="en-GB"/>
              </w:rPr>
            </w:pPr>
            <w:r w:rsidRPr="00342F7C">
              <w:rPr>
                <w:szCs w:val="22"/>
                <w:lang w:val="en-GB"/>
              </w:rPr>
              <w:t>Reproductive system and breast disorders</w:t>
            </w:r>
          </w:p>
        </w:tc>
        <w:tc>
          <w:tcPr>
            <w:tcW w:w="1657" w:type="dxa"/>
            <w:tcBorders>
              <w:top w:val="single" w:sz="4" w:space="0" w:color="auto"/>
            </w:tcBorders>
          </w:tcPr>
          <w:p w14:paraId="5B5DB41D" w14:textId="77777777" w:rsidR="00E83E0F" w:rsidRPr="00342F7C" w:rsidRDefault="00E83E0F" w:rsidP="00C50403">
            <w:pPr>
              <w:pStyle w:val="EMEANormal"/>
              <w:rPr>
                <w:szCs w:val="22"/>
                <w:lang w:val="en-GB"/>
              </w:rPr>
            </w:pPr>
            <w:r w:rsidRPr="00342F7C">
              <w:rPr>
                <w:szCs w:val="22"/>
                <w:lang w:val="en-GB"/>
              </w:rPr>
              <w:t>Common</w:t>
            </w:r>
          </w:p>
        </w:tc>
        <w:tc>
          <w:tcPr>
            <w:tcW w:w="4374" w:type="dxa"/>
            <w:tcBorders>
              <w:top w:val="single" w:sz="4" w:space="0" w:color="auto"/>
            </w:tcBorders>
          </w:tcPr>
          <w:p w14:paraId="34D3A1D7" w14:textId="77777777" w:rsidR="00E83E0F" w:rsidRPr="00342F7C" w:rsidRDefault="00E83E0F" w:rsidP="00C50403">
            <w:pPr>
              <w:pStyle w:val="EMEANormal"/>
              <w:rPr>
                <w:szCs w:val="22"/>
                <w:lang w:val="en-GB"/>
              </w:rPr>
            </w:pPr>
            <w:r w:rsidRPr="00342F7C">
              <w:rPr>
                <w:szCs w:val="22"/>
                <w:lang w:val="en-GB"/>
              </w:rPr>
              <w:t xml:space="preserve">Erectile dysfunction, menstrual disorders -  amenorrhoea, menorrhagia </w:t>
            </w:r>
          </w:p>
        </w:tc>
      </w:tr>
      <w:tr w:rsidR="00E83E0F" w:rsidRPr="00342F7C" w14:paraId="6A5DCCB8" w14:textId="77777777" w:rsidTr="00E4141B">
        <w:trPr>
          <w:cantSplit/>
          <w:trHeight w:val="509"/>
        </w:trPr>
        <w:tc>
          <w:tcPr>
            <w:tcW w:w="3029" w:type="dxa"/>
          </w:tcPr>
          <w:p w14:paraId="7FAFC784" w14:textId="77777777" w:rsidR="00E83E0F" w:rsidRPr="00342F7C" w:rsidRDefault="00E83E0F" w:rsidP="00C50403">
            <w:pPr>
              <w:pStyle w:val="EMEANormal"/>
              <w:tabs>
                <w:tab w:val="clear" w:pos="562"/>
                <w:tab w:val="left" w:pos="7340"/>
              </w:tabs>
              <w:suppressAutoHyphens w:val="0"/>
              <w:rPr>
                <w:szCs w:val="22"/>
                <w:lang w:val="en-GB"/>
              </w:rPr>
            </w:pPr>
            <w:r w:rsidRPr="00342F7C">
              <w:rPr>
                <w:szCs w:val="22"/>
                <w:lang w:val="en-GB"/>
              </w:rPr>
              <w:t>General disorders and administration site conditions</w:t>
            </w:r>
          </w:p>
        </w:tc>
        <w:tc>
          <w:tcPr>
            <w:tcW w:w="1657" w:type="dxa"/>
            <w:tcBorders>
              <w:top w:val="single" w:sz="4" w:space="0" w:color="auto"/>
            </w:tcBorders>
          </w:tcPr>
          <w:p w14:paraId="15861A80" w14:textId="77777777" w:rsidR="00E83E0F" w:rsidRPr="00342F7C" w:rsidRDefault="00E83E0F" w:rsidP="00C50403">
            <w:pPr>
              <w:pStyle w:val="EMEANormal"/>
              <w:rPr>
                <w:szCs w:val="22"/>
                <w:lang w:val="en-GB"/>
              </w:rPr>
            </w:pPr>
            <w:r w:rsidRPr="00342F7C">
              <w:rPr>
                <w:szCs w:val="22"/>
                <w:lang w:val="en-GB"/>
              </w:rPr>
              <w:t>Common</w:t>
            </w:r>
          </w:p>
          <w:p w14:paraId="54B36A9A" w14:textId="77777777" w:rsidR="00E83E0F" w:rsidRPr="00342F7C" w:rsidRDefault="00E83E0F" w:rsidP="00C50403">
            <w:pPr>
              <w:pStyle w:val="EMEANormal"/>
              <w:rPr>
                <w:szCs w:val="22"/>
                <w:lang w:val="en-GB"/>
              </w:rPr>
            </w:pPr>
          </w:p>
        </w:tc>
        <w:tc>
          <w:tcPr>
            <w:tcW w:w="4374" w:type="dxa"/>
            <w:tcBorders>
              <w:top w:val="single" w:sz="4" w:space="0" w:color="auto"/>
            </w:tcBorders>
          </w:tcPr>
          <w:p w14:paraId="020D8871" w14:textId="77777777" w:rsidR="00E83E0F" w:rsidRPr="00342F7C" w:rsidRDefault="00E83E0F" w:rsidP="00C50403">
            <w:pPr>
              <w:pStyle w:val="EMEANormal"/>
              <w:rPr>
                <w:szCs w:val="22"/>
                <w:lang w:val="en-GB"/>
              </w:rPr>
            </w:pPr>
            <w:r w:rsidRPr="00342F7C">
              <w:rPr>
                <w:szCs w:val="22"/>
                <w:lang w:val="en-GB"/>
              </w:rPr>
              <w:t>Fatigue including asthenia</w:t>
            </w:r>
          </w:p>
          <w:p w14:paraId="5C37F924" w14:textId="77777777" w:rsidR="00E83E0F" w:rsidRPr="00342F7C" w:rsidRDefault="00E83E0F" w:rsidP="00C50403">
            <w:pPr>
              <w:pStyle w:val="EMEANormal"/>
              <w:rPr>
                <w:szCs w:val="22"/>
                <w:lang w:val="en-GB"/>
              </w:rPr>
            </w:pPr>
          </w:p>
        </w:tc>
      </w:tr>
    </w:tbl>
    <w:p w14:paraId="2B839C3E" w14:textId="77777777" w:rsidR="00D7303D" w:rsidRPr="00342F7C" w:rsidRDefault="00D7303D">
      <w:pPr>
        <w:pStyle w:val="EMEANormal"/>
        <w:rPr>
          <w:lang w:val="en-GB"/>
        </w:rPr>
      </w:pPr>
      <w:r w:rsidRPr="00342F7C">
        <w:rPr>
          <w:vertAlign w:val="superscript"/>
          <w:lang w:val="en-GB"/>
        </w:rPr>
        <w:t>1</w:t>
      </w:r>
      <w:r w:rsidRPr="00342F7C">
        <w:rPr>
          <w:lang w:val="en-GB"/>
        </w:rPr>
        <w:t xml:space="preserve"> See section 4.4: pancreatitis and lipids</w:t>
      </w:r>
    </w:p>
    <w:p w14:paraId="730DB17D" w14:textId="77777777" w:rsidR="00D7303D" w:rsidRPr="00342F7C" w:rsidRDefault="00D7303D">
      <w:pPr>
        <w:pStyle w:val="EMEANormal"/>
        <w:rPr>
          <w:lang w:val="en-GB"/>
        </w:rPr>
      </w:pPr>
    </w:p>
    <w:p w14:paraId="6F5F06BD" w14:textId="77777777" w:rsidR="00D7303D" w:rsidRPr="00342F7C" w:rsidRDefault="00D7303D" w:rsidP="00D13FD6">
      <w:pPr>
        <w:pStyle w:val="EMEANormal"/>
        <w:rPr>
          <w:bCs/>
          <w:iCs/>
          <w:color w:val="000000"/>
          <w:szCs w:val="22"/>
          <w:u w:val="single"/>
          <w:lang w:val="en-GB" w:eastAsia="en-GB"/>
        </w:rPr>
      </w:pPr>
      <w:r w:rsidRPr="00342F7C">
        <w:rPr>
          <w:bCs/>
          <w:iCs/>
          <w:color w:val="000000"/>
          <w:szCs w:val="22"/>
          <w:u w:val="single"/>
          <w:lang w:val="en-GB" w:eastAsia="en-GB"/>
        </w:rPr>
        <w:t>c. Description of selected adverse reactions</w:t>
      </w:r>
    </w:p>
    <w:p w14:paraId="2B926417" w14:textId="77777777" w:rsidR="00D7303D" w:rsidRPr="00342F7C" w:rsidRDefault="00D7303D" w:rsidP="00D13FD6">
      <w:pPr>
        <w:pStyle w:val="EMEANormal"/>
        <w:rPr>
          <w:b/>
          <w:bCs/>
          <w:i/>
          <w:iCs/>
          <w:color w:val="000000"/>
          <w:szCs w:val="22"/>
          <w:lang w:val="en-GB" w:eastAsia="en-GB"/>
        </w:rPr>
      </w:pPr>
    </w:p>
    <w:p w14:paraId="2A16A1B2" w14:textId="77777777" w:rsidR="00D7303D" w:rsidRPr="00342F7C" w:rsidRDefault="00D7303D" w:rsidP="007E55C1">
      <w:pPr>
        <w:pStyle w:val="EMEANormal"/>
        <w:rPr>
          <w:szCs w:val="22"/>
          <w:lang w:val="en-GB"/>
        </w:rPr>
      </w:pPr>
      <w:r w:rsidRPr="00342F7C">
        <w:rPr>
          <w:szCs w:val="22"/>
          <w:lang w:val="en-GB"/>
        </w:rPr>
        <w:t>Cushing’s syndrome has been reported in patients receiving ritonavir and inhaled or intranasally administered fluticasone propionate; this could also occur with other corticosteroids metabolised via the P450 3A pathway e.g. budesonide (see section 4.4 and 4.5).</w:t>
      </w:r>
    </w:p>
    <w:p w14:paraId="4145ED40" w14:textId="77777777" w:rsidR="00D7303D" w:rsidRPr="00342F7C" w:rsidRDefault="00D7303D" w:rsidP="007E55C1">
      <w:pPr>
        <w:pStyle w:val="EMEANormal"/>
        <w:rPr>
          <w:szCs w:val="22"/>
          <w:lang w:val="en-GB"/>
        </w:rPr>
      </w:pPr>
    </w:p>
    <w:p w14:paraId="32AB83F2" w14:textId="77777777" w:rsidR="00D7303D" w:rsidRPr="00342F7C" w:rsidRDefault="00D7303D" w:rsidP="00D13FD6">
      <w:pPr>
        <w:pStyle w:val="EMEANormal"/>
        <w:rPr>
          <w:szCs w:val="22"/>
          <w:lang w:val="en-GB"/>
        </w:rPr>
      </w:pPr>
      <w:r w:rsidRPr="00342F7C">
        <w:rPr>
          <w:szCs w:val="22"/>
          <w:lang w:val="en-GB"/>
        </w:rPr>
        <w:t>Increased creatine phosphokinase (CPK), myalgia, myositis, and rarely, rhabdomyolysis have been reported with protease inhibitors, particularly in combination with nucleoside reverse transcriptase inhibitors.</w:t>
      </w:r>
    </w:p>
    <w:p w14:paraId="78F1B0A1" w14:textId="77777777" w:rsidR="00D7303D" w:rsidRPr="00342F7C" w:rsidRDefault="00D7303D" w:rsidP="00D13FD6">
      <w:pPr>
        <w:pStyle w:val="EMEANormal"/>
        <w:rPr>
          <w:szCs w:val="22"/>
          <w:lang w:val="en-GB"/>
        </w:rPr>
      </w:pPr>
    </w:p>
    <w:p w14:paraId="6B1208E5" w14:textId="77777777" w:rsidR="00CA7C65" w:rsidRPr="00CA7C65" w:rsidRDefault="00CA7C65" w:rsidP="00CA7C65">
      <w:pPr>
        <w:pStyle w:val="EMEANormal"/>
        <w:rPr>
          <w:szCs w:val="22"/>
          <w:u w:val="single"/>
          <w:lang w:val="en-GB"/>
        </w:rPr>
      </w:pPr>
      <w:r w:rsidRPr="00CA7C65">
        <w:rPr>
          <w:szCs w:val="22"/>
          <w:u w:val="single"/>
          <w:lang w:val="en-GB"/>
        </w:rPr>
        <w:t>Metabolic parameters</w:t>
      </w:r>
    </w:p>
    <w:p w14:paraId="2DEC3580" w14:textId="77777777" w:rsidR="00CA7C65" w:rsidRDefault="00CA7C65" w:rsidP="00CA7C65">
      <w:pPr>
        <w:pStyle w:val="EMEANormal"/>
        <w:rPr>
          <w:szCs w:val="22"/>
          <w:lang w:val="en-GB"/>
        </w:rPr>
      </w:pPr>
      <w:r>
        <w:rPr>
          <w:szCs w:val="22"/>
          <w:lang w:val="en-GB"/>
        </w:rPr>
        <w:t>Weight and levels of blood lipids and glucose may increase during antiretroviral therapy (see section 4.4).</w:t>
      </w:r>
    </w:p>
    <w:p w14:paraId="59CD3029" w14:textId="77777777" w:rsidR="00D7303D" w:rsidRPr="00342F7C" w:rsidRDefault="00D7303D" w:rsidP="00D13FD6">
      <w:pPr>
        <w:pStyle w:val="EMEANormal"/>
        <w:rPr>
          <w:szCs w:val="22"/>
          <w:lang w:val="en-GB"/>
        </w:rPr>
      </w:pPr>
    </w:p>
    <w:p w14:paraId="2FBD8BBB" w14:textId="77777777" w:rsidR="00D7303D" w:rsidRPr="00342F7C" w:rsidRDefault="00D7303D" w:rsidP="00D13FD6">
      <w:pPr>
        <w:pStyle w:val="EMEANormal"/>
        <w:rPr>
          <w:szCs w:val="22"/>
          <w:lang w:val="en-GB"/>
        </w:rPr>
      </w:pPr>
      <w:r w:rsidRPr="00342F7C">
        <w:rPr>
          <w:szCs w:val="22"/>
          <w:lang w:val="en-GB"/>
        </w:rPr>
        <w:t>In HIV-infected patients with severe immune deficiency at the time of initiation of combination antiretroviral therapy (CART), an inflammatory reaction to asymptomatic or residual opportunistic infections may arise</w:t>
      </w:r>
      <w:r w:rsidRPr="00575ABB">
        <w:rPr>
          <w:szCs w:val="22"/>
          <w:lang w:val="en-GB"/>
        </w:rPr>
        <w:t xml:space="preserve">.  </w:t>
      </w:r>
      <w:r w:rsidRPr="00575ABB">
        <w:rPr>
          <w:szCs w:val="22"/>
        </w:rPr>
        <w:t>Autoimmune disorders (such as Graves’ disease</w:t>
      </w:r>
      <w:r w:rsidR="008168DF">
        <w:rPr>
          <w:szCs w:val="22"/>
        </w:rPr>
        <w:t xml:space="preserve"> </w:t>
      </w:r>
      <w:r w:rsidR="008168DF">
        <w:rPr>
          <w:lang w:val="en-GB"/>
        </w:rPr>
        <w:t>and autoimmune hepatitis</w:t>
      </w:r>
      <w:r w:rsidRPr="00575ABB">
        <w:rPr>
          <w:szCs w:val="22"/>
        </w:rPr>
        <w:t>) have also been reported; however, the reported time to onset is more variable and can occur many months after initiation of treatment</w:t>
      </w:r>
      <w:r w:rsidRPr="00342F7C">
        <w:rPr>
          <w:szCs w:val="22"/>
          <w:lang w:val="en-GB"/>
        </w:rPr>
        <w:t xml:space="preserve"> (see section 4.4).</w:t>
      </w:r>
    </w:p>
    <w:p w14:paraId="15A661EC" w14:textId="77777777" w:rsidR="00D7303D" w:rsidRPr="00342F7C" w:rsidRDefault="00D7303D" w:rsidP="00D13FD6">
      <w:pPr>
        <w:pStyle w:val="EMEANormal"/>
        <w:rPr>
          <w:szCs w:val="22"/>
          <w:lang w:val="en-GB"/>
        </w:rPr>
      </w:pPr>
    </w:p>
    <w:p w14:paraId="2B075E2C" w14:textId="77777777" w:rsidR="00D7303D" w:rsidRPr="00342F7C" w:rsidRDefault="00D7303D" w:rsidP="00D13FD6">
      <w:pPr>
        <w:pStyle w:val="EMEANormal"/>
        <w:rPr>
          <w:szCs w:val="22"/>
          <w:lang w:val="en-GB"/>
        </w:rPr>
      </w:pPr>
      <w:r w:rsidRPr="00342F7C">
        <w:rPr>
          <w:szCs w:val="22"/>
          <w:lang w:val="en-GB"/>
        </w:rPr>
        <w:t>Cases of osteonecrosis have been reported, particularly in patients with generally acknowledged risk factors, advanced HIV disease or long-term exposure to combination antiretroviral therapy (CART).  The frequency of this is unknown (see section 4.4).</w:t>
      </w:r>
    </w:p>
    <w:p w14:paraId="54B483BE" w14:textId="77777777" w:rsidR="00D7303D" w:rsidRPr="00342F7C" w:rsidRDefault="00D7303D" w:rsidP="00D13FD6">
      <w:pPr>
        <w:pStyle w:val="EMEANormal"/>
        <w:rPr>
          <w:szCs w:val="22"/>
          <w:lang w:val="en-GB"/>
        </w:rPr>
      </w:pPr>
    </w:p>
    <w:p w14:paraId="2C2EEDFC" w14:textId="77777777" w:rsidR="00D7303D" w:rsidRPr="00342F7C" w:rsidRDefault="00D7303D" w:rsidP="00D13FD6">
      <w:pPr>
        <w:autoSpaceDE w:val="0"/>
        <w:autoSpaceDN w:val="0"/>
        <w:adjustRightInd w:val="0"/>
        <w:rPr>
          <w:bCs/>
          <w:iCs/>
          <w:sz w:val="22"/>
          <w:szCs w:val="22"/>
          <w:u w:val="single"/>
        </w:rPr>
      </w:pPr>
      <w:r w:rsidRPr="00342F7C">
        <w:rPr>
          <w:bCs/>
          <w:iCs/>
          <w:sz w:val="22"/>
          <w:szCs w:val="22"/>
          <w:u w:val="single"/>
        </w:rPr>
        <w:t>d. Paediatric populations</w:t>
      </w:r>
    </w:p>
    <w:p w14:paraId="1F6CADD9" w14:textId="77777777" w:rsidR="00D7303D" w:rsidRPr="00342F7C" w:rsidRDefault="00D7303D" w:rsidP="00D13FD6">
      <w:pPr>
        <w:pStyle w:val="BodyText"/>
        <w:suppressAutoHyphens/>
        <w:spacing w:before="0" w:after="0" w:line="240" w:lineRule="auto"/>
        <w:jc w:val="left"/>
        <w:rPr>
          <w:szCs w:val="22"/>
        </w:rPr>
      </w:pPr>
    </w:p>
    <w:p w14:paraId="27561462" w14:textId="77777777" w:rsidR="00402DC9" w:rsidRDefault="00D7303D" w:rsidP="00402DC9">
      <w:pPr>
        <w:pStyle w:val="EMEANormal"/>
        <w:rPr>
          <w:szCs w:val="22"/>
          <w:lang w:val="en-GB"/>
        </w:rPr>
      </w:pPr>
      <w:r w:rsidRPr="00342F7C">
        <w:rPr>
          <w:szCs w:val="22"/>
          <w:lang w:val="en-GB"/>
        </w:rPr>
        <w:t>In children 2 years of age and older, the nature of the safety profile is similar to that seen in adults (see Table in section b).</w:t>
      </w:r>
      <w:r w:rsidR="00402DC9" w:rsidRPr="00402DC9">
        <w:rPr>
          <w:szCs w:val="22"/>
          <w:lang w:val="en-GB"/>
        </w:rPr>
        <w:t xml:space="preserve"> </w:t>
      </w:r>
    </w:p>
    <w:p w14:paraId="2C58B012" w14:textId="77777777" w:rsidR="00402DC9" w:rsidRDefault="00402DC9" w:rsidP="00402DC9">
      <w:pPr>
        <w:pStyle w:val="EMEANormal"/>
        <w:rPr>
          <w:szCs w:val="22"/>
          <w:lang w:val="en-GB"/>
        </w:rPr>
      </w:pPr>
    </w:p>
    <w:p w14:paraId="61676C6B" w14:textId="77777777" w:rsidR="00402DC9" w:rsidRPr="00402DC9" w:rsidRDefault="00402DC9" w:rsidP="00402DC9">
      <w:pPr>
        <w:pStyle w:val="EMEANormal"/>
        <w:rPr>
          <w:szCs w:val="22"/>
          <w:u w:val="single"/>
          <w:lang w:val="en-GB"/>
        </w:rPr>
      </w:pPr>
      <w:r w:rsidRPr="00402DC9">
        <w:rPr>
          <w:szCs w:val="22"/>
          <w:u w:val="single"/>
          <w:lang w:val="en-GB"/>
        </w:rPr>
        <w:t>Reporting of suspected adverse reactions</w:t>
      </w:r>
    </w:p>
    <w:p w14:paraId="57B72275" w14:textId="77777777" w:rsidR="00D7303D" w:rsidRDefault="00402DC9" w:rsidP="00402DC9">
      <w:pPr>
        <w:pStyle w:val="EMEANormal"/>
        <w:rPr>
          <w:color w:val="0000FF"/>
          <w:szCs w:val="22"/>
        </w:rPr>
      </w:pPr>
      <w:r>
        <w:rPr>
          <w:szCs w:val="22"/>
          <w:lang w:val="en-GB"/>
        </w:rPr>
        <w:t xml:space="preserve">Reporting suspected adverse reactions after authorisation of the medicinal product </w:t>
      </w:r>
      <w:r w:rsidR="006C11F6">
        <w:rPr>
          <w:szCs w:val="22"/>
          <w:lang w:val="en-GB"/>
        </w:rPr>
        <w:t>is important.  It allows cont</w:t>
      </w:r>
      <w:r>
        <w:rPr>
          <w:szCs w:val="22"/>
          <w:lang w:val="en-GB"/>
        </w:rPr>
        <w:t xml:space="preserve">inued monitoring of the benefit/risk balance of the medicinal product.  Healthcare professionals are asked to report any suspected adverse reactions </w:t>
      </w:r>
      <w:r>
        <w:rPr>
          <w:szCs w:val="22"/>
        </w:rPr>
        <w:t xml:space="preserve">via </w:t>
      </w:r>
      <w:r w:rsidRPr="00402DC9">
        <w:rPr>
          <w:szCs w:val="22"/>
          <w:highlight w:val="lightGray"/>
        </w:rPr>
        <w:t xml:space="preserve">the national reporting system listed in </w:t>
      </w:r>
      <w:hyperlink r:id="rId13" w:history="1">
        <w:r w:rsidRPr="00AC0B47">
          <w:rPr>
            <w:rStyle w:val="Hyperlink"/>
            <w:szCs w:val="22"/>
            <w:highlight w:val="lightGray"/>
          </w:rPr>
          <w:t>Appendix V</w:t>
        </w:r>
      </w:hyperlink>
      <w:r>
        <w:rPr>
          <w:color w:val="0000FF"/>
          <w:szCs w:val="22"/>
        </w:rPr>
        <w:t>.</w:t>
      </w:r>
    </w:p>
    <w:p w14:paraId="27B1B753" w14:textId="77777777" w:rsidR="00A67625" w:rsidRPr="00342F7C" w:rsidRDefault="00A67625" w:rsidP="00402DC9">
      <w:pPr>
        <w:pStyle w:val="EMEANormal"/>
        <w:rPr>
          <w:lang w:val="en-GB"/>
        </w:rPr>
      </w:pPr>
    </w:p>
    <w:p w14:paraId="67D2B64E" w14:textId="77777777" w:rsidR="00D7303D" w:rsidRDefault="00D7303D" w:rsidP="002A3B2E">
      <w:pPr>
        <w:pStyle w:val="EMEAHeading2SPC"/>
        <w:keepNext/>
        <w:spacing w:beforeLines="0" w:before="0" w:afterLines="0" w:after="0"/>
        <w:rPr>
          <w:rFonts w:ascii="Times New Roman" w:hAnsi="Times New Roman"/>
          <w:lang w:val="en-GB"/>
        </w:rPr>
      </w:pPr>
      <w:r w:rsidRPr="00342F7C">
        <w:rPr>
          <w:rFonts w:ascii="Times New Roman" w:hAnsi="Times New Roman"/>
          <w:lang w:val="en-GB"/>
        </w:rPr>
        <w:t>4.9</w:t>
      </w:r>
      <w:r w:rsidRPr="00342F7C">
        <w:rPr>
          <w:rFonts w:ascii="Times New Roman" w:hAnsi="Times New Roman"/>
          <w:lang w:val="en-GB"/>
        </w:rPr>
        <w:tab/>
        <w:t>Overdose</w:t>
      </w:r>
    </w:p>
    <w:p w14:paraId="19A8AF4C" w14:textId="77777777" w:rsidR="00A67625" w:rsidRPr="00A67625" w:rsidRDefault="00A67625" w:rsidP="002A3B2E">
      <w:pPr>
        <w:pStyle w:val="EMEANormal"/>
        <w:keepNext/>
        <w:rPr>
          <w:lang w:val="en-GB"/>
        </w:rPr>
      </w:pPr>
    </w:p>
    <w:p w14:paraId="7759ABBB" w14:textId="77777777" w:rsidR="00D7303D" w:rsidRPr="00342F7C" w:rsidRDefault="00D7303D" w:rsidP="002A3B2E">
      <w:pPr>
        <w:pStyle w:val="EMEANormal"/>
        <w:keepNext/>
        <w:rPr>
          <w:lang w:val="en-GB"/>
        </w:rPr>
      </w:pPr>
      <w:r w:rsidRPr="00342F7C">
        <w:rPr>
          <w:lang w:val="en-GB"/>
        </w:rPr>
        <w:t>To date, there is limited human experience of acute overdose with Kaletra.</w:t>
      </w:r>
    </w:p>
    <w:p w14:paraId="461E1CD2" w14:textId="77777777" w:rsidR="00D7303D" w:rsidRPr="00342F7C" w:rsidRDefault="00D7303D" w:rsidP="002A3B2E">
      <w:pPr>
        <w:pStyle w:val="EMEANormal"/>
        <w:keepNext/>
        <w:rPr>
          <w:lang w:val="en-GB"/>
        </w:rPr>
      </w:pPr>
    </w:p>
    <w:p w14:paraId="0C446FBF" w14:textId="77777777" w:rsidR="00D7303D" w:rsidRPr="00342F7C" w:rsidRDefault="00D7303D">
      <w:pPr>
        <w:pStyle w:val="EMEANormal"/>
        <w:rPr>
          <w:lang w:val="en-GB"/>
        </w:rPr>
      </w:pPr>
      <w:r w:rsidRPr="00342F7C">
        <w:rPr>
          <w:lang w:val="en-GB"/>
        </w:rPr>
        <w:t xml:space="preserve">The adverse clinical signs observed in dogs included salivation, emesis and diarrhoea/abnormal stool.  The signs of toxicity observed in mice, rats or dogs included decreased activity, ataxia, emaciation, dehydration and tremors. </w:t>
      </w:r>
    </w:p>
    <w:p w14:paraId="387FA27E" w14:textId="77777777" w:rsidR="00D7303D" w:rsidRPr="00342F7C" w:rsidRDefault="00D7303D">
      <w:pPr>
        <w:pStyle w:val="EMEANormal"/>
        <w:rPr>
          <w:lang w:val="en-GB"/>
        </w:rPr>
      </w:pPr>
    </w:p>
    <w:p w14:paraId="138986C8" w14:textId="77777777" w:rsidR="00D7303D" w:rsidRPr="00342F7C" w:rsidRDefault="00D7303D">
      <w:pPr>
        <w:pStyle w:val="EMEANormal"/>
        <w:rPr>
          <w:lang w:val="en-GB"/>
        </w:rPr>
      </w:pPr>
      <w:r w:rsidRPr="00342F7C">
        <w:rPr>
          <w:lang w:val="en-GB"/>
        </w:rPr>
        <w:t>There is no specific antidote for overdose with Kaletra.  Treatment of overdose with Kaletra is to consist of general supportive measures including monitoring of vital signs and observation of the clinical status of the patient.  If indicated, elimination of unabsorbed active substance is to be achieved by emesis or gastric lavage.  Administration of activated charcoal may also be used to aid in removal of unabsorbed active substance.  Since Kaletra is highly protein bound, dialysis is unlikely to be beneficial in significant removal of the active substance.</w:t>
      </w:r>
    </w:p>
    <w:p w14:paraId="1E045351" w14:textId="77777777" w:rsidR="00A67625" w:rsidRDefault="00A67625" w:rsidP="00A67625">
      <w:pPr>
        <w:pStyle w:val="EMEAHeading1"/>
        <w:spacing w:beforeLines="0" w:before="0" w:afterLines="0" w:after="0"/>
        <w:rPr>
          <w:rFonts w:ascii="Times New Roman" w:hAnsi="Times New Roman"/>
          <w:lang w:val="en-GB"/>
        </w:rPr>
      </w:pPr>
    </w:p>
    <w:p w14:paraId="26FD07CB" w14:textId="77777777" w:rsidR="00A67625" w:rsidRDefault="00A67625" w:rsidP="00A67625">
      <w:pPr>
        <w:pStyle w:val="EMEAHeading1"/>
        <w:spacing w:beforeLines="0" w:before="0" w:afterLines="0" w:after="0"/>
        <w:rPr>
          <w:rFonts w:ascii="Times New Roman" w:hAnsi="Times New Roman"/>
          <w:lang w:val="en-GB"/>
        </w:rPr>
      </w:pPr>
    </w:p>
    <w:p w14:paraId="5420C785" w14:textId="77777777" w:rsidR="00D7303D" w:rsidRDefault="00D7303D" w:rsidP="00A67625">
      <w:pPr>
        <w:pStyle w:val="EMEAHeading1"/>
        <w:spacing w:beforeLines="0" w:before="0" w:afterLines="0" w:after="0"/>
        <w:rPr>
          <w:rFonts w:ascii="Times New Roman" w:hAnsi="Times New Roman"/>
          <w:lang w:val="en-GB"/>
        </w:rPr>
      </w:pPr>
      <w:r w:rsidRPr="00342F7C">
        <w:rPr>
          <w:rFonts w:ascii="Times New Roman" w:hAnsi="Times New Roman"/>
          <w:lang w:val="en-GB"/>
        </w:rPr>
        <w:t xml:space="preserve">5. </w:t>
      </w:r>
      <w:r w:rsidRPr="00342F7C">
        <w:rPr>
          <w:rFonts w:ascii="Times New Roman" w:hAnsi="Times New Roman"/>
          <w:lang w:val="en-GB"/>
        </w:rPr>
        <w:tab/>
        <w:t>Pharmacological properties</w:t>
      </w:r>
    </w:p>
    <w:p w14:paraId="08930BD1" w14:textId="77777777" w:rsidR="00A67625" w:rsidRPr="00A67625" w:rsidRDefault="00A67625" w:rsidP="00A67625">
      <w:pPr>
        <w:pStyle w:val="EMEANormal"/>
        <w:rPr>
          <w:lang w:val="en-GB"/>
        </w:rPr>
      </w:pPr>
    </w:p>
    <w:p w14:paraId="0C3903E1" w14:textId="77777777" w:rsidR="00D7303D" w:rsidRDefault="00D7303D" w:rsidP="00A67625">
      <w:pPr>
        <w:pStyle w:val="EMEAHeading2SPC"/>
        <w:spacing w:beforeLines="0" w:before="0" w:afterLines="0" w:after="0"/>
        <w:rPr>
          <w:rFonts w:ascii="Times New Roman" w:hAnsi="Times New Roman"/>
          <w:lang w:val="en-GB"/>
        </w:rPr>
      </w:pPr>
      <w:r w:rsidRPr="00342F7C">
        <w:rPr>
          <w:rFonts w:ascii="Times New Roman" w:hAnsi="Times New Roman"/>
          <w:lang w:val="en-GB"/>
        </w:rPr>
        <w:t xml:space="preserve">5.1 </w:t>
      </w:r>
      <w:r w:rsidRPr="00342F7C">
        <w:rPr>
          <w:rFonts w:ascii="Times New Roman" w:hAnsi="Times New Roman"/>
          <w:lang w:val="en-GB"/>
        </w:rPr>
        <w:tab/>
        <w:t>Pharmacodynamic properties</w:t>
      </w:r>
    </w:p>
    <w:p w14:paraId="02569600" w14:textId="77777777" w:rsidR="00A67625" w:rsidRPr="00A67625" w:rsidRDefault="00A67625" w:rsidP="00A67625">
      <w:pPr>
        <w:pStyle w:val="EMEANormal"/>
        <w:rPr>
          <w:lang w:val="en-GB"/>
        </w:rPr>
      </w:pPr>
    </w:p>
    <w:p w14:paraId="4EC52782" w14:textId="77777777" w:rsidR="00D7303D" w:rsidRPr="00342F7C" w:rsidRDefault="00D7303D">
      <w:pPr>
        <w:pStyle w:val="EMEANormal"/>
        <w:rPr>
          <w:lang w:val="en-GB"/>
        </w:rPr>
      </w:pPr>
      <w:r w:rsidRPr="00342F7C">
        <w:rPr>
          <w:lang w:val="en-GB"/>
        </w:rPr>
        <w:t xml:space="preserve">Pharmaco-therapeutic group: antivirals for systemic use, </w:t>
      </w:r>
      <w:r w:rsidR="00EB6A7C">
        <w:rPr>
          <w:lang w:val="en-GB"/>
        </w:rPr>
        <w:t>a</w:t>
      </w:r>
      <w:r w:rsidR="00402DC9">
        <w:t>ntivirals for treatment of HIV infections, combinations</w:t>
      </w:r>
      <w:r w:rsidRPr="00342F7C">
        <w:rPr>
          <w:lang w:val="en-GB"/>
        </w:rPr>
        <w:t xml:space="preserve">, ATC code: </w:t>
      </w:r>
      <w:r w:rsidR="0059049B">
        <w:rPr>
          <w:lang w:val="en-GB"/>
        </w:rPr>
        <w:t>J05AR10</w:t>
      </w:r>
      <w:r w:rsidRPr="00342F7C">
        <w:rPr>
          <w:lang w:val="en-GB"/>
        </w:rPr>
        <w:t xml:space="preserve"> </w:t>
      </w:r>
    </w:p>
    <w:p w14:paraId="7C899831" w14:textId="77777777" w:rsidR="00D7303D" w:rsidRPr="00342F7C" w:rsidRDefault="00D7303D">
      <w:pPr>
        <w:pStyle w:val="EMEANormal"/>
        <w:rPr>
          <w:lang w:val="en-GB"/>
        </w:rPr>
      </w:pPr>
    </w:p>
    <w:p w14:paraId="45A08B35" w14:textId="77777777" w:rsidR="006E00B1" w:rsidRDefault="00D7303D">
      <w:pPr>
        <w:pStyle w:val="EMEANormal"/>
        <w:rPr>
          <w:lang w:val="en-GB"/>
        </w:rPr>
      </w:pPr>
      <w:r w:rsidRPr="0017061C">
        <w:rPr>
          <w:u w:val="single"/>
          <w:lang w:val="en-GB"/>
        </w:rPr>
        <w:t>Mechanism of action</w:t>
      </w:r>
    </w:p>
    <w:p w14:paraId="3B095063" w14:textId="77777777" w:rsidR="00D7303D" w:rsidRPr="00342F7C" w:rsidRDefault="00D7303D">
      <w:pPr>
        <w:pStyle w:val="EMEANormal"/>
        <w:rPr>
          <w:lang w:val="en-GB"/>
        </w:rPr>
      </w:pPr>
      <w:r w:rsidRPr="00342F7C">
        <w:rPr>
          <w:snapToGrid w:val="0"/>
          <w:lang w:val="en-GB"/>
        </w:rPr>
        <w:t xml:space="preserve">Lopinavir provides the antiviral activity of Kaletra.  </w:t>
      </w:r>
      <w:r w:rsidRPr="00342F7C">
        <w:rPr>
          <w:lang w:val="en-GB"/>
        </w:rPr>
        <w:t xml:space="preserve">Lopinavir is an inhibitor of the HIV-1 and HIV-2 proteases.  Inhibition of HIV protease prevents cleavage of the </w:t>
      </w:r>
      <w:r w:rsidRPr="00342F7C">
        <w:rPr>
          <w:i/>
          <w:lang w:val="en-GB"/>
        </w:rPr>
        <w:t>gag-pol</w:t>
      </w:r>
      <w:r w:rsidRPr="00342F7C">
        <w:rPr>
          <w:lang w:val="en-GB"/>
        </w:rPr>
        <w:t xml:space="preserve"> polyprotein resulting in the production of immature, non-infectious virus. </w:t>
      </w:r>
    </w:p>
    <w:p w14:paraId="6F5DC186" w14:textId="77777777" w:rsidR="00D7303D" w:rsidRPr="00342F7C" w:rsidRDefault="00D7303D">
      <w:pPr>
        <w:pStyle w:val="EMEANormal"/>
        <w:rPr>
          <w:lang w:val="en-GB"/>
        </w:rPr>
      </w:pPr>
    </w:p>
    <w:p w14:paraId="7AD63088" w14:textId="77777777" w:rsidR="006E00B1" w:rsidRDefault="00D7303D">
      <w:pPr>
        <w:pStyle w:val="EMEANormal"/>
        <w:rPr>
          <w:i/>
          <w:iCs/>
          <w:lang w:val="en-GB"/>
        </w:rPr>
      </w:pPr>
      <w:r w:rsidRPr="0017061C">
        <w:rPr>
          <w:iCs/>
          <w:u w:val="single"/>
          <w:lang w:val="en-GB"/>
        </w:rPr>
        <w:t>Effects on the electrocardiogram</w:t>
      </w:r>
    </w:p>
    <w:p w14:paraId="0610BF2E" w14:textId="77777777" w:rsidR="00D7303D" w:rsidRPr="00342F7C" w:rsidRDefault="00D7303D">
      <w:pPr>
        <w:pStyle w:val="EMEANormal"/>
        <w:rPr>
          <w:rFonts w:eastAsia="Arial"/>
          <w:lang w:val="en-GB"/>
        </w:rPr>
      </w:pPr>
      <w:r w:rsidRPr="00342F7C">
        <w:rPr>
          <w:rFonts w:eastAsia="Arial"/>
          <w:lang w:val="en-GB"/>
        </w:rPr>
        <w:t xml:space="preserve">QTcF interval was evaluated in a randomised, placebo and active (moxifloxacin 400 mg once daily) controlled crossover study in 39 healthy adults, with 10 measurements over 12 hours on Day 3.  The maximum mean (95% upper confidence bound) differences in QTcF from placebo were 3.6 (6.3) and 13.1(15.8) for 400/100 mg twice daily and supratherapeutic 800/200 mg twice daily LPV/r, respectively.  </w:t>
      </w:r>
      <w:r w:rsidRPr="00342F7C">
        <w:rPr>
          <w:szCs w:val="22"/>
          <w:lang w:val="en-GB"/>
        </w:rPr>
        <w:t xml:space="preserve">The induced QRS interval prolongation from 6 ms to 9.5 ms with high dose lopinavir/ritonavir (800/200 mg twice daily) contributes to QT prolongation.  </w:t>
      </w:r>
      <w:r w:rsidRPr="00342F7C">
        <w:rPr>
          <w:rFonts w:eastAsia="Arial"/>
          <w:lang w:val="en-GB"/>
        </w:rPr>
        <w:t>The two regimens resulted in exposures on Day 3 which were approximately 1.5 and 3</w:t>
      </w:r>
      <w:r w:rsidRPr="00342F7C">
        <w:rPr>
          <w:rFonts w:eastAsia="Arial"/>
          <w:lang w:val="en-GB"/>
        </w:rPr>
        <w:noBreakHyphen/>
        <w:t>fold higher than those observed with recommended once</w:t>
      </w:r>
      <w:r w:rsidR="001A1935">
        <w:rPr>
          <w:rFonts w:eastAsia="Arial"/>
          <w:lang w:val="en-GB"/>
        </w:rPr>
        <w:noBreakHyphen/>
      </w:r>
      <w:r w:rsidRPr="00342F7C">
        <w:rPr>
          <w:rFonts w:eastAsia="Arial"/>
          <w:lang w:val="en-GB"/>
        </w:rPr>
        <w:t>daily or twice</w:t>
      </w:r>
      <w:r w:rsidR="00BD64AF">
        <w:rPr>
          <w:rFonts w:eastAsia="Arial"/>
          <w:lang w:val="en-GB"/>
        </w:rPr>
        <w:noBreakHyphen/>
      </w:r>
      <w:r w:rsidRPr="00342F7C">
        <w:rPr>
          <w:rFonts w:eastAsia="Arial"/>
          <w:lang w:val="en-GB"/>
        </w:rPr>
        <w:t xml:space="preserve">daily LPV/r doses at steady state.  No subject experienced an increase in QTcF of </w:t>
      </w:r>
      <w:r w:rsidRPr="00342F7C">
        <w:rPr>
          <w:rFonts w:eastAsia="Arial"/>
          <w:lang w:val="en-GB"/>
        </w:rPr>
        <w:sym w:font="Symbol" w:char="F0B3"/>
      </w:r>
      <w:r w:rsidRPr="00342F7C">
        <w:rPr>
          <w:rFonts w:eastAsia="Arial"/>
          <w:lang w:val="en-GB"/>
        </w:rPr>
        <w:t> 60 ms from baseline or a QTcF interval exceeding the potentially clinically relevant threshold of 500 ms.</w:t>
      </w:r>
    </w:p>
    <w:p w14:paraId="4B82FF3C" w14:textId="77777777" w:rsidR="00D7303D" w:rsidRPr="00342F7C" w:rsidRDefault="00D7303D">
      <w:pPr>
        <w:pStyle w:val="EMEANormal"/>
        <w:rPr>
          <w:rFonts w:eastAsia="Arial"/>
          <w:lang w:val="en-GB"/>
        </w:rPr>
      </w:pPr>
    </w:p>
    <w:p w14:paraId="7B866B1F" w14:textId="77777777" w:rsidR="00D7303D" w:rsidRPr="00342F7C" w:rsidRDefault="00D7303D">
      <w:pPr>
        <w:pStyle w:val="EMEANormal"/>
        <w:rPr>
          <w:lang w:val="en-GB"/>
        </w:rPr>
      </w:pPr>
      <w:r w:rsidRPr="00342F7C">
        <w:rPr>
          <w:szCs w:val="14"/>
          <w:lang w:val="en-GB"/>
        </w:rPr>
        <w:t xml:space="preserve">Modest prolongation of the PR interval was also noted in subjects receiving lopinavir/ritonavir in the same study on Day 3.  </w:t>
      </w:r>
      <w:r w:rsidRPr="00342F7C">
        <w:rPr>
          <w:szCs w:val="22"/>
          <w:lang w:val="en-GB"/>
        </w:rPr>
        <w:t>The mean changes from baseline in PR interval ranged from 11.6 ms to 24.4 ms in the 12 hour interval post dose.</w:t>
      </w:r>
      <w:r w:rsidRPr="00342F7C">
        <w:rPr>
          <w:b/>
          <w:bCs/>
          <w:i/>
          <w:iCs/>
          <w:szCs w:val="22"/>
          <w:lang w:val="en-GB"/>
        </w:rPr>
        <w:t xml:space="preserve">  </w:t>
      </w:r>
      <w:r w:rsidRPr="00342F7C">
        <w:rPr>
          <w:szCs w:val="14"/>
          <w:lang w:val="en-GB"/>
        </w:rPr>
        <w:t>Maximum PR interval was 286 ms and no second or third degree heart block was observed (see section 4.4).</w:t>
      </w:r>
    </w:p>
    <w:p w14:paraId="6EC88BA8" w14:textId="77777777" w:rsidR="00D7303D" w:rsidRPr="00342F7C" w:rsidRDefault="00D7303D">
      <w:pPr>
        <w:pStyle w:val="EMEANormal"/>
        <w:rPr>
          <w:lang w:val="en-GB"/>
        </w:rPr>
      </w:pPr>
    </w:p>
    <w:p w14:paraId="1EA28E90" w14:textId="77777777" w:rsidR="006E00B1" w:rsidRDefault="00D7303D">
      <w:pPr>
        <w:pStyle w:val="EMEANormal"/>
        <w:rPr>
          <w:lang w:val="en-GB"/>
        </w:rPr>
      </w:pPr>
      <w:r w:rsidRPr="0017061C">
        <w:rPr>
          <w:u w:val="single"/>
          <w:lang w:val="en-GB"/>
        </w:rPr>
        <w:t xml:space="preserve">Antiviral activity </w:t>
      </w:r>
      <w:r w:rsidRPr="009F192A">
        <w:rPr>
          <w:i/>
          <w:u w:val="single"/>
          <w:lang w:val="en-GB"/>
        </w:rPr>
        <w:t>in vitro</w:t>
      </w:r>
    </w:p>
    <w:p w14:paraId="5D43FEC1" w14:textId="77777777" w:rsidR="00D7303D" w:rsidRPr="00342F7C" w:rsidRDefault="006E00B1">
      <w:pPr>
        <w:pStyle w:val="EMEANormal"/>
        <w:rPr>
          <w:lang w:val="en-GB"/>
        </w:rPr>
      </w:pPr>
      <w:r>
        <w:rPr>
          <w:lang w:val="en-GB"/>
        </w:rPr>
        <w:t>T</w:t>
      </w:r>
      <w:r w:rsidR="00D7303D" w:rsidRPr="00342F7C">
        <w:rPr>
          <w:lang w:val="en-GB"/>
        </w:rPr>
        <w:t xml:space="preserve">he </w:t>
      </w:r>
      <w:r w:rsidR="00D7303D" w:rsidRPr="00342F7C">
        <w:rPr>
          <w:i/>
          <w:lang w:val="en-GB"/>
        </w:rPr>
        <w:t xml:space="preserve">in vitro </w:t>
      </w:r>
      <w:r w:rsidR="00D7303D" w:rsidRPr="00342F7C">
        <w:rPr>
          <w:lang w:val="en-GB"/>
        </w:rPr>
        <w:t>antiviral activity of lopinavir against laboratory and clinical HIV strains was evaluated in acutely infected lymphoblastic cell lines and peripheral blood lymphocytes, respectively.  In the absence of human serum, the mean IC</w:t>
      </w:r>
      <w:r w:rsidR="00D7303D" w:rsidRPr="00342F7C">
        <w:rPr>
          <w:vertAlign w:val="subscript"/>
          <w:lang w:val="en-GB"/>
        </w:rPr>
        <w:t>50</w:t>
      </w:r>
      <w:r w:rsidR="00D7303D" w:rsidRPr="00342F7C">
        <w:rPr>
          <w:lang w:val="en-GB"/>
        </w:rPr>
        <w:t xml:space="preserve"> of lopinavir against five different HIV-1 laboratory strains was 19 nM.  In the absence and presence of 50% human serum, the mean IC</w:t>
      </w:r>
      <w:r w:rsidR="00D7303D" w:rsidRPr="00342F7C">
        <w:rPr>
          <w:vertAlign w:val="subscript"/>
          <w:lang w:val="en-GB"/>
        </w:rPr>
        <w:t>50</w:t>
      </w:r>
      <w:r w:rsidR="00D7303D" w:rsidRPr="00342F7C">
        <w:rPr>
          <w:lang w:val="en-GB"/>
        </w:rPr>
        <w:t xml:space="preserve"> of lopinavir against HIV-1</w:t>
      </w:r>
      <w:r w:rsidR="00D7303D" w:rsidRPr="00342F7C">
        <w:rPr>
          <w:vertAlign w:val="subscript"/>
          <w:lang w:val="en-GB"/>
        </w:rPr>
        <w:t>IIIB</w:t>
      </w:r>
      <w:r w:rsidR="00D7303D" w:rsidRPr="00342F7C">
        <w:rPr>
          <w:lang w:val="en-GB"/>
        </w:rPr>
        <w:t xml:space="preserve"> in MT4 cells was 17 nM and 102 nM, respectively.  In the absence of human serum, the mean IC</w:t>
      </w:r>
      <w:r w:rsidR="00D7303D" w:rsidRPr="00342F7C">
        <w:rPr>
          <w:vertAlign w:val="subscript"/>
          <w:lang w:val="en-GB"/>
        </w:rPr>
        <w:t>50</w:t>
      </w:r>
      <w:r w:rsidR="00D7303D" w:rsidRPr="00342F7C">
        <w:rPr>
          <w:lang w:val="en-GB"/>
        </w:rPr>
        <w:t xml:space="preserve"> of lopinavir was 6.5 nM against several HIV-1 clinical isolates.</w:t>
      </w:r>
    </w:p>
    <w:p w14:paraId="14912727" w14:textId="77777777" w:rsidR="00A67625" w:rsidRDefault="00A67625" w:rsidP="00A67625">
      <w:pPr>
        <w:pStyle w:val="EMEAHeadingUI"/>
        <w:spacing w:beforeLines="0" w:before="0" w:afterLines="0" w:after="0"/>
        <w:rPr>
          <w:lang w:val="en-GB"/>
        </w:rPr>
      </w:pPr>
    </w:p>
    <w:p w14:paraId="1F97D25F" w14:textId="77777777" w:rsidR="00D7303D" w:rsidRPr="0017061C" w:rsidRDefault="00D7303D" w:rsidP="002A3B2E">
      <w:pPr>
        <w:pStyle w:val="EMEAHeadingUI"/>
        <w:keepNext/>
        <w:spacing w:beforeLines="0" w:before="0" w:afterLines="0" w:after="0"/>
        <w:rPr>
          <w:i w:val="0"/>
          <w:lang w:val="en-GB"/>
        </w:rPr>
      </w:pPr>
      <w:r w:rsidRPr="0017061C">
        <w:rPr>
          <w:i w:val="0"/>
          <w:lang w:val="en-GB"/>
        </w:rPr>
        <w:t>Resistance</w:t>
      </w:r>
    </w:p>
    <w:p w14:paraId="1E6E39C4" w14:textId="77777777" w:rsidR="00A67625" w:rsidRPr="00A67625" w:rsidRDefault="00A67625" w:rsidP="002A3B2E">
      <w:pPr>
        <w:pStyle w:val="EMEANormal"/>
        <w:keepNext/>
        <w:rPr>
          <w:lang w:val="en-GB"/>
        </w:rPr>
      </w:pPr>
    </w:p>
    <w:p w14:paraId="05AAD0F9" w14:textId="77777777" w:rsidR="00D7303D" w:rsidRPr="00342F7C" w:rsidRDefault="00D7303D" w:rsidP="002A3B2E">
      <w:pPr>
        <w:pStyle w:val="EMEANormal"/>
        <w:keepNext/>
        <w:rPr>
          <w:lang w:val="en-GB"/>
        </w:rPr>
      </w:pPr>
      <w:r w:rsidRPr="001477BD">
        <w:rPr>
          <w:i/>
          <w:iCs/>
          <w:lang w:val="en-GB"/>
        </w:rPr>
        <w:t>In vitro selection of resistance</w:t>
      </w:r>
    </w:p>
    <w:p w14:paraId="051F9FDA" w14:textId="77777777" w:rsidR="00D7303D" w:rsidRPr="00342F7C" w:rsidRDefault="00D7303D" w:rsidP="002A3B2E">
      <w:pPr>
        <w:pStyle w:val="EMEANormal"/>
        <w:keepNext/>
        <w:rPr>
          <w:lang w:val="en-GB"/>
        </w:rPr>
      </w:pPr>
      <w:r w:rsidRPr="00342F7C">
        <w:rPr>
          <w:lang w:val="en-GB"/>
        </w:rPr>
        <w:t xml:space="preserve">HIV-1 isolates with reduced susceptibility to lopinavir have been selected </w:t>
      </w:r>
      <w:r w:rsidRPr="00342F7C">
        <w:rPr>
          <w:i/>
          <w:lang w:val="en-GB"/>
        </w:rPr>
        <w:t>in vitro</w:t>
      </w:r>
      <w:r w:rsidRPr="00342F7C">
        <w:rPr>
          <w:lang w:val="en-GB"/>
        </w:rPr>
        <w:t xml:space="preserve">.  HIV-1 has been passaged </w:t>
      </w:r>
      <w:r w:rsidRPr="00342F7C">
        <w:rPr>
          <w:i/>
          <w:lang w:val="en-GB"/>
        </w:rPr>
        <w:t>in vitro</w:t>
      </w:r>
      <w:r w:rsidRPr="00342F7C">
        <w:rPr>
          <w:lang w:val="en-GB"/>
        </w:rPr>
        <w:t xml:space="preserve"> with lopinavir alone and with lopinavir plus ritonavir at concentration ratios representing the range of plasma concentration ratios observed during Kaletra therapy.  Genotypic and phenotypic analysis of viruses selected in these passages suggest that the presence of ritonavir, at these concentration ratios, does not measurably influence the selection of lopinavir-resistant viruses.  Overall, the </w:t>
      </w:r>
      <w:r w:rsidRPr="00342F7C">
        <w:rPr>
          <w:i/>
          <w:lang w:val="en-GB"/>
        </w:rPr>
        <w:t>in vitro</w:t>
      </w:r>
      <w:r w:rsidRPr="00342F7C">
        <w:rPr>
          <w:lang w:val="en-GB"/>
        </w:rPr>
        <w:t xml:space="preserve"> characterisation of phenotypic cross-resistance between lopinavir and other protease inhibitors suggest that decreased susceptibility to lopinavir correlated closely with decreased susceptibility to ritonavir and indinavir, but did not correlate closely with decreased susceptibility to amprenavir, saquinavir, and nelfinavir.</w:t>
      </w:r>
    </w:p>
    <w:p w14:paraId="294414EF" w14:textId="77777777" w:rsidR="00D7303D" w:rsidRPr="00342F7C" w:rsidRDefault="00D7303D">
      <w:pPr>
        <w:pStyle w:val="EMEANormal"/>
        <w:rPr>
          <w:lang w:val="en-GB"/>
        </w:rPr>
      </w:pPr>
    </w:p>
    <w:p w14:paraId="33E3EB25" w14:textId="77777777" w:rsidR="00D7303D" w:rsidRDefault="00D7303D" w:rsidP="00A67625">
      <w:pPr>
        <w:autoSpaceDE w:val="0"/>
        <w:autoSpaceDN w:val="0"/>
        <w:adjustRightInd w:val="0"/>
        <w:rPr>
          <w:i/>
          <w:iCs/>
          <w:sz w:val="22"/>
        </w:rPr>
      </w:pPr>
      <w:r w:rsidRPr="001477BD">
        <w:rPr>
          <w:i/>
          <w:iCs/>
          <w:sz w:val="22"/>
        </w:rPr>
        <w:t>Analysis of resistance in ARV-naïve patients</w:t>
      </w:r>
      <w:r w:rsidRPr="00342F7C">
        <w:rPr>
          <w:i/>
          <w:iCs/>
          <w:sz w:val="22"/>
        </w:rPr>
        <w:t xml:space="preserve">  </w:t>
      </w:r>
    </w:p>
    <w:p w14:paraId="49C0A782" w14:textId="77777777" w:rsidR="00D7303D" w:rsidRPr="00342F7C" w:rsidRDefault="00D7303D" w:rsidP="00A67625">
      <w:pPr>
        <w:pStyle w:val="EMEANormal"/>
        <w:tabs>
          <w:tab w:val="clear" w:pos="562"/>
          <w:tab w:val="left" w:pos="0"/>
        </w:tabs>
        <w:rPr>
          <w:lang w:val="en-GB"/>
        </w:rPr>
      </w:pPr>
      <w:r w:rsidRPr="00342F7C">
        <w:rPr>
          <w:lang w:val="en-GB"/>
        </w:rPr>
        <w:t>In clinical studies with a limited number of isolates analysed, the selection of resistance to lopinavir has not been observed in naïve patients without significant protease inhibitor resistance at baseline.  See further the detailed description of the clinical studies.</w:t>
      </w:r>
    </w:p>
    <w:p w14:paraId="7EE7017C" w14:textId="77777777" w:rsidR="00D7303D" w:rsidRPr="00342F7C" w:rsidRDefault="00D7303D" w:rsidP="00A67625">
      <w:pPr>
        <w:pStyle w:val="EMEANormal"/>
        <w:tabs>
          <w:tab w:val="clear" w:pos="562"/>
        </w:tabs>
        <w:rPr>
          <w:lang w:val="en-GB"/>
        </w:rPr>
      </w:pPr>
    </w:p>
    <w:p w14:paraId="7F30FB63" w14:textId="77777777" w:rsidR="00D7303D" w:rsidRPr="0017061C" w:rsidRDefault="00D7303D">
      <w:pPr>
        <w:pStyle w:val="EMEANormal"/>
        <w:tabs>
          <w:tab w:val="clear" w:pos="562"/>
        </w:tabs>
        <w:rPr>
          <w:iCs/>
          <w:u w:val="single"/>
          <w:lang w:val="en-GB"/>
        </w:rPr>
      </w:pPr>
      <w:r w:rsidRPr="001477BD">
        <w:rPr>
          <w:i/>
          <w:iCs/>
          <w:lang w:val="en-GB"/>
        </w:rPr>
        <w:t>Analysis of resistance in PI-experienced patients</w:t>
      </w:r>
    </w:p>
    <w:p w14:paraId="15290339" w14:textId="77777777" w:rsidR="00D7303D" w:rsidRPr="00342F7C" w:rsidRDefault="00D7303D">
      <w:pPr>
        <w:pStyle w:val="EMEANormal"/>
        <w:tabs>
          <w:tab w:val="clear" w:pos="562"/>
          <w:tab w:val="left" w:pos="0"/>
        </w:tabs>
        <w:rPr>
          <w:lang w:val="en-GB"/>
        </w:rPr>
      </w:pPr>
      <w:r w:rsidRPr="00342F7C">
        <w:rPr>
          <w:lang w:val="en-GB"/>
        </w:rPr>
        <w:t xml:space="preserve">The selection of resistance to lopinavir in patients having failed prior protease inhibitor therapy was characterised by analysing the longitudinal isolates from 19 protease inhibitor-experienced subjects in 2 Phase II and one Phase III studies who either experienced incomplete virologic suppression or viral rebound subsequent to initial response to Kaletra and who demonstrated incremental </w:t>
      </w:r>
      <w:r w:rsidRPr="00342F7C">
        <w:rPr>
          <w:i/>
          <w:lang w:val="en-GB"/>
        </w:rPr>
        <w:t>in vitro</w:t>
      </w:r>
      <w:r w:rsidRPr="00342F7C">
        <w:rPr>
          <w:lang w:val="en-GB"/>
        </w:rPr>
        <w:t xml:space="preserve"> resistance between baseline and rebound (defined as emergence of new mutations or 2-fold change in phenotypic susceptibility to lopinavir).  Incremental resistance was most common in subjects whose baseline isolates had several protease inhibitor-associated mutations, but &lt; 40-fold reduced susceptibility to lopinavir at baseline.  Mutations V82A, I54V and M46I emerged most frequently.  Mutations L33F, I50V and V32I combined with I47V/A were also observed.  The 19 isolates demonstrated a 4.3-fold increase in IC</w:t>
      </w:r>
      <w:r w:rsidRPr="00342F7C">
        <w:rPr>
          <w:vertAlign w:val="subscript"/>
          <w:lang w:val="en-GB"/>
        </w:rPr>
        <w:t>50</w:t>
      </w:r>
      <w:r w:rsidRPr="00342F7C">
        <w:rPr>
          <w:lang w:val="en-GB"/>
        </w:rPr>
        <w:t xml:space="preserve"> compared to baseline isolates (from 6.2- to 43-fold, compared to wild-type virus).</w:t>
      </w:r>
    </w:p>
    <w:p w14:paraId="616D57BB" w14:textId="77777777" w:rsidR="00D7303D" w:rsidRPr="00342F7C" w:rsidRDefault="00D7303D">
      <w:pPr>
        <w:pStyle w:val="EMEANormal"/>
        <w:rPr>
          <w:lang w:val="en-GB"/>
        </w:rPr>
      </w:pPr>
    </w:p>
    <w:p w14:paraId="3ACB795A" w14:textId="77777777" w:rsidR="00D7303D" w:rsidRPr="00342F7C" w:rsidRDefault="00D7303D">
      <w:pPr>
        <w:pStyle w:val="EMEANormal"/>
        <w:rPr>
          <w:lang w:val="en-GB"/>
        </w:rPr>
      </w:pPr>
      <w:r w:rsidRPr="00342F7C">
        <w:rPr>
          <w:lang w:val="en-GB"/>
        </w:rPr>
        <w:t xml:space="preserve">Genotypic correlates of reduced phenotypic susceptibility to lopinavir in viruses selected by other protease inhibitors.  The </w:t>
      </w:r>
      <w:r w:rsidRPr="00342F7C">
        <w:rPr>
          <w:i/>
          <w:lang w:val="en-GB"/>
        </w:rPr>
        <w:t>in vitro</w:t>
      </w:r>
      <w:r w:rsidRPr="00342F7C">
        <w:rPr>
          <w:lang w:val="en-GB"/>
        </w:rPr>
        <w:t xml:space="preserve"> antiviral activity of lopinavir against 112 clinical isolates taken from patients failing therapy with one or more protease inhibitors was assessed.  Within this panel, the following mutations in HIV protease were associated with reduced </w:t>
      </w:r>
      <w:r w:rsidRPr="00342F7C">
        <w:rPr>
          <w:i/>
          <w:lang w:val="en-GB"/>
        </w:rPr>
        <w:t>in vitro</w:t>
      </w:r>
      <w:r w:rsidRPr="00342F7C">
        <w:rPr>
          <w:lang w:val="en-GB"/>
        </w:rPr>
        <w:t xml:space="preserve"> susceptibility to lopinavir: L10F/I/R/V, K20M/R, L24I, M46I/L, F53L, I54L/T/V, L63P, A71I/L/T/V, V82A/F/T, I84V and L90M.  The median EC</w:t>
      </w:r>
      <w:r w:rsidRPr="00342F7C">
        <w:rPr>
          <w:vertAlign w:val="subscript"/>
          <w:lang w:val="en-GB"/>
        </w:rPr>
        <w:t>50</w:t>
      </w:r>
      <w:r w:rsidRPr="00342F7C">
        <w:rPr>
          <w:lang w:val="en-GB"/>
        </w:rPr>
        <w:t xml:space="preserve"> of lopinavir against isolates with 0 − 3, 4 − 5, 6 − 7 and 8 − 10 mutations at the above amino acid positions was 0.8, 2.7 13.5 and 44.0-fold higher than the EC</w:t>
      </w:r>
      <w:r w:rsidRPr="00342F7C">
        <w:rPr>
          <w:vertAlign w:val="subscript"/>
          <w:lang w:val="en-GB"/>
        </w:rPr>
        <w:t>50</w:t>
      </w:r>
      <w:r w:rsidRPr="00342F7C">
        <w:rPr>
          <w:lang w:val="en-GB"/>
        </w:rPr>
        <w:t xml:space="preserve"> against wild type HIV, respectively.  The 16 viruses that displayed &gt; 20-fold change in susceptibility all contained mutations at positions 10, 54, 63 plus 82 and/or 84.  In addition, they contained a median of 3 mutations at amino acid positions 20, 24, 46, 53, 71 and 90.  </w:t>
      </w:r>
      <w:r w:rsidRPr="00342F7C">
        <w:rPr>
          <w:szCs w:val="22"/>
          <w:lang w:val="en-GB"/>
        </w:rPr>
        <w:t>In addition to the mutations described above, mutations V32I and I47A have been observed in rebound isolates with reduced lopinavir susceptibility from protease inhibitor experienced patients receiving Kaletra therapy</w:t>
      </w:r>
      <w:r w:rsidRPr="00342F7C">
        <w:rPr>
          <w:lang w:val="en-GB"/>
        </w:rPr>
        <w:t>, and mutations I47A and L76V have been observed in rebound isolates with reduced lopinavir susceptibility from patients receiving Kaletra therapy.</w:t>
      </w:r>
    </w:p>
    <w:p w14:paraId="2AFB320F" w14:textId="77777777" w:rsidR="00D7303D" w:rsidRPr="00342F7C" w:rsidRDefault="00D7303D">
      <w:pPr>
        <w:pStyle w:val="EMEANormal"/>
        <w:rPr>
          <w:lang w:val="en-GB"/>
        </w:rPr>
      </w:pPr>
    </w:p>
    <w:p w14:paraId="01BC446B" w14:textId="77777777" w:rsidR="00D7303D" w:rsidRPr="00342F7C" w:rsidRDefault="00D7303D">
      <w:pPr>
        <w:pStyle w:val="EMEANormal"/>
        <w:rPr>
          <w:lang w:val="en-GB"/>
        </w:rPr>
      </w:pPr>
      <w:r w:rsidRPr="00342F7C">
        <w:rPr>
          <w:lang w:val="en-GB"/>
        </w:rPr>
        <w:t>Conclusions regarding the relevance of particular mutations or mutational patterns are subject to change with additional data, and it is recommended to always consult current interpretation systems for analysing resistance test results.</w:t>
      </w:r>
    </w:p>
    <w:p w14:paraId="2E995D9E" w14:textId="77777777" w:rsidR="00D7303D" w:rsidRPr="00342F7C" w:rsidRDefault="00D7303D">
      <w:pPr>
        <w:pStyle w:val="EMEANormal"/>
        <w:rPr>
          <w:lang w:val="en-GB"/>
        </w:rPr>
      </w:pPr>
    </w:p>
    <w:p w14:paraId="4CA93856" w14:textId="77777777" w:rsidR="000E513F" w:rsidRDefault="00D7303D">
      <w:pPr>
        <w:pStyle w:val="EMEANormal"/>
        <w:rPr>
          <w:u w:val="single"/>
          <w:lang w:val="en-GB"/>
        </w:rPr>
      </w:pPr>
      <w:r w:rsidRPr="002E02FB">
        <w:rPr>
          <w:i/>
          <w:lang w:val="en-GB"/>
        </w:rPr>
        <w:t>Antiviral act</w:t>
      </w:r>
      <w:r w:rsidRPr="00407728">
        <w:rPr>
          <w:i/>
          <w:lang w:val="en-GB"/>
        </w:rPr>
        <w:t>ivity of Kaletra in patients failing protease inhibitor therapy</w:t>
      </w:r>
    </w:p>
    <w:p w14:paraId="12E32618" w14:textId="77777777" w:rsidR="00D7303D" w:rsidRPr="00342F7C" w:rsidRDefault="000E513F">
      <w:pPr>
        <w:pStyle w:val="EMEANormal"/>
        <w:rPr>
          <w:lang w:val="en-GB"/>
        </w:rPr>
      </w:pPr>
      <w:r>
        <w:rPr>
          <w:lang w:val="en-GB"/>
        </w:rPr>
        <w:t>T</w:t>
      </w:r>
      <w:r w:rsidR="00D7303D" w:rsidRPr="00342F7C">
        <w:rPr>
          <w:lang w:val="en-GB"/>
        </w:rPr>
        <w:t xml:space="preserve">he clinical relevance of reduced </w:t>
      </w:r>
      <w:r w:rsidR="00D7303D" w:rsidRPr="00342F7C">
        <w:rPr>
          <w:i/>
          <w:lang w:val="en-GB"/>
        </w:rPr>
        <w:t>in vitro</w:t>
      </w:r>
      <w:r w:rsidR="00D7303D" w:rsidRPr="00342F7C">
        <w:rPr>
          <w:lang w:val="en-GB"/>
        </w:rPr>
        <w:t xml:space="preserve"> susceptibility to lopinavir has been examined by assessing the virologic response to Kaletra therapy, with respect to baseline viral genotype and phenotype, in 56 patients previous failing therapy with multiple protease inhibitors.  The EC</w:t>
      </w:r>
      <w:r w:rsidR="00D7303D" w:rsidRPr="00342F7C">
        <w:rPr>
          <w:vertAlign w:val="subscript"/>
          <w:lang w:val="en-GB"/>
        </w:rPr>
        <w:t>50</w:t>
      </w:r>
      <w:r w:rsidR="00D7303D" w:rsidRPr="00342F7C">
        <w:rPr>
          <w:lang w:val="en-GB"/>
        </w:rPr>
        <w:t xml:space="preserve"> of lopinavir against the 56 baseline viral isolates ranged from 0.6 to 96-fold higher than the EC</w:t>
      </w:r>
      <w:r w:rsidR="00D7303D" w:rsidRPr="00342F7C">
        <w:rPr>
          <w:vertAlign w:val="subscript"/>
          <w:lang w:val="en-GB"/>
        </w:rPr>
        <w:t>50</w:t>
      </w:r>
      <w:r w:rsidR="00D7303D" w:rsidRPr="00342F7C">
        <w:rPr>
          <w:lang w:val="en-GB"/>
        </w:rPr>
        <w:t xml:space="preserve"> against wild type HIV.  After 48 weeks of treatment with Kaletra, efavirenz and nucleoside reverse transcriptase inhibitors, plasma HIV RNA </w:t>
      </w:r>
      <w:r w:rsidR="00D7303D" w:rsidRPr="00342F7C">
        <w:rPr>
          <w:snapToGrid w:val="0"/>
          <w:lang w:val="en-GB"/>
        </w:rPr>
        <w:sym w:font="Symbol" w:char="F0A3"/>
      </w:r>
      <w:r w:rsidR="00D7303D" w:rsidRPr="00342F7C">
        <w:rPr>
          <w:snapToGrid w:val="0"/>
          <w:lang w:val="en-GB"/>
        </w:rPr>
        <w:t> </w:t>
      </w:r>
      <w:r w:rsidR="00D7303D" w:rsidRPr="00342F7C">
        <w:rPr>
          <w:lang w:val="en-GB"/>
        </w:rPr>
        <w:t>400 copies/ml was observed in 93% (25/27), 73% (11/15), and 25% (2/8) of patients with &lt; 10</w:t>
      </w:r>
      <w:r w:rsidR="00D7303D" w:rsidRPr="00342F7C">
        <w:rPr>
          <w:lang w:val="en-GB"/>
        </w:rPr>
        <w:noBreakHyphen/>
        <w:t>fold, 10 to 40-fold, and &gt; 40</w:t>
      </w:r>
      <w:r w:rsidR="00D7303D" w:rsidRPr="00342F7C">
        <w:rPr>
          <w:lang w:val="en-GB"/>
        </w:rPr>
        <w:noBreakHyphen/>
        <w:t xml:space="preserve">fold reduced susceptibility to lopinavir at baseline, respectively.  In addition, virologic response was observed in 91% (21/23), 71% (15/21) and 33% (2/6) patients with 0 − 5, 6 − 7, and 8 − 10 mutations of the above mutations in HIV protease associated with reduced </w:t>
      </w:r>
      <w:r w:rsidR="00D7303D" w:rsidRPr="00342F7C">
        <w:rPr>
          <w:i/>
          <w:lang w:val="en-GB"/>
        </w:rPr>
        <w:t>in vitro</w:t>
      </w:r>
      <w:r w:rsidR="00D7303D" w:rsidRPr="00342F7C">
        <w:rPr>
          <w:lang w:val="en-GB"/>
        </w:rPr>
        <w:t xml:space="preserve"> susceptibility to lopinavir.  Since these patients had not previously been exposed to either Kaletra or efavirenz, part of the response may be attributed to the antiviral activity of efavirenz, particularly in patients harbouring highly lopinavir resistant virus.  The study did not contain a control arm of patients not receiving Kaletra.</w:t>
      </w:r>
    </w:p>
    <w:p w14:paraId="2F391AF2" w14:textId="77777777" w:rsidR="00D7303D" w:rsidRPr="00342F7C" w:rsidRDefault="00D7303D">
      <w:pPr>
        <w:pStyle w:val="EMEANormal"/>
        <w:rPr>
          <w:lang w:val="en-GB"/>
        </w:rPr>
      </w:pPr>
    </w:p>
    <w:p w14:paraId="3CCB808B" w14:textId="77777777" w:rsidR="00E5205B" w:rsidRDefault="00D7303D">
      <w:pPr>
        <w:pStyle w:val="EMEANormal"/>
        <w:rPr>
          <w:i/>
          <w:iCs/>
          <w:lang w:val="en-GB"/>
        </w:rPr>
      </w:pPr>
      <w:r w:rsidRPr="0017061C">
        <w:rPr>
          <w:iCs/>
          <w:u w:val="single"/>
          <w:lang w:val="en-GB"/>
        </w:rPr>
        <w:t>Cross</w:t>
      </w:r>
      <w:r w:rsidRPr="0017061C">
        <w:rPr>
          <w:iCs/>
          <w:u w:val="single"/>
          <w:lang w:val="en-GB"/>
        </w:rPr>
        <w:noBreakHyphen/>
        <w:t>resistance</w:t>
      </w:r>
    </w:p>
    <w:p w14:paraId="660F2B09" w14:textId="77777777" w:rsidR="00D7303D" w:rsidRDefault="00D7303D">
      <w:pPr>
        <w:pStyle w:val="EMEANormal"/>
        <w:rPr>
          <w:lang w:val="en-GB"/>
        </w:rPr>
      </w:pPr>
      <w:r w:rsidRPr="00342F7C">
        <w:rPr>
          <w:lang w:val="en-GB"/>
        </w:rPr>
        <w:t>Activity of other protease inhibitors against isolates that developed incremental resistance to lopinavir after Kaletra therapy in protease inhibitor experienced patients: The presence of cross resistance to other protease inhibitors was analysed in 18 rebound i</w:t>
      </w:r>
      <w:r w:rsidRPr="00342F7C">
        <w:rPr>
          <w:szCs w:val="22"/>
          <w:lang w:val="en-GB"/>
        </w:rPr>
        <w:t xml:space="preserve">solates that had demonstrated evolution of resistance to lopinavir during 3 </w:t>
      </w:r>
      <w:r w:rsidRPr="00342F7C">
        <w:rPr>
          <w:lang w:val="en-GB"/>
        </w:rPr>
        <w:t xml:space="preserve">Phase </w:t>
      </w:r>
      <w:r w:rsidRPr="00342F7C">
        <w:rPr>
          <w:szCs w:val="22"/>
          <w:lang w:val="en-GB"/>
        </w:rPr>
        <w:t xml:space="preserve">II and one </w:t>
      </w:r>
      <w:r w:rsidRPr="00342F7C">
        <w:rPr>
          <w:lang w:val="en-GB"/>
        </w:rPr>
        <w:t xml:space="preserve">Phase </w:t>
      </w:r>
      <w:r w:rsidRPr="00342F7C">
        <w:rPr>
          <w:szCs w:val="22"/>
          <w:lang w:val="en-GB"/>
        </w:rPr>
        <w:t>III studies of Kaletra in protease inhibitor-experienced patients.  The median fold IC</w:t>
      </w:r>
      <w:r w:rsidRPr="00342F7C">
        <w:rPr>
          <w:szCs w:val="22"/>
          <w:vertAlign w:val="subscript"/>
          <w:lang w:val="en-GB"/>
        </w:rPr>
        <w:t>50</w:t>
      </w:r>
      <w:r w:rsidRPr="00342F7C">
        <w:rPr>
          <w:szCs w:val="22"/>
          <w:lang w:val="en-GB"/>
        </w:rPr>
        <w:t xml:space="preserve"> of lopinavir for these 18 isolates at baseline and rebound was 6.9- and 63-fold, respectively, compared to wild type virus.  In general, rebound isolates either retained (if cross-resistant at baseline) or developed significant cross-resistance to indinavir, saquinavir and atazanavir.  Modest decreases in amprenavir activity were noted with a median increase of IC</w:t>
      </w:r>
      <w:r w:rsidRPr="00342F7C">
        <w:rPr>
          <w:szCs w:val="22"/>
          <w:vertAlign w:val="subscript"/>
          <w:lang w:val="en-GB"/>
        </w:rPr>
        <w:t xml:space="preserve">50 </w:t>
      </w:r>
      <w:r w:rsidRPr="00342F7C">
        <w:rPr>
          <w:szCs w:val="22"/>
          <w:lang w:val="en-GB"/>
        </w:rPr>
        <w:t>from 3.7- to 8-fold in the baseline and rebound isolates, respectively.  Isolates retained susceptibility to tipranavir with a median increase of IC</w:t>
      </w:r>
      <w:r w:rsidRPr="00342F7C">
        <w:rPr>
          <w:szCs w:val="22"/>
          <w:vertAlign w:val="subscript"/>
          <w:lang w:val="en-GB"/>
        </w:rPr>
        <w:t>50</w:t>
      </w:r>
      <w:r w:rsidRPr="00342F7C">
        <w:rPr>
          <w:szCs w:val="22"/>
          <w:lang w:val="en-GB"/>
        </w:rPr>
        <w:t xml:space="preserve"> in baseline and rebound isolates of 1.9- and 1.8–fold, respectively, compared to wild type virus.  </w:t>
      </w:r>
      <w:r w:rsidRPr="00342F7C">
        <w:rPr>
          <w:lang w:val="en-GB"/>
        </w:rPr>
        <w:t>Please refer to the Aptivus Summary of Product Characteristics for additional information on the use of tipranavir, including genotypic predictors of response, in treatment of lopinavir-resistant HIV-1 infection.</w:t>
      </w:r>
    </w:p>
    <w:p w14:paraId="6EF2F09A" w14:textId="77777777" w:rsidR="00A67625" w:rsidRPr="00342F7C" w:rsidRDefault="00A67625">
      <w:pPr>
        <w:pStyle w:val="EMEANormal"/>
        <w:rPr>
          <w:lang w:val="en-GB"/>
        </w:rPr>
      </w:pPr>
    </w:p>
    <w:p w14:paraId="79053934" w14:textId="77777777" w:rsidR="00D7303D" w:rsidRPr="0017061C" w:rsidRDefault="00D7303D" w:rsidP="00A67625">
      <w:pPr>
        <w:pStyle w:val="EMEAHeadingUI"/>
        <w:spacing w:beforeLines="0" w:before="0" w:afterLines="0" w:after="0"/>
        <w:rPr>
          <w:i w:val="0"/>
          <w:lang w:val="en-GB"/>
        </w:rPr>
      </w:pPr>
      <w:r w:rsidRPr="0017061C">
        <w:rPr>
          <w:i w:val="0"/>
          <w:lang w:val="en-GB"/>
        </w:rPr>
        <w:t>Clinical results</w:t>
      </w:r>
    </w:p>
    <w:p w14:paraId="58708A6F" w14:textId="77777777" w:rsidR="00D7303D" w:rsidRDefault="00D7303D">
      <w:pPr>
        <w:pStyle w:val="EMEANormal"/>
        <w:rPr>
          <w:lang w:val="en-GB"/>
        </w:rPr>
      </w:pPr>
      <w:r w:rsidRPr="00342F7C">
        <w:rPr>
          <w:lang w:val="en-GB"/>
        </w:rPr>
        <w:t>The effects of Kaletra (in combination with other antiretroviral agents) on biological markers (plasma HIV RNA levels and CD4+</w:t>
      </w:r>
      <w:r w:rsidRPr="00342F7C">
        <w:rPr>
          <w:vertAlign w:val="subscript"/>
          <w:lang w:val="en-GB"/>
        </w:rPr>
        <w:t xml:space="preserve"> </w:t>
      </w:r>
      <w:r w:rsidRPr="00342F7C">
        <w:rPr>
          <w:lang w:val="en-GB"/>
        </w:rPr>
        <w:t xml:space="preserve">T-cell counts) have been investigated in controlled studies of Kaletra of 48 to 360 weeks duration.  </w:t>
      </w:r>
    </w:p>
    <w:p w14:paraId="707B989E" w14:textId="77777777" w:rsidR="00A67625" w:rsidRPr="00342F7C" w:rsidRDefault="00A67625">
      <w:pPr>
        <w:pStyle w:val="EMEANormal"/>
        <w:rPr>
          <w:lang w:val="en-GB"/>
        </w:rPr>
      </w:pPr>
    </w:p>
    <w:p w14:paraId="509ACC80" w14:textId="77777777" w:rsidR="00D7303D" w:rsidRDefault="00D7303D" w:rsidP="00A67625">
      <w:pPr>
        <w:pStyle w:val="EMEAHeadingItalic"/>
        <w:spacing w:beforeLines="0" w:before="0" w:afterLines="0" w:after="0"/>
        <w:rPr>
          <w:lang w:val="en-GB"/>
        </w:rPr>
      </w:pPr>
      <w:r w:rsidRPr="00342F7C">
        <w:rPr>
          <w:lang w:val="en-GB"/>
        </w:rPr>
        <w:t>Adult Use</w:t>
      </w:r>
    </w:p>
    <w:p w14:paraId="5DA421F1" w14:textId="77777777" w:rsidR="00A67625" w:rsidRPr="00A67625" w:rsidRDefault="00A67625" w:rsidP="00A67625">
      <w:pPr>
        <w:pStyle w:val="EMEANormal"/>
        <w:rPr>
          <w:lang w:val="en-GB"/>
        </w:rPr>
      </w:pPr>
    </w:p>
    <w:p w14:paraId="7CB6F36A" w14:textId="77777777" w:rsidR="00D7303D" w:rsidRPr="0017061C" w:rsidRDefault="00D7303D" w:rsidP="00A67625">
      <w:pPr>
        <w:pStyle w:val="EMEAHeadingUnderline"/>
        <w:spacing w:beforeLines="0" w:before="0" w:afterLines="0" w:after="0"/>
        <w:rPr>
          <w:u w:val="none"/>
          <w:lang w:val="en-GB"/>
        </w:rPr>
      </w:pPr>
      <w:r w:rsidRPr="0017061C">
        <w:rPr>
          <w:u w:val="none"/>
          <w:lang w:val="en-GB"/>
        </w:rPr>
        <w:t>Patients without prior antiretroviral therapy</w:t>
      </w:r>
    </w:p>
    <w:p w14:paraId="11A513AF" w14:textId="77777777" w:rsidR="00A67625" w:rsidRPr="00A67625" w:rsidRDefault="00A67625" w:rsidP="00A67625">
      <w:pPr>
        <w:pStyle w:val="EMEANormal"/>
        <w:rPr>
          <w:lang w:val="en-GB"/>
        </w:rPr>
      </w:pPr>
    </w:p>
    <w:p w14:paraId="04F0E2E4" w14:textId="77777777" w:rsidR="00D7303D" w:rsidRPr="00342F7C" w:rsidRDefault="00D7303D">
      <w:pPr>
        <w:pStyle w:val="EMEANormal"/>
        <w:rPr>
          <w:lang w:val="en-GB"/>
        </w:rPr>
      </w:pPr>
      <w:r w:rsidRPr="00342F7C">
        <w:rPr>
          <w:lang w:val="en-GB"/>
        </w:rPr>
        <w:t>Study M98-863 was a randomised, double-blind trial of 653 antiretroviral treatment naïve patients investigating Kaletra (400/100 mg twice daily) compared to nelfinavir (750 mg three times daily) plus stavudine and lamivudine.  Mean baseline CD4+ T-cell count was 259 cells/mm</w:t>
      </w:r>
      <w:r w:rsidRPr="00342F7C">
        <w:rPr>
          <w:vertAlign w:val="superscript"/>
          <w:lang w:val="en-GB"/>
        </w:rPr>
        <w:t>3</w:t>
      </w:r>
      <w:r w:rsidRPr="00342F7C">
        <w:rPr>
          <w:lang w:val="en-GB"/>
        </w:rPr>
        <w:t xml:space="preserve"> (range: 2 to 949 cells/ mm</w:t>
      </w:r>
      <w:r w:rsidRPr="00342F7C">
        <w:rPr>
          <w:vertAlign w:val="superscript"/>
          <w:lang w:val="en-GB"/>
        </w:rPr>
        <w:t>3</w:t>
      </w:r>
      <w:r w:rsidRPr="00342F7C">
        <w:rPr>
          <w:lang w:val="en-GB"/>
        </w:rPr>
        <w:t>) and mean baseline plasma HIV-1 RNA was 4.9 log</w:t>
      </w:r>
      <w:r w:rsidRPr="00342F7C">
        <w:rPr>
          <w:vertAlign w:val="subscript"/>
          <w:lang w:val="en-GB"/>
        </w:rPr>
        <w:t>10 </w:t>
      </w:r>
      <w:r w:rsidRPr="00342F7C">
        <w:rPr>
          <w:lang w:val="en-GB"/>
        </w:rPr>
        <w:t>copies/ml (range: 2.6 to 6.8 log</w:t>
      </w:r>
      <w:r w:rsidRPr="00342F7C">
        <w:rPr>
          <w:vertAlign w:val="subscript"/>
          <w:lang w:val="en-GB"/>
        </w:rPr>
        <w:t>10 </w:t>
      </w:r>
      <w:r w:rsidRPr="00342F7C">
        <w:rPr>
          <w:lang w:val="en-GB"/>
        </w:rPr>
        <w:t xml:space="preserve">copies/ml).  </w:t>
      </w:r>
    </w:p>
    <w:p w14:paraId="283CEECA" w14:textId="77777777" w:rsidR="00D7303D" w:rsidRPr="00342F7C" w:rsidRDefault="00D7303D">
      <w:pPr>
        <w:pStyle w:val="EMEANormal"/>
        <w:rPr>
          <w:lang w:val="en-GB"/>
        </w:rPr>
      </w:pPr>
    </w:p>
    <w:p w14:paraId="44A18A6F" w14:textId="77777777" w:rsidR="00D7303D" w:rsidRPr="00342F7C" w:rsidRDefault="00D7303D" w:rsidP="00387CF0">
      <w:pPr>
        <w:pStyle w:val="EMEANormal"/>
        <w:keepNext/>
        <w:rPr>
          <w:lang w:val="en-GB"/>
        </w:rPr>
      </w:pPr>
      <w:r w:rsidRPr="00342F7C">
        <w:rPr>
          <w:lang w:val="en-GB"/>
        </w:rPr>
        <w:t>Table 1</w:t>
      </w:r>
    </w:p>
    <w:p w14:paraId="04489001" w14:textId="77777777" w:rsidR="00D7303D" w:rsidRPr="00342F7C" w:rsidRDefault="00D7303D" w:rsidP="00387CF0">
      <w:pPr>
        <w:pStyle w:val="EMEANormal"/>
        <w:keepNext/>
        <w:rPr>
          <w:lang w:val="en-GB"/>
        </w:rPr>
      </w:pPr>
    </w:p>
    <w:tbl>
      <w:tblPr>
        <w:tblW w:w="7730"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0"/>
        <w:gridCol w:w="2520"/>
        <w:gridCol w:w="2210"/>
      </w:tblGrid>
      <w:tr w:rsidR="00D7303D" w:rsidRPr="00342F7C" w14:paraId="38F79084" w14:textId="77777777" w:rsidTr="008541E3">
        <w:tc>
          <w:tcPr>
            <w:tcW w:w="7730" w:type="dxa"/>
            <w:gridSpan w:val="3"/>
          </w:tcPr>
          <w:p w14:paraId="6EC93B5F" w14:textId="77777777" w:rsidR="00D7303D" w:rsidRPr="00342F7C" w:rsidRDefault="00D7303D" w:rsidP="00387CF0">
            <w:pPr>
              <w:pStyle w:val="EMEANormal"/>
              <w:keepNext/>
              <w:spacing w:before="120" w:after="120"/>
              <w:jc w:val="center"/>
              <w:rPr>
                <w:lang w:val="en-GB"/>
              </w:rPr>
            </w:pPr>
            <w:r w:rsidRPr="00342F7C">
              <w:rPr>
                <w:b/>
                <w:lang w:val="en-GB"/>
              </w:rPr>
              <w:t>Outcomes at Week 48: Study M98-863</w:t>
            </w:r>
          </w:p>
        </w:tc>
      </w:tr>
      <w:tr w:rsidR="00D7303D" w:rsidRPr="00342F7C" w14:paraId="5CECBD27" w14:textId="77777777" w:rsidTr="008541E3">
        <w:tc>
          <w:tcPr>
            <w:tcW w:w="3000" w:type="dxa"/>
          </w:tcPr>
          <w:p w14:paraId="0C6FEC1A" w14:textId="77777777" w:rsidR="00D7303D" w:rsidRPr="00342F7C" w:rsidRDefault="00D7303D" w:rsidP="00387CF0">
            <w:pPr>
              <w:pStyle w:val="EMEANormal"/>
              <w:keepNext/>
              <w:rPr>
                <w:lang w:val="en-GB"/>
              </w:rPr>
            </w:pPr>
          </w:p>
        </w:tc>
        <w:tc>
          <w:tcPr>
            <w:tcW w:w="2520" w:type="dxa"/>
          </w:tcPr>
          <w:p w14:paraId="3CC1543F" w14:textId="77777777" w:rsidR="00D7303D" w:rsidRPr="00342F7C" w:rsidRDefault="00D7303D" w:rsidP="00387CF0">
            <w:pPr>
              <w:pStyle w:val="EMEANormal"/>
              <w:keepNext/>
              <w:jc w:val="center"/>
              <w:rPr>
                <w:lang w:val="en-GB"/>
              </w:rPr>
            </w:pPr>
            <w:r w:rsidRPr="00342F7C">
              <w:rPr>
                <w:b/>
                <w:lang w:val="en-GB"/>
              </w:rPr>
              <w:t>Kaletra (N=326)</w:t>
            </w:r>
          </w:p>
        </w:tc>
        <w:tc>
          <w:tcPr>
            <w:tcW w:w="2210" w:type="dxa"/>
          </w:tcPr>
          <w:p w14:paraId="5FC9D492" w14:textId="77777777" w:rsidR="00D7303D" w:rsidRPr="00342F7C" w:rsidRDefault="00D7303D" w:rsidP="00387CF0">
            <w:pPr>
              <w:pStyle w:val="EMEANormal"/>
              <w:keepNext/>
              <w:jc w:val="center"/>
              <w:rPr>
                <w:lang w:val="en-GB"/>
              </w:rPr>
            </w:pPr>
            <w:r w:rsidRPr="00342F7C">
              <w:rPr>
                <w:b/>
                <w:lang w:val="en-GB"/>
              </w:rPr>
              <w:t>Nelfinavir (N=327)</w:t>
            </w:r>
          </w:p>
        </w:tc>
      </w:tr>
      <w:tr w:rsidR="00D7303D" w:rsidRPr="00342F7C" w14:paraId="0A955D85" w14:textId="77777777" w:rsidTr="008541E3">
        <w:tc>
          <w:tcPr>
            <w:tcW w:w="3000" w:type="dxa"/>
          </w:tcPr>
          <w:p w14:paraId="01217264" w14:textId="77777777" w:rsidR="00D7303D" w:rsidRPr="00342F7C" w:rsidRDefault="00D7303D" w:rsidP="00387CF0">
            <w:pPr>
              <w:pStyle w:val="EMEANormal"/>
              <w:keepNext/>
              <w:rPr>
                <w:lang w:val="en-GB"/>
              </w:rPr>
            </w:pPr>
            <w:r w:rsidRPr="00342F7C">
              <w:rPr>
                <w:lang w:val="en-GB"/>
              </w:rPr>
              <w:t>HIV RNA &lt; 400 copies/ml*</w:t>
            </w:r>
          </w:p>
        </w:tc>
        <w:tc>
          <w:tcPr>
            <w:tcW w:w="2520" w:type="dxa"/>
          </w:tcPr>
          <w:p w14:paraId="7B2E050C" w14:textId="77777777" w:rsidR="00D7303D" w:rsidRPr="00342F7C" w:rsidRDefault="00D7303D" w:rsidP="00387CF0">
            <w:pPr>
              <w:pStyle w:val="EMEANormal"/>
              <w:keepNext/>
              <w:jc w:val="center"/>
              <w:rPr>
                <w:lang w:val="en-GB"/>
              </w:rPr>
            </w:pPr>
            <w:r w:rsidRPr="00342F7C">
              <w:rPr>
                <w:lang w:val="en-GB"/>
              </w:rPr>
              <w:t>75%</w:t>
            </w:r>
          </w:p>
        </w:tc>
        <w:tc>
          <w:tcPr>
            <w:tcW w:w="2210" w:type="dxa"/>
          </w:tcPr>
          <w:p w14:paraId="2F848955" w14:textId="77777777" w:rsidR="00D7303D" w:rsidRPr="00342F7C" w:rsidRDefault="00D7303D" w:rsidP="00387CF0">
            <w:pPr>
              <w:pStyle w:val="EMEANormal"/>
              <w:keepNext/>
              <w:jc w:val="center"/>
              <w:rPr>
                <w:lang w:val="en-GB"/>
              </w:rPr>
            </w:pPr>
            <w:r w:rsidRPr="00342F7C">
              <w:rPr>
                <w:lang w:val="en-GB"/>
              </w:rPr>
              <w:t>63%</w:t>
            </w:r>
          </w:p>
        </w:tc>
      </w:tr>
      <w:tr w:rsidR="00D7303D" w:rsidRPr="00342F7C" w14:paraId="0E3F68C7" w14:textId="77777777" w:rsidTr="008541E3">
        <w:tc>
          <w:tcPr>
            <w:tcW w:w="3000" w:type="dxa"/>
          </w:tcPr>
          <w:p w14:paraId="1F31706A" w14:textId="77777777" w:rsidR="00D7303D" w:rsidRPr="00342F7C" w:rsidRDefault="00D7303D" w:rsidP="00387CF0">
            <w:pPr>
              <w:pStyle w:val="EMEANormal"/>
              <w:keepNext/>
              <w:rPr>
                <w:lang w:val="en-GB"/>
              </w:rPr>
            </w:pPr>
            <w:r w:rsidRPr="00342F7C">
              <w:rPr>
                <w:lang w:val="en-GB"/>
              </w:rPr>
              <w:t>HIV RNA &lt; 50 copies/ml*†</w:t>
            </w:r>
          </w:p>
        </w:tc>
        <w:tc>
          <w:tcPr>
            <w:tcW w:w="2520" w:type="dxa"/>
          </w:tcPr>
          <w:p w14:paraId="46B255B8" w14:textId="77777777" w:rsidR="00D7303D" w:rsidRPr="00342F7C" w:rsidRDefault="00D7303D" w:rsidP="00387CF0">
            <w:pPr>
              <w:pStyle w:val="EMEANormal"/>
              <w:keepNext/>
              <w:jc w:val="center"/>
              <w:rPr>
                <w:lang w:val="en-GB"/>
              </w:rPr>
            </w:pPr>
            <w:r w:rsidRPr="00342F7C">
              <w:rPr>
                <w:lang w:val="en-GB"/>
              </w:rPr>
              <w:t>67%</w:t>
            </w:r>
          </w:p>
        </w:tc>
        <w:tc>
          <w:tcPr>
            <w:tcW w:w="2210" w:type="dxa"/>
          </w:tcPr>
          <w:p w14:paraId="428F4B0F" w14:textId="77777777" w:rsidR="00D7303D" w:rsidRPr="00342F7C" w:rsidRDefault="00D7303D" w:rsidP="00387CF0">
            <w:pPr>
              <w:pStyle w:val="EMEANormal"/>
              <w:keepNext/>
              <w:jc w:val="center"/>
              <w:rPr>
                <w:lang w:val="en-GB"/>
              </w:rPr>
            </w:pPr>
            <w:r w:rsidRPr="00342F7C">
              <w:rPr>
                <w:lang w:val="en-GB"/>
              </w:rPr>
              <w:t>52%</w:t>
            </w:r>
          </w:p>
        </w:tc>
      </w:tr>
      <w:tr w:rsidR="00D7303D" w:rsidRPr="00342F7C" w14:paraId="0F0A3E4B" w14:textId="77777777" w:rsidTr="008541E3">
        <w:tc>
          <w:tcPr>
            <w:tcW w:w="3000" w:type="dxa"/>
          </w:tcPr>
          <w:p w14:paraId="31A3441B" w14:textId="77777777" w:rsidR="00D7303D" w:rsidRPr="00342F7C" w:rsidRDefault="00D7303D" w:rsidP="00387CF0">
            <w:pPr>
              <w:pStyle w:val="EMEANormal"/>
              <w:keepNext/>
              <w:rPr>
                <w:lang w:val="en-GB"/>
              </w:rPr>
            </w:pPr>
            <w:r w:rsidRPr="00342F7C">
              <w:rPr>
                <w:lang w:val="en-GB"/>
              </w:rPr>
              <w:t>Mean increase from baseline in CD4+</w:t>
            </w:r>
            <w:r w:rsidRPr="00342F7C">
              <w:rPr>
                <w:vertAlign w:val="subscript"/>
                <w:lang w:val="en-GB"/>
              </w:rPr>
              <w:t xml:space="preserve"> </w:t>
            </w:r>
            <w:r w:rsidRPr="00342F7C">
              <w:rPr>
                <w:lang w:val="en-GB"/>
              </w:rPr>
              <w:t>T-cell count (cells/mm</w:t>
            </w:r>
            <w:r w:rsidRPr="00342F7C">
              <w:rPr>
                <w:vertAlign w:val="superscript"/>
                <w:lang w:val="en-GB"/>
              </w:rPr>
              <w:t>3</w:t>
            </w:r>
            <w:r w:rsidRPr="00342F7C">
              <w:rPr>
                <w:lang w:val="en-GB"/>
              </w:rPr>
              <w:t>)</w:t>
            </w:r>
          </w:p>
        </w:tc>
        <w:tc>
          <w:tcPr>
            <w:tcW w:w="2520" w:type="dxa"/>
          </w:tcPr>
          <w:p w14:paraId="5F7880EB" w14:textId="77777777" w:rsidR="00D7303D" w:rsidRPr="00342F7C" w:rsidRDefault="00D7303D" w:rsidP="00387CF0">
            <w:pPr>
              <w:pStyle w:val="EMEANormal"/>
              <w:keepNext/>
              <w:jc w:val="center"/>
              <w:rPr>
                <w:lang w:val="en-GB"/>
              </w:rPr>
            </w:pPr>
            <w:r w:rsidRPr="00342F7C">
              <w:rPr>
                <w:lang w:val="en-GB"/>
              </w:rPr>
              <w:t>207</w:t>
            </w:r>
          </w:p>
        </w:tc>
        <w:tc>
          <w:tcPr>
            <w:tcW w:w="2210" w:type="dxa"/>
          </w:tcPr>
          <w:p w14:paraId="2CF6B1A8" w14:textId="77777777" w:rsidR="00D7303D" w:rsidRPr="00342F7C" w:rsidRDefault="00D7303D" w:rsidP="00387CF0">
            <w:pPr>
              <w:pStyle w:val="EMEANormal"/>
              <w:keepNext/>
              <w:jc w:val="center"/>
              <w:rPr>
                <w:lang w:val="en-GB"/>
              </w:rPr>
            </w:pPr>
            <w:r w:rsidRPr="00342F7C">
              <w:rPr>
                <w:lang w:val="en-GB"/>
              </w:rPr>
              <w:t>195</w:t>
            </w:r>
          </w:p>
        </w:tc>
      </w:tr>
    </w:tbl>
    <w:p w14:paraId="170488EF" w14:textId="77777777" w:rsidR="00D7303D" w:rsidRPr="00342F7C" w:rsidRDefault="00D7303D" w:rsidP="007967D0">
      <w:pPr>
        <w:pStyle w:val="EMEANormal"/>
        <w:ind w:left="600"/>
        <w:rPr>
          <w:lang w:val="en-GB"/>
        </w:rPr>
      </w:pPr>
      <w:r w:rsidRPr="00342F7C">
        <w:rPr>
          <w:lang w:val="en-GB"/>
        </w:rPr>
        <w:t xml:space="preserve">* intent to treat analysis where patients with missing values are considered virologic failures </w:t>
      </w:r>
    </w:p>
    <w:p w14:paraId="2405E974" w14:textId="77777777" w:rsidR="00D7303D" w:rsidRPr="00342F7C" w:rsidRDefault="00D7303D" w:rsidP="007967D0">
      <w:pPr>
        <w:pStyle w:val="EMEANormal"/>
        <w:ind w:left="600"/>
        <w:rPr>
          <w:lang w:val="en-GB"/>
        </w:rPr>
      </w:pPr>
      <w:r w:rsidRPr="00342F7C">
        <w:rPr>
          <w:lang w:val="en-GB"/>
        </w:rPr>
        <w:t>† p &lt; 0.001</w:t>
      </w:r>
    </w:p>
    <w:p w14:paraId="11D9DC90" w14:textId="77777777" w:rsidR="00D7303D" w:rsidRPr="00342F7C" w:rsidRDefault="00D7303D" w:rsidP="007967D0">
      <w:pPr>
        <w:pStyle w:val="EMEANormal"/>
        <w:tabs>
          <w:tab w:val="clear" w:pos="562"/>
          <w:tab w:val="left" w:pos="0"/>
        </w:tabs>
        <w:rPr>
          <w:lang w:val="en-GB"/>
        </w:rPr>
      </w:pPr>
    </w:p>
    <w:p w14:paraId="6DEF367C" w14:textId="77777777" w:rsidR="00D7303D" w:rsidRPr="00342F7C" w:rsidRDefault="00D7303D">
      <w:pPr>
        <w:pStyle w:val="EMEANormal"/>
        <w:rPr>
          <w:lang w:val="en-GB"/>
        </w:rPr>
      </w:pPr>
      <w:r w:rsidRPr="00342F7C">
        <w:rPr>
          <w:lang w:val="en-GB"/>
        </w:rPr>
        <w:t>One-hundred thirteen nelfinavir-treated patients and 74 lopinavir/ritonavir-treated patients had an HIV RNA above 400 copies/ml while on treatment from Week 24 through Week 96.  Of these, isolates from 96 nelfinavir-treated patients and 51 lopinavir/ritonavir-treated patients could be amplified for resistance testing.  Resistance to nelfinavir, defined as the presence of the D30N or L90M mutation in protease, was observed in 41/96 (43%) patients.  Resistance to lopinavir, defined as the presence of any primary or active site mutations in protease (see above), was observed in 0/51 (0%) patients.  Lack of resistance to lopinavir was confirmed by phenotypic analysis.</w:t>
      </w:r>
    </w:p>
    <w:p w14:paraId="0D0A1967" w14:textId="77777777" w:rsidR="00D7303D" w:rsidRPr="00342F7C" w:rsidRDefault="00D7303D" w:rsidP="00391EBA">
      <w:pPr>
        <w:pStyle w:val="EMEANormal"/>
        <w:rPr>
          <w:lang w:val="en-GB"/>
        </w:rPr>
      </w:pPr>
    </w:p>
    <w:p w14:paraId="577D3CB0" w14:textId="77777777" w:rsidR="00D7303D" w:rsidRPr="00342F7C" w:rsidRDefault="00D7303D" w:rsidP="00391EBA">
      <w:pPr>
        <w:pStyle w:val="EMEANormal"/>
        <w:rPr>
          <w:lang w:val="en-GB"/>
        </w:rPr>
      </w:pPr>
      <w:r w:rsidRPr="00342F7C">
        <w:rPr>
          <w:lang w:val="en-GB"/>
        </w:rPr>
        <w:t xml:space="preserve">Study M05-730 was a randomised, open-label, multicentre trial comparing treatment with Kaletra 800/200 mg once daily plus tenofovir DF and emtricitabine versus Kaletra 400/100 mg twice daily plus tenofovir DF and emtricitabine in 664 antiretroviral treatment-naïve patients.  </w:t>
      </w:r>
      <w:r w:rsidRPr="00342F7C">
        <w:rPr>
          <w:rFonts w:cs="Arial"/>
          <w:lang w:val="en-GB"/>
        </w:rPr>
        <w:t>Given the pharmacokinetic interaction between Kaletra and tenofovir (see section 4.5), the results of this study might not be strictly extrapolable when other backbone regimens are used with Kaletra</w:t>
      </w:r>
      <w:r w:rsidRPr="00342F7C">
        <w:rPr>
          <w:lang w:val="en-GB"/>
        </w:rPr>
        <w:t>.  Patients were randomised in a 1:1 ratio to receive either Kaletra 800/200 mg once daily (n = 333) or Kaletra 400/100 mg twice daily (n = 331).  Further stratification within each group was 1:1 (tablet versus soft capsule).  Patients were administered either the tablet or the soft capsule formulation for 8 weeks, after which all patients were administered the tablet formulation once daily or twice daily for the remainder of the study.  Patients were administered emtricitabine 200 mg once daily and tenofovir DF 300 mg once daily</w:t>
      </w:r>
      <w:r w:rsidR="000B35E1">
        <w:rPr>
          <w:lang w:val="en-GB"/>
        </w:rPr>
        <w:t xml:space="preserve"> (equivalent to 245 mg tenofovir disoproxil)</w:t>
      </w:r>
      <w:r w:rsidRPr="00342F7C">
        <w:rPr>
          <w:lang w:val="en-GB"/>
        </w:rPr>
        <w:t>.  Protocol defined non-inferiority of once</w:t>
      </w:r>
      <w:r w:rsidR="00BD64AF">
        <w:rPr>
          <w:lang w:val="en-GB"/>
        </w:rPr>
        <w:noBreakHyphen/>
      </w:r>
      <w:r w:rsidRPr="00342F7C">
        <w:rPr>
          <w:lang w:val="en-GB"/>
        </w:rPr>
        <w:t>daily dosing compared with twice</w:t>
      </w:r>
      <w:r w:rsidR="00BD64AF">
        <w:rPr>
          <w:lang w:val="en-GB"/>
        </w:rPr>
        <w:noBreakHyphen/>
      </w:r>
      <w:r w:rsidRPr="00342F7C">
        <w:rPr>
          <w:lang w:val="en-GB"/>
        </w:rPr>
        <w:t>daily dosing was demonstrated if the lower bound of the 95% confidence interval for the difference in proportion of subjects responding (once daily minus twice daily) excluded -12% at Week 48.  Mean age of patients enrolled was 39 years (range: 19 to 71); 75% were Caucasian, and 78% were male.  Mean baseline CD4+ T-cell count was 216 cells/mm3 (range: 20 to 775 cells/mm</w:t>
      </w:r>
      <w:r w:rsidRPr="00342F7C">
        <w:rPr>
          <w:vertAlign w:val="superscript"/>
          <w:lang w:val="en-GB"/>
        </w:rPr>
        <w:t>3</w:t>
      </w:r>
      <w:r w:rsidRPr="00342F7C">
        <w:rPr>
          <w:lang w:val="en-GB"/>
        </w:rPr>
        <w:t>) and mean baseline plasma HIV-1 RNA was 5.0 log</w:t>
      </w:r>
      <w:r w:rsidRPr="00342F7C">
        <w:rPr>
          <w:vertAlign w:val="subscript"/>
          <w:lang w:val="en-GB"/>
        </w:rPr>
        <w:t>10</w:t>
      </w:r>
      <w:r w:rsidRPr="00342F7C">
        <w:rPr>
          <w:lang w:val="en-GB"/>
        </w:rPr>
        <w:t> copies/ml (range: 1.7 to 7.0 log</w:t>
      </w:r>
      <w:r w:rsidRPr="00342F7C">
        <w:rPr>
          <w:vertAlign w:val="subscript"/>
          <w:lang w:val="en-GB"/>
        </w:rPr>
        <w:t>10</w:t>
      </w:r>
      <w:r w:rsidRPr="00342F7C">
        <w:rPr>
          <w:lang w:val="en-GB"/>
        </w:rPr>
        <w:t xml:space="preserve"> copies/ml).  </w:t>
      </w:r>
    </w:p>
    <w:p w14:paraId="7A8E1595" w14:textId="77777777" w:rsidR="00D7303D" w:rsidRPr="00342F7C" w:rsidRDefault="00D7303D" w:rsidP="00E80B68">
      <w:pPr>
        <w:pStyle w:val="EMEANormal"/>
        <w:rPr>
          <w:rFonts w:cs="Arial"/>
          <w:lang w:val="en-GB"/>
        </w:rPr>
      </w:pPr>
    </w:p>
    <w:p w14:paraId="37DEF9AE" w14:textId="77777777" w:rsidR="00D7303D" w:rsidRPr="00342F7C" w:rsidRDefault="00D7303D" w:rsidP="00E80B68">
      <w:pPr>
        <w:pStyle w:val="EMEANormal"/>
        <w:rPr>
          <w:rFonts w:cs="Arial"/>
          <w:lang w:val="en-GB"/>
        </w:rPr>
      </w:pPr>
      <w:r w:rsidRPr="00342F7C">
        <w:rPr>
          <w:rFonts w:cs="Arial"/>
          <w:lang w:val="en-GB"/>
        </w:rPr>
        <w:t>Table 2</w:t>
      </w:r>
    </w:p>
    <w:p w14:paraId="001D4821" w14:textId="77777777" w:rsidR="00D7303D" w:rsidRPr="00342F7C" w:rsidRDefault="00D7303D" w:rsidP="00E80B68">
      <w:pPr>
        <w:pStyle w:val="EMEANormal"/>
        <w:rPr>
          <w:rFonts w:cs="Arial"/>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960"/>
        <w:gridCol w:w="994"/>
        <w:gridCol w:w="1286"/>
        <w:gridCol w:w="960"/>
        <w:gridCol w:w="960"/>
        <w:gridCol w:w="1332"/>
      </w:tblGrid>
      <w:tr w:rsidR="00D7303D" w:rsidRPr="00342F7C" w14:paraId="7BD203E9" w14:textId="77777777" w:rsidTr="00A94414">
        <w:tc>
          <w:tcPr>
            <w:tcW w:w="8880" w:type="dxa"/>
            <w:gridSpan w:val="7"/>
          </w:tcPr>
          <w:p w14:paraId="7E64CB23" w14:textId="77777777" w:rsidR="00D7303D" w:rsidRPr="00342F7C" w:rsidRDefault="00D7303D" w:rsidP="00E80B68">
            <w:pPr>
              <w:spacing w:before="120" w:after="120"/>
              <w:jc w:val="center"/>
              <w:rPr>
                <w:b/>
                <w:sz w:val="22"/>
                <w:szCs w:val="22"/>
                <w:u w:val="single"/>
              </w:rPr>
            </w:pPr>
            <w:r w:rsidRPr="00342F7C">
              <w:rPr>
                <w:b/>
                <w:sz w:val="22"/>
                <w:szCs w:val="22"/>
                <w:u w:val="single"/>
              </w:rPr>
              <w:t>Virologic Response of Study Subjects at Week 48 and Week 96</w:t>
            </w:r>
          </w:p>
        </w:tc>
      </w:tr>
      <w:tr w:rsidR="00D7303D" w:rsidRPr="00342F7C" w14:paraId="6BE05718" w14:textId="77777777" w:rsidTr="00A94414">
        <w:tc>
          <w:tcPr>
            <w:tcW w:w="2388" w:type="dxa"/>
          </w:tcPr>
          <w:p w14:paraId="42ECF628" w14:textId="77777777" w:rsidR="00D7303D" w:rsidRPr="00342F7C" w:rsidRDefault="00D7303D" w:rsidP="00511A09">
            <w:pPr>
              <w:rPr>
                <w:b/>
                <w:sz w:val="22"/>
                <w:szCs w:val="22"/>
                <w:u w:val="single"/>
              </w:rPr>
            </w:pPr>
          </w:p>
        </w:tc>
        <w:tc>
          <w:tcPr>
            <w:tcW w:w="3240" w:type="dxa"/>
            <w:gridSpan w:val="3"/>
          </w:tcPr>
          <w:p w14:paraId="17AC47C2" w14:textId="77777777" w:rsidR="00D7303D" w:rsidRPr="00342F7C" w:rsidRDefault="00D7303D" w:rsidP="00E80B68">
            <w:pPr>
              <w:ind w:hanging="108"/>
              <w:jc w:val="center"/>
              <w:rPr>
                <w:b/>
                <w:sz w:val="22"/>
                <w:szCs w:val="22"/>
                <w:u w:val="single"/>
              </w:rPr>
            </w:pPr>
            <w:r w:rsidRPr="00342F7C">
              <w:rPr>
                <w:b/>
                <w:sz w:val="22"/>
                <w:szCs w:val="22"/>
                <w:u w:val="single"/>
              </w:rPr>
              <w:t>Week 48</w:t>
            </w:r>
          </w:p>
        </w:tc>
        <w:tc>
          <w:tcPr>
            <w:tcW w:w="3252" w:type="dxa"/>
            <w:gridSpan w:val="3"/>
          </w:tcPr>
          <w:p w14:paraId="47498E2E" w14:textId="77777777" w:rsidR="00D7303D" w:rsidRPr="00342F7C" w:rsidRDefault="00D7303D" w:rsidP="00511A09">
            <w:pPr>
              <w:jc w:val="center"/>
              <w:rPr>
                <w:b/>
                <w:sz w:val="22"/>
                <w:szCs w:val="22"/>
                <w:u w:val="single"/>
              </w:rPr>
            </w:pPr>
            <w:r w:rsidRPr="00342F7C">
              <w:rPr>
                <w:b/>
                <w:sz w:val="22"/>
                <w:szCs w:val="22"/>
                <w:u w:val="single"/>
              </w:rPr>
              <w:t>Week 96</w:t>
            </w:r>
          </w:p>
        </w:tc>
      </w:tr>
      <w:tr w:rsidR="00D7303D" w:rsidRPr="00342F7C" w14:paraId="07D7E4CA" w14:textId="77777777" w:rsidTr="00A94414">
        <w:tc>
          <w:tcPr>
            <w:tcW w:w="2388" w:type="dxa"/>
          </w:tcPr>
          <w:p w14:paraId="187A3280" w14:textId="77777777" w:rsidR="00D7303D" w:rsidRPr="00342F7C" w:rsidRDefault="00D7303D" w:rsidP="00511A09">
            <w:pPr>
              <w:rPr>
                <w:b/>
                <w:sz w:val="22"/>
                <w:szCs w:val="22"/>
                <w:u w:val="single"/>
              </w:rPr>
            </w:pPr>
          </w:p>
        </w:tc>
        <w:tc>
          <w:tcPr>
            <w:tcW w:w="960" w:type="dxa"/>
          </w:tcPr>
          <w:p w14:paraId="22F018DE" w14:textId="77777777" w:rsidR="00D7303D" w:rsidRPr="00342F7C" w:rsidRDefault="00D7303D" w:rsidP="00511A09">
            <w:pPr>
              <w:jc w:val="center"/>
              <w:rPr>
                <w:b/>
                <w:sz w:val="22"/>
                <w:szCs w:val="22"/>
                <w:u w:val="single"/>
              </w:rPr>
            </w:pPr>
            <w:r w:rsidRPr="00342F7C">
              <w:rPr>
                <w:b/>
                <w:sz w:val="22"/>
                <w:szCs w:val="22"/>
                <w:u w:val="single"/>
              </w:rPr>
              <w:t>QD</w:t>
            </w:r>
          </w:p>
        </w:tc>
        <w:tc>
          <w:tcPr>
            <w:tcW w:w="994" w:type="dxa"/>
          </w:tcPr>
          <w:p w14:paraId="6FF6B13F" w14:textId="77777777" w:rsidR="00D7303D" w:rsidRPr="00342F7C" w:rsidRDefault="00D7303D" w:rsidP="00511A09">
            <w:pPr>
              <w:jc w:val="center"/>
              <w:rPr>
                <w:b/>
                <w:sz w:val="22"/>
                <w:szCs w:val="22"/>
                <w:u w:val="single"/>
              </w:rPr>
            </w:pPr>
            <w:r w:rsidRPr="00342F7C">
              <w:rPr>
                <w:b/>
                <w:sz w:val="22"/>
                <w:szCs w:val="22"/>
                <w:u w:val="single"/>
              </w:rPr>
              <w:t xml:space="preserve">BID </w:t>
            </w:r>
          </w:p>
        </w:tc>
        <w:tc>
          <w:tcPr>
            <w:tcW w:w="1286" w:type="dxa"/>
          </w:tcPr>
          <w:p w14:paraId="65FAAB5B" w14:textId="77777777" w:rsidR="00D7303D" w:rsidRPr="00342F7C" w:rsidRDefault="00D7303D" w:rsidP="00511A09">
            <w:pPr>
              <w:jc w:val="center"/>
              <w:rPr>
                <w:b/>
                <w:sz w:val="22"/>
                <w:szCs w:val="22"/>
                <w:u w:val="single"/>
              </w:rPr>
            </w:pPr>
            <w:r w:rsidRPr="00342F7C">
              <w:rPr>
                <w:b/>
                <w:sz w:val="22"/>
                <w:szCs w:val="22"/>
                <w:u w:val="single"/>
              </w:rPr>
              <w:t>Difference</w:t>
            </w:r>
          </w:p>
          <w:p w14:paraId="5C8CAA6F" w14:textId="77777777" w:rsidR="00D7303D" w:rsidRPr="00342F7C" w:rsidRDefault="00D7303D" w:rsidP="00511A09">
            <w:pPr>
              <w:jc w:val="center"/>
              <w:rPr>
                <w:b/>
                <w:sz w:val="22"/>
                <w:szCs w:val="22"/>
                <w:u w:val="single"/>
              </w:rPr>
            </w:pPr>
            <w:r w:rsidRPr="00342F7C">
              <w:rPr>
                <w:b/>
                <w:sz w:val="22"/>
                <w:szCs w:val="22"/>
                <w:u w:val="single"/>
              </w:rPr>
              <w:t>[95% CI]</w:t>
            </w:r>
          </w:p>
        </w:tc>
        <w:tc>
          <w:tcPr>
            <w:tcW w:w="960" w:type="dxa"/>
          </w:tcPr>
          <w:p w14:paraId="1B733F24" w14:textId="77777777" w:rsidR="00D7303D" w:rsidRPr="00342F7C" w:rsidRDefault="00D7303D" w:rsidP="00511A09">
            <w:pPr>
              <w:jc w:val="center"/>
              <w:rPr>
                <w:b/>
                <w:sz w:val="22"/>
                <w:szCs w:val="22"/>
                <w:u w:val="single"/>
              </w:rPr>
            </w:pPr>
            <w:r w:rsidRPr="00342F7C">
              <w:rPr>
                <w:b/>
                <w:sz w:val="22"/>
                <w:szCs w:val="22"/>
                <w:u w:val="single"/>
              </w:rPr>
              <w:t>QD</w:t>
            </w:r>
          </w:p>
        </w:tc>
        <w:tc>
          <w:tcPr>
            <w:tcW w:w="960" w:type="dxa"/>
          </w:tcPr>
          <w:p w14:paraId="2F4A0140" w14:textId="77777777" w:rsidR="00D7303D" w:rsidRPr="00342F7C" w:rsidRDefault="00D7303D" w:rsidP="00511A09">
            <w:pPr>
              <w:jc w:val="center"/>
              <w:rPr>
                <w:b/>
                <w:sz w:val="22"/>
                <w:szCs w:val="22"/>
                <w:u w:val="single"/>
              </w:rPr>
            </w:pPr>
            <w:r w:rsidRPr="00342F7C">
              <w:rPr>
                <w:b/>
                <w:sz w:val="22"/>
                <w:szCs w:val="22"/>
                <w:u w:val="single"/>
              </w:rPr>
              <w:t xml:space="preserve">BID </w:t>
            </w:r>
          </w:p>
        </w:tc>
        <w:tc>
          <w:tcPr>
            <w:tcW w:w="1332" w:type="dxa"/>
          </w:tcPr>
          <w:p w14:paraId="451EBE6E" w14:textId="77777777" w:rsidR="00D7303D" w:rsidRPr="00342F7C" w:rsidRDefault="00D7303D" w:rsidP="00511A09">
            <w:pPr>
              <w:jc w:val="center"/>
              <w:rPr>
                <w:b/>
                <w:sz w:val="22"/>
                <w:szCs w:val="22"/>
                <w:u w:val="single"/>
              </w:rPr>
            </w:pPr>
            <w:r w:rsidRPr="00342F7C">
              <w:rPr>
                <w:b/>
                <w:sz w:val="22"/>
                <w:szCs w:val="22"/>
                <w:u w:val="single"/>
              </w:rPr>
              <w:t>Difference</w:t>
            </w:r>
          </w:p>
          <w:p w14:paraId="477C550E" w14:textId="77777777" w:rsidR="00D7303D" w:rsidRPr="00342F7C" w:rsidRDefault="00D7303D" w:rsidP="00511A09">
            <w:pPr>
              <w:jc w:val="center"/>
              <w:rPr>
                <w:b/>
                <w:sz w:val="22"/>
                <w:szCs w:val="22"/>
                <w:u w:val="single"/>
              </w:rPr>
            </w:pPr>
            <w:r w:rsidRPr="00342F7C">
              <w:rPr>
                <w:b/>
                <w:sz w:val="22"/>
                <w:szCs w:val="22"/>
                <w:u w:val="single"/>
              </w:rPr>
              <w:t>[95% CI]</w:t>
            </w:r>
          </w:p>
        </w:tc>
      </w:tr>
      <w:tr w:rsidR="00D7303D" w:rsidRPr="00342F7C" w14:paraId="123822DB" w14:textId="77777777" w:rsidTr="00A94414">
        <w:tc>
          <w:tcPr>
            <w:tcW w:w="2388" w:type="dxa"/>
          </w:tcPr>
          <w:p w14:paraId="0070BFAD" w14:textId="77777777" w:rsidR="00D7303D" w:rsidRPr="00342F7C" w:rsidRDefault="00D7303D" w:rsidP="00511A09">
            <w:pPr>
              <w:rPr>
                <w:sz w:val="22"/>
                <w:szCs w:val="22"/>
                <w:u w:val="single"/>
              </w:rPr>
            </w:pPr>
            <w:r w:rsidRPr="00342F7C">
              <w:rPr>
                <w:sz w:val="22"/>
                <w:szCs w:val="22"/>
                <w:u w:val="single"/>
              </w:rPr>
              <w:t>NC= Failure</w:t>
            </w:r>
          </w:p>
        </w:tc>
        <w:tc>
          <w:tcPr>
            <w:tcW w:w="960" w:type="dxa"/>
          </w:tcPr>
          <w:p w14:paraId="0075FC5C" w14:textId="77777777" w:rsidR="00D7303D" w:rsidRPr="00342F7C" w:rsidRDefault="00D7303D" w:rsidP="00511A09">
            <w:pPr>
              <w:jc w:val="center"/>
              <w:rPr>
                <w:sz w:val="22"/>
                <w:szCs w:val="22"/>
              </w:rPr>
            </w:pPr>
            <w:r w:rsidRPr="00342F7C">
              <w:rPr>
                <w:sz w:val="22"/>
                <w:szCs w:val="22"/>
              </w:rPr>
              <w:t>257/333</w:t>
            </w:r>
          </w:p>
          <w:p w14:paraId="495F04DA" w14:textId="77777777" w:rsidR="00D7303D" w:rsidRPr="00342F7C" w:rsidRDefault="00D7303D" w:rsidP="00511A09">
            <w:pPr>
              <w:jc w:val="center"/>
              <w:rPr>
                <w:sz w:val="22"/>
                <w:szCs w:val="22"/>
              </w:rPr>
            </w:pPr>
            <w:r w:rsidRPr="00342F7C">
              <w:rPr>
                <w:sz w:val="22"/>
                <w:szCs w:val="22"/>
              </w:rPr>
              <w:t>(77.2%)</w:t>
            </w:r>
          </w:p>
        </w:tc>
        <w:tc>
          <w:tcPr>
            <w:tcW w:w="994" w:type="dxa"/>
          </w:tcPr>
          <w:p w14:paraId="5D4A03B5" w14:textId="77777777" w:rsidR="00D7303D" w:rsidRPr="00342F7C" w:rsidRDefault="00D7303D" w:rsidP="00511A09">
            <w:pPr>
              <w:jc w:val="center"/>
              <w:rPr>
                <w:sz w:val="22"/>
                <w:szCs w:val="22"/>
              </w:rPr>
            </w:pPr>
            <w:r w:rsidRPr="00342F7C">
              <w:rPr>
                <w:sz w:val="22"/>
                <w:szCs w:val="22"/>
              </w:rPr>
              <w:t>251/331</w:t>
            </w:r>
          </w:p>
          <w:p w14:paraId="7B7D268B" w14:textId="77777777" w:rsidR="00D7303D" w:rsidRPr="00342F7C" w:rsidRDefault="00D7303D" w:rsidP="00511A09">
            <w:pPr>
              <w:jc w:val="center"/>
              <w:rPr>
                <w:sz w:val="22"/>
                <w:szCs w:val="22"/>
              </w:rPr>
            </w:pPr>
            <w:r w:rsidRPr="00342F7C">
              <w:rPr>
                <w:sz w:val="22"/>
                <w:szCs w:val="22"/>
              </w:rPr>
              <w:t>(75.8%)</w:t>
            </w:r>
          </w:p>
        </w:tc>
        <w:tc>
          <w:tcPr>
            <w:tcW w:w="1286" w:type="dxa"/>
          </w:tcPr>
          <w:p w14:paraId="0B3CA300" w14:textId="77777777" w:rsidR="00D7303D" w:rsidRPr="00342F7C" w:rsidRDefault="00D7303D" w:rsidP="00511A09">
            <w:pPr>
              <w:jc w:val="center"/>
              <w:rPr>
                <w:sz w:val="22"/>
                <w:szCs w:val="22"/>
              </w:rPr>
            </w:pPr>
            <w:r w:rsidRPr="00342F7C">
              <w:rPr>
                <w:sz w:val="22"/>
                <w:szCs w:val="22"/>
              </w:rPr>
              <w:t>1.3 %</w:t>
            </w:r>
          </w:p>
          <w:p w14:paraId="3045FE42" w14:textId="77777777" w:rsidR="00D7303D" w:rsidRPr="00342F7C" w:rsidRDefault="00D7303D" w:rsidP="00511A09">
            <w:pPr>
              <w:jc w:val="center"/>
              <w:rPr>
                <w:sz w:val="22"/>
                <w:szCs w:val="22"/>
                <w:u w:val="single"/>
              </w:rPr>
            </w:pPr>
            <w:r w:rsidRPr="00342F7C">
              <w:rPr>
                <w:sz w:val="22"/>
                <w:szCs w:val="22"/>
                <w:u w:val="single"/>
              </w:rPr>
              <w:t>[-5.1, 7.8]</w:t>
            </w:r>
          </w:p>
        </w:tc>
        <w:tc>
          <w:tcPr>
            <w:tcW w:w="960" w:type="dxa"/>
          </w:tcPr>
          <w:p w14:paraId="0837F9DB" w14:textId="77777777" w:rsidR="00D7303D" w:rsidRPr="00342F7C" w:rsidRDefault="00D7303D" w:rsidP="00511A09">
            <w:pPr>
              <w:jc w:val="center"/>
              <w:rPr>
                <w:sz w:val="22"/>
                <w:szCs w:val="22"/>
              </w:rPr>
            </w:pPr>
            <w:r w:rsidRPr="00342F7C">
              <w:rPr>
                <w:sz w:val="22"/>
                <w:szCs w:val="22"/>
              </w:rPr>
              <w:t>216/333</w:t>
            </w:r>
          </w:p>
          <w:p w14:paraId="6678EBCC" w14:textId="77777777" w:rsidR="00D7303D" w:rsidRPr="00342F7C" w:rsidRDefault="00D7303D" w:rsidP="00511A09">
            <w:pPr>
              <w:jc w:val="center"/>
              <w:rPr>
                <w:sz w:val="22"/>
                <w:szCs w:val="22"/>
                <w:u w:val="single"/>
              </w:rPr>
            </w:pPr>
            <w:r w:rsidRPr="00342F7C">
              <w:rPr>
                <w:sz w:val="22"/>
                <w:szCs w:val="22"/>
                <w:u w:val="single"/>
              </w:rPr>
              <w:t>(64.9%)</w:t>
            </w:r>
          </w:p>
        </w:tc>
        <w:tc>
          <w:tcPr>
            <w:tcW w:w="960" w:type="dxa"/>
          </w:tcPr>
          <w:p w14:paraId="47FAD583" w14:textId="77777777" w:rsidR="00D7303D" w:rsidRPr="00342F7C" w:rsidRDefault="00D7303D" w:rsidP="00511A09">
            <w:pPr>
              <w:jc w:val="center"/>
              <w:rPr>
                <w:sz w:val="22"/>
                <w:szCs w:val="22"/>
              </w:rPr>
            </w:pPr>
            <w:r w:rsidRPr="00342F7C">
              <w:rPr>
                <w:sz w:val="22"/>
                <w:szCs w:val="22"/>
              </w:rPr>
              <w:t>229/331</w:t>
            </w:r>
          </w:p>
          <w:p w14:paraId="7CDDEBB6" w14:textId="77777777" w:rsidR="00D7303D" w:rsidRPr="00342F7C" w:rsidRDefault="00D7303D" w:rsidP="00511A09">
            <w:pPr>
              <w:jc w:val="center"/>
              <w:rPr>
                <w:sz w:val="22"/>
                <w:szCs w:val="22"/>
              </w:rPr>
            </w:pPr>
            <w:r w:rsidRPr="00342F7C">
              <w:rPr>
                <w:sz w:val="22"/>
                <w:szCs w:val="22"/>
              </w:rPr>
              <w:t>(69.2%)</w:t>
            </w:r>
          </w:p>
        </w:tc>
        <w:tc>
          <w:tcPr>
            <w:tcW w:w="1332" w:type="dxa"/>
          </w:tcPr>
          <w:p w14:paraId="68A89F40" w14:textId="77777777" w:rsidR="00D7303D" w:rsidRPr="00342F7C" w:rsidRDefault="00D7303D" w:rsidP="00511A09">
            <w:pPr>
              <w:jc w:val="center"/>
              <w:rPr>
                <w:sz w:val="22"/>
                <w:szCs w:val="22"/>
              </w:rPr>
            </w:pPr>
            <w:r w:rsidRPr="00342F7C">
              <w:rPr>
                <w:sz w:val="22"/>
                <w:szCs w:val="22"/>
              </w:rPr>
              <w:t>-4.3%</w:t>
            </w:r>
          </w:p>
          <w:p w14:paraId="27F23717" w14:textId="77777777" w:rsidR="00D7303D" w:rsidRPr="00342F7C" w:rsidRDefault="00D7303D" w:rsidP="00511A09">
            <w:pPr>
              <w:jc w:val="center"/>
              <w:rPr>
                <w:sz w:val="22"/>
                <w:szCs w:val="22"/>
                <w:u w:val="single"/>
              </w:rPr>
            </w:pPr>
            <w:r w:rsidRPr="00342F7C">
              <w:rPr>
                <w:sz w:val="22"/>
                <w:szCs w:val="22"/>
                <w:u w:val="single"/>
              </w:rPr>
              <w:t>[-11.5, 2.8]</w:t>
            </w:r>
          </w:p>
        </w:tc>
      </w:tr>
      <w:tr w:rsidR="00D7303D" w:rsidRPr="00342F7C" w14:paraId="6961B6C9" w14:textId="77777777" w:rsidTr="00A94414">
        <w:tc>
          <w:tcPr>
            <w:tcW w:w="2388" w:type="dxa"/>
          </w:tcPr>
          <w:p w14:paraId="0E9DF990" w14:textId="77777777" w:rsidR="00D7303D" w:rsidRPr="00342F7C" w:rsidRDefault="00D7303D" w:rsidP="00511A09">
            <w:pPr>
              <w:rPr>
                <w:sz w:val="22"/>
                <w:szCs w:val="22"/>
                <w:u w:val="single"/>
              </w:rPr>
            </w:pPr>
            <w:r w:rsidRPr="00342F7C">
              <w:rPr>
                <w:sz w:val="22"/>
                <w:szCs w:val="22"/>
                <w:u w:val="single"/>
              </w:rPr>
              <w:t>Observed data</w:t>
            </w:r>
          </w:p>
        </w:tc>
        <w:tc>
          <w:tcPr>
            <w:tcW w:w="960" w:type="dxa"/>
          </w:tcPr>
          <w:p w14:paraId="5D7BC029" w14:textId="77777777" w:rsidR="00D7303D" w:rsidRPr="00342F7C" w:rsidRDefault="00D7303D" w:rsidP="00511A09">
            <w:pPr>
              <w:jc w:val="center"/>
              <w:rPr>
                <w:sz w:val="22"/>
                <w:szCs w:val="22"/>
              </w:rPr>
            </w:pPr>
            <w:r w:rsidRPr="00342F7C">
              <w:rPr>
                <w:sz w:val="22"/>
                <w:szCs w:val="22"/>
              </w:rPr>
              <w:t>257/295</w:t>
            </w:r>
          </w:p>
          <w:p w14:paraId="6F87BD3B" w14:textId="77777777" w:rsidR="00D7303D" w:rsidRPr="00342F7C" w:rsidRDefault="00D7303D" w:rsidP="00511A09">
            <w:pPr>
              <w:jc w:val="center"/>
              <w:rPr>
                <w:sz w:val="22"/>
                <w:szCs w:val="22"/>
              </w:rPr>
            </w:pPr>
            <w:r w:rsidRPr="00342F7C">
              <w:rPr>
                <w:sz w:val="22"/>
                <w:szCs w:val="22"/>
              </w:rPr>
              <w:t>(87.1%)</w:t>
            </w:r>
          </w:p>
        </w:tc>
        <w:tc>
          <w:tcPr>
            <w:tcW w:w="994" w:type="dxa"/>
          </w:tcPr>
          <w:p w14:paraId="4573868E" w14:textId="77777777" w:rsidR="00D7303D" w:rsidRPr="00342F7C" w:rsidRDefault="00D7303D" w:rsidP="00511A09">
            <w:pPr>
              <w:jc w:val="center"/>
              <w:rPr>
                <w:sz w:val="22"/>
                <w:szCs w:val="22"/>
              </w:rPr>
            </w:pPr>
            <w:r w:rsidRPr="00342F7C">
              <w:rPr>
                <w:sz w:val="22"/>
                <w:szCs w:val="22"/>
              </w:rPr>
              <w:t>250/280</w:t>
            </w:r>
          </w:p>
          <w:p w14:paraId="7BFDD4D1" w14:textId="77777777" w:rsidR="00D7303D" w:rsidRPr="00342F7C" w:rsidRDefault="00D7303D" w:rsidP="00511A09">
            <w:pPr>
              <w:jc w:val="center"/>
              <w:rPr>
                <w:sz w:val="22"/>
                <w:szCs w:val="22"/>
              </w:rPr>
            </w:pPr>
            <w:r w:rsidRPr="00342F7C">
              <w:rPr>
                <w:sz w:val="22"/>
                <w:szCs w:val="22"/>
              </w:rPr>
              <w:t>(89.3%)</w:t>
            </w:r>
          </w:p>
        </w:tc>
        <w:tc>
          <w:tcPr>
            <w:tcW w:w="1286" w:type="dxa"/>
          </w:tcPr>
          <w:p w14:paraId="53DA50F5" w14:textId="77777777" w:rsidR="00D7303D" w:rsidRPr="00342F7C" w:rsidRDefault="00D7303D" w:rsidP="00511A09">
            <w:pPr>
              <w:jc w:val="center"/>
              <w:rPr>
                <w:sz w:val="22"/>
                <w:szCs w:val="22"/>
              </w:rPr>
            </w:pPr>
            <w:r w:rsidRPr="00342F7C">
              <w:rPr>
                <w:sz w:val="22"/>
                <w:szCs w:val="22"/>
              </w:rPr>
              <w:t>-2.2%</w:t>
            </w:r>
          </w:p>
          <w:p w14:paraId="7960AABB" w14:textId="77777777" w:rsidR="00D7303D" w:rsidRPr="00342F7C" w:rsidRDefault="00D7303D" w:rsidP="00511A09">
            <w:pPr>
              <w:jc w:val="center"/>
              <w:rPr>
                <w:sz w:val="22"/>
                <w:szCs w:val="22"/>
                <w:u w:val="single"/>
              </w:rPr>
            </w:pPr>
            <w:r w:rsidRPr="00342F7C">
              <w:rPr>
                <w:sz w:val="22"/>
                <w:szCs w:val="22"/>
                <w:u w:val="single"/>
              </w:rPr>
              <w:t>[-7.4, 3.1]</w:t>
            </w:r>
          </w:p>
        </w:tc>
        <w:tc>
          <w:tcPr>
            <w:tcW w:w="960" w:type="dxa"/>
          </w:tcPr>
          <w:p w14:paraId="0C82BF13" w14:textId="77777777" w:rsidR="00D7303D" w:rsidRPr="00342F7C" w:rsidRDefault="00D7303D" w:rsidP="00511A09">
            <w:pPr>
              <w:jc w:val="center"/>
              <w:rPr>
                <w:sz w:val="22"/>
                <w:szCs w:val="22"/>
              </w:rPr>
            </w:pPr>
            <w:r w:rsidRPr="00342F7C">
              <w:rPr>
                <w:sz w:val="22"/>
                <w:szCs w:val="22"/>
              </w:rPr>
              <w:t>216/247</w:t>
            </w:r>
          </w:p>
          <w:p w14:paraId="0EE8E830" w14:textId="77777777" w:rsidR="00D7303D" w:rsidRPr="00342F7C" w:rsidRDefault="00D7303D" w:rsidP="00511A09">
            <w:pPr>
              <w:jc w:val="center"/>
              <w:rPr>
                <w:sz w:val="22"/>
                <w:szCs w:val="22"/>
              </w:rPr>
            </w:pPr>
            <w:r w:rsidRPr="00342F7C">
              <w:rPr>
                <w:sz w:val="22"/>
                <w:szCs w:val="22"/>
              </w:rPr>
              <w:t>(87.4%)</w:t>
            </w:r>
          </w:p>
        </w:tc>
        <w:tc>
          <w:tcPr>
            <w:tcW w:w="960" w:type="dxa"/>
          </w:tcPr>
          <w:p w14:paraId="18203A54" w14:textId="77777777" w:rsidR="00D7303D" w:rsidRPr="00342F7C" w:rsidRDefault="00D7303D" w:rsidP="00511A09">
            <w:pPr>
              <w:jc w:val="center"/>
              <w:rPr>
                <w:sz w:val="22"/>
                <w:szCs w:val="22"/>
              </w:rPr>
            </w:pPr>
            <w:r w:rsidRPr="00342F7C">
              <w:rPr>
                <w:sz w:val="22"/>
                <w:szCs w:val="22"/>
              </w:rPr>
              <w:t>229/248</w:t>
            </w:r>
          </w:p>
          <w:p w14:paraId="276A6788" w14:textId="77777777" w:rsidR="00D7303D" w:rsidRPr="00342F7C" w:rsidRDefault="00D7303D" w:rsidP="00511A09">
            <w:pPr>
              <w:jc w:val="center"/>
              <w:rPr>
                <w:sz w:val="22"/>
                <w:szCs w:val="22"/>
              </w:rPr>
            </w:pPr>
            <w:r w:rsidRPr="00342F7C">
              <w:rPr>
                <w:sz w:val="22"/>
                <w:szCs w:val="22"/>
              </w:rPr>
              <w:t>(92.3%)</w:t>
            </w:r>
          </w:p>
        </w:tc>
        <w:tc>
          <w:tcPr>
            <w:tcW w:w="1332" w:type="dxa"/>
          </w:tcPr>
          <w:p w14:paraId="38129D08" w14:textId="77777777" w:rsidR="00D7303D" w:rsidRPr="00342F7C" w:rsidRDefault="00D7303D" w:rsidP="00511A09">
            <w:pPr>
              <w:jc w:val="center"/>
              <w:rPr>
                <w:sz w:val="22"/>
                <w:szCs w:val="22"/>
              </w:rPr>
            </w:pPr>
            <w:r w:rsidRPr="00342F7C">
              <w:rPr>
                <w:sz w:val="22"/>
                <w:szCs w:val="22"/>
              </w:rPr>
              <w:t>-4.9%</w:t>
            </w:r>
          </w:p>
          <w:p w14:paraId="3D1F0077" w14:textId="77777777" w:rsidR="00D7303D" w:rsidRPr="00342F7C" w:rsidRDefault="00D7303D" w:rsidP="00511A09">
            <w:pPr>
              <w:jc w:val="center"/>
              <w:rPr>
                <w:sz w:val="22"/>
                <w:szCs w:val="22"/>
                <w:u w:val="single"/>
              </w:rPr>
            </w:pPr>
            <w:r w:rsidRPr="00342F7C">
              <w:rPr>
                <w:sz w:val="22"/>
                <w:szCs w:val="22"/>
                <w:u w:val="single"/>
              </w:rPr>
              <w:t>[-10.2, 0.4]</w:t>
            </w:r>
          </w:p>
        </w:tc>
      </w:tr>
      <w:tr w:rsidR="00D7303D" w:rsidRPr="00342F7C" w14:paraId="78D383EB" w14:textId="77777777" w:rsidTr="00A94414">
        <w:tc>
          <w:tcPr>
            <w:tcW w:w="2388" w:type="dxa"/>
          </w:tcPr>
          <w:p w14:paraId="64AE29E3" w14:textId="77777777" w:rsidR="00D7303D" w:rsidRPr="00342F7C" w:rsidRDefault="00D7303D" w:rsidP="00511A09">
            <w:pPr>
              <w:rPr>
                <w:sz w:val="22"/>
                <w:szCs w:val="22"/>
                <w:u w:val="single"/>
              </w:rPr>
            </w:pPr>
            <w:r w:rsidRPr="00342F7C">
              <w:rPr>
                <w:sz w:val="22"/>
                <w:szCs w:val="22"/>
              </w:rPr>
              <w:t>Mean increase from baseline in CD4+ T-cell count (cells/mm3)</w:t>
            </w:r>
          </w:p>
        </w:tc>
        <w:tc>
          <w:tcPr>
            <w:tcW w:w="960" w:type="dxa"/>
          </w:tcPr>
          <w:p w14:paraId="0889E6C0" w14:textId="77777777" w:rsidR="00D7303D" w:rsidRPr="00342F7C" w:rsidRDefault="00D7303D" w:rsidP="00511A09">
            <w:pPr>
              <w:jc w:val="center"/>
              <w:rPr>
                <w:sz w:val="22"/>
                <w:szCs w:val="22"/>
              </w:rPr>
            </w:pPr>
            <w:r w:rsidRPr="00342F7C">
              <w:rPr>
                <w:sz w:val="22"/>
                <w:szCs w:val="22"/>
              </w:rPr>
              <w:t>186</w:t>
            </w:r>
          </w:p>
        </w:tc>
        <w:tc>
          <w:tcPr>
            <w:tcW w:w="994" w:type="dxa"/>
          </w:tcPr>
          <w:p w14:paraId="2D65FBD7" w14:textId="77777777" w:rsidR="00D7303D" w:rsidRPr="00342F7C" w:rsidRDefault="00D7303D" w:rsidP="00511A09">
            <w:pPr>
              <w:jc w:val="center"/>
              <w:rPr>
                <w:sz w:val="22"/>
                <w:szCs w:val="22"/>
              </w:rPr>
            </w:pPr>
            <w:r w:rsidRPr="00342F7C">
              <w:rPr>
                <w:sz w:val="22"/>
                <w:szCs w:val="22"/>
              </w:rPr>
              <w:t>198</w:t>
            </w:r>
          </w:p>
        </w:tc>
        <w:tc>
          <w:tcPr>
            <w:tcW w:w="1286" w:type="dxa"/>
          </w:tcPr>
          <w:p w14:paraId="3C7B2166" w14:textId="77777777" w:rsidR="00D7303D" w:rsidRPr="00342F7C" w:rsidRDefault="00D7303D" w:rsidP="00511A09">
            <w:pPr>
              <w:jc w:val="center"/>
              <w:rPr>
                <w:sz w:val="22"/>
                <w:szCs w:val="22"/>
              </w:rPr>
            </w:pPr>
          </w:p>
        </w:tc>
        <w:tc>
          <w:tcPr>
            <w:tcW w:w="960" w:type="dxa"/>
          </w:tcPr>
          <w:p w14:paraId="5ABD2C08" w14:textId="77777777" w:rsidR="00D7303D" w:rsidRPr="00342F7C" w:rsidRDefault="00D7303D" w:rsidP="00511A09">
            <w:pPr>
              <w:jc w:val="center"/>
              <w:rPr>
                <w:sz w:val="22"/>
                <w:szCs w:val="22"/>
              </w:rPr>
            </w:pPr>
            <w:r w:rsidRPr="00342F7C">
              <w:rPr>
                <w:sz w:val="22"/>
                <w:szCs w:val="22"/>
              </w:rPr>
              <w:t>238</w:t>
            </w:r>
          </w:p>
        </w:tc>
        <w:tc>
          <w:tcPr>
            <w:tcW w:w="960" w:type="dxa"/>
          </w:tcPr>
          <w:p w14:paraId="264F10EA" w14:textId="77777777" w:rsidR="00D7303D" w:rsidRPr="00342F7C" w:rsidRDefault="00D7303D" w:rsidP="00511A09">
            <w:pPr>
              <w:jc w:val="center"/>
              <w:rPr>
                <w:sz w:val="22"/>
                <w:szCs w:val="22"/>
              </w:rPr>
            </w:pPr>
            <w:r w:rsidRPr="00342F7C">
              <w:rPr>
                <w:sz w:val="22"/>
                <w:szCs w:val="22"/>
              </w:rPr>
              <w:t>254</w:t>
            </w:r>
          </w:p>
        </w:tc>
        <w:tc>
          <w:tcPr>
            <w:tcW w:w="1332" w:type="dxa"/>
          </w:tcPr>
          <w:p w14:paraId="4248AAF6" w14:textId="77777777" w:rsidR="00D7303D" w:rsidRPr="00342F7C" w:rsidRDefault="00D7303D" w:rsidP="00511A09">
            <w:pPr>
              <w:jc w:val="center"/>
              <w:rPr>
                <w:sz w:val="22"/>
                <w:szCs w:val="22"/>
              </w:rPr>
            </w:pPr>
          </w:p>
        </w:tc>
      </w:tr>
    </w:tbl>
    <w:p w14:paraId="6578C56E" w14:textId="77777777" w:rsidR="00D7303D" w:rsidRPr="00342F7C" w:rsidRDefault="00D7303D" w:rsidP="00391EBA">
      <w:pPr>
        <w:pStyle w:val="EMEANormal"/>
        <w:rPr>
          <w:lang w:val="en-GB"/>
        </w:rPr>
      </w:pPr>
    </w:p>
    <w:p w14:paraId="653AFEED" w14:textId="77777777" w:rsidR="00D7303D" w:rsidRPr="00342F7C" w:rsidRDefault="00D7303D" w:rsidP="001C74BA">
      <w:pPr>
        <w:pStyle w:val="EMEANormal"/>
        <w:rPr>
          <w:lang w:val="en-GB"/>
        </w:rPr>
      </w:pPr>
      <w:r w:rsidRPr="00342F7C">
        <w:rPr>
          <w:lang w:val="en-GB"/>
        </w:rPr>
        <w:t>Through Week 96, genotypic resistance testing results were available from 25 patients in the QD group and 26 patients in the BID group who had incomplete virologic response.  In the QD group, no patient demonstrated lopinavir resistance, and in the BID group, 1 patient who had significant protease inhibitor resistance at baseline demonstrated additional lopinavir resistance on study.</w:t>
      </w:r>
    </w:p>
    <w:p w14:paraId="2352AE81" w14:textId="77777777" w:rsidR="00D7303D" w:rsidRPr="00342F7C" w:rsidRDefault="00D7303D">
      <w:pPr>
        <w:pStyle w:val="EMEANormal"/>
        <w:rPr>
          <w:lang w:val="en-GB"/>
        </w:rPr>
      </w:pPr>
    </w:p>
    <w:p w14:paraId="35FD4DA0" w14:textId="77777777" w:rsidR="00D7303D" w:rsidRPr="00342F7C" w:rsidRDefault="00D7303D">
      <w:pPr>
        <w:pStyle w:val="EMEANormal"/>
        <w:rPr>
          <w:lang w:val="en-GB"/>
        </w:rPr>
      </w:pPr>
      <w:r w:rsidRPr="00342F7C">
        <w:rPr>
          <w:lang w:val="en-GB"/>
        </w:rPr>
        <w:t>Sustained virological response to Kaletra (in combination with nucleoside/nucleotide reverse transcriptase inhibitors) has been also observed in a small Phase II study (M97-720) through 360 weeks of treatment.  One hundred patients were originally treated with Kaletra in the study (including 51 patients receiving 400/100 mg twice daily and 49 patients at either 200/100 mg twice daily or 400/200 mg twice daily).  All patients converted to open-label Kaletra at the 400/100 mg twice</w:t>
      </w:r>
      <w:r w:rsidR="00BD64AF">
        <w:rPr>
          <w:lang w:val="en-GB"/>
        </w:rPr>
        <w:noBreakHyphen/>
      </w:r>
      <w:r w:rsidRPr="00342F7C">
        <w:rPr>
          <w:lang w:val="en-GB"/>
        </w:rPr>
        <w:t xml:space="preserve">daily dose between week 48 and week 72.  </w:t>
      </w:r>
      <w:r w:rsidRPr="00342F7C">
        <w:rPr>
          <w:color w:val="000000"/>
          <w:lang w:val="en-GB"/>
        </w:rPr>
        <w:t>Thirty</w:t>
      </w:r>
      <w:r w:rsidRPr="00342F7C">
        <w:rPr>
          <w:color w:val="000000"/>
          <w:lang w:val="en-GB"/>
        </w:rPr>
        <w:noBreakHyphen/>
        <w:t xml:space="preserve">nine patients (39%) discontinued the study, including 16 (16%) discontinuations due to adverse events, one of which was associated with a death.  </w:t>
      </w:r>
      <w:r w:rsidRPr="00342F7C">
        <w:rPr>
          <w:lang w:val="en-GB"/>
        </w:rPr>
        <w:t>Sixty</w:t>
      </w:r>
      <w:r w:rsidRPr="00342F7C">
        <w:rPr>
          <w:lang w:val="en-GB"/>
        </w:rPr>
        <w:noBreakHyphen/>
        <w:t>one patients completed the study (35 patients received the recommended 400/100 mg twice</w:t>
      </w:r>
      <w:r w:rsidR="00BD64AF">
        <w:rPr>
          <w:lang w:val="en-GB"/>
        </w:rPr>
        <w:noBreakHyphen/>
      </w:r>
      <w:r w:rsidRPr="00342F7C">
        <w:rPr>
          <w:lang w:val="en-GB"/>
        </w:rPr>
        <w:t xml:space="preserve">daily dose throughout the study).  </w:t>
      </w:r>
    </w:p>
    <w:p w14:paraId="5197C6E5" w14:textId="77777777" w:rsidR="00D7303D" w:rsidRPr="00342F7C" w:rsidRDefault="00D7303D">
      <w:pPr>
        <w:pStyle w:val="EMEANormal"/>
        <w:rPr>
          <w:lang w:val="en-GB"/>
        </w:rPr>
      </w:pPr>
    </w:p>
    <w:p w14:paraId="46B61BE1" w14:textId="77777777" w:rsidR="00D7303D" w:rsidRPr="00342F7C" w:rsidRDefault="00D7303D" w:rsidP="007F01E5">
      <w:pPr>
        <w:pStyle w:val="EMEANormal"/>
        <w:keepNext/>
        <w:rPr>
          <w:lang w:val="en-GB"/>
        </w:rPr>
      </w:pPr>
      <w:r w:rsidRPr="00342F7C">
        <w:rPr>
          <w:lang w:val="en-GB"/>
        </w:rPr>
        <w:t>Table 3</w:t>
      </w:r>
    </w:p>
    <w:p w14:paraId="535854AA" w14:textId="77777777" w:rsidR="00D7303D" w:rsidRPr="00342F7C" w:rsidRDefault="00D7303D" w:rsidP="007F01E5">
      <w:pPr>
        <w:pStyle w:val="EMEANormal"/>
        <w:keepNext/>
        <w:rPr>
          <w:lang w:val="en-GB"/>
        </w:rPr>
      </w:pPr>
    </w:p>
    <w:tbl>
      <w:tblPr>
        <w:tblW w:w="8040" w:type="dxa"/>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0"/>
        <w:gridCol w:w="2160"/>
      </w:tblGrid>
      <w:tr w:rsidR="00D7303D" w:rsidRPr="00342F7C" w14:paraId="7A35E075" w14:textId="77777777" w:rsidTr="008541E3">
        <w:tc>
          <w:tcPr>
            <w:tcW w:w="8040" w:type="dxa"/>
            <w:gridSpan w:val="2"/>
          </w:tcPr>
          <w:p w14:paraId="7EB4D3FF" w14:textId="77777777" w:rsidR="00D7303D" w:rsidRPr="00342F7C" w:rsidRDefault="00D7303D" w:rsidP="008541E3">
            <w:pPr>
              <w:pStyle w:val="EMEANormal"/>
              <w:spacing w:before="120" w:after="120"/>
              <w:jc w:val="center"/>
              <w:rPr>
                <w:lang w:val="en-GB"/>
              </w:rPr>
            </w:pPr>
            <w:r w:rsidRPr="00342F7C">
              <w:rPr>
                <w:b/>
                <w:lang w:val="en-GB"/>
              </w:rPr>
              <w:t>Outcomes at Week 360: Study M97-720</w:t>
            </w:r>
          </w:p>
        </w:tc>
      </w:tr>
      <w:tr w:rsidR="00D7303D" w:rsidRPr="00342F7C" w14:paraId="0ABE33A0" w14:textId="77777777" w:rsidTr="008541E3">
        <w:tc>
          <w:tcPr>
            <w:tcW w:w="5880" w:type="dxa"/>
          </w:tcPr>
          <w:p w14:paraId="7FF0EE66" w14:textId="77777777" w:rsidR="00D7303D" w:rsidRPr="00342F7C" w:rsidRDefault="00D7303D" w:rsidP="008541E3">
            <w:pPr>
              <w:pStyle w:val="EMEANormal"/>
              <w:jc w:val="center"/>
              <w:rPr>
                <w:lang w:val="en-GB"/>
              </w:rPr>
            </w:pPr>
          </w:p>
        </w:tc>
        <w:tc>
          <w:tcPr>
            <w:tcW w:w="2160" w:type="dxa"/>
          </w:tcPr>
          <w:p w14:paraId="58F6AFAC" w14:textId="77777777" w:rsidR="00D7303D" w:rsidRPr="00342F7C" w:rsidRDefault="00D7303D" w:rsidP="008541E3">
            <w:pPr>
              <w:pStyle w:val="EMEANormal"/>
              <w:jc w:val="center"/>
              <w:rPr>
                <w:lang w:val="en-GB"/>
              </w:rPr>
            </w:pPr>
            <w:r w:rsidRPr="00342F7C">
              <w:rPr>
                <w:b/>
                <w:lang w:val="en-GB"/>
              </w:rPr>
              <w:t>Kaletra (N=100)</w:t>
            </w:r>
          </w:p>
        </w:tc>
      </w:tr>
      <w:tr w:rsidR="00D7303D" w:rsidRPr="00342F7C" w14:paraId="62975508" w14:textId="77777777" w:rsidTr="008541E3">
        <w:tc>
          <w:tcPr>
            <w:tcW w:w="5880" w:type="dxa"/>
          </w:tcPr>
          <w:p w14:paraId="3DCF484F" w14:textId="77777777" w:rsidR="00D7303D" w:rsidRPr="00342F7C" w:rsidRDefault="00D7303D" w:rsidP="001C4CD7">
            <w:pPr>
              <w:pStyle w:val="EMEANormal"/>
              <w:rPr>
                <w:lang w:val="en-GB"/>
              </w:rPr>
            </w:pPr>
            <w:r w:rsidRPr="00342F7C">
              <w:rPr>
                <w:lang w:val="en-GB"/>
              </w:rPr>
              <w:t>HIV RNA &lt; 400 copies/ml</w:t>
            </w:r>
          </w:p>
        </w:tc>
        <w:tc>
          <w:tcPr>
            <w:tcW w:w="2160" w:type="dxa"/>
          </w:tcPr>
          <w:p w14:paraId="5415C79B" w14:textId="77777777" w:rsidR="00D7303D" w:rsidRPr="00342F7C" w:rsidRDefault="00D7303D" w:rsidP="008541E3">
            <w:pPr>
              <w:pStyle w:val="EMEANormal"/>
              <w:jc w:val="center"/>
              <w:rPr>
                <w:lang w:val="en-GB"/>
              </w:rPr>
            </w:pPr>
            <w:r w:rsidRPr="00342F7C">
              <w:rPr>
                <w:lang w:val="en-GB"/>
              </w:rPr>
              <w:t>61%</w:t>
            </w:r>
          </w:p>
        </w:tc>
      </w:tr>
      <w:tr w:rsidR="00D7303D" w:rsidRPr="00342F7C" w14:paraId="7C8B7BF7" w14:textId="77777777" w:rsidTr="008541E3">
        <w:tc>
          <w:tcPr>
            <w:tcW w:w="5880" w:type="dxa"/>
          </w:tcPr>
          <w:p w14:paraId="62A5F7EF" w14:textId="77777777" w:rsidR="00D7303D" w:rsidRPr="00342F7C" w:rsidRDefault="00D7303D" w:rsidP="001C4CD7">
            <w:pPr>
              <w:pStyle w:val="EMEANormal"/>
              <w:rPr>
                <w:lang w:val="en-GB"/>
              </w:rPr>
            </w:pPr>
            <w:r w:rsidRPr="00342F7C">
              <w:rPr>
                <w:lang w:val="en-GB"/>
              </w:rPr>
              <w:t>HIV RNA &lt; 50 copies/ml</w:t>
            </w:r>
          </w:p>
        </w:tc>
        <w:tc>
          <w:tcPr>
            <w:tcW w:w="2160" w:type="dxa"/>
          </w:tcPr>
          <w:p w14:paraId="14257879" w14:textId="77777777" w:rsidR="00D7303D" w:rsidRPr="00342F7C" w:rsidRDefault="00D7303D" w:rsidP="008541E3">
            <w:pPr>
              <w:pStyle w:val="EMEANormal"/>
              <w:jc w:val="center"/>
              <w:rPr>
                <w:lang w:val="en-GB"/>
              </w:rPr>
            </w:pPr>
            <w:r w:rsidRPr="00342F7C">
              <w:rPr>
                <w:lang w:val="en-GB"/>
              </w:rPr>
              <w:t>59%</w:t>
            </w:r>
          </w:p>
        </w:tc>
      </w:tr>
      <w:tr w:rsidR="00D7303D" w:rsidRPr="00342F7C" w14:paraId="18B6DE1C" w14:textId="77777777" w:rsidTr="008541E3">
        <w:tc>
          <w:tcPr>
            <w:tcW w:w="5880" w:type="dxa"/>
          </w:tcPr>
          <w:p w14:paraId="0E1FB3E9" w14:textId="77777777" w:rsidR="00D7303D" w:rsidRPr="00342F7C" w:rsidRDefault="00D7303D" w:rsidP="001C4CD7">
            <w:pPr>
              <w:pStyle w:val="EMEANormal"/>
              <w:rPr>
                <w:lang w:val="en-GB"/>
              </w:rPr>
            </w:pPr>
            <w:r w:rsidRPr="00342F7C">
              <w:rPr>
                <w:lang w:val="en-GB"/>
              </w:rPr>
              <w:t>Mean increase from baseline in CD4+ T-cell count (cells/mm</w:t>
            </w:r>
            <w:r w:rsidRPr="00342F7C">
              <w:rPr>
                <w:vertAlign w:val="superscript"/>
                <w:lang w:val="en-GB"/>
              </w:rPr>
              <w:t>3</w:t>
            </w:r>
            <w:r w:rsidRPr="00342F7C">
              <w:rPr>
                <w:lang w:val="en-GB"/>
              </w:rPr>
              <w:t>)</w:t>
            </w:r>
          </w:p>
        </w:tc>
        <w:tc>
          <w:tcPr>
            <w:tcW w:w="2160" w:type="dxa"/>
          </w:tcPr>
          <w:p w14:paraId="7145AAD0" w14:textId="77777777" w:rsidR="00D7303D" w:rsidRPr="00342F7C" w:rsidRDefault="00D7303D" w:rsidP="008541E3">
            <w:pPr>
              <w:pStyle w:val="EMEANormal"/>
              <w:jc w:val="center"/>
              <w:rPr>
                <w:lang w:val="en-GB"/>
              </w:rPr>
            </w:pPr>
            <w:r w:rsidRPr="00342F7C">
              <w:rPr>
                <w:lang w:val="en-GB"/>
              </w:rPr>
              <w:t>501</w:t>
            </w:r>
          </w:p>
        </w:tc>
      </w:tr>
    </w:tbl>
    <w:p w14:paraId="3A73850E" w14:textId="77777777" w:rsidR="00D7303D" w:rsidRPr="00342F7C" w:rsidRDefault="00D7303D" w:rsidP="007967D0">
      <w:pPr>
        <w:pStyle w:val="EMEANormal"/>
        <w:rPr>
          <w:lang w:val="en-GB"/>
        </w:rPr>
      </w:pPr>
    </w:p>
    <w:p w14:paraId="7CC43C5B" w14:textId="77777777" w:rsidR="00D7303D" w:rsidRDefault="00D7303D">
      <w:pPr>
        <w:pStyle w:val="EMEANormal"/>
        <w:rPr>
          <w:lang w:val="en-GB"/>
        </w:rPr>
      </w:pPr>
      <w:r w:rsidRPr="00342F7C">
        <w:rPr>
          <w:lang w:val="en-GB"/>
        </w:rPr>
        <w:t>Through 360 weeks of treatment, genotypic analysis of viral isolates was successfully conducted in 19 of 28 patients with confirmed HIV RNA above 400 copies/ml revealed no primary or active site mutations in protease (amino acids at positions 8, 30, 32, 46, 47, 48, 50, 82, 84 and 90) or protease inhibitor phenotypic resistance.</w:t>
      </w:r>
    </w:p>
    <w:p w14:paraId="0F4C59D6" w14:textId="77777777" w:rsidR="00A67625" w:rsidRPr="00342F7C" w:rsidRDefault="00A67625">
      <w:pPr>
        <w:pStyle w:val="EMEANormal"/>
        <w:rPr>
          <w:lang w:val="en-GB"/>
        </w:rPr>
      </w:pPr>
    </w:p>
    <w:p w14:paraId="7F1F1412" w14:textId="77777777" w:rsidR="00D7303D" w:rsidRPr="0017061C" w:rsidRDefault="00D7303D" w:rsidP="00A67625">
      <w:pPr>
        <w:pStyle w:val="EMEAHeadingUnderline"/>
        <w:spacing w:beforeLines="0" w:before="0" w:afterLines="0" w:after="0"/>
        <w:rPr>
          <w:u w:val="none"/>
          <w:lang w:val="en-GB"/>
        </w:rPr>
      </w:pPr>
      <w:r w:rsidRPr="0017061C">
        <w:rPr>
          <w:u w:val="none"/>
          <w:lang w:val="en-GB"/>
        </w:rPr>
        <w:t>Patients with prior antiretroviral therapy</w:t>
      </w:r>
    </w:p>
    <w:p w14:paraId="6651F29E" w14:textId="77777777" w:rsidR="00A67625" w:rsidRPr="00A67625" w:rsidRDefault="00A67625" w:rsidP="00A67625">
      <w:pPr>
        <w:pStyle w:val="EMEANormal"/>
        <w:rPr>
          <w:lang w:val="en-GB"/>
        </w:rPr>
      </w:pPr>
    </w:p>
    <w:p w14:paraId="70D58FCE" w14:textId="77777777" w:rsidR="00D7303D" w:rsidRPr="00342F7C" w:rsidRDefault="00D7303D" w:rsidP="00761A72">
      <w:pPr>
        <w:pStyle w:val="EMEANormal"/>
        <w:rPr>
          <w:szCs w:val="22"/>
          <w:lang w:val="en-GB"/>
        </w:rPr>
      </w:pPr>
      <w:r w:rsidRPr="00342F7C">
        <w:rPr>
          <w:szCs w:val="22"/>
          <w:lang w:val="en-GB"/>
        </w:rPr>
        <w:t>M06-802 was a randomised open-label study comparing the safety, tolerability and antiviral activity of once</w:t>
      </w:r>
      <w:r w:rsidR="00BD64AF">
        <w:rPr>
          <w:szCs w:val="22"/>
          <w:lang w:val="en-GB"/>
        </w:rPr>
        <w:noBreakHyphen/>
      </w:r>
      <w:r w:rsidRPr="00342F7C">
        <w:rPr>
          <w:szCs w:val="22"/>
          <w:lang w:val="en-GB"/>
        </w:rPr>
        <w:t>daily and twice</w:t>
      </w:r>
      <w:r w:rsidR="00BD64AF">
        <w:rPr>
          <w:szCs w:val="22"/>
          <w:lang w:val="en-GB"/>
        </w:rPr>
        <w:noBreakHyphen/>
      </w:r>
      <w:r w:rsidRPr="00342F7C">
        <w:rPr>
          <w:szCs w:val="22"/>
          <w:lang w:val="en-GB"/>
        </w:rPr>
        <w:t>daily dosing of lopinavir/ritonavir tablets in 599 subjects with detectable viral loads while receiving their current antiviral therapy.  Patients had not been on prior lopinavir/riton</w:t>
      </w:r>
      <w:r w:rsidR="00355E0A">
        <w:rPr>
          <w:szCs w:val="22"/>
          <w:lang w:val="en-GB"/>
        </w:rPr>
        <w:t>a</w:t>
      </w:r>
      <w:r w:rsidRPr="00342F7C">
        <w:rPr>
          <w:szCs w:val="22"/>
          <w:lang w:val="en-GB"/>
        </w:rPr>
        <w:t>vir therapy.  They were randomised in a 1:1 ratio to receive either lopinavir/ritonavir 800/200 mg once daily (n = 300) or lopinavir/ritonavir 400/100 mg twice daily (n = 299).  Patients were administered at least two nucleoside/nucleotide reverse transcriptase inhibitors selected by the investigator.  The enrolled population was moderately PI-experienced with more than half of patients having never received prior PI and around 80% of patients presenting a viral strain with less than 3 PI mutations.  Mean age of patients enrolled was 41 years (range: 21 to 73); 51% were Caucasian and 66% were male.  Mean baseline CD4+ T-cell count was 254 cells/mm</w:t>
      </w:r>
      <w:r w:rsidRPr="00342F7C">
        <w:rPr>
          <w:szCs w:val="22"/>
          <w:vertAlign w:val="superscript"/>
          <w:lang w:val="en-GB"/>
        </w:rPr>
        <w:t>3</w:t>
      </w:r>
      <w:r w:rsidRPr="00342F7C">
        <w:rPr>
          <w:szCs w:val="22"/>
          <w:lang w:val="en-GB"/>
        </w:rPr>
        <w:t xml:space="preserve"> (range: 4 to 952 cells/mm</w:t>
      </w:r>
      <w:r w:rsidRPr="00342F7C">
        <w:rPr>
          <w:szCs w:val="22"/>
          <w:vertAlign w:val="superscript"/>
          <w:lang w:val="en-GB"/>
        </w:rPr>
        <w:t>3</w:t>
      </w:r>
      <w:r w:rsidRPr="00342F7C">
        <w:rPr>
          <w:szCs w:val="22"/>
          <w:lang w:val="en-GB"/>
        </w:rPr>
        <w:t>) and mean baseline plasma HIV-1 RNA was 4.3 log</w:t>
      </w:r>
      <w:r w:rsidRPr="00342F7C">
        <w:rPr>
          <w:szCs w:val="22"/>
          <w:vertAlign w:val="subscript"/>
          <w:lang w:val="en-GB"/>
        </w:rPr>
        <w:t>10</w:t>
      </w:r>
      <w:r w:rsidRPr="00342F7C">
        <w:rPr>
          <w:szCs w:val="22"/>
          <w:lang w:val="en-GB"/>
        </w:rPr>
        <w:t> copies/ml (range: 1.7 to 6.6 log</w:t>
      </w:r>
      <w:r w:rsidRPr="00342F7C">
        <w:rPr>
          <w:szCs w:val="22"/>
          <w:vertAlign w:val="subscript"/>
          <w:lang w:val="en-GB"/>
        </w:rPr>
        <w:t>10</w:t>
      </w:r>
      <w:r w:rsidRPr="00342F7C">
        <w:rPr>
          <w:szCs w:val="22"/>
          <w:lang w:val="en-GB"/>
        </w:rPr>
        <w:t> copies/ml).  Around 85% of patients had a viral load of &lt; 100,000 copies/ml.</w:t>
      </w:r>
    </w:p>
    <w:p w14:paraId="4BFACE11" w14:textId="77777777" w:rsidR="00D7303D" w:rsidRPr="00342F7C" w:rsidRDefault="00D7303D" w:rsidP="00761A72">
      <w:pPr>
        <w:pStyle w:val="EMEANormal"/>
        <w:rPr>
          <w:szCs w:val="22"/>
          <w:lang w:val="en-GB"/>
        </w:rPr>
      </w:pPr>
    </w:p>
    <w:p w14:paraId="6FC0424E" w14:textId="77777777" w:rsidR="00D7303D" w:rsidRPr="00342F7C" w:rsidRDefault="00D7303D" w:rsidP="00F75D4E">
      <w:pPr>
        <w:pStyle w:val="EMEANormal"/>
        <w:keepNext/>
        <w:rPr>
          <w:szCs w:val="22"/>
          <w:lang w:val="en-GB"/>
        </w:rPr>
      </w:pPr>
      <w:r w:rsidRPr="00342F7C">
        <w:rPr>
          <w:szCs w:val="22"/>
          <w:lang w:val="en-GB"/>
        </w:rPr>
        <w:t>Table 4</w:t>
      </w:r>
    </w:p>
    <w:p w14:paraId="3DBCAC43" w14:textId="77777777" w:rsidR="00D7303D" w:rsidRPr="00342F7C" w:rsidRDefault="00D7303D" w:rsidP="00F75D4E">
      <w:pPr>
        <w:pStyle w:val="EMEANormal"/>
        <w:keepNext/>
        <w:rPr>
          <w:szCs w:val="22"/>
          <w:lang w:val="en-GB"/>
        </w:rPr>
      </w:pPr>
    </w:p>
    <w:tbl>
      <w:tblPr>
        <w:tblW w:w="0" w:type="auto"/>
        <w:jc w:val="center"/>
        <w:tblLayout w:type="fixed"/>
        <w:tblCellMar>
          <w:left w:w="0" w:type="dxa"/>
          <w:right w:w="0" w:type="dxa"/>
        </w:tblCellMar>
        <w:tblLook w:val="00A0" w:firstRow="1" w:lastRow="0" w:firstColumn="1" w:lastColumn="0" w:noHBand="0" w:noVBand="0"/>
      </w:tblPr>
      <w:tblGrid>
        <w:gridCol w:w="2987"/>
        <w:gridCol w:w="1200"/>
        <w:gridCol w:w="1080"/>
        <w:gridCol w:w="1617"/>
      </w:tblGrid>
      <w:tr w:rsidR="00D7303D" w:rsidRPr="00342F7C" w14:paraId="702D9873" w14:textId="77777777" w:rsidTr="007967D0">
        <w:trPr>
          <w:jc w:val="center"/>
        </w:trPr>
        <w:tc>
          <w:tcPr>
            <w:tcW w:w="6884" w:type="dxa"/>
            <w:gridSpan w:val="4"/>
            <w:tcBorders>
              <w:top w:val="single" w:sz="6" w:space="0" w:color="000000"/>
              <w:left w:val="single" w:sz="6" w:space="0" w:color="000000"/>
              <w:bottom w:val="single" w:sz="6" w:space="0" w:color="000000"/>
              <w:right w:val="single" w:sz="6" w:space="0" w:color="000000"/>
            </w:tcBorders>
          </w:tcPr>
          <w:p w14:paraId="0A295EFC" w14:textId="77777777" w:rsidR="00D7303D" w:rsidRPr="00342F7C" w:rsidRDefault="00D7303D" w:rsidP="00F75D4E">
            <w:pPr>
              <w:pStyle w:val="EMEANormal"/>
              <w:keepNext/>
              <w:spacing w:before="120" w:after="120"/>
              <w:jc w:val="center"/>
              <w:rPr>
                <w:b/>
                <w:bCs/>
                <w:color w:val="000000"/>
                <w:szCs w:val="22"/>
                <w:lang w:val="en-GB"/>
              </w:rPr>
            </w:pPr>
            <w:r w:rsidRPr="00342F7C">
              <w:rPr>
                <w:b/>
                <w:bCs/>
                <w:color w:val="000000"/>
                <w:szCs w:val="22"/>
                <w:lang w:val="en-GB"/>
              </w:rPr>
              <w:t>Virologic Response of Study Subjects at Week 48 Study 802</w:t>
            </w:r>
          </w:p>
        </w:tc>
      </w:tr>
      <w:tr w:rsidR="00D7303D" w:rsidRPr="00342F7C" w14:paraId="3EA94BC7" w14:textId="77777777" w:rsidTr="007967D0">
        <w:trPr>
          <w:jc w:val="center"/>
        </w:trPr>
        <w:tc>
          <w:tcPr>
            <w:tcW w:w="2987" w:type="dxa"/>
            <w:tcBorders>
              <w:top w:val="single" w:sz="6" w:space="0" w:color="000000"/>
              <w:left w:val="single" w:sz="6" w:space="0" w:color="000000"/>
              <w:bottom w:val="single" w:sz="6" w:space="0" w:color="000000"/>
              <w:right w:val="single" w:sz="6" w:space="0" w:color="000000"/>
            </w:tcBorders>
          </w:tcPr>
          <w:p w14:paraId="203E68BE" w14:textId="77777777" w:rsidR="00D7303D" w:rsidRPr="00342F7C" w:rsidRDefault="00D7303D" w:rsidP="00F75D4E">
            <w:pPr>
              <w:pStyle w:val="EMEANormal"/>
              <w:keepNext/>
              <w:rPr>
                <w:b/>
                <w:bCs/>
                <w:color w:val="000000"/>
                <w:szCs w:val="22"/>
                <w:lang w:val="en-GB"/>
              </w:rPr>
            </w:pPr>
          </w:p>
        </w:tc>
        <w:tc>
          <w:tcPr>
            <w:tcW w:w="1200" w:type="dxa"/>
            <w:tcBorders>
              <w:top w:val="single" w:sz="6" w:space="0" w:color="000000"/>
              <w:left w:val="single" w:sz="6" w:space="0" w:color="000000"/>
              <w:bottom w:val="single" w:sz="6" w:space="0" w:color="000000"/>
              <w:right w:val="single" w:sz="6" w:space="0" w:color="000000"/>
            </w:tcBorders>
          </w:tcPr>
          <w:p w14:paraId="15450955" w14:textId="77777777" w:rsidR="00D7303D" w:rsidRPr="00342F7C" w:rsidRDefault="00D7303D" w:rsidP="00F75D4E">
            <w:pPr>
              <w:pStyle w:val="EMEANormal"/>
              <w:keepNext/>
              <w:jc w:val="center"/>
              <w:rPr>
                <w:b/>
                <w:bCs/>
                <w:color w:val="000000"/>
                <w:szCs w:val="22"/>
                <w:lang w:val="en-GB"/>
              </w:rPr>
            </w:pPr>
            <w:r w:rsidRPr="00342F7C">
              <w:rPr>
                <w:b/>
                <w:bCs/>
                <w:color w:val="000000"/>
                <w:szCs w:val="22"/>
                <w:lang w:val="en-GB"/>
              </w:rPr>
              <w:t>QD</w:t>
            </w:r>
          </w:p>
        </w:tc>
        <w:tc>
          <w:tcPr>
            <w:tcW w:w="1080" w:type="dxa"/>
            <w:tcBorders>
              <w:top w:val="single" w:sz="6" w:space="0" w:color="000000"/>
              <w:left w:val="single" w:sz="6" w:space="0" w:color="000000"/>
              <w:bottom w:val="single" w:sz="6" w:space="0" w:color="000000"/>
              <w:right w:val="single" w:sz="6" w:space="0" w:color="000000"/>
            </w:tcBorders>
          </w:tcPr>
          <w:p w14:paraId="1483C039" w14:textId="77777777" w:rsidR="00D7303D" w:rsidRPr="00342F7C" w:rsidRDefault="00D7303D" w:rsidP="00F75D4E">
            <w:pPr>
              <w:pStyle w:val="EMEANormal"/>
              <w:keepNext/>
              <w:jc w:val="center"/>
              <w:rPr>
                <w:b/>
                <w:bCs/>
                <w:color w:val="000000"/>
                <w:szCs w:val="22"/>
                <w:lang w:val="en-GB"/>
              </w:rPr>
            </w:pPr>
            <w:r w:rsidRPr="00342F7C">
              <w:rPr>
                <w:b/>
                <w:bCs/>
                <w:color w:val="000000"/>
                <w:szCs w:val="22"/>
                <w:lang w:val="en-GB"/>
              </w:rPr>
              <w:t>BID</w:t>
            </w:r>
          </w:p>
        </w:tc>
        <w:tc>
          <w:tcPr>
            <w:tcW w:w="1617" w:type="dxa"/>
            <w:tcBorders>
              <w:top w:val="single" w:sz="6" w:space="0" w:color="000000"/>
              <w:left w:val="single" w:sz="6" w:space="0" w:color="000000"/>
              <w:bottom w:val="single" w:sz="6" w:space="0" w:color="000000"/>
              <w:right w:val="single" w:sz="6" w:space="0" w:color="000000"/>
            </w:tcBorders>
          </w:tcPr>
          <w:p w14:paraId="1D7202FB" w14:textId="77777777" w:rsidR="00D7303D" w:rsidRPr="00342F7C" w:rsidRDefault="00D7303D" w:rsidP="00F75D4E">
            <w:pPr>
              <w:pStyle w:val="EMEANormal"/>
              <w:keepNext/>
              <w:jc w:val="center"/>
              <w:rPr>
                <w:b/>
                <w:bCs/>
                <w:color w:val="000000"/>
                <w:szCs w:val="22"/>
                <w:lang w:val="en-GB"/>
              </w:rPr>
            </w:pPr>
            <w:r w:rsidRPr="00342F7C">
              <w:rPr>
                <w:b/>
                <w:bCs/>
                <w:color w:val="000000"/>
                <w:szCs w:val="22"/>
                <w:lang w:val="en-GB"/>
              </w:rPr>
              <w:t>Difference</w:t>
            </w:r>
          </w:p>
          <w:p w14:paraId="39E91A78" w14:textId="77777777" w:rsidR="00D7303D" w:rsidRPr="00342F7C" w:rsidRDefault="00D7303D" w:rsidP="00F75D4E">
            <w:pPr>
              <w:pStyle w:val="EMEANormal"/>
              <w:keepNext/>
              <w:jc w:val="center"/>
              <w:rPr>
                <w:b/>
                <w:bCs/>
                <w:color w:val="000000"/>
                <w:szCs w:val="22"/>
                <w:lang w:val="en-GB"/>
              </w:rPr>
            </w:pPr>
            <w:r w:rsidRPr="00342F7C">
              <w:rPr>
                <w:b/>
                <w:bCs/>
                <w:color w:val="000000"/>
                <w:szCs w:val="22"/>
                <w:lang w:val="en-GB"/>
              </w:rPr>
              <w:t>[95% CI]</w:t>
            </w:r>
          </w:p>
        </w:tc>
      </w:tr>
      <w:tr w:rsidR="00D7303D" w:rsidRPr="00342F7C" w14:paraId="3956754A" w14:textId="77777777" w:rsidTr="007967D0">
        <w:trPr>
          <w:trHeight w:val="567"/>
          <w:jc w:val="center"/>
        </w:trPr>
        <w:tc>
          <w:tcPr>
            <w:tcW w:w="2987" w:type="dxa"/>
            <w:tcBorders>
              <w:top w:val="single" w:sz="6" w:space="0" w:color="000000"/>
              <w:left w:val="single" w:sz="6" w:space="0" w:color="000000"/>
              <w:bottom w:val="single" w:sz="6" w:space="0" w:color="000000"/>
              <w:right w:val="single" w:sz="6" w:space="0" w:color="000000"/>
            </w:tcBorders>
          </w:tcPr>
          <w:p w14:paraId="7FCCF77E" w14:textId="77777777" w:rsidR="00D7303D" w:rsidRPr="00342F7C" w:rsidRDefault="00D7303D" w:rsidP="00F75D4E">
            <w:pPr>
              <w:pStyle w:val="EMEANormal"/>
              <w:keepNext/>
              <w:rPr>
                <w:bCs/>
                <w:color w:val="000000"/>
                <w:szCs w:val="22"/>
                <w:lang w:val="en-GB"/>
              </w:rPr>
            </w:pPr>
            <w:r w:rsidRPr="00342F7C">
              <w:rPr>
                <w:bCs/>
                <w:color w:val="000000"/>
                <w:szCs w:val="22"/>
                <w:lang w:val="en-GB"/>
              </w:rPr>
              <w:t>NC= Failure</w:t>
            </w:r>
          </w:p>
        </w:tc>
        <w:tc>
          <w:tcPr>
            <w:tcW w:w="1200" w:type="dxa"/>
            <w:tcBorders>
              <w:top w:val="single" w:sz="6" w:space="0" w:color="000000"/>
              <w:left w:val="single" w:sz="6" w:space="0" w:color="000000"/>
              <w:bottom w:val="single" w:sz="6" w:space="0" w:color="000000"/>
              <w:right w:val="single" w:sz="6" w:space="0" w:color="000000"/>
            </w:tcBorders>
          </w:tcPr>
          <w:p w14:paraId="753F93AF" w14:textId="77777777" w:rsidR="00D7303D" w:rsidRPr="00342F7C" w:rsidRDefault="00D7303D" w:rsidP="00F75D4E">
            <w:pPr>
              <w:pStyle w:val="EMEANormal"/>
              <w:keepNext/>
              <w:jc w:val="center"/>
              <w:rPr>
                <w:color w:val="000000"/>
                <w:szCs w:val="22"/>
                <w:lang w:val="en-GB"/>
              </w:rPr>
            </w:pPr>
            <w:r w:rsidRPr="00342F7C">
              <w:rPr>
                <w:color w:val="000000"/>
                <w:szCs w:val="22"/>
                <w:lang w:val="en-GB"/>
              </w:rPr>
              <w:t>171/300 (57%)</w:t>
            </w:r>
          </w:p>
        </w:tc>
        <w:tc>
          <w:tcPr>
            <w:tcW w:w="1080" w:type="dxa"/>
            <w:tcBorders>
              <w:top w:val="single" w:sz="6" w:space="0" w:color="000000"/>
              <w:left w:val="single" w:sz="6" w:space="0" w:color="000000"/>
              <w:bottom w:val="single" w:sz="6" w:space="0" w:color="000000"/>
              <w:right w:val="single" w:sz="6" w:space="0" w:color="000000"/>
            </w:tcBorders>
          </w:tcPr>
          <w:p w14:paraId="2311849B" w14:textId="77777777" w:rsidR="00D7303D" w:rsidRPr="00342F7C" w:rsidRDefault="00D7303D" w:rsidP="00F75D4E">
            <w:pPr>
              <w:pStyle w:val="EMEANormal"/>
              <w:keepNext/>
              <w:jc w:val="center"/>
              <w:rPr>
                <w:color w:val="000000"/>
                <w:szCs w:val="22"/>
                <w:lang w:val="en-GB"/>
              </w:rPr>
            </w:pPr>
            <w:r w:rsidRPr="00342F7C">
              <w:rPr>
                <w:color w:val="000000"/>
                <w:szCs w:val="22"/>
                <w:lang w:val="en-GB"/>
              </w:rPr>
              <w:t>161/299 (53.8%)</w:t>
            </w:r>
          </w:p>
        </w:tc>
        <w:tc>
          <w:tcPr>
            <w:tcW w:w="1617" w:type="dxa"/>
            <w:tcBorders>
              <w:top w:val="single" w:sz="6" w:space="0" w:color="000000"/>
              <w:left w:val="single" w:sz="6" w:space="0" w:color="000000"/>
              <w:bottom w:val="single" w:sz="6" w:space="0" w:color="000000"/>
              <w:right w:val="single" w:sz="6" w:space="0" w:color="000000"/>
            </w:tcBorders>
          </w:tcPr>
          <w:p w14:paraId="7218F4AA" w14:textId="77777777" w:rsidR="00D7303D" w:rsidRPr="00342F7C" w:rsidRDefault="00D7303D" w:rsidP="00F75D4E">
            <w:pPr>
              <w:pStyle w:val="EMEANormal"/>
              <w:keepNext/>
              <w:jc w:val="center"/>
              <w:rPr>
                <w:color w:val="000000"/>
                <w:szCs w:val="22"/>
                <w:lang w:val="en-GB"/>
              </w:rPr>
            </w:pPr>
            <w:r w:rsidRPr="00342F7C">
              <w:rPr>
                <w:color w:val="000000"/>
                <w:szCs w:val="22"/>
                <w:lang w:val="en-GB"/>
              </w:rPr>
              <w:t>3.2%</w:t>
            </w:r>
          </w:p>
          <w:p w14:paraId="426F0D1A" w14:textId="77777777" w:rsidR="00D7303D" w:rsidRPr="00342F7C" w:rsidRDefault="00D7303D" w:rsidP="00F75D4E">
            <w:pPr>
              <w:pStyle w:val="EMEANormal"/>
              <w:keepNext/>
              <w:jc w:val="center"/>
              <w:rPr>
                <w:color w:val="000000"/>
                <w:szCs w:val="22"/>
                <w:lang w:val="en-GB"/>
              </w:rPr>
            </w:pPr>
            <w:r w:rsidRPr="00342F7C">
              <w:rPr>
                <w:color w:val="000000"/>
                <w:szCs w:val="22"/>
                <w:lang w:val="en-GB"/>
              </w:rPr>
              <w:t>[-4.8%, 11.1%]</w:t>
            </w:r>
          </w:p>
        </w:tc>
      </w:tr>
      <w:tr w:rsidR="00D7303D" w:rsidRPr="00342F7C" w14:paraId="75AF1131" w14:textId="77777777" w:rsidTr="007967D0">
        <w:trPr>
          <w:trHeight w:val="519"/>
          <w:jc w:val="center"/>
        </w:trPr>
        <w:tc>
          <w:tcPr>
            <w:tcW w:w="2987" w:type="dxa"/>
            <w:tcBorders>
              <w:top w:val="single" w:sz="6" w:space="0" w:color="000000"/>
              <w:left w:val="single" w:sz="6" w:space="0" w:color="000000"/>
              <w:bottom w:val="single" w:sz="6" w:space="0" w:color="000000"/>
              <w:right w:val="single" w:sz="6" w:space="0" w:color="000000"/>
            </w:tcBorders>
          </w:tcPr>
          <w:p w14:paraId="44DE5F5D" w14:textId="77777777" w:rsidR="00D7303D" w:rsidRPr="00342F7C" w:rsidRDefault="00D7303D" w:rsidP="00F75D4E">
            <w:pPr>
              <w:pStyle w:val="EMEANormal"/>
              <w:keepNext/>
              <w:rPr>
                <w:bCs/>
                <w:color w:val="000000"/>
                <w:szCs w:val="22"/>
                <w:lang w:val="en-GB"/>
              </w:rPr>
            </w:pPr>
            <w:r w:rsidRPr="00342F7C">
              <w:rPr>
                <w:bCs/>
                <w:color w:val="000000"/>
                <w:szCs w:val="22"/>
                <w:lang w:val="en-GB"/>
              </w:rPr>
              <w:t>Observed data</w:t>
            </w:r>
          </w:p>
        </w:tc>
        <w:tc>
          <w:tcPr>
            <w:tcW w:w="1200" w:type="dxa"/>
            <w:tcBorders>
              <w:top w:val="single" w:sz="6" w:space="0" w:color="000000"/>
              <w:left w:val="single" w:sz="6" w:space="0" w:color="000000"/>
              <w:bottom w:val="single" w:sz="6" w:space="0" w:color="000000"/>
              <w:right w:val="single" w:sz="6" w:space="0" w:color="000000"/>
            </w:tcBorders>
          </w:tcPr>
          <w:p w14:paraId="21FD5791" w14:textId="77777777" w:rsidR="00D7303D" w:rsidRPr="00342F7C" w:rsidRDefault="00D7303D" w:rsidP="00F75D4E">
            <w:pPr>
              <w:pStyle w:val="EMEANormal"/>
              <w:keepNext/>
              <w:jc w:val="center"/>
              <w:rPr>
                <w:color w:val="000000"/>
                <w:szCs w:val="22"/>
                <w:lang w:val="en-GB"/>
              </w:rPr>
            </w:pPr>
            <w:r w:rsidRPr="00342F7C">
              <w:rPr>
                <w:color w:val="000000"/>
                <w:szCs w:val="22"/>
                <w:lang w:val="en-GB"/>
              </w:rPr>
              <w:t>171/225 (76.0%)</w:t>
            </w:r>
          </w:p>
        </w:tc>
        <w:tc>
          <w:tcPr>
            <w:tcW w:w="1080" w:type="dxa"/>
            <w:tcBorders>
              <w:top w:val="single" w:sz="6" w:space="0" w:color="000000"/>
              <w:left w:val="single" w:sz="6" w:space="0" w:color="000000"/>
              <w:bottom w:val="single" w:sz="6" w:space="0" w:color="000000"/>
              <w:right w:val="single" w:sz="6" w:space="0" w:color="000000"/>
            </w:tcBorders>
          </w:tcPr>
          <w:p w14:paraId="0F1514EB" w14:textId="77777777" w:rsidR="00D7303D" w:rsidRPr="00342F7C" w:rsidRDefault="00D7303D" w:rsidP="00F75D4E">
            <w:pPr>
              <w:pStyle w:val="EMEANormal"/>
              <w:keepNext/>
              <w:jc w:val="center"/>
              <w:rPr>
                <w:color w:val="000000"/>
                <w:szCs w:val="22"/>
                <w:lang w:val="en-GB"/>
              </w:rPr>
            </w:pPr>
            <w:r w:rsidRPr="00342F7C">
              <w:rPr>
                <w:color w:val="000000"/>
                <w:szCs w:val="22"/>
                <w:lang w:val="en-GB"/>
              </w:rPr>
              <w:t>161/223 (72.2%)</w:t>
            </w:r>
          </w:p>
        </w:tc>
        <w:tc>
          <w:tcPr>
            <w:tcW w:w="1617" w:type="dxa"/>
            <w:tcBorders>
              <w:top w:val="single" w:sz="6" w:space="0" w:color="000000"/>
              <w:left w:val="single" w:sz="6" w:space="0" w:color="000000"/>
              <w:bottom w:val="single" w:sz="6" w:space="0" w:color="000000"/>
              <w:right w:val="single" w:sz="6" w:space="0" w:color="000000"/>
            </w:tcBorders>
          </w:tcPr>
          <w:p w14:paraId="36D03A89" w14:textId="77777777" w:rsidR="00D7303D" w:rsidRPr="00342F7C" w:rsidRDefault="00D7303D" w:rsidP="00F75D4E">
            <w:pPr>
              <w:pStyle w:val="EMEANormal"/>
              <w:keepNext/>
              <w:jc w:val="center"/>
              <w:rPr>
                <w:color w:val="000000"/>
                <w:szCs w:val="22"/>
                <w:lang w:val="en-GB"/>
              </w:rPr>
            </w:pPr>
            <w:r w:rsidRPr="00342F7C">
              <w:rPr>
                <w:color w:val="000000"/>
                <w:szCs w:val="22"/>
                <w:lang w:val="en-GB"/>
              </w:rPr>
              <w:t>3.8%</w:t>
            </w:r>
          </w:p>
          <w:p w14:paraId="6D627854" w14:textId="77777777" w:rsidR="00D7303D" w:rsidRPr="00342F7C" w:rsidRDefault="00D7303D" w:rsidP="00F75D4E">
            <w:pPr>
              <w:pStyle w:val="EMEANormal"/>
              <w:keepNext/>
              <w:jc w:val="center"/>
              <w:rPr>
                <w:color w:val="000000"/>
                <w:szCs w:val="22"/>
                <w:lang w:val="en-GB"/>
              </w:rPr>
            </w:pPr>
            <w:r w:rsidRPr="00342F7C">
              <w:rPr>
                <w:color w:val="000000"/>
                <w:szCs w:val="22"/>
                <w:lang w:val="en-GB"/>
              </w:rPr>
              <w:t>[-4.3%, 11.9%]</w:t>
            </w:r>
          </w:p>
        </w:tc>
      </w:tr>
      <w:tr w:rsidR="00D7303D" w:rsidRPr="00342F7C" w14:paraId="0C7383DC" w14:textId="77777777" w:rsidTr="007967D0">
        <w:trPr>
          <w:trHeight w:val="519"/>
          <w:jc w:val="center"/>
        </w:trPr>
        <w:tc>
          <w:tcPr>
            <w:tcW w:w="2987" w:type="dxa"/>
            <w:tcBorders>
              <w:top w:val="single" w:sz="6" w:space="0" w:color="000000"/>
              <w:left w:val="single" w:sz="6" w:space="0" w:color="000000"/>
              <w:bottom w:val="single" w:sz="6" w:space="0" w:color="000000"/>
              <w:right w:val="single" w:sz="6" w:space="0" w:color="000000"/>
            </w:tcBorders>
          </w:tcPr>
          <w:p w14:paraId="58338D8B" w14:textId="77777777" w:rsidR="00D7303D" w:rsidRPr="00342F7C" w:rsidRDefault="00D7303D" w:rsidP="00F75D4E">
            <w:pPr>
              <w:pStyle w:val="EMEANormal"/>
              <w:keepNext/>
              <w:rPr>
                <w:b/>
                <w:bCs/>
                <w:color w:val="000000"/>
                <w:szCs w:val="22"/>
                <w:lang w:val="en-GB"/>
              </w:rPr>
            </w:pPr>
            <w:r w:rsidRPr="00342F7C">
              <w:rPr>
                <w:lang w:val="en-GB"/>
              </w:rPr>
              <w:t>Mean increase from baseline in CD4+</w:t>
            </w:r>
            <w:r w:rsidRPr="00342F7C">
              <w:rPr>
                <w:vertAlign w:val="subscript"/>
                <w:lang w:val="en-GB"/>
              </w:rPr>
              <w:t xml:space="preserve"> </w:t>
            </w:r>
            <w:r w:rsidRPr="00342F7C">
              <w:rPr>
                <w:lang w:val="en-GB"/>
              </w:rPr>
              <w:t>T-cell count (cells/mm</w:t>
            </w:r>
            <w:r w:rsidRPr="00342F7C">
              <w:rPr>
                <w:vertAlign w:val="superscript"/>
                <w:lang w:val="en-GB"/>
              </w:rPr>
              <w:t>3</w:t>
            </w:r>
            <w:r w:rsidRPr="00342F7C">
              <w:rPr>
                <w:lang w:val="en-GB"/>
              </w:rPr>
              <w:t>)</w:t>
            </w:r>
          </w:p>
        </w:tc>
        <w:tc>
          <w:tcPr>
            <w:tcW w:w="1200" w:type="dxa"/>
            <w:tcBorders>
              <w:top w:val="single" w:sz="6" w:space="0" w:color="000000"/>
              <w:left w:val="single" w:sz="6" w:space="0" w:color="000000"/>
              <w:bottom w:val="single" w:sz="6" w:space="0" w:color="000000"/>
              <w:right w:val="single" w:sz="6" w:space="0" w:color="000000"/>
            </w:tcBorders>
          </w:tcPr>
          <w:p w14:paraId="4CC9FA5E" w14:textId="77777777" w:rsidR="00D7303D" w:rsidRPr="00342F7C" w:rsidRDefault="00D7303D" w:rsidP="00F75D4E">
            <w:pPr>
              <w:pStyle w:val="EMEANormal"/>
              <w:keepNext/>
              <w:jc w:val="center"/>
              <w:rPr>
                <w:color w:val="000000"/>
                <w:szCs w:val="22"/>
                <w:lang w:val="en-GB"/>
              </w:rPr>
            </w:pPr>
            <w:r w:rsidRPr="00342F7C">
              <w:rPr>
                <w:color w:val="000000"/>
                <w:szCs w:val="22"/>
                <w:lang w:val="en-GB"/>
              </w:rPr>
              <w:t>135</w:t>
            </w:r>
          </w:p>
        </w:tc>
        <w:tc>
          <w:tcPr>
            <w:tcW w:w="1080" w:type="dxa"/>
            <w:tcBorders>
              <w:top w:val="single" w:sz="6" w:space="0" w:color="000000"/>
              <w:left w:val="single" w:sz="6" w:space="0" w:color="000000"/>
              <w:bottom w:val="single" w:sz="6" w:space="0" w:color="000000"/>
              <w:right w:val="single" w:sz="6" w:space="0" w:color="000000"/>
            </w:tcBorders>
          </w:tcPr>
          <w:p w14:paraId="7B96BF10" w14:textId="77777777" w:rsidR="00D7303D" w:rsidRPr="00342F7C" w:rsidRDefault="00D7303D" w:rsidP="00F75D4E">
            <w:pPr>
              <w:pStyle w:val="EMEANormal"/>
              <w:keepNext/>
              <w:jc w:val="center"/>
              <w:rPr>
                <w:color w:val="000000"/>
                <w:szCs w:val="22"/>
                <w:lang w:val="en-GB"/>
              </w:rPr>
            </w:pPr>
            <w:r w:rsidRPr="00342F7C">
              <w:rPr>
                <w:color w:val="000000"/>
                <w:szCs w:val="22"/>
                <w:lang w:val="en-GB"/>
              </w:rPr>
              <w:t>122</w:t>
            </w:r>
          </w:p>
        </w:tc>
        <w:tc>
          <w:tcPr>
            <w:tcW w:w="1617" w:type="dxa"/>
            <w:tcBorders>
              <w:top w:val="single" w:sz="6" w:space="0" w:color="000000"/>
              <w:left w:val="single" w:sz="6" w:space="0" w:color="000000"/>
              <w:bottom w:val="single" w:sz="6" w:space="0" w:color="000000"/>
              <w:right w:val="single" w:sz="6" w:space="0" w:color="000000"/>
            </w:tcBorders>
          </w:tcPr>
          <w:p w14:paraId="612CBDA0" w14:textId="77777777" w:rsidR="00D7303D" w:rsidRPr="00342F7C" w:rsidRDefault="00D7303D" w:rsidP="00F75D4E">
            <w:pPr>
              <w:pStyle w:val="EMEANormal"/>
              <w:keepNext/>
              <w:jc w:val="center"/>
              <w:rPr>
                <w:color w:val="000000"/>
                <w:szCs w:val="22"/>
                <w:lang w:val="en-GB"/>
              </w:rPr>
            </w:pPr>
          </w:p>
        </w:tc>
      </w:tr>
    </w:tbl>
    <w:p w14:paraId="46965581" w14:textId="77777777" w:rsidR="00D7303D" w:rsidRPr="00342F7C" w:rsidRDefault="00D7303D">
      <w:pPr>
        <w:pStyle w:val="EMEANormal"/>
        <w:rPr>
          <w:lang w:val="en-GB"/>
        </w:rPr>
      </w:pPr>
    </w:p>
    <w:p w14:paraId="105B13C0" w14:textId="77777777" w:rsidR="00D7303D" w:rsidRDefault="00D7303D">
      <w:pPr>
        <w:pStyle w:val="EMEANormal"/>
        <w:rPr>
          <w:lang w:val="en-GB"/>
        </w:rPr>
      </w:pPr>
      <w:r w:rsidRPr="00342F7C">
        <w:rPr>
          <w:lang w:val="en-GB"/>
        </w:rPr>
        <w:t>Through Week 48, genotypic resistance testing results were available from 75 patients in the QD group and 75 patients in the BID group who had incomplete virologic response.  In the QD group, 6/75 (8%) patients demonstrated new primary protease inhibitor mutations (codons 30, 32, 48, 50, 82, 84, 90), as did 12/77 (16%) patients in the BID group.</w:t>
      </w:r>
    </w:p>
    <w:p w14:paraId="11117715" w14:textId="77777777" w:rsidR="00A67625" w:rsidRPr="00342F7C" w:rsidRDefault="00A67625">
      <w:pPr>
        <w:pStyle w:val="EMEANormal"/>
        <w:rPr>
          <w:lang w:val="en-GB"/>
        </w:rPr>
      </w:pPr>
    </w:p>
    <w:p w14:paraId="66121B4C" w14:textId="77777777" w:rsidR="00D7303D" w:rsidRDefault="00D7303D" w:rsidP="00A67625">
      <w:pPr>
        <w:pStyle w:val="EMEAHeadingItalic"/>
        <w:spacing w:beforeLines="0" w:before="0" w:afterLines="0" w:after="0"/>
        <w:rPr>
          <w:lang w:val="en-GB"/>
        </w:rPr>
      </w:pPr>
      <w:r w:rsidRPr="00342F7C">
        <w:rPr>
          <w:lang w:val="en-GB"/>
        </w:rPr>
        <w:t>Paediatric Use</w:t>
      </w:r>
    </w:p>
    <w:p w14:paraId="5FAE1510" w14:textId="77777777" w:rsidR="00A67625" w:rsidRPr="00A67625" w:rsidRDefault="00A67625" w:rsidP="00A67625">
      <w:pPr>
        <w:pStyle w:val="EMEANormal"/>
        <w:rPr>
          <w:lang w:val="en-GB"/>
        </w:rPr>
      </w:pPr>
    </w:p>
    <w:p w14:paraId="346AFA94" w14:textId="77777777" w:rsidR="00D7303D" w:rsidRPr="00342F7C" w:rsidRDefault="00D7303D">
      <w:pPr>
        <w:pStyle w:val="EMEANormal"/>
        <w:rPr>
          <w:lang w:val="en-GB"/>
        </w:rPr>
      </w:pPr>
      <w:r w:rsidRPr="00342F7C">
        <w:rPr>
          <w:lang w:val="en-GB"/>
        </w:rPr>
        <w:t>M98-940 was an open-label study of a liquid formulation of Kaletra in 100 antiretroviral naïve (44%) and experienced (56%) paediatric patients.  All patients were non-nucleoside reverse transcriptase inhibitor naïve.  Patients were randomised to either 230 mg lopinavir/57.5 mg ritonavir per m</w:t>
      </w:r>
      <w:r w:rsidRPr="00342F7C">
        <w:rPr>
          <w:vertAlign w:val="superscript"/>
          <w:lang w:val="en-GB"/>
        </w:rPr>
        <w:t>2</w:t>
      </w:r>
      <w:r w:rsidRPr="00342F7C">
        <w:rPr>
          <w:lang w:val="en-GB"/>
        </w:rPr>
        <w:t xml:space="preserve"> or 300 mg lopinavir/75 mg ritonavir per m</w:t>
      </w:r>
      <w:r w:rsidRPr="00342F7C">
        <w:rPr>
          <w:vertAlign w:val="superscript"/>
          <w:lang w:val="en-GB"/>
        </w:rPr>
        <w:t>2</w:t>
      </w:r>
      <w:r w:rsidRPr="00342F7C">
        <w:rPr>
          <w:lang w:val="en-GB"/>
        </w:rPr>
        <w:t xml:space="preserve">.  Naïve patients also received nucleoside reverse transcriptase inhibitors.  Experienced patients received nevirapine plus up to two nucleoside reverse transcriptase inhibitors.  </w:t>
      </w:r>
      <w:r w:rsidRPr="00342F7C">
        <w:rPr>
          <w:snapToGrid w:val="0"/>
          <w:lang w:val="en-GB"/>
        </w:rPr>
        <w:t>Safety, efficacy and pharmacokinetic profiles of the two dose regimens were assessed after 3 weeks of therapy in each patient.  Subsequently, all patients were continued on the 300/75 mg per m</w:t>
      </w:r>
      <w:r w:rsidRPr="00342F7C">
        <w:rPr>
          <w:snapToGrid w:val="0"/>
          <w:vertAlign w:val="superscript"/>
          <w:lang w:val="en-GB"/>
        </w:rPr>
        <w:t>2</w:t>
      </w:r>
      <w:r w:rsidRPr="00342F7C">
        <w:rPr>
          <w:snapToGrid w:val="0"/>
          <w:lang w:val="en-GB"/>
        </w:rPr>
        <w:t xml:space="preserve"> dose.</w:t>
      </w:r>
      <w:r w:rsidRPr="00342F7C">
        <w:rPr>
          <w:lang w:val="en-GB"/>
        </w:rPr>
        <w:t xml:space="preserve">  Patients had a mean age of 5 years (range 6 months to 12 years) with 14 patients less than 2 years old and 6 patients one year or less.  Mean baseline CD4+ T-cell count was 838 cells/mm</w:t>
      </w:r>
      <w:r w:rsidRPr="00342F7C">
        <w:rPr>
          <w:vertAlign w:val="superscript"/>
          <w:lang w:val="en-GB"/>
        </w:rPr>
        <w:t>3</w:t>
      </w:r>
      <w:r w:rsidRPr="00342F7C">
        <w:rPr>
          <w:lang w:val="en-GB"/>
        </w:rPr>
        <w:t xml:space="preserve"> and mean baseline plasma HIV-1 RNA was 4.7 log</w:t>
      </w:r>
      <w:r w:rsidRPr="00342F7C">
        <w:rPr>
          <w:vertAlign w:val="subscript"/>
          <w:lang w:val="en-GB"/>
        </w:rPr>
        <w:t>10 </w:t>
      </w:r>
      <w:r w:rsidRPr="00342F7C">
        <w:rPr>
          <w:lang w:val="en-GB"/>
        </w:rPr>
        <w:t xml:space="preserve">copies/ml.  </w:t>
      </w:r>
    </w:p>
    <w:p w14:paraId="071BCB99" w14:textId="77777777" w:rsidR="00D7303D" w:rsidRPr="00342F7C" w:rsidRDefault="00D7303D">
      <w:pPr>
        <w:pStyle w:val="EMEANormal"/>
        <w:rPr>
          <w:lang w:val="en-GB"/>
        </w:rPr>
      </w:pPr>
    </w:p>
    <w:p w14:paraId="505E592A" w14:textId="77777777" w:rsidR="00D7303D" w:rsidRPr="00342F7C" w:rsidRDefault="00D7303D" w:rsidP="002A3B2E">
      <w:pPr>
        <w:pStyle w:val="EMEANormal"/>
        <w:keepNext/>
        <w:rPr>
          <w:lang w:val="en-GB"/>
        </w:rPr>
      </w:pPr>
      <w:r w:rsidRPr="00342F7C">
        <w:rPr>
          <w:lang w:val="en-GB"/>
        </w:rPr>
        <w:t xml:space="preserve">Table 5 </w:t>
      </w:r>
    </w:p>
    <w:p w14:paraId="4E8F7D05" w14:textId="77777777" w:rsidR="00D7303D" w:rsidRPr="00342F7C" w:rsidRDefault="00D7303D" w:rsidP="002A3B2E">
      <w:pPr>
        <w:pStyle w:val="EMEANormal"/>
        <w:keepNext/>
        <w:rPr>
          <w:lang w:val="en-GB"/>
        </w:rPr>
      </w:pPr>
    </w:p>
    <w:tbl>
      <w:tblPr>
        <w:tblW w:w="7730"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0"/>
        <w:gridCol w:w="2520"/>
        <w:gridCol w:w="2210"/>
      </w:tblGrid>
      <w:tr w:rsidR="00D7303D" w:rsidRPr="00342F7C" w14:paraId="5401013D" w14:textId="77777777" w:rsidTr="008541E3">
        <w:tc>
          <w:tcPr>
            <w:tcW w:w="7730" w:type="dxa"/>
            <w:gridSpan w:val="3"/>
          </w:tcPr>
          <w:p w14:paraId="71BBFDB5" w14:textId="77777777" w:rsidR="00D7303D" w:rsidRPr="00342F7C" w:rsidRDefault="00D7303D" w:rsidP="002A3B2E">
            <w:pPr>
              <w:pStyle w:val="EMEANormal"/>
              <w:keepNext/>
              <w:spacing w:before="120" w:after="120"/>
              <w:jc w:val="center"/>
              <w:rPr>
                <w:lang w:val="en-GB"/>
              </w:rPr>
            </w:pPr>
            <w:r w:rsidRPr="00342F7C">
              <w:rPr>
                <w:b/>
                <w:lang w:val="en-GB"/>
              </w:rPr>
              <w:t>Outcomes at Week 48: Study M98-940</w:t>
            </w:r>
          </w:p>
        </w:tc>
      </w:tr>
      <w:tr w:rsidR="00D7303D" w:rsidRPr="00342F7C" w14:paraId="06308AB7" w14:textId="77777777" w:rsidTr="008541E3">
        <w:tc>
          <w:tcPr>
            <w:tcW w:w="3000" w:type="dxa"/>
          </w:tcPr>
          <w:p w14:paraId="45995DFF" w14:textId="77777777" w:rsidR="00D7303D" w:rsidRPr="00342F7C" w:rsidRDefault="00D7303D" w:rsidP="002A3B2E">
            <w:pPr>
              <w:pStyle w:val="EMEANormal"/>
              <w:keepNext/>
              <w:rPr>
                <w:lang w:val="en-GB"/>
              </w:rPr>
            </w:pPr>
          </w:p>
        </w:tc>
        <w:tc>
          <w:tcPr>
            <w:tcW w:w="2520" w:type="dxa"/>
          </w:tcPr>
          <w:p w14:paraId="27B7DB80" w14:textId="77777777" w:rsidR="00D7303D" w:rsidRPr="00342F7C" w:rsidRDefault="00D7303D" w:rsidP="002A3B2E">
            <w:pPr>
              <w:pStyle w:val="EMEANormal"/>
              <w:keepNext/>
              <w:jc w:val="center"/>
              <w:rPr>
                <w:lang w:val="en-GB"/>
              </w:rPr>
            </w:pPr>
            <w:r w:rsidRPr="00342F7C">
              <w:rPr>
                <w:b/>
                <w:lang w:val="en-GB"/>
              </w:rPr>
              <w:t>Antiretroviral Naïve (N=44)</w:t>
            </w:r>
          </w:p>
        </w:tc>
        <w:tc>
          <w:tcPr>
            <w:tcW w:w="2210" w:type="dxa"/>
          </w:tcPr>
          <w:p w14:paraId="536C8B80" w14:textId="77777777" w:rsidR="00D7303D" w:rsidRPr="00342F7C" w:rsidRDefault="00D7303D" w:rsidP="002A3B2E">
            <w:pPr>
              <w:pStyle w:val="EMEANormal"/>
              <w:keepNext/>
              <w:jc w:val="center"/>
              <w:rPr>
                <w:lang w:val="en-GB"/>
              </w:rPr>
            </w:pPr>
            <w:r w:rsidRPr="00342F7C">
              <w:rPr>
                <w:b/>
                <w:lang w:val="en-GB"/>
              </w:rPr>
              <w:t>Antiretroviral Experienced (N=56)</w:t>
            </w:r>
          </w:p>
        </w:tc>
      </w:tr>
      <w:tr w:rsidR="00D7303D" w:rsidRPr="00342F7C" w14:paraId="1D0CA955" w14:textId="77777777" w:rsidTr="008541E3">
        <w:tc>
          <w:tcPr>
            <w:tcW w:w="3000" w:type="dxa"/>
          </w:tcPr>
          <w:p w14:paraId="0F464076" w14:textId="77777777" w:rsidR="00D7303D" w:rsidRPr="00342F7C" w:rsidRDefault="00D7303D" w:rsidP="001C4CD7">
            <w:pPr>
              <w:pStyle w:val="EMEANormal"/>
              <w:rPr>
                <w:lang w:val="en-GB"/>
              </w:rPr>
            </w:pPr>
            <w:r w:rsidRPr="00342F7C">
              <w:rPr>
                <w:lang w:val="en-GB"/>
              </w:rPr>
              <w:t>HIV RNA &lt; 400 copies/ml</w:t>
            </w:r>
          </w:p>
        </w:tc>
        <w:tc>
          <w:tcPr>
            <w:tcW w:w="2520" w:type="dxa"/>
          </w:tcPr>
          <w:p w14:paraId="1523A844" w14:textId="77777777" w:rsidR="00D7303D" w:rsidRPr="00342F7C" w:rsidRDefault="00D7303D" w:rsidP="008541E3">
            <w:pPr>
              <w:pStyle w:val="EMEANormal"/>
              <w:jc w:val="center"/>
              <w:rPr>
                <w:lang w:val="en-GB"/>
              </w:rPr>
            </w:pPr>
            <w:r w:rsidRPr="00342F7C">
              <w:rPr>
                <w:lang w:val="en-GB"/>
              </w:rPr>
              <w:t>84%</w:t>
            </w:r>
          </w:p>
        </w:tc>
        <w:tc>
          <w:tcPr>
            <w:tcW w:w="2210" w:type="dxa"/>
          </w:tcPr>
          <w:p w14:paraId="13FAF16D" w14:textId="77777777" w:rsidR="00D7303D" w:rsidRPr="00342F7C" w:rsidRDefault="00D7303D" w:rsidP="008541E3">
            <w:pPr>
              <w:pStyle w:val="EMEANormal"/>
              <w:jc w:val="center"/>
              <w:rPr>
                <w:lang w:val="en-GB"/>
              </w:rPr>
            </w:pPr>
            <w:r w:rsidRPr="00342F7C">
              <w:rPr>
                <w:lang w:val="en-GB"/>
              </w:rPr>
              <w:t>75%</w:t>
            </w:r>
          </w:p>
        </w:tc>
      </w:tr>
      <w:tr w:rsidR="00D7303D" w:rsidRPr="00342F7C" w14:paraId="2354AF1E" w14:textId="77777777" w:rsidTr="008541E3">
        <w:tc>
          <w:tcPr>
            <w:tcW w:w="3000" w:type="dxa"/>
          </w:tcPr>
          <w:p w14:paraId="09C8E757" w14:textId="77777777" w:rsidR="00D7303D" w:rsidRPr="00342F7C" w:rsidRDefault="00D7303D" w:rsidP="001C4CD7">
            <w:pPr>
              <w:pStyle w:val="EMEANormal"/>
              <w:rPr>
                <w:lang w:val="en-GB"/>
              </w:rPr>
            </w:pPr>
            <w:r w:rsidRPr="00342F7C">
              <w:rPr>
                <w:lang w:val="en-GB"/>
              </w:rPr>
              <w:t>Mean increase from baseline in CD4+ T-cell count (cells/mm</w:t>
            </w:r>
            <w:r w:rsidRPr="00342F7C">
              <w:rPr>
                <w:vertAlign w:val="superscript"/>
                <w:lang w:val="en-GB"/>
              </w:rPr>
              <w:t>3</w:t>
            </w:r>
            <w:r w:rsidRPr="00342F7C">
              <w:rPr>
                <w:lang w:val="en-GB"/>
              </w:rPr>
              <w:t>)</w:t>
            </w:r>
          </w:p>
        </w:tc>
        <w:tc>
          <w:tcPr>
            <w:tcW w:w="2520" w:type="dxa"/>
          </w:tcPr>
          <w:p w14:paraId="7B5FB6B0" w14:textId="77777777" w:rsidR="00D7303D" w:rsidRPr="00342F7C" w:rsidRDefault="00D7303D" w:rsidP="008541E3">
            <w:pPr>
              <w:pStyle w:val="EMEANormal"/>
              <w:jc w:val="center"/>
              <w:rPr>
                <w:lang w:val="en-GB"/>
              </w:rPr>
            </w:pPr>
            <w:r w:rsidRPr="00342F7C">
              <w:rPr>
                <w:lang w:val="en-GB"/>
              </w:rPr>
              <w:t>404</w:t>
            </w:r>
          </w:p>
        </w:tc>
        <w:tc>
          <w:tcPr>
            <w:tcW w:w="2210" w:type="dxa"/>
          </w:tcPr>
          <w:p w14:paraId="21F08616" w14:textId="77777777" w:rsidR="00D7303D" w:rsidRPr="00342F7C" w:rsidRDefault="00D7303D" w:rsidP="008541E3">
            <w:pPr>
              <w:pStyle w:val="EMEANormal"/>
              <w:jc w:val="center"/>
              <w:rPr>
                <w:lang w:val="en-GB"/>
              </w:rPr>
            </w:pPr>
            <w:r w:rsidRPr="00342F7C">
              <w:rPr>
                <w:lang w:val="en-GB"/>
              </w:rPr>
              <w:t>284</w:t>
            </w:r>
          </w:p>
        </w:tc>
      </w:tr>
    </w:tbl>
    <w:p w14:paraId="02CEE36D" w14:textId="77777777" w:rsidR="00A67625" w:rsidRDefault="00A67625" w:rsidP="00A67625">
      <w:pPr>
        <w:pStyle w:val="EMEAHeading2SPC"/>
        <w:spacing w:beforeLines="0" w:before="0" w:afterLines="0" w:after="0"/>
        <w:rPr>
          <w:rFonts w:ascii="Times New Roman" w:hAnsi="Times New Roman"/>
          <w:b w:val="0"/>
          <w:lang w:val="en-GB"/>
        </w:rPr>
      </w:pPr>
    </w:p>
    <w:p w14:paraId="55F771B0" w14:textId="77777777" w:rsidR="00355E0A" w:rsidRDefault="00355E0A" w:rsidP="00A67625">
      <w:pPr>
        <w:pStyle w:val="EMEAHeading2SPC"/>
        <w:spacing w:beforeLines="0" w:before="0" w:afterLines="0" w:after="0"/>
        <w:rPr>
          <w:rFonts w:ascii="Times New Roman" w:hAnsi="Times New Roman"/>
          <w:b w:val="0"/>
          <w:lang w:val="en-GB"/>
        </w:rPr>
      </w:pPr>
      <w:r>
        <w:rPr>
          <w:rFonts w:ascii="Times New Roman" w:hAnsi="Times New Roman"/>
          <w:b w:val="0"/>
          <w:lang w:val="en-GB"/>
        </w:rPr>
        <w:t xml:space="preserve">KONCERT/PENTA 18 is a prospective multicentre, randomised, open-label study that evaluated the pharmacokinetic profile, efficacy and safety of twice-daily versus once-daily dosing of lopinavir/ritonavir 100 mg/25 mg tablets dosed by weight as part of combination antiretroviral therapy (cART) in virologically suppressed HIV-1 infected children (n=173).  Children were eligible when they were aged &lt;18 years, ≥15 kg in weight, receiving cART that included lopinavir/ritonavir, HIV-1 ribonucleic acid (RNA) &lt;50 copies/ml for at least 24 weeks and able to swallow tablets.  At week </w:t>
      </w:r>
      <w:r w:rsidR="003C4A95">
        <w:rPr>
          <w:rFonts w:ascii="Times New Roman" w:hAnsi="Times New Roman"/>
          <w:b w:val="0"/>
          <w:lang w:val="en-GB"/>
        </w:rPr>
        <w:t>48</w:t>
      </w:r>
      <w:r>
        <w:rPr>
          <w:rFonts w:ascii="Times New Roman" w:hAnsi="Times New Roman"/>
          <w:b w:val="0"/>
          <w:lang w:val="en-GB"/>
        </w:rPr>
        <w:t>, the efficacy and safety with twice-daily dosing (n=87) in the paediatric population given lopinavir/ritonavir 100 mg/25 mg tablets was consistent with the efficacy and safety findings in previous adult and paediatric studies using lopinavir/ritonavir twice dail</w:t>
      </w:r>
      <w:r w:rsidR="003C4A95">
        <w:rPr>
          <w:rFonts w:ascii="Times New Roman" w:hAnsi="Times New Roman"/>
          <w:b w:val="0"/>
          <w:lang w:val="en-GB"/>
        </w:rPr>
        <w:t>y.  The percentage of patients with confirmed viral rebound &gt;</w:t>
      </w:r>
      <w:r>
        <w:rPr>
          <w:rFonts w:ascii="Times New Roman" w:hAnsi="Times New Roman"/>
          <w:b w:val="0"/>
          <w:lang w:val="en-GB"/>
        </w:rPr>
        <w:t xml:space="preserve">50 copies/ml </w:t>
      </w:r>
      <w:r w:rsidR="003C4A95">
        <w:rPr>
          <w:rFonts w:ascii="Times New Roman" w:hAnsi="Times New Roman"/>
          <w:b w:val="0"/>
          <w:lang w:val="en-GB"/>
        </w:rPr>
        <w:t>during 48 weeks of follow</w:t>
      </w:r>
      <w:r w:rsidR="003C4A95">
        <w:rPr>
          <w:rFonts w:ascii="Times New Roman" w:hAnsi="Times New Roman"/>
          <w:b w:val="0"/>
          <w:lang w:val="en-GB"/>
        </w:rPr>
        <w:noBreakHyphen/>
        <w:t xml:space="preserve">up </w:t>
      </w:r>
      <w:r>
        <w:rPr>
          <w:rFonts w:ascii="Times New Roman" w:hAnsi="Times New Roman"/>
          <w:b w:val="0"/>
          <w:lang w:val="en-GB"/>
        </w:rPr>
        <w:t xml:space="preserve">was </w:t>
      </w:r>
      <w:r w:rsidR="003C4A95">
        <w:rPr>
          <w:rFonts w:ascii="Times New Roman" w:hAnsi="Times New Roman"/>
          <w:b w:val="0"/>
          <w:lang w:val="en-GB"/>
        </w:rPr>
        <w:t>higher</w:t>
      </w:r>
      <w:r>
        <w:rPr>
          <w:rFonts w:ascii="Times New Roman" w:hAnsi="Times New Roman"/>
          <w:b w:val="0"/>
          <w:lang w:val="en-GB"/>
        </w:rPr>
        <w:t xml:space="preserve"> in the</w:t>
      </w:r>
      <w:r w:rsidR="003C4A95">
        <w:rPr>
          <w:rFonts w:ascii="Times New Roman" w:hAnsi="Times New Roman"/>
          <w:b w:val="0"/>
          <w:lang w:val="en-GB"/>
        </w:rPr>
        <w:t xml:space="preserve"> paediatric patients receiving </w:t>
      </w:r>
      <w:r>
        <w:rPr>
          <w:rFonts w:ascii="Times New Roman" w:hAnsi="Times New Roman"/>
          <w:b w:val="0"/>
          <w:lang w:val="en-GB"/>
        </w:rPr>
        <w:t>lopinavir/ritonavir tablets once daily (</w:t>
      </w:r>
      <w:r w:rsidR="003C4A95">
        <w:rPr>
          <w:rFonts w:ascii="Times New Roman" w:hAnsi="Times New Roman"/>
          <w:b w:val="0"/>
          <w:lang w:val="en-GB"/>
        </w:rPr>
        <w:t>1</w:t>
      </w:r>
      <w:r>
        <w:rPr>
          <w:rFonts w:ascii="Times New Roman" w:hAnsi="Times New Roman"/>
          <w:b w:val="0"/>
          <w:lang w:val="en-GB"/>
        </w:rPr>
        <w:t>2%) than in patients receiving the twice-daily dosing (</w:t>
      </w:r>
      <w:r w:rsidR="003C4A95">
        <w:rPr>
          <w:rFonts w:ascii="Times New Roman" w:hAnsi="Times New Roman"/>
          <w:b w:val="0"/>
          <w:lang w:val="en-GB"/>
        </w:rPr>
        <w:t>8</w:t>
      </w:r>
      <w:r>
        <w:rPr>
          <w:rFonts w:ascii="Times New Roman" w:hAnsi="Times New Roman"/>
          <w:b w:val="0"/>
          <w:lang w:val="en-GB"/>
        </w:rPr>
        <w:t>%, p = 0.</w:t>
      </w:r>
      <w:r w:rsidR="003C4A95">
        <w:rPr>
          <w:rFonts w:ascii="Times New Roman" w:hAnsi="Times New Roman"/>
          <w:b w:val="0"/>
          <w:lang w:val="en-GB"/>
        </w:rPr>
        <w:t>19</w:t>
      </w:r>
      <w:r>
        <w:rPr>
          <w:rFonts w:ascii="Times New Roman" w:hAnsi="Times New Roman"/>
          <w:b w:val="0"/>
          <w:lang w:val="en-GB"/>
        </w:rPr>
        <w:t>), mainly due to lower adherence in the once-daily group.  The efficacy data favouring the twice-daily regimen are reinforced by a differential in pharmacokinetic parameters significantly favouring the twice-daily regimen (see section</w:t>
      </w:r>
      <w:r w:rsidR="003C4A95">
        <w:rPr>
          <w:rFonts w:ascii="Times New Roman" w:hAnsi="Times New Roman"/>
          <w:b w:val="0"/>
          <w:lang w:val="en-GB"/>
        </w:rPr>
        <w:t xml:space="preserve"> </w:t>
      </w:r>
      <w:r>
        <w:rPr>
          <w:rFonts w:ascii="Times New Roman" w:hAnsi="Times New Roman"/>
          <w:b w:val="0"/>
          <w:lang w:val="en-GB"/>
        </w:rPr>
        <w:t>5.2).</w:t>
      </w:r>
    </w:p>
    <w:p w14:paraId="10D14369" w14:textId="77777777" w:rsidR="00A67625" w:rsidRPr="00A67625" w:rsidRDefault="00A67625" w:rsidP="00A67625">
      <w:pPr>
        <w:pStyle w:val="EMEANormal"/>
        <w:rPr>
          <w:lang w:val="en-GB"/>
        </w:rPr>
      </w:pPr>
    </w:p>
    <w:p w14:paraId="4713CECA" w14:textId="77777777" w:rsidR="00D7303D" w:rsidRDefault="00266A4D" w:rsidP="00A67625">
      <w:pPr>
        <w:pStyle w:val="EMEAHeading2SPC"/>
        <w:spacing w:beforeLines="0" w:before="0" w:afterLines="0" w:after="0"/>
        <w:rPr>
          <w:rFonts w:ascii="Times New Roman" w:hAnsi="Times New Roman"/>
          <w:lang w:val="en-GB"/>
        </w:rPr>
      </w:pPr>
      <w:r>
        <w:rPr>
          <w:rFonts w:ascii="Times New Roman" w:hAnsi="Times New Roman"/>
          <w:lang w:val="en-GB"/>
        </w:rPr>
        <w:t>5.2</w:t>
      </w:r>
      <w:r w:rsidR="00D7303D" w:rsidRPr="00342F7C">
        <w:rPr>
          <w:rFonts w:ascii="Times New Roman" w:hAnsi="Times New Roman"/>
          <w:lang w:val="en-GB"/>
        </w:rPr>
        <w:tab/>
        <w:t>Pharmacokinetic properties</w:t>
      </w:r>
    </w:p>
    <w:p w14:paraId="5DF0E556" w14:textId="77777777" w:rsidR="00A67625" w:rsidRPr="00A67625" w:rsidRDefault="00A67625" w:rsidP="00A67625">
      <w:pPr>
        <w:pStyle w:val="EMEANormal"/>
        <w:rPr>
          <w:lang w:val="en-GB"/>
        </w:rPr>
      </w:pPr>
    </w:p>
    <w:p w14:paraId="7D9AF8CB" w14:textId="77777777" w:rsidR="00D7303D" w:rsidRPr="00342F7C" w:rsidRDefault="00D7303D">
      <w:pPr>
        <w:rPr>
          <w:sz w:val="22"/>
        </w:rPr>
      </w:pPr>
      <w:r w:rsidRPr="00342F7C">
        <w:rPr>
          <w:sz w:val="22"/>
        </w:rPr>
        <w:t xml:space="preserve">The pharmacokinetic properties of lopinavir co-administered with ritonavir have been evaluated in healthy adult volunteers and in HIV-infected patients; no substantial differences were observed between the two groups.  Lopinavir is essentially completely metabolised by CYP3A.  Ritonavir inhibits the metabolism of lopinavir, thereby increasing the plasma levels of lopinavir.  Across studies, administration of Kaletra 400/100 mg twice daily yields mean steady-state lopinavir plasma concentrations 15 to 20-fold higher than those of ritonavir in HIV-infected patients.  The plasma levels of ritonavir are less than 7% of those obtained after the ritonavir dose of 600 mg twice daily.  The </w:t>
      </w:r>
      <w:r w:rsidRPr="00342F7C">
        <w:rPr>
          <w:i/>
          <w:sz w:val="22"/>
        </w:rPr>
        <w:t>in vitro</w:t>
      </w:r>
      <w:r w:rsidRPr="00342F7C">
        <w:rPr>
          <w:sz w:val="22"/>
        </w:rPr>
        <w:t xml:space="preserve"> antiviral EC</w:t>
      </w:r>
      <w:r w:rsidRPr="00342F7C">
        <w:rPr>
          <w:sz w:val="22"/>
          <w:vertAlign w:val="subscript"/>
        </w:rPr>
        <w:t>50</w:t>
      </w:r>
      <w:r w:rsidRPr="00342F7C">
        <w:rPr>
          <w:sz w:val="22"/>
        </w:rPr>
        <w:t xml:space="preserve"> of lopinavir is approximately 10-fold lower than that of ritonavir.  Therefore, the antiviral activity of Kaletra is due to lopinavir.</w:t>
      </w:r>
    </w:p>
    <w:p w14:paraId="3D477ACF" w14:textId="77777777" w:rsidR="00D7303D" w:rsidRPr="00342F7C" w:rsidRDefault="00D7303D">
      <w:pPr>
        <w:pStyle w:val="EMEANormal"/>
        <w:rPr>
          <w:lang w:val="en-GB"/>
        </w:rPr>
      </w:pPr>
    </w:p>
    <w:p w14:paraId="7A3F22CC" w14:textId="77777777" w:rsidR="00DE043E" w:rsidRDefault="00D7303D">
      <w:pPr>
        <w:pStyle w:val="EMEANormal"/>
        <w:rPr>
          <w:iCs/>
          <w:u w:val="single"/>
          <w:lang w:val="en-GB"/>
        </w:rPr>
      </w:pPr>
      <w:r w:rsidRPr="00342F7C">
        <w:rPr>
          <w:iCs/>
          <w:u w:val="single"/>
          <w:lang w:val="en-GB"/>
        </w:rPr>
        <w:t>Absorption</w:t>
      </w:r>
    </w:p>
    <w:p w14:paraId="6326F6E0" w14:textId="77777777" w:rsidR="00D7303D" w:rsidRPr="00342F7C" w:rsidRDefault="00DE043E">
      <w:pPr>
        <w:pStyle w:val="EMEANormal"/>
        <w:rPr>
          <w:lang w:val="en-GB"/>
        </w:rPr>
      </w:pPr>
      <w:r>
        <w:rPr>
          <w:lang w:val="en-GB"/>
        </w:rPr>
        <w:t>M</w:t>
      </w:r>
      <w:r w:rsidR="00D7303D" w:rsidRPr="00342F7C">
        <w:rPr>
          <w:lang w:val="en-GB"/>
        </w:rPr>
        <w:t xml:space="preserve">ultiple dosing with 400/100 mg Kaletra twice daily for 2 weeks and without meal restriction produced a mean </w:t>
      </w:r>
      <w:r w:rsidR="00D7303D" w:rsidRPr="00342F7C">
        <w:rPr>
          <w:lang w:val="en-GB"/>
        </w:rPr>
        <w:sym w:font="Symbol" w:char="F0B1"/>
      </w:r>
      <w:r w:rsidR="00D7303D" w:rsidRPr="00342F7C">
        <w:rPr>
          <w:lang w:val="en-GB"/>
        </w:rPr>
        <w:t xml:space="preserve"> SD lopinavir peak plasma concentration (C</w:t>
      </w:r>
      <w:r w:rsidR="00D7303D" w:rsidRPr="00342F7C">
        <w:rPr>
          <w:vertAlign w:val="subscript"/>
          <w:lang w:val="en-GB"/>
        </w:rPr>
        <w:t>max</w:t>
      </w:r>
      <w:r w:rsidR="00D7303D" w:rsidRPr="00342F7C">
        <w:rPr>
          <w:lang w:val="en-GB"/>
        </w:rPr>
        <w:t>) of 12.3 </w:t>
      </w:r>
      <w:r w:rsidR="00D7303D" w:rsidRPr="00342F7C">
        <w:rPr>
          <w:lang w:val="en-GB"/>
        </w:rPr>
        <w:sym w:font="Symbol" w:char="F0B1"/>
      </w:r>
      <w:r w:rsidR="00D7303D" w:rsidRPr="00342F7C">
        <w:rPr>
          <w:lang w:val="en-GB"/>
        </w:rPr>
        <w:t> 5.4 </w:t>
      </w:r>
      <w:r w:rsidR="00D7303D" w:rsidRPr="00342F7C">
        <w:rPr>
          <w:lang w:val="en-GB"/>
        </w:rPr>
        <w:sym w:font="Symbol" w:char="F06D"/>
      </w:r>
      <w:r w:rsidR="00D7303D" w:rsidRPr="00342F7C">
        <w:rPr>
          <w:lang w:val="en-GB"/>
        </w:rPr>
        <w:t>g/ml, occurring approximately 4 hours after administration.  The mean steady-state trough concentration prior to the morning dose was 8.1 </w:t>
      </w:r>
      <w:r w:rsidR="00D7303D" w:rsidRPr="00342F7C">
        <w:rPr>
          <w:lang w:val="en-GB"/>
        </w:rPr>
        <w:sym w:font="Symbol" w:char="F0B1"/>
      </w:r>
      <w:r w:rsidR="00D7303D" w:rsidRPr="00342F7C">
        <w:rPr>
          <w:lang w:val="en-GB"/>
        </w:rPr>
        <w:t> 5.7 </w:t>
      </w:r>
      <w:r w:rsidR="00D7303D" w:rsidRPr="00342F7C">
        <w:rPr>
          <w:lang w:val="en-GB"/>
        </w:rPr>
        <w:sym w:font="Symbol" w:char="F06D"/>
      </w:r>
      <w:r w:rsidR="00D7303D" w:rsidRPr="00342F7C">
        <w:rPr>
          <w:lang w:val="en-GB"/>
        </w:rPr>
        <w:t>g/ml.  Lopinavir AUC over a 12 hour dosing interval averaged 113.2 </w:t>
      </w:r>
      <w:r w:rsidR="00D7303D" w:rsidRPr="00342F7C">
        <w:rPr>
          <w:lang w:val="en-GB"/>
        </w:rPr>
        <w:sym w:font="Symbol" w:char="F0B1"/>
      </w:r>
      <w:r w:rsidR="00D7303D" w:rsidRPr="00342F7C">
        <w:rPr>
          <w:lang w:val="en-GB"/>
        </w:rPr>
        <w:t> 60.5 </w:t>
      </w:r>
      <w:r w:rsidR="00D7303D" w:rsidRPr="00342F7C">
        <w:rPr>
          <w:lang w:val="en-GB"/>
        </w:rPr>
        <w:sym w:font="Symbol" w:char="F06D"/>
      </w:r>
      <w:r w:rsidR="00D7303D" w:rsidRPr="00342F7C">
        <w:rPr>
          <w:lang w:val="en-GB"/>
        </w:rPr>
        <w:t>g</w:t>
      </w:r>
      <w:r w:rsidR="00D7303D" w:rsidRPr="00342F7C">
        <w:rPr>
          <w:lang w:val="en-GB"/>
        </w:rPr>
        <w:sym w:font="Symbol" w:char="F0B7"/>
      </w:r>
      <w:r w:rsidR="00D7303D" w:rsidRPr="00342F7C">
        <w:rPr>
          <w:lang w:val="en-GB"/>
        </w:rPr>
        <w:t>h/ml.  The absolute bioavailability of lopinavir co-formulated with ritonavir in humans has not been established.</w:t>
      </w:r>
    </w:p>
    <w:p w14:paraId="68D9D87F" w14:textId="77777777" w:rsidR="00D7303D" w:rsidRPr="00342F7C" w:rsidRDefault="00D7303D">
      <w:pPr>
        <w:pStyle w:val="EMEANormal"/>
        <w:rPr>
          <w:lang w:val="en-GB"/>
        </w:rPr>
      </w:pPr>
    </w:p>
    <w:p w14:paraId="08537A46" w14:textId="77777777" w:rsidR="00DE043E" w:rsidRDefault="00D7303D">
      <w:pPr>
        <w:pStyle w:val="EMEANormal"/>
        <w:rPr>
          <w:iCs/>
          <w:u w:val="single"/>
          <w:lang w:val="en-GB"/>
        </w:rPr>
      </w:pPr>
      <w:r w:rsidRPr="00342F7C">
        <w:rPr>
          <w:iCs/>
          <w:u w:val="single"/>
          <w:lang w:val="en-GB"/>
        </w:rPr>
        <w:t>Effects of food on oral absorption</w:t>
      </w:r>
    </w:p>
    <w:p w14:paraId="058685C2" w14:textId="77777777" w:rsidR="00D7303D" w:rsidRPr="00342F7C" w:rsidRDefault="00D7303D">
      <w:pPr>
        <w:pStyle w:val="EMEANormal"/>
        <w:rPr>
          <w:lang w:val="en-GB"/>
        </w:rPr>
      </w:pPr>
      <w:r w:rsidRPr="00342F7C">
        <w:rPr>
          <w:lang w:val="en-GB"/>
        </w:rPr>
        <w:t>Administration of a single 400/100 mg dose of Kaletra tablets under fed conditions (high fat, 872 kcal, 56% from fat) compared to fasted state was associated with no significant changes in C</w:t>
      </w:r>
      <w:r w:rsidRPr="00342F7C">
        <w:rPr>
          <w:vertAlign w:val="subscript"/>
          <w:lang w:val="en-GB"/>
        </w:rPr>
        <w:t>max</w:t>
      </w:r>
      <w:r w:rsidRPr="00342F7C">
        <w:rPr>
          <w:lang w:val="en-GB"/>
        </w:rPr>
        <w:t xml:space="preserve"> and AUC</w:t>
      </w:r>
      <w:r w:rsidRPr="00342F7C">
        <w:rPr>
          <w:vertAlign w:val="subscript"/>
          <w:lang w:val="en-GB"/>
        </w:rPr>
        <w:t>inf</w:t>
      </w:r>
      <w:r w:rsidRPr="00342F7C">
        <w:rPr>
          <w:lang w:val="en-GB"/>
        </w:rPr>
        <w:t>.  Therefore, Kaletra tablets may be taken with or without food.  Kaletra tablets have also shown less pharmacokinetic variability under all meal conditions compared to Kaletra soft capsules.</w:t>
      </w:r>
    </w:p>
    <w:p w14:paraId="14C60B0B" w14:textId="77777777" w:rsidR="00D7303D" w:rsidRPr="00342F7C" w:rsidRDefault="00D7303D">
      <w:pPr>
        <w:pStyle w:val="EMEANormal"/>
        <w:rPr>
          <w:lang w:val="en-GB"/>
        </w:rPr>
      </w:pPr>
    </w:p>
    <w:p w14:paraId="0CA254E1" w14:textId="77777777" w:rsidR="00DE043E" w:rsidRDefault="00D7303D" w:rsidP="007F01E5">
      <w:pPr>
        <w:pStyle w:val="EMEANormal"/>
        <w:keepNext/>
        <w:rPr>
          <w:iCs/>
          <w:u w:val="single"/>
          <w:lang w:val="en-GB"/>
        </w:rPr>
      </w:pPr>
      <w:r w:rsidRPr="00342F7C">
        <w:rPr>
          <w:iCs/>
          <w:u w:val="single"/>
          <w:lang w:val="en-GB"/>
        </w:rPr>
        <w:t>Distribution</w:t>
      </w:r>
    </w:p>
    <w:p w14:paraId="4A9EF1D6" w14:textId="77777777" w:rsidR="00D7303D" w:rsidRPr="00342F7C" w:rsidRDefault="00DE043E" w:rsidP="007F01E5">
      <w:pPr>
        <w:pStyle w:val="EMEANormal"/>
        <w:keepNext/>
        <w:rPr>
          <w:lang w:val="en-GB"/>
        </w:rPr>
      </w:pPr>
      <w:r>
        <w:rPr>
          <w:lang w:val="en-GB"/>
        </w:rPr>
        <w:t>A</w:t>
      </w:r>
      <w:r w:rsidR="00D7303D" w:rsidRPr="00342F7C">
        <w:rPr>
          <w:lang w:val="en-GB"/>
        </w:rPr>
        <w:t>t steady state, lopinavir is approximately 98 − 99% bound to serum proteins.  Lopinavir binds to both alpha-1-acid</w:t>
      </w:r>
      <w:r w:rsidR="00E379F9">
        <w:rPr>
          <w:lang w:val="en-GB"/>
        </w:rPr>
        <w:t xml:space="preserve"> glycoprotein (AAG) and albumin</w:t>
      </w:r>
      <w:r w:rsidR="00D7303D" w:rsidRPr="00342F7C">
        <w:rPr>
          <w:lang w:val="en-GB"/>
        </w:rPr>
        <w:t xml:space="preserve"> however, it has a higher affinity for AAG.  At steady state, lopinavir protein binding remains constant over the range of observed concentrations after 400/100 mg Kaletra twice daily, and is similar between healthy volunteers and HIV-positive patients.</w:t>
      </w:r>
    </w:p>
    <w:p w14:paraId="4EB07E20" w14:textId="77777777" w:rsidR="00D7303D" w:rsidRPr="00342F7C" w:rsidRDefault="00D7303D">
      <w:pPr>
        <w:pStyle w:val="EMEANormal"/>
        <w:rPr>
          <w:lang w:val="en-GB"/>
        </w:rPr>
      </w:pPr>
    </w:p>
    <w:p w14:paraId="63E3743B" w14:textId="77777777" w:rsidR="001927CF" w:rsidRDefault="00D7303D">
      <w:pPr>
        <w:pStyle w:val="EMEANormal"/>
        <w:rPr>
          <w:iCs/>
          <w:u w:val="single"/>
          <w:lang w:val="en-GB"/>
        </w:rPr>
      </w:pPr>
      <w:r w:rsidRPr="00342F7C">
        <w:rPr>
          <w:iCs/>
          <w:u w:val="single"/>
          <w:lang w:val="en-GB"/>
        </w:rPr>
        <w:t>Biotransformation</w:t>
      </w:r>
    </w:p>
    <w:p w14:paraId="27EED6C6" w14:textId="77777777" w:rsidR="00D7303D" w:rsidRPr="00342F7C" w:rsidRDefault="001927CF">
      <w:pPr>
        <w:pStyle w:val="EMEANormal"/>
        <w:rPr>
          <w:lang w:val="en-GB"/>
        </w:rPr>
      </w:pPr>
      <w:r>
        <w:rPr>
          <w:i/>
          <w:lang w:val="en-GB"/>
        </w:rPr>
        <w:t>I</w:t>
      </w:r>
      <w:r w:rsidR="00D7303D" w:rsidRPr="00342F7C">
        <w:rPr>
          <w:i/>
          <w:lang w:val="en-GB"/>
        </w:rPr>
        <w:t>n vitro</w:t>
      </w:r>
      <w:r w:rsidR="00D7303D" w:rsidRPr="00342F7C">
        <w:rPr>
          <w:lang w:val="en-GB"/>
        </w:rPr>
        <w:t xml:space="preserve"> experiments with human hepatic microsomes indicate that lopinavir primarily undergoes oxidative metabolism.  Lopinavir is extensively metabolised by the hepatic cytochrome P450 system, almost exclusively by isozyme CYP3A.  Ritonavir is a potent CYP3A inhibitor which inhibits the metabolism of lopinavir and therefore, increases plasma levels of lopinavir.  A </w:t>
      </w:r>
      <w:r w:rsidR="00D7303D" w:rsidRPr="00342F7C">
        <w:rPr>
          <w:vertAlign w:val="superscript"/>
          <w:lang w:val="en-GB"/>
        </w:rPr>
        <w:t>14</w:t>
      </w:r>
      <w:r w:rsidR="00D7303D" w:rsidRPr="00342F7C">
        <w:rPr>
          <w:lang w:val="en-GB"/>
        </w:rPr>
        <w:t>C</w:t>
      </w:r>
      <w:r w:rsidR="00D7303D" w:rsidRPr="00342F7C">
        <w:rPr>
          <w:lang w:val="en-GB"/>
        </w:rPr>
        <w:noBreakHyphen/>
        <w:t>lopinavir study in humans showed that 89% of the plasma radioactivity after a single 400/100 mg Kaletra dose was due to parent active substance.  At least 13 lopinavir oxidative metabolites have been identified in man.  The 4-oxo and 4-hydroxymetabolite epimeric pair are the major metabolites with antiviral activity, but comprise only minute amounts of total plasma radioactivity.  Ritonavir has been shown to induce metabolic enzymes, resulting in the induction of its own metabolism, and likely the induction of lopinavir metabolism.  Pre-dose lopinavir concentrations decline with time during multiple dosing, stabilising after approximately 10 days to 2 weeks.</w:t>
      </w:r>
    </w:p>
    <w:p w14:paraId="10B22D85" w14:textId="77777777" w:rsidR="00D7303D" w:rsidRPr="00342F7C" w:rsidRDefault="00D7303D">
      <w:pPr>
        <w:pStyle w:val="EMEANormal"/>
        <w:rPr>
          <w:lang w:val="en-GB"/>
        </w:rPr>
      </w:pPr>
    </w:p>
    <w:p w14:paraId="1E88F4A7" w14:textId="77777777" w:rsidR="001927CF" w:rsidRDefault="00D7303D">
      <w:pPr>
        <w:pStyle w:val="EMEANormal"/>
        <w:rPr>
          <w:iCs/>
          <w:u w:val="single"/>
          <w:lang w:val="en-GB"/>
        </w:rPr>
      </w:pPr>
      <w:r w:rsidRPr="00342F7C">
        <w:rPr>
          <w:iCs/>
          <w:u w:val="single"/>
          <w:lang w:val="en-GB"/>
        </w:rPr>
        <w:t>Elimination</w:t>
      </w:r>
    </w:p>
    <w:p w14:paraId="071E5A07" w14:textId="77777777" w:rsidR="00D7303D" w:rsidRPr="00342F7C" w:rsidRDefault="001927CF" w:rsidP="002A375B">
      <w:pPr>
        <w:pStyle w:val="EMEANormal"/>
        <w:rPr>
          <w:lang w:val="en-GB"/>
        </w:rPr>
      </w:pPr>
      <w:r>
        <w:rPr>
          <w:lang w:val="en-GB"/>
        </w:rPr>
        <w:t>A</w:t>
      </w:r>
      <w:r w:rsidR="00D7303D" w:rsidRPr="00342F7C">
        <w:rPr>
          <w:lang w:val="en-GB"/>
        </w:rPr>
        <w:t xml:space="preserve">fter a 400/100 mg </w:t>
      </w:r>
      <w:r w:rsidR="00D7303D" w:rsidRPr="00342F7C">
        <w:rPr>
          <w:vertAlign w:val="superscript"/>
          <w:lang w:val="en-GB"/>
        </w:rPr>
        <w:t>14</w:t>
      </w:r>
      <w:r w:rsidR="00D7303D" w:rsidRPr="00342F7C">
        <w:rPr>
          <w:lang w:val="en-GB"/>
        </w:rPr>
        <w:t>C-lopinavir/ritonavir dose, approximately 10.4 </w:t>
      </w:r>
      <w:r w:rsidR="00D7303D" w:rsidRPr="00342F7C">
        <w:rPr>
          <w:lang w:val="en-GB"/>
        </w:rPr>
        <w:sym w:font="Symbol" w:char="F0B1"/>
      </w:r>
      <w:r w:rsidR="00D7303D" w:rsidRPr="00342F7C">
        <w:rPr>
          <w:lang w:val="en-GB"/>
        </w:rPr>
        <w:t> 2.3% and 82.6 </w:t>
      </w:r>
      <w:r w:rsidR="00D7303D" w:rsidRPr="00342F7C">
        <w:rPr>
          <w:lang w:val="en-GB"/>
        </w:rPr>
        <w:sym w:font="Symbol" w:char="F0B1"/>
      </w:r>
      <w:r w:rsidR="00D7303D" w:rsidRPr="00342F7C">
        <w:rPr>
          <w:lang w:val="en-GB"/>
        </w:rPr>
        <w:t xml:space="preserve"> 2.5% of an administered dose of </w:t>
      </w:r>
      <w:r w:rsidR="00D7303D" w:rsidRPr="00342F7C">
        <w:rPr>
          <w:vertAlign w:val="superscript"/>
          <w:lang w:val="en-GB"/>
        </w:rPr>
        <w:t>14</w:t>
      </w:r>
      <w:r w:rsidR="00D7303D" w:rsidRPr="00342F7C">
        <w:rPr>
          <w:lang w:val="en-GB"/>
        </w:rPr>
        <w:t>C-lopinavir can be accounted for in urine and faeces, respectively.  Unchanged lopinavir accounted for approximately 2.2% and 19.8% of the administered dose in urine and faeces, respectively.  After multiple dosing, less than 3% of the lopinavir dose is excreted unchanged in the urine.  The effective (peak to trough) half-life of lopinavir over a 12 hour dosing interval averaged 5 − 6 hours, and the apparent oral clearance (CL/F) of lopinavir is 6 to 7 l/h.</w:t>
      </w:r>
    </w:p>
    <w:p w14:paraId="32706A3A" w14:textId="77777777" w:rsidR="00D7303D" w:rsidRPr="00342F7C" w:rsidRDefault="00D7303D" w:rsidP="002A375B">
      <w:pPr>
        <w:pStyle w:val="EMEANormal"/>
        <w:rPr>
          <w:lang w:val="en-GB"/>
        </w:rPr>
      </w:pPr>
    </w:p>
    <w:p w14:paraId="1DA808F1" w14:textId="77777777" w:rsidR="00D7303D" w:rsidRPr="00342F7C" w:rsidRDefault="00D7303D" w:rsidP="00391EBA">
      <w:pPr>
        <w:pStyle w:val="EMEANormal"/>
        <w:rPr>
          <w:lang w:val="en-GB"/>
        </w:rPr>
      </w:pPr>
      <w:r w:rsidRPr="00342F7C">
        <w:rPr>
          <w:lang w:val="en-GB"/>
        </w:rPr>
        <w:t>Once</w:t>
      </w:r>
      <w:r w:rsidR="00BD64AF">
        <w:rPr>
          <w:lang w:val="en-GB"/>
        </w:rPr>
        <w:noBreakHyphen/>
      </w:r>
      <w:r w:rsidRPr="00342F7C">
        <w:rPr>
          <w:lang w:val="en-GB"/>
        </w:rPr>
        <w:t>daily dosing: the pharmacokinetics of once daily Kaletra have been evaluated in HIV-infected subjects naïve to antiretroviral treatment.  Kaletra 800/200 mg was administered in combination with emtricitabine 200 mg and tenofovir DF 300 mg as part of a once</w:t>
      </w:r>
      <w:r w:rsidR="00BD64AF">
        <w:rPr>
          <w:lang w:val="en-GB"/>
        </w:rPr>
        <w:noBreakHyphen/>
      </w:r>
      <w:r w:rsidRPr="00342F7C">
        <w:rPr>
          <w:lang w:val="en-GB"/>
        </w:rPr>
        <w:t>daily regimen.  Multiple dosing of 800/200 mg Kaletra once daily for 2 weeks without meal restriction (n=16) produced a mean ± SD lopinavir peak plasma concentration (C</w:t>
      </w:r>
      <w:r w:rsidRPr="00342F7C">
        <w:rPr>
          <w:vertAlign w:val="subscript"/>
          <w:lang w:val="en-GB"/>
        </w:rPr>
        <w:t>max</w:t>
      </w:r>
      <w:r w:rsidRPr="00342F7C">
        <w:rPr>
          <w:lang w:val="en-GB"/>
        </w:rPr>
        <w:t>) of 14.8 ± 3.5 </w:t>
      </w:r>
      <w:r w:rsidRPr="00342F7C">
        <w:rPr>
          <w:lang w:val="en-GB"/>
        </w:rPr>
        <w:sym w:font="Symbol" w:char="F06D"/>
      </w:r>
      <w:r w:rsidRPr="00342F7C">
        <w:rPr>
          <w:lang w:val="en-GB"/>
        </w:rPr>
        <w:t>g/ml, occurring approximately 6 hours after administration.  The mean steady-state trough concentration prior to the morning dose was 5.5 ± 5.4 </w:t>
      </w:r>
      <w:r w:rsidRPr="00342F7C">
        <w:rPr>
          <w:lang w:val="en-GB"/>
        </w:rPr>
        <w:sym w:font="Symbol" w:char="F06D"/>
      </w:r>
      <w:r w:rsidRPr="00342F7C">
        <w:rPr>
          <w:lang w:val="en-GB"/>
        </w:rPr>
        <w:t>g/ml.  Lopinavir AUC over a 24 hour dosing interval averaged 206.5 ± 89.7 </w:t>
      </w:r>
      <w:r w:rsidRPr="00342F7C">
        <w:rPr>
          <w:lang w:val="en-GB"/>
        </w:rPr>
        <w:sym w:font="Symbol" w:char="F06D"/>
      </w:r>
      <w:r w:rsidRPr="00342F7C">
        <w:rPr>
          <w:lang w:val="en-GB"/>
        </w:rPr>
        <w:t>g</w:t>
      </w:r>
      <w:r w:rsidR="002F06B6" w:rsidRPr="00342F7C">
        <w:sym w:font="Symbol" w:char="F0B7"/>
      </w:r>
      <w:r w:rsidRPr="00342F7C">
        <w:rPr>
          <w:lang w:val="en-GB"/>
        </w:rPr>
        <w:t>h/ml.</w:t>
      </w:r>
    </w:p>
    <w:p w14:paraId="526BBF2B" w14:textId="77777777" w:rsidR="00D7303D" w:rsidRPr="00342F7C" w:rsidRDefault="00D7303D" w:rsidP="00391EBA">
      <w:pPr>
        <w:pStyle w:val="EMEANormal"/>
        <w:rPr>
          <w:lang w:val="en-GB"/>
        </w:rPr>
      </w:pPr>
    </w:p>
    <w:p w14:paraId="0A91C89D" w14:textId="77777777" w:rsidR="00D7303D" w:rsidRDefault="00D7303D" w:rsidP="00391EBA">
      <w:pPr>
        <w:pStyle w:val="EMEANormal"/>
        <w:rPr>
          <w:rFonts w:cs="Helv"/>
          <w:bCs/>
          <w:iCs/>
          <w:lang w:val="en-GB" w:eastAsia="en-GB"/>
        </w:rPr>
      </w:pPr>
      <w:r w:rsidRPr="00342F7C">
        <w:rPr>
          <w:rFonts w:cs="Helv"/>
          <w:bCs/>
          <w:iCs/>
          <w:lang w:val="en-GB" w:eastAsia="en-GB"/>
        </w:rPr>
        <w:t>As compared to the BID regimen, the once</w:t>
      </w:r>
      <w:r w:rsidR="00BD64AF">
        <w:rPr>
          <w:rFonts w:cs="Helv"/>
          <w:bCs/>
          <w:iCs/>
          <w:lang w:val="en-GB" w:eastAsia="en-GB"/>
        </w:rPr>
        <w:noBreakHyphen/>
      </w:r>
      <w:r w:rsidRPr="00342F7C">
        <w:rPr>
          <w:rFonts w:cs="Helv"/>
          <w:bCs/>
          <w:iCs/>
          <w:lang w:val="en-GB" w:eastAsia="en-GB"/>
        </w:rPr>
        <w:t>daily dosing is associated with a reduction in the C</w:t>
      </w:r>
      <w:r w:rsidRPr="00342F7C">
        <w:rPr>
          <w:rFonts w:cs="Helv"/>
          <w:bCs/>
          <w:iCs/>
          <w:vertAlign w:val="subscript"/>
          <w:lang w:val="en-GB" w:eastAsia="en-GB"/>
        </w:rPr>
        <w:t>min</w:t>
      </w:r>
      <w:r w:rsidRPr="00342F7C">
        <w:rPr>
          <w:rFonts w:cs="Helv"/>
          <w:bCs/>
          <w:iCs/>
          <w:lang w:val="en-GB" w:eastAsia="en-GB"/>
        </w:rPr>
        <w:t>/C</w:t>
      </w:r>
      <w:r w:rsidRPr="00342F7C">
        <w:rPr>
          <w:rFonts w:cs="Helv"/>
          <w:bCs/>
          <w:iCs/>
          <w:vertAlign w:val="subscript"/>
          <w:lang w:val="en-GB" w:eastAsia="en-GB"/>
        </w:rPr>
        <w:t>trough</w:t>
      </w:r>
      <w:r w:rsidRPr="00342F7C">
        <w:rPr>
          <w:rFonts w:cs="Helv"/>
          <w:bCs/>
          <w:iCs/>
          <w:lang w:val="en-GB" w:eastAsia="en-GB"/>
        </w:rPr>
        <w:t xml:space="preserve"> values of approximately 50%.  </w:t>
      </w:r>
    </w:p>
    <w:p w14:paraId="15C9E968" w14:textId="77777777" w:rsidR="00A67625" w:rsidRPr="00342F7C" w:rsidRDefault="00A67625" w:rsidP="00391EBA">
      <w:pPr>
        <w:pStyle w:val="EMEANormal"/>
        <w:rPr>
          <w:lang w:val="en-GB"/>
        </w:rPr>
      </w:pPr>
    </w:p>
    <w:p w14:paraId="7E0C015C" w14:textId="77777777" w:rsidR="00D7303D" w:rsidRPr="0017061C" w:rsidRDefault="00D7303D" w:rsidP="002A3B2E">
      <w:pPr>
        <w:pStyle w:val="EMEAHeadingUI"/>
        <w:spacing w:beforeLines="0" w:before="0" w:afterLines="0" w:after="0"/>
        <w:rPr>
          <w:i w:val="0"/>
          <w:lang w:val="en-GB"/>
        </w:rPr>
      </w:pPr>
      <w:r w:rsidRPr="0017061C">
        <w:rPr>
          <w:i w:val="0"/>
          <w:lang w:val="en-GB"/>
        </w:rPr>
        <w:t>Special Populations</w:t>
      </w:r>
    </w:p>
    <w:p w14:paraId="2D9D2AAC" w14:textId="77777777" w:rsidR="00A67625" w:rsidRPr="00A67625" w:rsidRDefault="00A67625" w:rsidP="002A3B2E">
      <w:pPr>
        <w:pStyle w:val="EMEANormal"/>
        <w:rPr>
          <w:lang w:val="en-GB"/>
        </w:rPr>
      </w:pPr>
    </w:p>
    <w:p w14:paraId="017AD2E4" w14:textId="77777777" w:rsidR="00D7303D" w:rsidRDefault="00D7303D" w:rsidP="002A3B2E">
      <w:pPr>
        <w:pStyle w:val="EMEAHeadingItalic"/>
        <w:spacing w:beforeLines="0" w:before="0" w:afterLines="0" w:after="0"/>
        <w:rPr>
          <w:lang w:val="en-GB"/>
        </w:rPr>
      </w:pPr>
      <w:r w:rsidRPr="00342F7C">
        <w:rPr>
          <w:lang w:val="en-GB"/>
        </w:rPr>
        <w:t>Paediatrics</w:t>
      </w:r>
    </w:p>
    <w:p w14:paraId="5FF93677" w14:textId="77777777" w:rsidR="00D7303D" w:rsidRDefault="00D7303D" w:rsidP="002A3B2E">
      <w:pPr>
        <w:rPr>
          <w:sz w:val="22"/>
          <w:szCs w:val="20"/>
        </w:rPr>
      </w:pPr>
      <w:r w:rsidRPr="00342F7C">
        <w:rPr>
          <w:sz w:val="22"/>
          <w:szCs w:val="20"/>
        </w:rPr>
        <w:t>There are limited pharmacokinetic data in children below 2 years of age.  The pharmacokinetics of Kaletra oral solution 300/75 mg/m</w:t>
      </w:r>
      <w:r w:rsidRPr="00342F7C">
        <w:rPr>
          <w:sz w:val="22"/>
          <w:szCs w:val="20"/>
          <w:vertAlign w:val="superscript"/>
        </w:rPr>
        <w:t>2</w:t>
      </w:r>
      <w:r w:rsidRPr="00342F7C">
        <w:rPr>
          <w:sz w:val="22"/>
          <w:szCs w:val="20"/>
        </w:rPr>
        <w:t xml:space="preserve"> twice daily and 230/57.5 mg/m</w:t>
      </w:r>
      <w:r w:rsidRPr="00342F7C">
        <w:rPr>
          <w:sz w:val="22"/>
          <w:szCs w:val="20"/>
          <w:vertAlign w:val="superscript"/>
        </w:rPr>
        <w:t>2</w:t>
      </w:r>
      <w:r w:rsidRPr="00342F7C">
        <w:rPr>
          <w:sz w:val="22"/>
          <w:szCs w:val="20"/>
        </w:rPr>
        <w:t xml:space="preserve"> twice daily have been studied in a total of 53 paediatric patients, ranging in age from 6 months to 12 years.  The lopinavir mean steady-state AUC, C</w:t>
      </w:r>
      <w:r w:rsidRPr="00342F7C">
        <w:rPr>
          <w:sz w:val="22"/>
          <w:szCs w:val="20"/>
          <w:vertAlign w:val="subscript"/>
        </w:rPr>
        <w:t>max</w:t>
      </w:r>
      <w:r w:rsidRPr="00342F7C">
        <w:rPr>
          <w:sz w:val="22"/>
          <w:szCs w:val="20"/>
        </w:rPr>
        <w:t>, and C</w:t>
      </w:r>
      <w:r w:rsidRPr="00342F7C">
        <w:rPr>
          <w:sz w:val="22"/>
          <w:szCs w:val="20"/>
          <w:vertAlign w:val="subscript"/>
        </w:rPr>
        <w:t>min</w:t>
      </w:r>
      <w:r w:rsidRPr="00342F7C">
        <w:rPr>
          <w:sz w:val="22"/>
          <w:szCs w:val="20"/>
        </w:rPr>
        <w:t xml:space="preserve"> were 72.6 </w:t>
      </w:r>
      <w:r w:rsidRPr="00342F7C">
        <w:rPr>
          <w:sz w:val="22"/>
          <w:szCs w:val="20"/>
        </w:rPr>
        <w:sym w:font="Symbol" w:char="F0B1"/>
      </w:r>
      <w:r w:rsidRPr="00342F7C">
        <w:rPr>
          <w:sz w:val="22"/>
          <w:szCs w:val="20"/>
        </w:rPr>
        <w:t> 31.1 </w:t>
      </w:r>
      <w:r w:rsidRPr="00342F7C">
        <w:rPr>
          <w:sz w:val="22"/>
          <w:szCs w:val="20"/>
        </w:rPr>
        <w:sym w:font="Symbol" w:char="F06D"/>
      </w:r>
      <w:r w:rsidRPr="00342F7C">
        <w:rPr>
          <w:sz w:val="22"/>
          <w:szCs w:val="20"/>
        </w:rPr>
        <w:t>g</w:t>
      </w:r>
      <w:r w:rsidRPr="00342F7C">
        <w:rPr>
          <w:sz w:val="22"/>
          <w:szCs w:val="20"/>
        </w:rPr>
        <w:sym w:font="Symbol" w:char="F0B7"/>
      </w:r>
      <w:r w:rsidRPr="00342F7C">
        <w:rPr>
          <w:sz w:val="22"/>
          <w:szCs w:val="20"/>
        </w:rPr>
        <w:t>h/ml, 8.2 </w:t>
      </w:r>
      <w:r w:rsidRPr="00342F7C">
        <w:rPr>
          <w:sz w:val="22"/>
          <w:szCs w:val="20"/>
        </w:rPr>
        <w:sym w:font="Symbol" w:char="F0B1"/>
      </w:r>
      <w:r w:rsidRPr="00342F7C">
        <w:rPr>
          <w:sz w:val="22"/>
          <w:szCs w:val="20"/>
        </w:rPr>
        <w:t> 2.9 </w:t>
      </w:r>
      <w:r w:rsidRPr="00342F7C">
        <w:rPr>
          <w:sz w:val="22"/>
          <w:szCs w:val="20"/>
        </w:rPr>
        <w:sym w:font="Symbol" w:char="F06D"/>
      </w:r>
      <w:r w:rsidRPr="00342F7C">
        <w:rPr>
          <w:sz w:val="22"/>
          <w:szCs w:val="20"/>
        </w:rPr>
        <w:t>g/ml and 3.4 </w:t>
      </w:r>
      <w:r w:rsidRPr="00342F7C">
        <w:rPr>
          <w:sz w:val="22"/>
          <w:szCs w:val="20"/>
        </w:rPr>
        <w:sym w:font="Symbol" w:char="F0B1"/>
      </w:r>
      <w:r w:rsidRPr="00342F7C">
        <w:rPr>
          <w:sz w:val="22"/>
          <w:szCs w:val="20"/>
        </w:rPr>
        <w:t> 2.1 </w:t>
      </w:r>
      <w:r w:rsidRPr="00342F7C">
        <w:rPr>
          <w:sz w:val="22"/>
          <w:szCs w:val="20"/>
        </w:rPr>
        <w:sym w:font="Symbol" w:char="F06D"/>
      </w:r>
      <w:r w:rsidRPr="00342F7C">
        <w:rPr>
          <w:sz w:val="22"/>
          <w:szCs w:val="20"/>
        </w:rPr>
        <w:t>g/ml, respectively after Kaletra oral solution 230/57.5 mg/m</w:t>
      </w:r>
      <w:r w:rsidRPr="00342F7C">
        <w:rPr>
          <w:sz w:val="22"/>
          <w:szCs w:val="20"/>
          <w:vertAlign w:val="superscript"/>
        </w:rPr>
        <w:t>2</w:t>
      </w:r>
      <w:r w:rsidRPr="00342F7C">
        <w:rPr>
          <w:sz w:val="22"/>
          <w:szCs w:val="20"/>
        </w:rPr>
        <w:t xml:space="preserve"> twice daily without nevirapine (n=12), and were 85.8 </w:t>
      </w:r>
      <w:r w:rsidRPr="00342F7C">
        <w:rPr>
          <w:sz w:val="22"/>
          <w:szCs w:val="20"/>
        </w:rPr>
        <w:sym w:font="Symbol" w:char="F0B1"/>
      </w:r>
      <w:r w:rsidRPr="00342F7C">
        <w:rPr>
          <w:sz w:val="22"/>
          <w:szCs w:val="20"/>
        </w:rPr>
        <w:t> 36.9 </w:t>
      </w:r>
      <w:r w:rsidRPr="00342F7C">
        <w:rPr>
          <w:sz w:val="22"/>
          <w:szCs w:val="20"/>
        </w:rPr>
        <w:sym w:font="Symbol" w:char="F06D"/>
      </w:r>
      <w:r w:rsidRPr="00342F7C">
        <w:rPr>
          <w:sz w:val="22"/>
          <w:szCs w:val="20"/>
        </w:rPr>
        <w:t>g</w:t>
      </w:r>
      <w:r w:rsidRPr="00342F7C">
        <w:rPr>
          <w:sz w:val="22"/>
          <w:szCs w:val="20"/>
        </w:rPr>
        <w:sym w:font="Symbol" w:char="F0B7"/>
      </w:r>
      <w:r w:rsidRPr="00342F7C">
        <w:rPr>
          <w:sz w:val="22"/>
          <w:szCs w:val="20"/>
        </w:rPr>
        <w:t>h/ml, 10.0 </w:t>
      </w:r>
      <w:r w:rsidRPr="00342F7C">
        <w:rPr>
          <w:sz w:val="22"/>
          <w:szCs w:val="20"/>
        </w:rPr>
        <w:sym w:font="Symbol" w:char="F0B1"/>
      </w:r>
      <w:r w:rsidRPr="00342F7C">
        <w:rPr>
          <w:sz w:val="22"/>
          <w:szCs w:val="20"/>
        </w:rPr>
        <w:t> 3.3 </w:t>
      </w:r>
      <w:r w:rsidRPr="00342F7C">
        <w:rPr>
          <w:sz w:val="22"/>
          <w:szCs w:val="20"/>
        </w:rPr>
        <w:sym w:font="Symbol" w:char="F06D"/>
      </w:r>
      <w:r w:rsidRPr="00342F7C">
        <w:rPr>
          <w:sz w:val="22"/>
          <w:szCs w:val="20"/>
        </w:rPr>
        <w:t>g/ml and 3.6 </w:t>
      </w:r>
      <w:r w:rsidRPr="00342F7C">
        <w:rPr>
          <w:sz w:val="22"/>
          <w:szCs w:val="20"/>
        </w:rPr>
        <w:sym w:font="Symbol" w:char="F0B1"/>
      </w:r>
      <w:r w:rsidRPr="00342F7C">
        <w:rPr>
          <w:sz w:val="22"/>
          <w:szCs w:val="20"/>
        </w:rPr>
        <w:t> 3.5 </w:t>
      </w:r>
      <w:r w:rsidRPr="00342F7C">
        <w:rPr>
          <w:sz w:val="22"/>
          <w:szCs w:val="20"/>
        </w:rPr>
        <w:sym w:font="Symbol" w:char="F06D"/>
      </w:r>
      <w:r w:rsidRPr="00342F7C">
        <w:rPr>
          <w:sz w:val="22"/>
          <w:szCs w:val="20"/>
        </w:rPr>
        <w:t>g/ml, respectively after 300/75 mg/m</w:t>
      </w:r>
      <w:r w:rsidRPr="00342F7C">
        <w:rPr>
          <w:sz w:val="22"/>
          <w:szCs w:val="20"/>
          <w:vertAlign w:val="superscript"/>
        </w:rPr>
        <w:t>2</w:t>
      </w:r>
      <w:r w:rsidRPr="00342F7C">
        <w:rPr>
          <w:sz w:val="22"/>
          <w:szCs w:val="20"/>
        </w:rPr>
        <w:t xml:space="preserve"> twice daily with nevirapine (n=12).  The 230/57.5 mg/m</w:t>
      </w:r>
      <w:r w:rsidRPr="00342F7C">
        <w:rPr>
          <w:sz w:val="22"/>
          <w:szCs w:val="20"/>
          <w:vertAlign w:val="superscript"/>
        </w:rPr>
        <w:t>2</w:t>
      </w:r>
      <w:r w:rsidRPr="00342F7C">
        <w:rPr>
          <w:sz w:val="22"/>
          <w:szCs w:val="20"/>
        </w:rPr>
        <w:t xml:space="preserve"> twice</w:t>
      </w:r>
      <w:r w:rsidR="00BD64AF">
        <w:rPr>
          <w:sz w:val="22"/>
          <w:szCs w:val="20"/>
        </w:rPr>
        <w:noBreakHyphen/>
      </w:r>
      <w:r w:rsidRPr="00342F7C">
        <w:rPr>
          <w:sz w:val="22"/>
          <w:szCs w:val="20"/>
        </w:rPr>
        <w:t>daily regimen without nevirapine and the 300/75 mg/m</w:t>
      </w:r>
      <w:r w:rsidRPr="00342F7C">
        <w:rPr>
          <w:sz w:val="22"/>
          <w:szCs w:val="20"/>
          <w:vertAlign w:val="superscript"/>
        </w:rPr>
        <w:t>2</w:t>
      </w:r>
      <w:r w:rsidRPr="00342F7C">
        <w:rPr>
          <w:sz w:val="22"/>
          <w:szCs w:val="20"/>
        </w:rPr>
        <w:t xml:space="preserve"> twice</w:t>
      </w:r>
      <w:r w:rsidR="00BD64AF">
        <w:rPr>
          <w:sz w:val="22"/>
          <w:szCs w:val="20"/>
        </w:rPr>
        <w:noBreakHyphen/>
      </w:r>
      <w:r w:rsidRPr="00342F7C">
        <w:rPr>
          <w:sz w:val="22"/>
          <w:szCs w:val="20"/>
        </w:rPr>
        <w:t>daily regimen with nevirapine provided lopinavir plasma concentrations similar to those obtained in</w:t>
      </w:r>
      <w:r w:rsidRPr="00342F7C">
        <w:rPr>
          <w:sz w:val="22"/>
        </w:rPr>
        <w:t xml:space="preserve"> </w:t>
      </w:r>
      <w:r w:rsidRPr="00342F7C">
        <w:rPr>
          <w:sz w:val="22"/>
          <w:szCs w:val="20"/>
        </w:rPr>
        <w:t>adult patients receiving the 400/100 mg twice</w:t>
      </w:r>
      <w:r w:rsidR="00BD64AF">
        <w:rPr>
          <w:sz w:val="22"/>
          <w:szCs w:val="20"/>
        </w:rPr>
        <w:noBreakHyphen/>
      </w:r>
      <w:r w:rsidRPr="00342F7C">
        <w:rPr>
          <w:sz w:val="22"/>
          <w:szCs w:val="20"/>
        </w:rPr>
        <w:t xml:space="preserve">daily regimen without nevirapine.  </w:t>
      </w:r>
    </w:p>
    <w:p w14:paraId="76AB5190" w14:textId="77777777" w:rsidR="00A67625" w:rsidRPr="00342F7C" w:rsidRDefault="00A67625" w:rsidP="00A67625">
      <w:pPr>
        <w:keepNext/>
        <w:rPr>
          <w:sz w:val="22"/>
          <w:szCs w:val="20"/>
        </w:rPr>
      </w:pPr>
    </w:p>
    <w:p w14:paraId="256500EB" w14:textId="77777777" w:rsidR="00D7303D" w:rsidRDefault="00D7303D" w:rsidP="00A67625">
      <w:pPr>
        <w:pStyle w:val="EMEAHeadingItalic"/>
        <w:spacing w:beforeLines="0" w:before="0" w:afterLines="0" w:after="0"/>
        <w:rPr>
          <w:lang w:val="en-GB"/>
        </w:rPr>
      </w:pPr>
      <w:r w:rsidRPr="00342F7C">
        <w:rPr>
          <w:lang w:val="en-GB"/>
        </w:rPr>
        <w:t xml:space="preserve">Gender, Race and Age  </w:t>
      </w:r>
    </w:p>
    <w:p w14:paraId="2EE0F7BC" w14:textId="77777777" w:rsidR="00D7303D" w:rsidRDefault="00D7303D">
      <w:pPr>
        <w:pStyle w:val="EMEANormal"/>
        <w:rPr>
          <w:lang w:val="en-GB"/>
        </w:rPr>
      </w:pPr>
      <w:r w:rsidRPr="00342F7C">
        <w:rPr>
          <w:lang w:val="en-GB"/>
        </w:rPr>
        <w:t xml:space="preserve">Kaletra pharmacokinetics have not been studied in </w:t>
      </w:r>
      <w:r w:rsidR="00D4701A">
        <w:rPr>
          <w:lang w:val="en-GB"/>
        </w:rPr>
        <w:t>older people</w:t>
      </w:r>
      <w:r w:rsidRPr="00342F7C">
        <w:rPr>
          <w:lang w:val="en-GB"/>
        </w:rPr>
        <w:t>.  No age or gender related pharmacokinetic differences have been observed in adult patients.  Pharmacokinetic differences due to race have not been identified.</w:t>
      </w:r>
    </w:p>
    <w:p w14:paraId="078CC243" w14:textId="77777777" w:rsidR="00A67625" w:rsidRPr="00342F7C" w:rsidRDefault="00A67625">
      <w:pPr>
        <w:pStyle w:val="EMEANormal"/>
        <w:rPr>
          <w:lang w:val="en-GB"/>
        </w:rPr>
      </w:pPr>
    </w:p>
    <w:p w14:paraId="3E054B72" w14:textId="77777777" w:rsidR="00562D03" w:rsidRDefault="00562D03" w:rsidP="007F01E5">
      <w:pPr>
        <w:pStyle w:val="EMEAHeadingItalic"/>
        <w:keepNext/>
        <w:spacing w:beforeLines="0" w:before="0" w:afterLines="0" w:after="0"/>
        <w:rPr>
          <w:szCs w:val="22"/>
          <w:lang w:val="en-GB"/>
        </w:rPr>
      </w:pPr>
      <w:r w:rsidRPr="00562D03">
        <w:rPr>
          <w:szCs w:val="22"/>
          <w:lang w:val="en-GB"/>
        </w:rPr>
        <w:t>Pregnancy and postpartum</w:t>
      </w:r>
    </w:p>
    <w:p w14:paraId="6C2C3CB6" w14:textId="77777777" w:rsidR="00562D03" w:rsidRPr="00562D03" w:rsidRDefault="00562D03" w:rsidP="007F01E5">
      <w:pPr>
        <w:pStyle w:val="EMEANormal"/>
        <w:keepNext/>
        <w:rPr>
          <w:szCs w:val="22"/>
        </w:rPr>
      </w:pPr>
      <w:r w:rsidRPr="00562D03">
        <w:rPr>
          <w:szCs w:val="22"/>
        </w:rPr>
        <w:t xml:space="preserve">In an open-label pharmacokinetic study, 12 HIV-infected pregnant women who were less than 20 weeks of gestation and on combination antiretroviral therapy initially received lopinavir/ritonavir 400 mg/100 mg (two 200/50 mg tablets) twice daily up to a gestational age of 30 weeks. At 30 weeks age of gestation, the dose was increased to 500/125 mg (two 200/50 mg tablets plus one 100/25 mg tablet) twice daily until subjects were 2 weeks postpartum. Plasma concentrations of lopinavir were measured over four 12-hour periods during second trimester (20-24 weeks gestation), third trimester before dose increase (30 weeks gestation), third trimester after dose increase (32 weeks gestation), and at 8 weeks post-partum. The dose increase did not result in a significant increase in the plasma lopinavir concentration. </w:t>
      </w:r>
    </w:p>
    <w:p w14:paraId="78220C52" w14:textId="77777777" w:rsidR="00562D03" w:rsidRPr="00562D03" w:rsidRDefault="00562D03" w:rsidP="00562D03">
      <w:pPr>
        <w:pStyle w:val="EMEANormal"/>
        <w:rPr>
          <w:szCs w:val="22"/>
        </w:rPr>
      </w:pPr>
    </w:p>
    <w:p w14:paraId="4D3FAFE2" w14:textId="77777777" w:rsidR="00562D03" w:rsidRPr="00562D03" w:rsidRDefault="00562D03" w:rsidP="00562D03">
      <w:pPr>
        <w:pStyle w:val="EMEANormal"/>
        <w:rPr>
          <w:szCs w:val="22"/>
        </w:rPr>
      </w:pPr>
      <w:r w:rsidRPr="00562D03">
        <w:rPr>
          <w:szCs w:val="22"/>
        </w:rPr>
        <w:t>In another open-label pharmacokinetic study, 19 HIV-infected pregnant women received lopinavir/ritonavir 400/100 mg twice daily as part of combination antiretroviral therapy during pregnancy from before conception. A series of blood samples were collected pre-dose and at intervals over the course of 12 hours in trimester 2 and trimester 3, at birth, and 4–6 weeks postpartum (in women who continued treatment post-delivery) for pharmacokinetic analysis of total and unbound levels of plasma lopinavir concentrations.</w:t>
      </w:r>
    </w:p>
    <w:p w14:paraId="1F4B41F4" w14:textId="77777777" w:rsidR="00562D03" w:rsidRPr="00562D03" w:rsidRDefault="00562D03" w:rsidP="00562D03">
      <w:pPr>
        <w:pStyle w:val="EMEANormal"/>
        <w:rPr>
          <w:szCs w:val="22"/>
        </w:rPr>
      </w:pPr>
    </w:p>
    <w:p w14:paraId="252DE0BE" w14:textId="77777777" w:rsidR="00562D03" w:rsidRPr="00562D03" w:rsidRDefault="00562D03" w:rsidP="00562D03">
      <w:pPr>
        <w:pStyle w:val="EMEANormal"/>
        <w:rPr>
          <w:szCs w:val="22"/>
        </w:rPr>
      </w:pPr>
      <w:r w:rsidRPr="00562D03">
        <w:rPr>
          <w:szCs w:val="22"/>
        </w:rPr>
        <w:t>The pharmacokinetic data from HIV-1 infected pregnant women receiving lopinavir/ritonavir tablets 400/100 mg twice daily are presented in Table 6 (see section 4.2).</w:t>
      </w:r>
    </w:p>
    <w:p w14:paraId="6C13AE37" w14:textId="77777777" w:rsidR="00562D03" w:rsidRPr="00562D03" w:rsidRDefault="00562D03" w:rsidP="00562D03">
      <w:pPr>
        <w:pStyle w:val="EMEANormal"/>
        <w:rPr>
          <w:szCs w:val="22"/>
        </w:rPr>
      </w:pPr>
    </w:p>
    <w:p w14:paraId="4A0F61FA" w14:textId="77777777" w:rsidR="00562D03" w:rsidRPr="00562D03" w:rsidRDefault="00562D03" w:rsidP="00031BBD">
      <w:pPr>
        <w:pStyle w:val="EMEANormal"/>
        <w:keepNext/>
        <w:rPr>
          <w:szCs w:val="22"/>
        </w:rPr>
      </w:pPr>
      <w:r w:rsidRPr="00562D03">
        <w:rPr>
          <w:szCs w:val="22"/>
        </w:rPr>
        <w:t>Table 6</w:t>
      </w:r>
    </w:p>
    <w:p w14:paraId="4B2E802C" w14:textId="77777777" w:rsidR="00562D03" w:rsidRPr="00562D03" w:rsidRDefault="00562D03" w:rsidP="00031BBD">
      <w:pPr>
        <w:pStyle w:val="EMEANormal"/>
        <w:keepNext/>
        <w:rPr>
          <w:szCs w:val="22"/>
        </w:rPr>
      </w:pPr>
    </w:p>
    <w:tbl>
      <w:tblPr>
        <w:tblW w:w="5000" w:type="pct"/>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712"/>
        <w:gridCol w:w="2247"/>
        <w:gridCol w:w="2179"/>
        <w:gridCol w:w="1922"/>
      </w:tblGrid>
      <w:tr w:rsidR="00562D03" w:rsidRPr="00420041" w14:paraId="308C173F" w14:textId="77777777" w:rsidTr="001729CE">
        <w:trPr>
          <w:trHeight w:val="503"/>
        </w:trPr>
        <w:tc>
          <w:tcPr>
            <w:tcW w:w="9576" w:type="dxa"/>
            <w:gridSpan w:val="4"/>
            <w:tcMar>
              <w:top w:w="0" w:type="dxa"/>
              <w:left w:w="108" w:type="dxa"/>
              <w:bottom w:w="0" w:type="dxa"/>
              <w:right w:w="108" w:type="dxa"/>
            </w:tcMar>
            <w:vAlign w:val="center"/>
          </w:tcPr>
          <w:p w14:paraId="51F7F558" w14:textId="77777777" w:rsidR="00562D03" w:rsidRPr="00562D03" w:rsidRDefault="00562D03" w:rsidP="00031BBD">
            <w:pPr>
              <w:keepNext/>
              <w:jc w:val="center"/>
              <w:rPr>
                <w:b/>
                <w:sz w:val="22"/>
                <w:szCs w:val="22"/>
              </w:rPr>
            </w:pPr>
            <w:r w:rsidRPr="00562D03">
              <w:rPr>
                <w:b/>
                <w:bCs/>
                <w:sz w:val="22"/>
                <w:szCs w:val="22"/>
              </w:rPr>
              <w:t xml:space="preserve">Mean (%CV) Steady-State Pharmacokinetic Parameters of </w:t>
            </w:r>
            <w:r w:rsidRPr="00562D03">
              <w:rPr>
                <w:b/>
                <w:sz w:val="22"/>
                <w:szCs w:val="22"/>
              </w:rPr>
              <w:t>Lopinavir</w:t>
            </w:r>
            <w:r w:rsidRPr="00562D03">
              <w:rPr>
                <w:b/>
                <w:bCs/>
                <w:sz w:val="22"/>
                <w:szCs w:val="22"/>
              </w:rPr>
              <w:t xml:space="preserve"> </w:t>
            </w:r>
            <w:r w:rsidRPr="00562D03">
              <w:rPr>
                <w:b/>
                <w:bCs/>
                <w:sz w:val="22"/>
                <w:szCs w:val="22"/>
              </w:rPr>
              <w:br/>
              <w:t>in HIV-Infected Pregnant Women</w:t>
            </w:r>
          </w:p>
        </w:tc>
      </w:tr>
      <w:tr w:rsidR="00562D03" w:rsidRPr="00420041" w14:paraId="00F91CEE" w14:textId="77777777" w:rsidTr="001729CE">
        <w:trPr>
          <w:trHeight w:val="530"/>
        </w:trPr>
        <w:tc>
          <w:tcPr>
            <w:tcW w:w="2869" w:type="dxa"/>
            <w:tcMar>
              <w:top w:w="0" w:type="dxa"/>
              <w:left w:w="108" w:type="dxa"/>
              <w:bottom w:w="0" w:type="dxa"/>
              <w:right w:w="108" w:type="dxa"/>
            </w:tcMar>
            <w:vAlign w:val="center"/>
            <w:hideMark/>
          </w:tcPr>
          <w:p w14:paraId="0964A368" w14:textId="77777777" w:rsidR="00562D03" w:rsidRPr="00562D03" w:rsidRDefault="00562D03" w:rsidP="00031BBD">
            <w:pPr>
              <w:keepNext/>
              <w:jc w:val="center"/>
              <w:rPr>
                <w:rFonts w:eastAsia="Calibri"/>
                <w:b/>
                <w:sz w:val="22"/>
                <w:szCs w:val="22"/>
              </w:rPr>
            </w:pPr>
            <w:r w:rsidRPr="00562D03">
              <w:rPr>
                <w:b/>
                <w:sz w:val="22"/>
                <w:szCs w:val="22"/>
              </w:rPr>
              <w:t>Pharmacokinetic</w:t>
            </w:r>
            <w:r w:rsidRPr="00562D03">
              <w:rPr>
                <w:b/>
                <w:sz w:val="22"/>
                <w:szCs w:val="22"/>
              </w:rPr>
              <w:br/>
              <w:t>Parameter</w:t>
            </w:r>
          </w:p>
        </w:tc>
        <w:tc>
          <w:tcPr>
            <w:tcW w:w="2375" w:type="dxa"/>
            <w:tcMar>
              <w:top w:w="0" w:type="dxa"/>
              <w:left w:w="108" w:type="dxa"/>
              <w:bottom w:w="0" w:type="dxa"/>
              <w:right w:w="108" w:type="dxa"/>
            </w:tcMar>
            <w:vAlign w:val="center"/>
            <w:hideMark/>
          </w:tcPr>
          <w:p w14:paraId="74DD8640" w14:textId="77777777" w:rsidR="00562D03" w:rsidRPr="00562D03" w:rsidRDefault="00562D03" w:rsidP="00031BBD">
            <w:pPr>
              <w:keepNext/>
              <w:jc w:val="center"/>
              <w:rPr>
                <w:rFonts w:eastAsia="Calibri"/>
                <w:b/>
                <w:sz w:val="22"/>
                <w:szCs w:val="22"/>
              </w:rPr>
            </w:pPr>
            <w:r w:rsidRPr="00562D03">
              <w:rPr>
                <w:b/>
                <w:sz w:val="22"/>
                <w:szCs w:val="22"/>
              </w:rPr>
              <w:t>2nd Trimester</w:t>
            </w:r>
            <w:r w:rsidRPr="00562D03">
              <w:rPr>
                <w:b/>
                <w:sz w:val="22"/>
                <w:szCs w:val="22"/>
              </w:rPr>
              <w:br/>
              <w:t>n = 17*</w:t>
            </w:r>
          </w:p>
        </w:tc>
        <w:tc>
          <w:tcPr>
            <w:tcW w:w="2303" w:type="dxa"/>
            <w:tcMar>
              <w:top w:w="0" w:type="dxa"/>
              <w:left w:w="108" w:type="dxa"/>
              <w:bottom w:w="0" w:type="dxa"/>
              <w:right w:w="108" w:type="dxa"/>
            </w:tcMar>
            <w:vAlign w:val="center"/>
            <w:hideMark/>
          </w:tcPr>
          <w:p w14:paraId="71742B4D" w14:textId="77777777" w:rsidR="00562D03" w:rsidRPr="00562D03" w:rsidRDefault="00562D03" w:rsidP="00031BBD">
            <w:pPr>
              <w:keepNext/>
              <w:jc w:val="center"/>
              <w:rPr>
                <w:rFonts w:eastAsia="Calibri"/>
                <w:b/>
                <w:sz w:val="22"/>
                <w:szCs w:val="22"/>
              </w:rPr>
            </w:pPr>
            <w:r w:rsidRPr="00562D03">
              <w:rPr>
                <w:b/>
                <w:sz w:val="22"/>
                <w:szCs w:val="22"/>
              </w:rPr>
              <w:t>3rd Trimester</w:t>
            </w:r>
            <w:r w:rsidRPr="00562D03">
              <w:rPr>
                <w:b/>
                <w:sz w:val="22"/>
                <w:szCs w:val="22"/>
              </w:rPr>
              <w:br/>
              <w:t>n = 23</w:t>
            </w:r>
          </w:p>
        </w:tc>
        <w:tc>
          <w:tcPr>
            <w:tcW w:w="2029" w:type="dxa"/>
            <w:tcMar>
              <w:top w:w="0" w:type="dxa"/>
              <w:left w:w="108" w:type="dxa"/>
              <w:bottom w:w="0" w:type="dxa"/>
              <w:right w:w="108" w:type="dxa"/>
            </w:tcMar>
            <w:vAlign w:val="center"/>
            <w:hideMark/>
          </w:tcPr>
          <w:p w14:paraId="10AE121A" w14:textId="77777777" w:rsidR="00562D03" w:rsidRPr="00562D03" w:rsidRDefault="00562D03" w:rsidP="00031BBD">
            <w:pPr>
              <w:keepNext/>
              <w:jc w:val="center"/>
              <w:rPr>
                <w:rFonts w:eastAsia="Calibri"/>
                <w:b/>
                <w:sz w:val="22"/>
                <w:szCs w:val="22"/>
              </w:rPr>
            </w:pPr>
            <w:r w:rsidRPr="00562D03">
              <w:rPr>
                <w:b/>
                <w:sz w:val="22"/>
                <w:szCs w:val="22"/>
              </w:rPr>
              <w:t>Postpartum</w:t>
            </w:r>
            <w:r w:rsidRPr="00562D03">
              <w:rPr>
                <w:b/>
                <w:sz w:val="22"/>
                <w:szCs w:val="22"/>
              </w:rPr>
              <w:br/>
              <w:t>n = 17**</w:t>
            </w:r>
          </w:p>
        </w:tc>
      </w:tr>
      <w:tr w:rsidR="00562D03" w:rsidRPr="00420041" w14:paraId="06BBCE08" w14:textId="77777777" w:rsidTr="001729CE">
        <w:trPr>
          <w:trHeight w:val="255"/>
        </w:trPr>
        <w:tc>
          <w:tcPr>
            <w:tcW w:w="2869" w:type="dxa"/>
            <w:noWrap/>
            <w:tcMar>
              <w:top w:w="0" w:type="dxa"/>
              <w:left w:w="108" w:type="dxa"/>
              <w:bottom w:w="0" w:type="dxa"/>
              <w:right w:w="108" w:type="dxa"/>
            </w:tcMar>
            <w:vAlign w:val="center"/>
            <w:hideMark/>
          </w:tcPr>
          <w:p w14:paraId="6FD793C0" w14:textId="77777777" w:rsidR="00562D03" w:rsidRPr="00562D03" w:rsidRDefault="00562D03" w:rsidP="00031BBD">
            <w:pPr>
              <w:keepNext/>
              <w:autoSpaceDE w:val="0"/>
              <w:autoSpaceDN w:val="0"/>
              <w:adjustRightInd w:val="0"/>
              <w:jc w:val="center"/>
              <w:rPr>
                <w:rFonts w:eastAsia="Calibri"/>
                <w:sz w:val="22"/>
                <w:szCs w:val="22"/>
              </w:rPr>
            </w:pPr>
            <w:r w:rsidRPr="00562D03">
              <w:rPr>
                <w:sz w:val="22"/>
                <w:szCs w:val="22"/>
              </w:rPr>
              <w:t>AUC</w:t>
            </w:r>
            <w:r w:rsidRPr="00562D03">
              <w:rPr>
                <w:sz w:val="22"/>
                <w:szCs w:val="22"/>
                <w:vertAlign w:val="subscript"/>
              </w:rPr>
              <w:t>0-12</w:t>
            </w:r>
            <w:r w:rsidRPr="00562D03">
              <w:rPr>
                <w:sz w:val="22"/>
                <w:szCs w:val="22"/>
              </w:rPr>
              <w:t xml:space="preserve"> μg</w:t>
            </w:r>
            <w:r w:rsidR="0023490A">
              <w:rPr>
                <w:szCs w:val="20"/>
              </w:rPr>
              <w:sym w:font="Symbol" w:char="F0B7"/>
            </w:r>
            <w:r w:rsidRPr="00562D03">
              <w:rPr>
                <w:sz w:val="22"/>
                <w:szCs w:val="22"/>
              </w:rPr>
              <w:t>hr/mL</w:t>
            </w:r>
          </w:p>
        </w:tc>
        <w:tc>
          <w:tcPr>
            <w:tcW w:w="2375" w:type="dxa"/>
            <w:noWrap/>
            <w:tcMar>
              <w:top w:w="0" w:type="dxa"/>
              <w:left w:w="108" w:type="dxa"/>
              <w:bottom w:w="0" w:type="dxa"/>
              <w:right w:w="108" w:type="dxa"/>
            </w:tcMar>
            <w:vAlign w:val="center"/>
            <w:hideMark/>
          </w:tcPr>
          <w:p w14:paraId="3C4C1CEB" w14:textId="77777777" w:rsidR="00562D03" w:rsidRPr="00562D03" w:rsidRDefault="00562D03" w:rsidP="00031BBD">
            <w:pPr>
              <w:keepNext/>
              <w:jc w:val="center"/>
              <w:rPr>
                <w:rFonts w:eastAsia="Calibri"/>
                <w:sz w:val="22"/>
                <w:szCs w:val="22"/>
              </w:rPr>
            </w:pPr>
            <w:r w:rsidRPr="00562D03">
              <w:rPr>
                <w:sz w:val="22"/>
                <w:szCs w:val="22"/>
              </w:rPr>
              <w:t>68.7 (20.6)</w:t>
            </w:r>
          </w:p>
        </w:tc>
        <w:tc>
          <w:tcPr>
            <w:tcW w:w="2303" w:type="dxa"/>
            <w:noWrap/>
            <w:tcMar>
              <w:top w:w="0" w:type="dxa"/>
              <w:left w:w="108" w:type="dxa"/>
              <w:bottom w:w="0" w:type="dxa"/>
              <w:right w:w="108" w:type="dxa"/>
            </w:tcMar>
            <w:vAlign w:val="center"/>
            <w:hideMark/>
          </w:tcPr>
          <w:p w14:paraId="4EFE459A" w14:textId="77777777" w:rsidR="00562D03" w:rsidRPr="00562D03" w:rsidRDefault="00562D03" w:rsidP="00031BBD">
            <w:pPr>
              <w:keepNext/>
              <w:jc w:val="center"/>
              <w:rPr>
                <w:rFonts w:eastAsia="Calibri"/>
                <w:sz w:val="22"/>
                <w:szCs w:val="22"/>
              </w:rPr>
            </w:pPr>
            <w:r w:rsidRPr="00562D03">
              <w:rPr>
                <w:sz w:val="22"/>
                <w:szCs w:val="22"/>
              </w:rPr>
              <w:t>61.3 (22.7)</w:t>
            </w:r>
          </w:p>
        </w:tc>
        <w:tc>
          <w:tcPr>
            <w:tcW w:w="2029" w:type="dxa"/>
            <w:noWrap/>
            <w:tcMar>
              <w:top w:w="0" w:type="dxa"/>
              <w:left w:w="108" w:type="dxa"/>
              <w:bottom w:w="0" w:type="dxa"/>
              <w:right w:w="108" w:type="dxa"/>
            </w:tcMar>
            <w:vAlign w:val="center"/>
            <w:hideMark/>
          </w:tcPr>
          <w:p w14:paraId="0BC103CF" w14:textId="77777777" w:rsidR="00562D03" w:rsidRPr="00562D03" w:rsidRDefault="00562D03" w:rsidP="00031BBD">
            <w:pPr>
              <w:keepNext/>
              <w:jc w:val="center"/>
              <w:rPr>
                <w:rFonts w:eastAsia="Calibri"/>
                <w:sz w:val="22"/>
                <w:szCs w:val="22"/>
              </w:rPr>
            </w:pPr>
            <w:r w:rsidRPr="00562D03">
              <w:rPr>
                <w:sz w:val="22"/>
                <w:szCs w:val="22"/>
              </w:rPr>
              <w:t>94.3 (30.3)</w:t>
            </w:r>
          </w:p>
        </w:tc>
      </w:tr>
      <w:tr w:rsidR="00562D03" w:rsidRPr="00420041" w14:paraId="4FD0EE1D" w14:textId="77777777" w:rsidTr="001729CE">
        <w:trPr>
          <w:trHeight w:val="255"/>
        </w:trPr>
        <w:tc>
          <w:tcPr>
            <w:tcW w:w="2869" w:type="dxa"/>
            <w:noWrap/>
            <w:tcMar>
              <w:top w:w="0" w:type="dxa"/>
              <w:left w:w="108" w:type="dxa"/>
              <w:bottom w:w="0" w:type="dxa"/>
              <w:right w:w="108" w:type="dxa"/>
            </w:tcMar>
            <w:vAlign w:val="center"/>
            <w:hideMark/>
          </w:tcPr>
          <w:p w14:paraId="6DDBB45D" w14:textId="77777777" w:rsidR="00562D03" w:rsidRPr="00562D03" w:rsidRDefault="00562D03" w:rsidP="00031BBD">
            <w:pPr>
              <w:keepNext/>
              <w:jc w:val="center"/>
              <w:rPr>
                <w:rFonts w:eastAsia="Calibri"/>
                <w:sz w:val="22"/>
                <w:szCs w:val="22"/>
              </w:rPr>
            </w:pPr>
            <w:r w:rsidRPr="00562D03">
              <w:rPr>
                <w:sz w:val="22"/>
                <w:szCs w:val="22"/>
              </w:rPr>
              <w:t>C</w:t>
            </w:r>
            <w:r w:rsidRPr="00562D03">
              <w:rPr>
                <w:sz w:val="22"/>
                <w:szCs w:val="22"/>
                <w:vertAlign w:val="subscript"/>
              </w:rPr>
              <w:t>max</w:t>
            </w:r>
          </w:p>
        </w:tc>
        <w:tc>
          <w:tcPr>
            <w:tcW w:w="2375" w:type="dxa"/>
            <w:noWrap/>
            <w:tcMar>
              <w:top w:w="0" w:type="dxa"/>
              <w:left w:w="108" w:type="dxa"/>
              <w:bottom w:w="0" w:type="dxa"/>
              <w:right w:w="108" w:type="dxa"/>
            </w:tcMar>
            <w:vAlign w:val="center"/>
            <w:hideMark/>
          </w:tcPr>
          <w:p w14:paraId="20A33B1D" w14:textId="77777777" w:rsidR="00562D03" w:rsidRPr="00562D03" w:rsidRDefault="00562D03" w:rsidP="00031BBD">
            <w:pPr>
              <w:keepNext/>
              <w:jc w:val="center"/>
              <w:rPr>
                <w:rFonts w:eastAsia="Calibri"/>
                <w:sz w:val="22"/>
                <w:szCs w:val="22"/>
              </w:rPr>
            </w:pPr>
            <w:r w:rsidRPr="00562D03">
              <w:rPr>
                <w:sz w:val="22"/>
                <w:szCs w:val="22"/>
              </w:rPr>
              <w:t>7.9 (21.1)</w:t>
            </w:r>
          </w:p>
        </w:tc>
        <w:tc>
          <w:tcPr>
            <w:tcW w:w="2303" w:type="dxa"/>
            <w:noWrap/>
            <w:tcMar>
              <w:top w:w="0" w:type="dxa"/>
              <w:left w:w="108" w:type="dxa"/>
              <w:bottom w:w="0" w:type="dxa"/>
              <w:right w:w="108" w:type="dxa"/>
            </w:tcMar>
            <w:vAlign w:val="center"/>
            <w:hideMark/>
          </w:tcPr>
          <w:p w14:paraId="311F8D98" w14:textId="77777777" w:rsidR="00562D03" w:rsidRPr="00562D03" w:rsidRDefault="00562D03" w:rsidP="00031BBD">
            <w:pPr>
              <w:keepNext/>
              <w:jc w:val="center"/>
              <w:rPr>
                <w:rFonts w:eastAsia="Calibri"/>
                <w:sz w:val="22"/>
                <w:szCs w:val="22"/>
              </w:rPr>
            </w:pPr>
            <w:r w:rsidRPr="00562D03">
              <w:rPr>
                <w:sz w:val="22"/>
                <w:szCs w:val="22"/>
              </w:rPr>
              <w:t>7.5 (18.7)</w:t>
            </w:r>
          </w:p>
        </w:tc>
        <w:tc>
          <w:tcPr>
            <w:tcW w:w="2029" w:type="dxa"/>
            <w:noWrap/>
            <w:tcMar>
              <w:top w:w="0" w:type="dxa"/>
              <w:left w:w="108" w:type="dxa"/>
              <w:bottom w:w="0" w:type="dxa"/>
              <w:right w:w="108" w:type="dxa"/>
            </w:tcMar>
            <w:vAlign w:val="center"/>
            <w:hideMark/>
          </w:tcPr>
          <w:p w14:paraId="2287D3B1" w14:textId="77777777" w:rsidR="00562D03" w:rsidRPr="00562D03" w:rsidRDefault="00562D03" w:rsidP="00031BBD">
            <w:pPr>
              <w:keepNext/>
              <w:jc w:val="center"/>
              <w:rPr>
                <w:rFonts w:eastAsia="Calibri"/>
                <w:sz w:val="22"/>
                <w:szCs w:val="22"/>
              </w:rPr>
            </w:pPr>
            <w:r w:rsidRPr="00562D03">
              <w:rPr>
                <w:sz w:val="22"/>
                <w:szCs w:val="22"/>
              </w:rPr>
              <w:t>9.8 (24.3)</w:t>
            </w:r>
          </w:p>
        </w:tc>
      </w:tr>
      <w:tr w:rsidR="00562D03" w:rsidRPr="00420041" w14:paraId="4C307666" w14:textId="77777777" w:rsidTr="001729CE">
        <w:trPr>
          <w:trHeight w:val="255"/>
        </w:trPr>
        <w:tc>
          <w:tcPr>
            <w:tcW w:w="2869" w:type="dxa"/>
            <w:noWrap/>
            <w:tcMar>
              <w:top w:w="0" w:type="dxa"/>
              <w:left w:w="108" w:type="dxa"/>
              <w:bottom w:w="0" w:type="dxa"/>
              <w:right w:w="108" w:type="dxa"/>
            </w:tcMar>
            <w:vAlign w:val="center"/>
            <w:hideMark/>
          </w:tcPr>
          <w:p w14:paraId="1D4BACF2" w14:textId="77777777" w:rsidR="00562D03" w:rsidRPr="00562D03" w:rsidRDefault="00562D03" w:rsidP="00031BBD">
            <w:pPr>
              <w:keepNext/>
              <w:jc w:val="center"/>
              <w:rPr>
                <w:rFonts w:eastAsia="Calibri"/>
                <w:sz w:val="22"/>
                <w:szCs w:val="22"/>
              </w:rPr>
            </w:pPr>
            <w:r w:rsidRPr="00562D03">
              <w:rPr>
                <w:sz w:val="22"/>
                <w:szCs w:val="22"/>
              </w:rPr>
              <w:t>C</w:t>
            </w:r>
            <w:r w:rsidRPr="00562D03">
              <w:rPr>
                <w:sz w:val="22"/>
                <w:szCs w:val="22"/>
                <w:vertAlign w:val="subscript"/>
              </w:rPr>
              <w:t>predose</w:t>
            </w:r>
            <w:r w:rsidRPr="00562D03">
              <w:rPr>
                <w:sz w:val="22"/>
                <w:szCs w:val="22"/>
              </w:rPr>
              <w:t xml:space="preserve"> μg /mL</w:t>
            </w:r>
          </w:p>
        </w:tc>
        <w:tc>
          <w:tcPr>
            <w:tcW w:w="2375" w:type="dxa"/>
            <w:noWrap/>
            <w:tcMar>
              <w:top w:w="0" w:type="dxa"/>
              <w:left w:w="108" w:type="dxa"/>
              <w:bottom w:w="0" w:type="dxa"/>
              <w:right w:w="108" w:type="dxa"/>
            </w:tcMar>
            <w:vAlign w:val="center"/>
            <w:hideMark/>
          </w:tcPr>
          <w:p w14:paraId="7B3694A8" w14:textId="77777777" w:rsidR="00562D03" w:rsidRPr="00562D03" w:rsidRDefault="00562D03" w:rsidP="00031BBD">
            <w:pPr>
              <w:keepNext/>
              <w:jc w:val="center"/>
              <w:rPr>
                <w:rFonts w:eastAsia="Calibri"/>
                <w:sz w:val="22"/>
                <w:szCs w:val="22"/>
              </w:rPr>
            </w:pPr>
            <w:r w:rsidRPr="00562D03">
              <w:rPr>
                <w:sz w:val="22"/>
                <w:szCs w:val="22"/>
              </w:rPr>
              <w:t>4.7 (25.2)</w:t>
            </w:r>
          </w:p>
        </w:tc>
        <w:tc>
          <w:tcPr>
            <w:tcW w:w="2303" w:type="dxa"/>
            <w:noWrap/>
            <w:tcMar>
              <w:top w:w="0" w:type="dxa"/>
              <w:left w:w="108" w:type="dxa"/>
              <w:bottom w:w="0" w:type="dxa"/>
              <w:right w:w="108" w:type="dxa"/>
            </w:tcMar>
            <w:vAlign w:val="center"/>
            <w:hideMark/>
          </w:tcPr>
          <w:p w14:paraId="77F1DB94" w14:textId="77777777" w:rsidR="00562D03" w:rsidRPr="00562D03" w:rsidRDefault="00562D03" w:rsidP="00031BBD">
            <w:pPr>
              <w:keepNext/>
              <w:jc w:val="center"/>
              <w:rPr>
                <w:rFonts w:eastAsia="Calibri"/>
                <w:sz w:val="22"/>
                <w:szCs w:val="22"/>
              </w:rPr>
            </w:pPr>
            <w:r w:rsidRPr="00562D03">
              <w:rPr>
                <w:sz w:val="22"/>
                <w:szCs w:val="22"/>
              </w:rPr>
              <w:t>4.3 (39.0)</w:t>
            </w:r>
          </w:p>
        </w:tc>
        <w:tc>
          <w:tcPr>
            <w:tcW w:w="2029" w:type="dxa"/>
            <w:noWrap/>
            <w:tcMar>
              <w:top w:w="0" w:type="dxa"/>
              <w:left w:w="108" w:type="dxa"/>
              <w:bottom w:w="0" w:type="dxa"/>
              <w:right w:w="108" w:type="dxa"/>
            </w:tcMar>
            <w:vAlign w:val="center"/>
            <w:hideMark/>
          </w:tcPr>
          <w:p w14:paraId="1481A1FF" w14:textId="77777777" w:rsidR="00562D03" w:rsidRPr="00562D03" w:rsidRDefault="00562D03" w:rsidP="00031BBD">
            <w:pPr>
              <w:keepNext/>
              <w:jc w:val="center"/>
              <w:rPr>
                <w:rFonts w:eastAsia="Calibri"/>
                <w:sz w:val="22"/>
                <w:szCs w:val="22"/>
              </w:rPr>
            </w:pPr>
            <w:r w:rsidRPr="00562D03">
              <w:rPr>
                <w:sz w:val="22"/>
                <w:szCs w:val="22"/>
              </w:rPr>
              <w:t>6.5 (40.4)</w:t>
            </w:r>
          </w:p>
        </w:tc>
      </w:tr>
      <w:tr w:rsidR="00562D03" w:rsidRPr="00420041" w14:paraId="1D64D09C" w14:textId="77777777" w:rsidTr="001729CE">
        <w:trPr>
          <w:trHeight w:val="255"/>
        </w:trPr>
        <w:tc>
          <w:tcPr>
            <w:tcW w:w="9576" w:type="dxa"/>
            <w:gridSpan w:val="4"/>
            <w:noWrap/>
            <w:tcMar>
              <w:top w:w="0" w:type="dxa"/>
              <w:left w:w="108" w:type="dxa"/>
              <w:bottom w:w="0" w:type="dxa"/>
              <w:right w:w="108" w:type="dxa"/>
            </w:tcMar>
            <w:vAlign w:val="center"/>
          </w:tcPr>
          <w:p w14:paraId="7A3AFAD2" w14:textId="77777777" w:rsidR="00562D03" w:rsidRPr="00562D03" w:rsidRDefault="00562D03" w:rsidP="00031BBD">
            <w:pPr>
              <w:keepNext/>
              <w:rPr>
                <w:sz w:val="22"/>
                <w:szCs w:val="22"/>
                <w:vertAlign w:val="subscript"/>
              </w:rPr>
            </w:pPr>
            <w:r w:rsidRPr="00562D03">
              <w:rPr>
                <w:sz w:val="22"/>
                <w:szCs w:val="22"/>
              </w:rPr>
              <w:t>*   n = 18 for C</w:t>
            </w:r>
            <w:r w:rsidRPr="00562D03">
              <w:rPr>
                <w:sz w:val="22"/>
                <w:szCs w:val="22"/>
                <w:vertAlign w:val="subscript"/>
              </w:rPr>
              <w:t>max</w:t>
            </w:r>
          </w:p>
          <w:p w14:paraId="43B54D57" w14:textId="77777777" w:rsidR="00562D03" w:rsidRPr="00562D03" w:rsidRDefault="00562D03" w:rsidP="00031BBD">
            <w:pPr>
              <w:keepNext/>
              <w:rPr>
                <w:sz w:val="22"/>
                <w:szCs w:val="22"/>
              </w:rPr>
            </w:pPr>
            <w:r w:rsidRPr="00562D03">
              <w:rPr>
                <w:sz w:val="22"/>
                <w:szCs w:val="22"/>
              </w:rPr>
              <w:t>** n = 16 for C</w:t>
            </w:r>
            <w:r w:rsidRPr="00562D03">
              <w:rPr>
                <w:sz w:val="22"/>
                <w:szCs w:val="22"/>
                <w:vertAlign w:val="subscript"/>
              </w:rPr>
              <w:t>predose</w:t>
            </w:r>
          </w:p>
        </w:tc>
      </w:tr>
    </w:tbl>
    <w:p w14:paraId="3FA3A785" w14:textId="77777777" w:rsidR="00A67625" w:rsidRDefault="00A67625" w:rsidP="00A67625">
      <w:pPr>
        <w:pStyle w:val="EMEAHeadingItalic"/>
        <w:spacing w:beforeLines="0" w:before="0" w:afterLines="0" w:after="0"/>
        <w:rPr>
          <w:lang w:val="en-GB"/>
        </w:rPr>
      </w:pPr>
    </w:p>
    <w:p w14:paraId="045E71A9" w14:textId="77777777" w:rsidR="00D7303D" w:rsidRDefault="00D7303D" w:rsidP="00A67625">
      <w:pPr>
        <w:pStyle w:val="EMEAHeadingItalic"/>
        <w:keepNext/>
        <w:spacing w:beforeLines="0" w:before="0" w:afterLines="0" w:after="0"/>
        <w:rPr>
          <w:lang w:val="en-GB"/>
        </w:rPr>
      </w:pPr>
      <w:r w:rsidRPr="00342F7C">
        <w:rPr>
          <w:lang w:val="en-GB"/>
        </w:rPr>
        <w:t xml:space="preserve">Renal Insufficiency  </w:t>
      </w:r>
    </w:p>
    <w:p w14:paraId="363B19CA" w14:textId="77777777" w:rsidR="00D7303D" w:rsidRDefault="00D7303D" w:rsidP="00A67625">
      <w:pPr>
        <w:pStyle w:val="EMEANormal"/>
        <w:keepNext/>
        <w:rPr>
          <w:lang w:val="en-GB"/>
        </w:rPr>
      </w:pPr>
      <w:r w:rsidRPr="00342F7C">
        <w:rPr>
          <w:lang w:val="en-GB"/>
        </w:rPr>
        <w:t>Kaletra pharmacokinetics have not been studied in patients with renal insufficiency; however, since the renal clearance of lopinavir is negligible, a decrease in total body clearance is not expected in patients with renal insufficiency.</w:t>
      </w:r>
    </w:p>
    <w:p w14:paraId="14593978" w14:textId="77777777" w:rsidR="008524C7" w:rsidRPr="00342F7C" w:rsidRDefault="008524C7" w:rsidP="00A67625">
      <w:pPr>
        <w:pStyle w:val="EMEANormal"/>
        <w:keepNext/>
        <w:rPr>
          <w:lang w:val="en-GB"/>
        </w:rPr>
      </w:pPr>
    </w:p>
    <w:p w14:paraId="3DFE7754" w14:textId="77777777" w:rsidR="00D7303D" w:rsidRDefault="00D7303D" w:rsidP="008524C7">
      <w:pPr>
        <w:pStyle w:val="EMEAHeadingItalic"/>
        <w:spacing w:beforeLines="0" w:before="0" w:afterLines="0" w:after="0"/>
        <w:rPr>
          <w:lang w:val="en-GB"/>
        </w:rPr>
      </w:pPr>
      <w:r w:rsidRPr="00342F7C">
        <w:rPr>
          <w:lang w:val="en-GB"/>
        </w:rPr>
        <w:t>Hepatic Insufficiency</w:t>
      </w:r>
    </w:p>
    <w:p w14:paraId="663496F9" w14:textId="77777777" w:rsidR="00D7303D" w:rsidRDefault="00D7303D">
      <w:pPr>
        <w:pStyle w:val="EMEANormal"/>
        <w:rPr>
          <w:lang w:val="en-GB"/>
        </w:rPr>
      </w:pPr>
      <w:r w:rsidRPr="00342F7C">
        <w:rPr>
          <w:lang w:val="en-GB"/>
        </w:rPr>
        <w:t>The steady state pharmacokinetic parameters of lopinavir in HIV-infected patients with mild to moderate hepatic impairment were compared with those of HIV-infected patients with normal hepatic function in a multiple dose study with lopinavir/ritonavir 400/100 mg twice daily.  A limited increase in total lopinavir concentrations of approximately 30% has been observed which is not expected to be of clinical relevance (see section 4.2).</w:t>
      </w:r>
    </w:p>
    <w:p w14:paraId="0A90B6E9" w14:textId="77777777" w:rsidR="008524C7" w:rsidRPr="00342F7C" w:rsidRDefault="008524C7">
      <w:pPr>
        <w:pStyle w:val="EMEANormal"/>
        <w:rPr>
          <w:lang w:val="en-GB"/>
        </w:rPr>
      </w:pPr>
    </w:p>
    <w:p w14:paraId="6CC5C40F" w14:textId="77777777" w:rsidR="00D7303D" w:rsidRDefault="00D7303D" w:rsidP="00573B91">
      <w:pPr>
        <w:pStyle w:val="EMEAHeading2SPC"/>
        <w:keepNext/>
        <w:spacing w:beforeLines="0" w:before="0" w:afterLines="0" w:after="0"/>
        <w:rPr>
          <w:rFonts w:ascii="Times New Roman" w:hAnsi="Times New Roman"/>
          <w:lang w:val="en-GB"/>
        </w:rPr>
      </w:pPr>
      <w:r w:rsidRPr="00342F7C">
        <w:rPr>
          <w:rFonts w:ascii="Times New Roman" w:hAnsi="Times New Roman"/>
          <w:lang w:val="en-GB"/>
        </w:rPr>
        <w:t>5.3</w:t>
      </w:r>
      <w:r w:rsidRPr="00342F7C">
        <w:rPr>
          <w:rFonts w:ascii="Times New Roman" w:hAnsi="Times New Roman"/>
          <w:lang w:val="en-GB"/>
        </w:rPr>
        <w:tab/>
        <w:t>Preclinical safety data</w:t>
      </w:r>
    </w:p>
    <w:p w14:paraId="79FF7539" w14:textId="77777777" w:rsidR="008524C7" w:rsidRPr="008524C7" w:rsidRDefault="008524C7" w:rsidP="00573B91">
      <w:pPr>
        <w:pStyle w:val="EMEANormal"/>
        <w:keepNext/>
        <w:rPr>
          <w:lang w:val="en-GB"/>
        </w:rPr>
      </w:pPr>
    </w:p>
    <w:p w14:paraId="5840FC9F" w14:textId="77777777" w:rsidR="00D7303D" w:rsidRPr="00342F7C" w:rsidRDefault="00D7303D" w:rsidP="00573B91">
      <w:pPr>
        <w:pStyle w:val="EMEANormal"/>
        <w:keepNext/>
        <w:rPr>
          <w:snapToGrid w:val="0"/>
          <w:lang w:val="en-GB"/>
        </w:rPr>
      </w:pPr>
      <w:r w:rsidRPr="00342F7C">
        <w:rPr>
          <w:snapToGrid w:val="0"/>
          <w:lang w:val="en-GB"/>
        </w:rPr>
        <w:t xml:space="preserve">Repeat-dose toxicity studies in rodents and dogs identified major target organs as the liver, kidney, thyroid, spleen and circulating red blood cells.  Hepatic changes indicated cellular swelling with focal degeneration.  While exposure eliciting these changes were comparable to or below human clinical exposure, dosages in animals were over 6-fold the recommended clinical dose.  Mild renal tubular degeneration was confined to mice exposed with at least twice the recommended human exposure; the kidney was unaffected in rats and dogs.  Reduced serum thyroxin led to an increased release of TSH with resultant follicular cell hypertrophy in the thyroid glands of rats.  These changes were reversible with withdrawal of the active substance and were absent in mice and dogs.  Coombs-negative anisocytosis and poikilocytosis were observed in rats, but not in mice or dogs.  Enlarged spleens with histiocytosis were seen in rats but not other species.  Serum cholesterol was elevated in rodents but not dogs, while triglycerides were elevated only in mice. </w:t>
      </w:r>
    </w:p>
    <w:p w14:paraId="502855C6" w14:textId="77777777" w:rsidR="00D7303D" w:rsidRPr="00342F7C" w:rsidRDefault="00D7303D">
      <w:pPr>
        <w:pStyle w:val="EMEANormal"/>
        <w:rPr>
          <w:snapToGrid w:val="0"/>
          <w:lang w:val="en-GB"/>
        </w:rPr>
      </w:pPr>
    </w:p>
    <w:p w14:paraId="366F69FE" w14:textId="77777777" w:rsidR="00D7303D" w:rsidRPr="00342F7C" w:rsidRDefault="00D7303D">
      <w:pPr>
        <w:pStyle w:val="EMEANormal"/>
        <w:rPr>
          <w:lang w:val="en-GB"/>
        </w:rPr>
      </w:pPr>
      <w:r w:rsidRPr="00342F7C">
        <w:rPr>
          <w:lang w:val="en-GB"/>
        </w:rPr>
        <w:t xml:space="preserve">During </w:t>
      </w:r>
      <w:r w:rsidRPr="00342F7C">
        <w:rPr>
          <w:i/>
          <w:iCs/>
          <w:lang w:val="en-GB"/>
        </w:rPr>
        <w:t>in vitro</w:t>
      </w:r>
      <w:r w:rsidRPr="00342F7C">
        <w:rPr>
          <w:lang w:val="en-GB"/>
        </w:rPr>
        <w:t xml:space="preserve"> studies, cloned human cardiac potassium channels (HERG) were inhibited by 30% at the highest concentrations of lopinavir/ritonavir tested, corresponding to a lopinavir exposure 7-fold total and 15-fold free peak plasma levels achieved in humans at the maximum recommended therapeutic dose.  In contrast, similar concentrations of lopinavir/ritonavir demonstrated no repolarisation delay in the canine cardiac Purkinje fibres.  Lower concentrations of lopinavir/ritonavir did not produce significant potassium (HERG) current blockade.  Tissue distribution studies conducted in the rat did not suggest significant cardiac retention of the active substance; 72-hour AUC in heart was approximately 50% of measured plasma AUC.  Therefore, it is reasonable to expect that cardiac lopinavir levels would not be significantly higher than plasma levels.</w:t>
      </w:r>
    </w:p>
    <w:p w14:paraId="6B41FFAD" w14:textId="77777777" w:rsidR="00D7303D" w:rsidRPr="00342F7C" w:rsidRDefault="00D7303D">
      <w:pPr>
        <w:pStyle w:val="EMEANormal"/>
        <w:rPr>
          <w:snapToGrid w:val="0"/>
          <w:lang w:val="en-GB"/>
        </w:rPr>
      </w:pPr>
    </w:p>
    <w:p w14:paraId="5DFA77D9" w14:textId="77777777" w:rsidR="00D7303D" w:rsidRPr="00342F7C" w:rsidRDefault="00D7303D">
      <w:pPr>
        <w:pStyle w:val="EMEANormal"/>
        <w:rPr>
          <w:snapToGrid w:val="0"/>
          <w:lang w:val="en-GB"/>
        </w:rPr>
      </w:pPr>
      <w:r w:rsidRPr="00342F7C">
        <w:rPr>
          <w:snapToGrid w:val="0"/>
          <w:lang w:val="en-GB"/>
        </w:rPr>
        <w:t xml:space="preserve">In dogs, prominent U waves on the electrocardiogram have been observed associated with prolonged PR interval and bradycardia.  These effects have been assumed to be caused by electrolyte disturbance.  </w:t>
      </w:r>
    </w:p>
    <w:p w14:paraId="6CD49E2A" w14:textId="77777777" w:rsidR="00D7303D" w:rsidRPr="00342F7C" w:rsidRDefault="00D7303D">
      <w:pPr>
        <w:pStyle w:val="EMEANormal"/>
        <w:rPr>
          <w:snapToGrid w:val="0"/>
          <w:lang w:val="en-GB"/>
        </w:rPr>
      </w:pPr>
    </w:p>
    <w:p w14:paraId="33C4A566" w14:textId="77777777" w:rsidR="00D7303D" w:rsidRPr="00342F7C" w:rsidRDefault="00D7303D">
      <w:pPr>
        <w:pStyle w:val="EMEANormal"/>
        <w:rPr>
          <w:snapToGrid w:val="0"/>
          <w:lang w:val="en-GB"/>
        </w:rPr>
      </w:pPr>
      <w:r w:rsidRPr="00342F7C">
        <w:rPr>
          <w:snapToGrid w:val="0"/>
          <w:lang w:val="en-GB"/>
        </w:rPr>
        <w:t xml:space="preserve">The clinical relevance of these preclinical data is unknown, however, the potential cardiac effects of this product in humans cannot be ruled out (see also sections 4.4 and 4.8). </w:t>
      </w:r>
    </w:p>
    <w:p w14:paraId="1A0A0283" w14:textId="77777777" w:rsidR="00D7303D" w:rsidRPr="00342F7C" w:rsidRDefault="00D7303D">
      <w:pPr>
        <w:pStyle w:val="EMEANormal"/>
        <w:rPr>
          <w:lang w:val="en-GB"/>
        </w:rPr>
      </w:pPr>
    </w:p>
    <w:p w14:paraId="0D0F27DF" w14:textId="77777777" w:rsidR="00D7303D" w:rsidRPr="00342F7C" w:rsidRDefault="00D7303D">
      <w:pPr>
        <w:pStyle w:val="EMEANormal"/>
        <w:rPr>
          <w:snapToGrid w:val="0"/>
          <w:lang w:val="en-GB"/>
        </w:rPr>
      </w:pPr>
      <w:r w:rsidRPr="00342F7C">
        <w:rPr>
          <w:snapToGrid w:val="0"/>
          <w:lang w:val="en-GB"/>
        </w:rPr>
        <w:t xml:space="preserve">In rats, embryofoetotoxicity (pregnancy loss, decreased foetal viability, decreased foetal body weights, increased frequency of skeletal variations) and postnatal developmental toxicity (decreased survival of pups) was observed at maternally toxic dosages.  The systemic exposure to lopinavir/ritonavir at the maternal and developmental toxic dosages was lower than the intended therapeutic exposure in humans.  </w:t>
      </w:r>
    </w:p>
    <w:p w14:paraId="1979460B" w14:textId="77777777" w:rsidR="00D7303D" w:rsidRPr="00342F7C" w:rsidRDefault="00D7303D">
      <w:pPr>
        <w:pStyle w:val="EMEANormal"/>
        <w:rPr>
          <w:snapToGrid w:val="0"/>
          <w:lang w:val="en-GB"/>
        </w:rPr>
      </w:pPr>
    </w:p>
    <w:p w14:paraId="5C80D808" w14:textId="77777777" w:rsidR="00D7303D" w:rsidRPr="00342F7C" w:rsidRDefault="00D7303D">
      <w:pPr>
        <w:pStyle w:val="EMEANormal"/>
        <w:rPr>
          <w:snapToGrid w:val="0"/>
          <w:lang w:val="en-GB"/>
        </w:rPr>
      </w:pPr>
      <w:r w:rsidRPr="00342F7C">
        <w:rPr>
          <w:snapToGrid w:val="0"/>
          <w:lang w:val="en-GB"/>
        </w:rPr>
        <w:t xml:space="preserve">Long-term carcinogenicity studies of lopinavir/ritonavir in mice revealed a nongenotoxic, mitogenic induction of liver tumours, generally considered to have little relevance to human risk.  </w:t>
      </w:r>
    </w:p>
    <w:p w14:paraId="55EC820C" w14:textId="77777777" w:rsidR="00D7303D" w:rsidRPr="00342F7C" w:rsidRDefault="00D7303D">
      <w:pPr>
        <w:pStyle w:val="EMEANormal"/>
        <w:rPr>
          <w:snapToGrid w:val="0"/>
          <w:lang w:val="en-GB"/>
        </w:rPr>
      </w:pPr>
    </w:p>
    <w:p w14:paraId="6D45E9B6" w14:textId="77777777" w:rsidR="00D7303D" w:rsidRDefault="00D7303D">
      <w:pPr>
        <w:pStyle w:val="EMEANormal"/>
        <w:rPr>
          <w:snapToGrid w:val="0"/>
          <w:lang w:val="en-GB"/>
        </w:rPr>
      </w:pPr>
      <w:r w:rsidRPr="00342F7C">
        <w:rPr>
          <w:snapToGrid w:val="0"/>
          <w:lang w:val="en-GB"/>
        </w:rPr>
        <w:t xml:space="preserve">Carcinogenicity studies in rats revealed no tumourigenic findings.  Lopinavir/ritonavir was not found to be mutagenic or clastogenic in a battery of </w:t>
      </w:r>
      <w:r w:rsidRPr="00342F7C">
        <w:rPr>
          <w:i/>
          <w:snapToGrid w:val="0"/>
          <w:lang w:val="en-GB"/>
        </w:rPr>
        <w:t>in vitro</w:t>
      </w:r>
      <w:r w:rsidRPr="00342F7C">
        <w:rPr>
          <w:snapToGrid w:val="0"/>
          <w:lang w:val="en-GB"/>
        </w:rPr>
        <w:t xml:space="preserve"> and </w:t>
      </w:r>
      <w:r w:rsidRPr="00342F7C">
        <w:rPr>
          <w:i/>
          <w:snapToGrid w:val="0"/>
          <w:lang w:val="en-GB"/>
        </w:rPr>
        <w:t>in vivo</w:t>
      </w:r>
      <w:r w:rsidRPr="00342F7C">
        <w:rPr>
          <w:snapToGrid w:val="0"/>
          <w:lang w:val="en-GB"/>
        </w:rPr>
        <w:t xml:space="preserve"> assays including the Ames bacterial reverse mutation assay, the mouse lymphoma assay, the mouse micronucleus test and chromosomal aberration assays in human lymphocytes.</w:t>
      </w:r>
    </w:p>
    <w:p w14:paraId="2E23E5C7" w14:textId="77777777" w:rsidR="00072B94" w:rsidRDefault="00072B94">
      <w:pPr>
        <w:pStyle w:val="EMEANormal"/>
        <w:rPr>
          <w:snapToGrid w:val="0"/>
          <w:lang w:val="en-GB"/>
        </w:rPr>
      </w:pPr>
    </w:p>
    <w:p w14:paraId="3232C41B" w14:textId="77777777" w:rsidR="002A3B2E" w:rsidRDefault="002A3B2E">
      <w:pPr>
        <w:pStyle w:val="EMEANormal"/>
        <w:rPr>
          <w:snapToGrid w:val="0"/>
          <w:lang w:val="en-GB"/>
        </w:rPr>
      </w:pPr>
    </w:p>
    <w:p w14:paraId="609A1E37" w14:textId="77777777" w:rsidR="00D7303D" w:rsidRDefault="00D7303D" w:rsidP="00072B94">
      <w:pPr>
        <w:pStyle w:val="EMEAHeading1"/>
        <w:spacing w:beforeLines="0" w:before="0" w:afterLines="0" w:after="0"/>
        <w:rPr>
          <w:rFonts w:ascii="Times New Roman" w:hAnsi="Times New Roman"/>
          <w:lang w:val="en-GB"/>
        </w:rPr>
      </w:pPr>
      <w:r w:rsidRPr="00342F7C">
        <w:rPr>
          <w:rFonts w:ascii="Times New Roman" w:hAnsi="Times New Roman"/>
          <w:lang w:val="en-GB"/>
        </w:rPr>
        <w:t>6.</w:t>
      </w:r>
      <w:r w:rsidRPr="00342F7C">
        <w:rPr>
          <w:rFonts w:ascii="Times New Roman" w:hAnsi="Times New Roman"/>
          <w:lang w:val="en-GB"/>
        </w:rPr>
        <w:tab/>
        <w:t>Pharmaceutical particulars</w:t>
      </w:r>
    </w:p>
    <w:p w14:paraId="13861F17" w14:textId="77777777" w:rsidR="00072B94" w:rsidRPr="00072B94" w:rsidRDefault="00072B94" w:rsidP="00072B94">
      <w:pPr>
        <w:pStyle w:val="EMEANormal"/>
        <w:rPr>
          <w:lang w:val="en-GB"/>
        </w:rPr>
      </w:pPr>
    </w:p>
    <w:p w14:paraId="1B63798B" w14:textId="77777777" w:rsidR="00D7303D" w:rsidRDefault="00266A4D" w:rsidP="00072B94">
      <w:pPr>
        <w:pStyle w:val="EMEAHeading2SPC"/>
        <w:spacing w:beforeLines="0" w:before="0" w:afterLines="0" w:after="0"/>
        <w:rPr>
          <w:rFonts w:ascii="Times New Roman" w:hAnsi="Times New Roman"/>
          <w:lang w:val="en-GB"/>
        </w:rPr>
      </w:pPr>
      <w:r>
        <w:rPr>
          <w:rFonts w:ascii="Times New Roman" w:hAnsi="Times New Roman"/>
          <w:lang w:val="en-GB"/>
        </w:rPr>
        <w:t>6.1</w:t>
      </w:r>
      <w:r w:rsidR="00D7303D" w:rsidRPr="00342F7C">
        <w:rPr>
          <w:rFonts w:ascii="Times New Roman" w:hAnsi="Times New Roman"/>
          <w:lang w:val="en-GB"/>
        </w:rPr>
        <w:tab/>
        <w:t>List of excipients</w:t>
      </w:r>
    </w:p>
    <w:p w14:paraId="523A8836" w14:textId="77777777" w:rsidR="00072B94" w:rsidRPr="00072B94" w:rsidRDefault="00072B94" w:rsidP="00072B94">
      <w:pPr>
        <w:pStyle w:val="EMEANormal"/>
        <w:rPr>
          <w:lang w:val="en-GB"/>
        </w:rPr>
      </w:pPr>
    </w:p>
    <w:p w14:paraId="2A885ABB" w14:textId="77777777" w:rsidR="00D7303D" w:rsidRPr="00342F7C" w:rsidRDefault="00D7303D">
      <w:pPr>
        <w:pStyle w:val="EMEANormal"/>
        <w:rPr>
          <w:lang w:val="en-GB"/>
        </w:rPr>
      </w:pPr>
      <w:r w:rsidRPr="00342F7C">
        <w:rPr>
          <w:u w:val="single"/>
          <w:lang w:val="en-GB"/>
        </w:rPr>
        <w:t>Tablet contents</w:t>
      </w:r>
      <w:r w:rsidRPr="00342F7C">
        <w:rPr>
          <w:lang w:val="en-GB"/>
        </w:rPr>
        <w:t xml:space="preserve">: </w:t>
      </w:r>
    </w:p>
    <w:p w14:paraId="4C0D8CFA" w14:textId="77777777" w:rsidR="00D7303D" w:rsidRPr="00342F7C" w:rsidRDefault="00D7303D">
      <w:pPr>
        <w:pStyle w:val="EMEANormal"/>
        <w:rPr>
          <w:snapToGrid w:val="0"/>
          <w:lang w:val="en-GB"/>
        </w:rPr>
      </w:pPr>
      <w:r w:rsidRPr="00342F7C">
        <w:rPr>
          <w:snapToGrid w:val="0"/>
          <w:lang w:val="en-GB"/>
        </w:rPr>
        <w:t>Copovidone</w:t>
      </w:r>
    </w:p>
    <w:p w14:paraId="3EE632E1" w14:textId="77777777" w:rsidR="00D7303D" w:rsidRPr="00342F7C" w:rsidRDefault="00D7303D">
      <w:pPr>
        <w:pStyle w:val="EMEANormal"/>
        <w:rPr>
          <w:snapToGrid w:val="0"/>
          <w:lang w:val="en-GB"/>
        </w:rPr>
      </w:pPr>
      <w:r w:rsidRPr="00342F7C">
        <w:rPr>
          <w:snapToGrid w:val="0"/>
          <w:lang w:val="en-GB"/>
        </w:rPr>
        <w:t>Sorbitan laurate</w:t>
      </w:r>
    </w:p>
    <w:p w14:paraId="203AB656" w14:textId="5D5C7396" w:rsidR="00D7303D" w:rsidRPr="00342F7C" w:rsidRDefault="00D7303D">
      <w:pPr>
        <w:pStyle w:val="EMEANormal"/>
        <w:rPr>
          <w:snapToGrid w:val="0"/>
          <w:lang w:val="en-GB"/>
        </w:rPr>
      </w:pPr>
      <w:r w:rsidRPr="00342F7C">
        <w:rPr>
          <w:snapToGrid w:val="0"/>
          <w:lang w:val="en-GB"/>
        </w:rPr>
        <w:t>Colloidal anhydrous silica</w:t>
      </w:r>
    </w:p>
    <w:p w14:paraId="0771B77E" w14:textId="77777777" w:rsidR="00D7303D" w:rsidRPr="00342F7C" w:rsidRDefault="00D7303D">
      <w:pPr>
        <w:pStyle w:val="EMEANormal"/>
        <w:rPr>
          <w:snapToGrid w:val="0"/>
          <w:lang w:val="en-GB"/>
        </w:rPr>
      </w:pPr>
      <w:r w:rsidRPr="00342F7C">
        <w:rPr>
          <w:snapToGrid w:val="0"/>
          <w:lang w:val="en-GB"/>
        </w:rPr>
        <w:t>Sodium stearyl fumarate</w:t>
      </w:r>
    </w:p>
    <w:p w14:paraId="309923BB" w14:textId="77777777" w:rsidR="00D7303D" w:rsidRPr="00342F7C" w:rsidRDefault="00D7303D">
      <w:pPr>
        <w:pStyle w:val="EMEANormal"/>
        <w:rPr>
          <w:snapToGrid w:val="0"/>
          <w:lang w:val="en-GB"/>
        </w:rPr>
      </w:pPr>
    </w:p>
    <w:p w14:paraId="7DFC974B" w14:textId="77777777" w:rsidR="00D7303D" w:rsidRPr="00342F7C" w:rsidRDefault="00D7303D" w:rsidP="00573B91">
      <w:pPr>
        <w:pStyle w:val="EMEANormal"/>
        <w:keepNext/>
        <w:rPr>
          <w:snapToGrid w:val="0"/>
          <w:lang w:val="en-GB"/>
        </w:rPr>
      </w:pPr>
      <w:r w:rsidRPr="00342F7C">
        <w:rPr>
          <w:snapToGrid w:val="0"/>
          <w:u w:val="single"/>
          <w:lang w:val="en-GB"/>
        </w:rPr>
        <w:t>Film-coating</w:t>
      </w:r>
      <w:r w:rsidRPr="00342F7C">
        <w:rPr>
          <w:snapToGrid w:val="0"/>
          <w:lang w:val="en-GB"/>
        </w:rPr>
        <w:t xml:space="preserve">: </w:t>
      </w:r>
    </w:p>
    <w:p w14:paraId="5E451AB2" w14:textId="77777777" w:rsidR="00D7303D" w:rsidRPr="00342F7C" w:rsidRDefault="00D7303D" w:rsidP="00573B91">
      <w:pPr>
        <w:pStyle w:val="EMEANormal"/>
        <w:keepNext/>
        <w:rPr>
          <w:snapToGrid w:val="0"/>
          <w:lang w:val="en-GB"/>
        </w:rPr>
      </w:pPr>
      <w:r w:rsidRPr="00342F7C">
        <w:rPr>
          <w:snapToGrid w:val="0"/>
          <w:lang w:val="en-GB"/>
        </w:rPr>
        <w:t>Hypromellose</w:t>
      </w:r>
    </w:p>
    <w:p w14:paraId="1C1E01A6" w14:textId="65A14603" w:rsidR="00D7303D" w:rsidRPr="00342F7C" w:rsidRDefault="00D7303D" w:rsidP="00573B91">
      <w:pPr>
        <w:pStyle w:val="EMEANormal"/>
        <w:keepNext/>
        <w:rPr>
          <w:snapToGrid w:val="0"/>
          <w:lang w:val="en-GB"/>
        </w:rPr>
      </w:pPr>
      <w:r w:rsidRPr="00342F7C">
        <w:rPr>
          <w:snapToGrid w:val="0"/>
          <w:lang w:val="en-GB"/>
        </w:rPr>
        <w:t>Titanium dioxide</w:t>
      </w:r>
    </w:p>
    <w:p w14:paraId="4631EEC2" w14:textId="7707D91F" w:rsidR="00D7303D" w:rsidRPr="00342F7C" w:rsidRDefault="00D7303D" w:rsidP="00573B91">
      <w:pPr>
        <w:pStyle w:val="EMEANormal"/>
        <w:keepNext/>
        <w:rPr>
          <w:snapToGrid w:val="0"/>
          <w:lang w:val="en-GB"/>
        </w:rPr>
      </w:pPr>
      <w:r w:rsidRPr="00342F7C">
        <w:rPr>
          <w:snapToGrid w:val="0"/>
          <w:lang w:val="en-GB"/>
        </w:rPr>
        <w:t>Macrogols type 400 (Polyethylene glycol 400)</w:t>
      </w:r>
    </w:p>
    <w:p w14:paraId="04A15DD3" w14:textId="77777777" w:rsidR="00D7303D" w:rsidRPr="00342F7C" w:rsidRDefault="00D7303D" w:rsidP="00573B91">
      <w:pPr>
        <w:pStyle w:val="EMEANormal"/>
        <w:keepNext/>
        <w:rPr>
          <w:snapToGrid w:val="0"/>
          <w:lang w:val="en-GB"/>
        </w:rPr>
      </w:pPr>
      <w:r w:rsidRPr="00342F7C">
        <w:rPr>
          <w:snapToGrid w:val="0"/>
          <w:lang w:val="en-GB"/>
        </w:rPr>
        <w:t>Hydroxypropyl cellulose</w:t>
      </w:r>
    </w:p>
    <w:p w14:paraId="3D9916DC" w14:textId="77777777" w:rsidR="00D7303D" w:rsidRPr="00342F7C" w:rsidRDefault="00D7303D" w:rsidP="00573B91">
      <w:pPr>
        <w:pStyle w:val="EMEANormal"/>
        <w:keepNext/>
        <w:rPr>
          <w:snapToGrid w:val="0"/>
          <w:lang w:val="en-GB"/>
        </w:rPr>
      </w:pPr>
      <w:r w:rsidRPr="00342F7C">
        <w:rPr>
          <w:snapToGrid w:val="0"/>
          <w:lang w:val="en-GB"/>
        </w:rPr>
        <w:t xml:space="preserve">Talc </w:t>
      </w:r>
    </w:p>
    <w:p w14:paraId="350EBA08" w14:textId="015AB91C" w:rsidR="00D7303D" w:rsidRPr="00342F7C" w:rsidRDefault="00D7303D" w:rsidP="00573B91">
      <w:pPr>
        <w:pStyle w:val="EMEANormal"/>
        <w:keepNext/>
        <w:rPr>
          <w:snapToGrid w:val="0"/>
          <w:lang w:val="en-GB"/>
        </w:rPr>
      </w:pPr>
      <w:r w:rsidRPr="00342F7C">
        <w:rPr>
          <w:snapToGrid w:val="0"/>
          <w:lang w:val="en-GB"/>
        </w:rPr>
        <w:t>Colloidal anhydrous silica</w:t>
      </w:r>
    </w:p>
    <w:p w14:paraId="1103A305" w14:textId="03217A05" w:rsidR="00D7303D" w:rsidRPr="00342F7C" w:rsidRDefault="00D7303D" w:rsidP="00573B91">
      <w:pPr>
        <w:pStyle w:val="EMEANormal"/>
        <w:keepNext/>
        <w:rPr>
          <w:snapToGrid w:val="0"/>
          <w:lang w:val="en-GB"/>
        </w:rPr>
      </w:pPr>
      <w:r w:rsidRPr="00342F7C">
        <w:rPr>
          <w:snapToGrid w:val="0"/>
          <w:lang w:val="en-GB"/>
        </w:rPr>
        <w:t>Macrogols type 3350 (Polyethylene glycol 3350)</w:t>
      </w:r>
    </w:p>
    <w:p w14:paraId="5391AFB0" w14:textId="7BD01B67" w:rsidR="00D7303D" w:rsidRPr="00342F7C" w:rsidRDefault="00F75737" w:rsidP="00573B91">
      <w:pPr>
        <w:pStyle w:val="EMEANormal"/>
        <w:keepNext/>
        <w:rPr>
          <w:snapToGrid w:val="0"/>
          <w:lang w:val="en-GB"/>
        </w:rPr>
      </w:pPr>
      <w:r>
        <w:rPr>
          <w:snapToGrid w:val="0"/>
          <w:lang w:val="en-GB"/>
        </w:rPr>
        <w:t>R</w:t>
      </w:r>
      <w:r w:rsidRPr="00C15E8E">
        <w:rPr>
          <w:snapToGrid w:val="0"/>
          <w:lang w:val="en-GB"/>
        </w:rPr>
        <w:t xml:space="preserve">ed </w:t>
      </w:r>
      <w:r>
        <w:rPr>
          <w:snapToGrid w:val="0"/>
          <w:lang w:val="en-GB"/>
        </w:rPr>
        <w:t xml:space="preserve">ferric </w:t>
      </w:r>
      <w:r w:rsidRPr="00C15E8E">
        <w:rPr>
          <w:snapToGrid w:val="0"/>
          <w:lang w:val="en-GB"/>
        </w:rPr>
        <w:t xml:space="preserve">oxide </w:t>
      </w:r>
      <w:r w:rsidR="00A523DF" w:rsidRPr="00C15E8E">
        <w:rPr>
          <w:snapToGrid w:val="0"/>
          <w:lang w:val="en-GB"/>
        </w:rPr>
        <w:t>E172</w:t>
      </w:r>
    </w:p>
    <w:p w14:paraId="170DC79C" w14:textId="77777777" w:rsidR="00D7303D" w:rsidRDefault="00D7303D" w:rsidP="00573B91">
      <w:pPr>
        <w:pStyle w:val="EMEANormal"/>
        <w:keepNext/>
        <w:rPr>
          <w:snapToGrid w:val="0"/>
          <w:lang w:val="en-GB"/>
        </w:rPr>
      </w:pPr>
      <w:r w:rsidRPr="00342F7C">
        <w:rPr>
          <w:snapToGrid w:val="0"/>
          <w:lang w:val="en-GB"/>
        </w:rPr>
        <w:t>Polysorbate 80</w:t>
      </w:r>
    </w:p>
    <w:p w14:paraId="06AF68E4" w14:textId="77777777" w:rsidR="00072B94" w:rsidRPr="00342F7C" w:rsidRDefault="00072B94">
      <w:pPr>
        <w:pStyle w:val="EMEANormal"/>
        <w:rPr>
          <w:snapToGrid w:val="0"/>
          <w:lang w:val="en-GB"/>
        </w:rPr>
      </w:pPr>
    </w:p>
    <w:p w14:paraId="1257B5AB" w14:textId="77777777" w:rsidR="00D7303D" w:rsidRDefault="00266A4D" w:rsidP="007F01E5">
      <w:pPr>
        <w:pStyle w:val="EMEAHeading2SPC"/>
        <w:keepNext/>
        <w:spacing w:beforeLines="0" w:before="0" w:afterLines="0" w:after="0"/>
        <w:rPr>
          <w:rFonts w:ascii="Times New Roman" w:hAnsi="Times New Roman"/>
          <w:lang w:val="en-GB"/>
        </w:rPr>
      </w:pPr>
      <w:r>
        <w:rPr>
          <w:rFonts w:ascii="Times New Roman" w:hAnsi="Times New Roman"/>
          <w:lang w:val="en-GB"/>
        </w:rPr>
        <w:t>6.2</w:t>
      </w:r>
      <w:r w:rsidR="00D7303D" w:rsidRPr="00342F7C">
        <w:rPr>
          <w:rFonts w:ascii="Times New Roman" w:hAnsi="Times New Roman"/>
          <w:lang w:val="en-GB"/>
        </w:rPr>
        <w:tab/>
        <w:t>Incompatibilities</w:t>
      </w:r>
    </w:p>
    <w:p w14:paraId="49E1157F" w14:textId="77777777" w:rsidR="00072B94" w:rsidRPr="00072B94" w:rsidRDefault="00072B94" w:rsidP="007F01E5">
      <w:pPr>
        <w:pStyle w:val="EMEANormal"/>
        <w:keepNext/>
        <w:rPr>
          <w:lang w:val="en-GB"/>
        </w:rPr>
      </w:pPr>
    </w:p>
    <w:p w14:paraId="5B0281B3" w14:textId="77777777" w:rsidR="00D7303D" w:rsidRDefault="00D7303D" w:rsidP="007F01E5">
      <w:pPr>
        <w:pStyle w:val="EMEANormal"/>
        <w:keepNext/>
        <w:rPr>
          <w:lang w:val="en-GB"/>
        </w:rPr>
      </w:pPr>
      <w:r w:rsidRPr="00342F7C">
        <w:rPr>
          <w:lang w:val="en-GB"/>
        </w:rPr>
        <w:t>Not applicable.</w:t>
      </w:r>
    </w:p>
    <w:p w14:paraId="0A36A4B2" w14:textId="77777777" w:rsidR="00072B94" w:rsidRPr="00342F7C" w:rsidRDefault="00072B94">
      <w:pPr>
        <w:pStyle w:val="EMEANormal"/>
        <w:rPr>
          <w:lang w:val="en-GB"/>
        </w:rPr>
      </w:pPr>
    </w:p>
    <w:p w14:paraId="6D58ED05" w14:textId="77777777" w:rsidR="00D7303D" w:rsidRDefault="00266A4D" w:rsidP="00072B94">
      <w:pPr>
        <w:pStyle w:val="EMEAHeading2SPC"/>
        <w:spacing w:beforeLines="0" w:before="0" w:afterLines="0" w:after="0"/>
        <w:rPr>
          <w:rFonts w:ascii="Times New Roman" w:hAnsi="Times New Roman"/>
          <w:lang w:val="en-GB"/>
        </w:rPr>
      </w:pPr>
      <w:r>
        <w:rPr>
          <w:rFonts w:ascii="Times New Roman" w:hAnsi="Times New Roman"/>
          <w:lang w:val="en-GB"/>
        </w:rPr>
        <w:t>6.3</w:t>
      </w:r>
      <w:r w:rsidR="00D7303D" w:rsidRPr="00342F7C">
        <w:rPr>
          <w:rFonts w:ascii="Times New Roman" w:hAnsi="Times New Roman"/>
          <w:lang w:val="en-GB"/>
        </w:rPr>
        <w:tab/>
        <w:t>Shelf life</w:t>
      </w:r>
    </w:p>
    <w:p w14:paraId="0789C70A" w14:textId="77777777" w:rsidR="00072B94" w:rsidRPr="00072B94" w:rsidRDefault="00072B94" w:rsidP="00072B94">
      <w:pPr>
        <w:pStyle w:val="EMEANormal"/>
        <w:rPr>
          <w:lang w:val="en-GB"/>
        </w:rPr>
      </w:pPr>
    </w:p>
    <w:p w14:paraId="4BA5859A" w14:textId="77777777" w:rsidR="005968CC" w:rsidRDefault="005968CC">
      <w:pPr>
        <w:pStyle w:val="EMEANormal"/>
        <w:rPr>
          <w:lang w:val="en-GB"/>
        </w:rPr>
      </w:pPr>
      <w:r>
        <w:rPr>
          <w:lang w:val="en-GB"/>
        </w:rPr>
        <w:t>Bottle packs: 4 years.</w:t>
      </w:r>
    </w:p>
    <w:p w14:paraId="28033CEA" w14:textId="77777777" w:rsidR="00D7303D" w:rsidRDefault="005968CC">
      <w:pPr>
        <w:pStyle w:val="EMEANormal"/>
        <w:rPr>
          <w:lang w:val="en-GB"/>
        </w:rPr>
      </w:pPr>
      <w:r>
        <w:rPr>
          <w:lang w:val="en-GB"/>
        </w:rPr>
        <w:t xml:space="preserve">Blister packs: </w:t>
      </w:r>
      <w:r w:rsidR="00D7303D" w:rsidRPr="00342F7C">
        <w:rPr>
          <w:lang w:val="en-GB"/>
        </w:rPr>
        <w:t>3 years.</w:t>
      </w:r>
    </w:p>
    <w:p w14:paraId="1F4499ED" w14:textId="77777777" w:rsidR="00072B94" w:rsidRPr="00342F7C" w:rsidRDefault="00072B94">
      <w:pPr>
        <w:pStyle w:val="EMEANormal"/>
        <w:rPr>
          <w:lang w:val="en-GB"/>
        </w:rPr>
      </w:pPr>
    </w:p>
    <w:p w14:paraId="25D1E66D" w14:textId="77777777" w:rsidR="00D7303D" w:rsidRDefault="00266A4D" w:rsidP="002A3B2E">
      <w:pPr>
        <w:pStyle w:val="EMEAHeading2SPC"/>
        <w:keepNext/>
        <w:spacing w:beforeLines="0" w:before="0" w:afterLines="0" w:after="0"/>
        <w:rPr>
          <w:rFonts w:ascii="Times New Roman" w:hAnsi="Times New Roman"/>
          <w:lang w:val="en-GB"/>
        </w:rPr>
      </w:pPr>
      <w:r>
        <w:rPr>
          <w:rFonts w:ascii="Times New Roman" w:hAnsi="Times New Roman"/>
          <w:lang w:val="en-GB"/>
        </w:rPr>
        <w:t>6.4</w:t>
      </w:r>
      <w:r w:rsidR="00D7303D" w:rsidRPr="00342F7C">
        <w:rPr>
          <w:rFonts w:ascii="Times New Roman" w:hAnsi="Times New Roman"/>
          <w:lang w:val="en-GB"/>
        </w:rPr>
        <w:tab/>
        <w:t>Special precautions for storage</w:t>
      </w:r>
    </w:p>
    <w:p w14:paraId="0081A876" w14:textId="77777777" w:rsidR="00072B94" w:rsidRPr="00072B94" w:rsidRDefault="00072B94" w:rsidP="002A3B2E">
      <w:pPr>
        <w:pStyle w:val="EMEANormal"/>
        <w:keepNext/>
        <w:rPr>
          <w:lang w:val="en-GB"/>
        </w:rPr>
      </w:pPr>
    </w:p>
    <w:p w14:paraId="09286793" w14:textId="77777777" w:rsidR="00D7303D" w:rsidRDefault="00D7303D" w:rsidP="002A3B2E">
      <w:pPr>
        <w:pStyle w:val="EMEANormal"/>
        <w:keepNext/>
        <w:rPr>
          <w:lang w:val="en-GB"/>
        </w:rPr>
      </w:pPr>
      <w:r w:rsidRPr="00342F7C">
        <w:rPr>
          <w:lang w:val="en-GB"/>
        </w:rPr>
        <w:t>This medicinal product does not require any special storage conditions.</w:t>
      </w:r>
    </w:p>
    <w:p w14:paraId="6E1A286D" w14:textId="77777777" w:rsidR="00072B94" w:rsidRPr="00342F7C" w:rsidRDefault="00072B94" w:rsidP="002A3B2E">
      <w:pPr>
        <w:pStyle w:val="EMEANormal"/>
        <w:keepNext/>
        <w:rPr>
          <w:lang w:val="en-GB"/>
        </w:rPr>
      </w:pPr>
    </w:p>
    <w:p w14:paraId="7C8DC183" w14:textId="77777777" w:rsidR="00D7303D" w:rsidRDefault="00D7303D" w:rsidP="00072B94">
      <w:pPr>
        <w:pStyle w:val="EMEAHeading2SPC"/>
        <w:spacing w:beforeLines="0" w:before="0" w:afterLines="0" w:after="0"/>
        <w:rPr>
          <w:rFonts w:ascii="Times New Roman" w:hAnsi="Times New Roman"/>
          <w:lang w:val="en-GB"/>
        </w:rPr>
      </w:pPr>
      <w:r w:rsidRPr="00342F7C">
        <w:rPr>
          <w:rFonts w:ascii="Times New Roman" w:hAnsi="Times New Roman"/>
          <w:lang w:val="en-GB"/>
        </w:rPr>
        <w:t>6.5</w:t>
      </w:r>
      <w:r w:rsidRPr="00342F7C">
        <w:rPr>
          <w:rFonts w:ascii="Times New Roman" w:hAnsi="Times New Roman"/>
          <w:lang w:val="en-GB"/>
        </w:rPr>
        <w:tab/>
        <w:t>Nature and content</w:t>
      </w:r>
      <w:r w:rsidR="00034F0D">
        <w:rPr>
          <w:rFonts w:ascii="Times New Roman" w:hAnsi="Times New Roman"/>
          <w:lang w:val="en-GB"/>
        </w:rPr>
        <w:t>s</w:t>
      </w:r>
      <w:r w:rsidRPr="00342F7C">
        <w:rPr>
          <w:rFonts w:ascii="Times New Roman" w:hAnsi="Times New Roman"/>
          <w:lang w:val="en-GB"/>
        </w:rPr>
        <w:t xml:space="preserve"> of container</w:t>
      </w:r>
    </w:p>
    <w:p w14:paraId="6545B400" w14:textId="77777777" w:rsidR="00072B94" w:rsidRPr="00072B94" w:rsidRDefault="00072B94" w:rsidP="00072B94">
      <w:pPr>
        <w:pStyle w:val="EMEANormal"/>
        <w:rPr>
          <w:lang w:val="en-GB"/>
        </w:rPr>
      </w:pPr>
    </w:p>
    <w:p w14:paraId="3E17561E" w14:textId="77777777" w:rsidR="00D7303D" w:rsidRPr="00342F7C" w:rsidRDefault="00D7303D">
      <w:pPr>
        <w:pStyle w:val="EMEANormal"/>
        <w:rPr>
          <w:szCs w:val="22"/>
          <w:lang w:val="en-GB"/>
        </w:rPr>
      </w:pPr>
      <w:r w:rsidRPr="00342F7C">
        <w:rPr>
          <w:szCs w:val="22"/>
          <w:lang w:val="en-GB"/>
        </w:rPr>
        <w:t xml:space="preserve">High density polyethylene (HDPE) bottles closed with propylene caps.  Each bottle contains 120 tablets.  </w:t>
      </w:r>
    </w:p>
    <w:p w14:paraId="204F88E1" w14:textId="77777777" w:rsidR="00D7303D" w:rsidRPr="00342F7C" w:rsidRDefault="00D7303D" w:rsidP="00306029">
      <w:pPr>
        <w:tabs>
          <w:tab w:val="left" w:pos="282"/>
        </w:tabs>
        <w:rPr>
          <w:sz w:val="22"/>
          <w:szCs w:val="22"/>
        </w:rPr>
      </w:pPr>
      <w:r w:rsidRPr="00342F7C">
        <w:rPr>
          <w:sz w:val="22"/>
          <w:szCs w:val="22"/>
        </w:rPr>
        <w:t>Two pack sizes are available:</w:t>
      </w:r>
    </w:p>
    <w:p w14:paraId="2642DA42" w14:textId="77777777" w:rsidR="00D7303D" w:rsidRPr="00342F7C" w:rsidRDefault="00F01ADC" w:rsidP="00F01ADC">
      <w:pPr>
        <w:pStyle w:val="EMEABullet"/>
        <w:numPr>
          <w:ilvl w:val="0"/>
          <w:numId w:val="0"/>
        </w:numPr>
        <w:tabs>
          <w:tab w:val="left" w:pos="567"/>
        </w:tabs>
        <w:ind w:left="567" w:hanging="567"/>
        <w:rPr>
          <w:szCs w:val="22"/>
          <w:lang w:val="en-GB"/>
        </w:rPr>
      </w:pPr>
      <w:r>
        <w:rPr>
          <w:szCs w:val="22"/>
          <w:lang w:val="en-GB"/>
        </w:rPr>
        <w:t>-</w:t>
      </w:r>
      <w:r>
        <w:rPr>
          <w:szCs w:val="22"/>
          <w:lang w:val="en-GB"/>
        </w:rPr>
        <w:tab/>
      </w:r>
      <w:r w:rsidR="00D7303D" w:rsidRPr="00342F7C">
        <w:rPr>
          <w:szCs w:val="22"/>
          <w:lang w:val="en-GB"/>
        </w:rPr>
        <w:t>1 bottle of 120 tablets</w:t>
      </w:r>
    </w:p>
    <w:p w14:paraId="6DBBEA7E" w14:textId="77777777" w:rsidR="00D7303D" w:rsidRPr="00342F7C" w:rsidRDefault="00F01ADC" w:rsidP="00F01ADC">
      <w:pPr>
        <w:pStyle w:val="EMEABullet"/>
        <w:numPr>
          <w:ilvl w:val="0"/>
          <w:numId w:val="0"/>
        </w:numPr>
        <w:tabs>
          <w:tab w:val="left" w:pos="567"/>
        </w:tabs>
        <w:ind w:left="567" w:hanging="567"/>
        <w:rPr>
          <w:szCs w:val="22"/>
          <w:lang w:val="en-GB"/>
        </w:rPr>
      </w:pPr>
      <w:r>
        <w:rPr>
          <w:szCs w:val="22"/>
          <w:lang w:val="en-GB"/>
        </w:rPr>
        <w:t>-</w:t>
      </w:r>
      <w:r>
        <w:rPr>
          <w:szCs w:val="22"/>
          <w:lang w:val="en-GB"/>
        </w:rPr>
        <w:tab/>
        <w:t>m</w:t>
      </w:r>
      <w:r w:rsidR="00895A35">
        <w:rPr>
          <w:szCs w:val="22"/>
          <w:lang w:val="en-GB"/>
        </w:rPr>
        <w:t>ultipack containing 360 (</w:t>
      </w:r>
      <w:r w:rsidR="00D7303D" w:rsidRPr="00342F7C">
        <w:rPr>
          <w:szCs w:val="22"/>
          <w:lang w:val="en-GB"/>
        </w:rPr>
        <w:t>3 bottles of 120</w:t>
      </w:r>
      <w:r w:rsidR="00895A35">
        <w:rPr>
          <w:szCs w:val="22"/>
          <w:lang w:val="en-GB"/>
        </w:rPr>
        <w:t>) film-coated</w:t>
      </w:r>
      <w:r w:rsidR="00D7303D" w:rsidRPr="00342F7C">
        <w:rPr>
          <w:szCs w:val="22"/>
          <w:lang w:val="en-GB"/>
        </w:rPr>
        <w:t xml:space="preserve"> tablets</w:t>
      </w:r>
    </w:p>
    <w:p w14:paraId="5D1FDFC7" w14:textId="77777777" w:rsidR="00D7303D" w:rsidRPr="00342F7C" w:rsidRDefault="00D7303D">
      <w:pPr>
        <w:pStyle w:val="EMEANormal"/>
        <w:rPr>
          <w:szCs w:val="22"/>
          <w:lang w:val="en-GB"/>
        </w:rPr>
      </w:pPr>
    </w:p>
    <w:p w14:paraId="2AD8C6D0" w14:textId="77777777" w:rsidR="00D7303D" w:rsidRPr="00342F7C" w:rsidRDefault="00D7303D" w:rsidP="003400CE">
      <w:pPr>
        <w:pStyle w:val="EMEANormal"/>
        <w:rPr>
          <w:lang w:val="en-GB"/>
        </w:rPr>
      </w:pPr>
      <w:r w:rsidRPr="00342F7C">
        <w:rPr>
          <w:lang w:val="en-GB"/>
        </w:rPr>
        <w:t>Blisters packs</w:t>
      </w:r>
      <w:r w:rsidR="00895A35">
        <w:rPr>
          <w:lang w:val="en-GB"/>
        </w:rPr>
        <w:t xml:space="preserve"> - p</w:t>
      </w:r>
      <w:r w:rsidR="00895A35" w:rsidRPr="00342F7C">
        <w:rPr>
          <w:lang w:val="en-GB"/>
        </w:rPr>
        <w:t>olyvinyl chloride (PVC) blisters with fluoropolymer foil backing</w:t>
      </w:r>
      <w:r w:rsidRPr="00342F7C">
        <w:rPr>
          <w:lang w:val="en-GB"/>
        </w:rPr>
        <w:t xml:space="preserve">  </w:t>
      </w:r>
    </w:p>
    <w:p w14:paraId="594FD428" w14:textId="77777777" w:rsidR="00D7303D" w:rsidRPr="00342F7C" w:rsidRDefault="00D7303D" w:rsidP="003400CE">
      <w:pPr>
        <w:pStyle w:val="EMEANormal"/>
        <w:rPr>
          <w:lang w:val="en-GB"/>
        </w:rPr>
      </w:pPr>
      <w:r w:rsidRPr="00342F7C">
        <w:rPr>
          <w:lang w:val="en-GB"/>
        </w:rPr>
        <w:t>Two pack sizes are available:</w:t>
      </w:r>
    </w:p>
    <w:p w14:paraId="668ADE04" w14:textId="77777777" w:rsidR="00D7303D" w:rsidRPr="00342F7C" w:rsidRDefault="00D7303D" w:rsidP="00F01ADC">
      <w:pPr>
        <w:pStyle w:val="EMEANormal"/>
        <w:tabs>
          <w:tab w:val="clear" w:pos="562"/>
          <w:tab w:val="left" w:pos="567"/>
        </w:tabs>
        <w:ind w:left="567" w:hanging="567"/>
        <w:rPr>
          <w:lang w:val="en-GB"/>
        </w:rPr>
      </w:pPr>
      <w:r w:rsidRPr="00342F7C">
        <w:rPr>
          <w:lang w:val="en-GB"/>
        </w:rPr>
        <w:t xml:space="preserve">- </w:t>
      </w:r>
      <w:r w:rsidRPr="00342F7C">
        <w:rPr>
          <w:lang w:val="en-GB"/>
        </w:rPr>
        <w:tab/>
        <w:t>carton containing 120 film-coated tablets</w:t>
      </w:r>
    </w:p>
    <w:p w14:paraId="78743756" w14:textId="77777777" w:rsidR="00D7303D" w:rsidRPr="00342F7C" w:rsidRDefault="00D7303D" w:rsidP="00F01ADC">
      <w:pPr>
        <w:pStyle w:val="EMEANormal"/>
        <w:tabs>
          <w:tab w:val="clear" w:pos="562"/>
          <w:tab w:val="left" w:pos="567"/>
        </w:tabs>
        <w:ind w:left="567" w:hanging="567"/>
        <w:rPr>
          <w:lang w:val="en-GB"/>
        </w:rPr>
      </w:pPr>
      <w:r w:rsidRPr="00342F7C">
        <w:rPr>
          <w:lang w:val="en-GB"/>
        </w:rPr>
        <w:t>-</w:t>
      </w:r>
      <w:r w:rsidRPr="00342F7C">
        <w:rPr>
          <w:lang w:val="en-GB"/>
        </w:rPr>
        <w:tab/>
      </w:r>
      <w:r w:rsidR="008E3042">
        <w:rPr>
          <w:lang w:val="en-GB"/>
        </w:rPr>
        <w:t>m</w:t>
      </w:r>
      <w:r w:rsidR="00895A35">
        <w:rPr>
          <w:lang w:val="en-GB"/>
        </w:rPr>
        <w:t>ultipack</w:t>
      </w:r>
      <w:r w:rsidRPr="00342F7C">
        <w:rPr>
          <w:lang w:val="en-GB"/>
        </w:rPr>
        <w:t xml:space="preserve"> containing </w:t>
      </w:r>
      <w:r w:rsidR="00895A35">
        <w:rPr>
          <w:lang w:val="en-GB"/>
        </w:rPr>
        <w:t xml:space="preserve">120 (3 cartons of </w:t>
      </w:r>
      <w:r w:rsidRPr="00342F7C">
        <w:rPr>
          <w:lang w:val="en-GB"/>
        </w:rPr>
        <w:t>40</w:t>
      </w:r>
      <w:r w:rsidR="00895A35">
        <w:rPr>
          <w:lang w:val="en-GB"/>
        </w:rPr>
        <w:t>)</w:t>
      </w:r>
      <w:r w:rsidRPr="00342F7C">
        <w:rPr>
          <w:lang w:val="en-GB"/>
        </w:rPr>
        <w:t xml:space="preserve"> film-coated tablets</w:t>
      </w:r>
    </w:p>
    <w:p w14:paraId="1D7BD010" w14:textId="77777777" w:rsidR="00D7303D" w:rsidRPr="00342F7C" w:rsidRDefault="00D7303D">
      <w:pPr>
        <w:pStyle w:val="EMEANormal"/>
        <w:rPr>
          <w:szCs w:val="22"/>
          <w:lang w:val="en-GB"/>
        </w:rPr>
      </w:pPr>
    </w:p>
    <w:p w14:paraId="31E9A5FE" w14:textId="77777777" w:rsidR="00D7303D" w:rsidRDefault="00D7303D" w:rsidP="00306029">
      <w:pPr>
        <w:tabs>
          <w:tab w:val="left" w:pos="282"/>
        </w:tabs>
        <w:rPr>
          <w:sz w:val="22"/>
          <w:szCs w:val="22"/>
        </w:rPr>
      </w:pPr>
      <w:r w:rsidRPr="00342F7C">
        <w:rPr>
          <w:sz w:val="22"/>
          <w:szCs w:val="22"/>
        </w:rPr>
        <w:t>Not all pack sizes may be marketed.</w:t>
      </w:r>
    </w:p>
    <w:p w14:paraId="6B91D33E" w14:textId="77777777" w:rsidR="00072B94" w:rsidRPr="00342F7C" w:rsidRDefault="00072B94" w:rsidP="00306029">
      <w:pPr>
        <w:tabs>
          <w:tab w:val="left" w:pos="282"/>
        </w:tabs>
        <w:rPr>
          <w:sz w:val="22"/>
          <w:szCs w:val="22"/>
        </w:rPr>
      </w:pPr>
    </w:p>
    <w:p w14:paraId="5461E6C9" w14:textId="77777777" w:rsidR="00D7303D" w:rsidRDefault="00D7303D" w:rsidP="00072B94">
      <w:pPr>
        <w:pStyle w:val="EMEAHeading2SPC"/>
        <w:spacing w:beforeLines="0" w:before="0" w:afterLines="0" w:after="0"/>
        <w:rPr>
          <w:rFonts w:ascii="Times New Roman" w:hAnsi="Times New Roman"/>
          <w:lang w:val="en-GB"/>
        </w:rPr>
      </w:pPr>
      <w:r w:rsidRPr="00342F7C">
        <w:rPr>
          <w:rFonts w:ascii="Times New Roman" w:hAnsi="Times New Roman"/>
          <w:lang w:val="en-GB"/>
        </w:rPr>
        <w:t>6.6</w:t>
      </w:r>
      <w:r w:rsidRPr="00342F7C">
        <w:rPr>
          <w:rFonts w:ascii="Times New Roman" w:hAnsi="Times New Roman"/>
          <w:lang w:val="en-GB"/>
        </w:rPr>
        <w:tab/>
        <w:t>Special precautions for disposal</w:t>
      </w:r>
    </w:p>
    <w:p w14:paraId="4ADF9133" w14:textId="77777777" w:rsidR="00072B94" w:rsidRPr="00072B94" w:rsidRDefault="00072B94" w:rsidP="00072B94">
      <w:pPr>
        <w:pStyle w:val="EMEANormal"/>
        <w:rPr>
          <w:lang w:val="en-GB"/>
        </w:rPr>
      </w:pPr>
    </w:p>
    <w:p w14:paraId="7DD225BE" w14:textId="77777777" w:rsidR="00D7303D" w:rsidRDefault="00D7303D">
      <w:pPr>
        <w:pStyle w:val="EMEANormal"/>
        <w:rPr>
          <w:lang w:val="en-GB"/>
        </w:rPr>
      </w:pPr>
      <w:r w:rsidRPr="00342F7C">
        <w:rPr>
          <w:lang w:val="en-GB"/>
        </w:rPr>
        <w:t>No special requirements.</w:t>
      </w:r>
    </w:p>
    <w:p w14:paraId="01FEF086" w14:textId="77777777" w:rsidR="00072B94" w:rsidRDefault="00072B94">
      <w:pPr>
        <w:pStyle w:val="EMEANormal"/>
        <w:rPr>
          <w:lang w:val="en-GB"/>
        </w:rPr>
      </w:pPr>
    </w:p>
    <w:p w14:paraId="2C5DF9F5" w14:textId="77777777" w:rsidR="00072B94" w:rsidRPr="00342F7C" w:rsidRDefault="00072B94">
      <w:pPr>
        <w:pStyle w:val="EMEANormal"/>
        <w:rPr>
          <w:lang w:val="en-GB"/>
        </w:rPr>
      </w:pPr>
    </w:p>
    <w:p w14:paraId="2C4AE51A" w14:textId="77777777" w:rsidR="00D7303D" w:rsidRDefault="00D7303D" w:rsidP="00072B94">
      <w:pPr>
        <w:pStyle w:val="EMEAHeading1"/>
        <w:spacing w:beforeLines="0" w:before="0" w:afterLines="0" w:after="0"/>
        <w:rPr>
          <w:rFonts w:ascii="Times New Roman" w:hAnsi="Times New Roman"/>
          <w:lang w:val="en-GB"/>
        </w:rPr>
      </w:pPr>
      <w:r w:rsidRPr="00342F7C">
        <w:rPr>
          <w:rFonts w:ascii="Times New Roman" w:hAnsi="Times New Roman"/>
          <w:lang w:val="en-GB"/>
        </w:rPr>
        <w:t>7.</w:t>
      </w:r>
      <w:r w:rsidRPr="00342F7C">
        <w:rPr>
          <w:rFonts w:ascii="Times New Roman" w:hAnsi="Times New Roman"/>
          <w:lang w:val="en-GB"/>
        </w:rPr>
        <w:tab/>
        <w:t>MARKETING AUTHORISATION HOLDER</w:t>
      </w:r>
    </w:p>
    <w:p w14:paraId="5043F0A9" w14:textId="77777777" w:rsidR="00072B94" w:rsidRPr="00072B94" w:rsidRDefault="00072B94" w:rsidP="00072B94">
      <w:pPr>
        <w:pStyle w:val="EMEANormal"/>
        <w:rPr>
          <w:lang w:val="en-GB"/>
        </w:rPr>
      </w:pPr>
    </w:p>
    <w:p w14:paraId="5974518B" w14:textId="77777777" w:rsidR="00A118F7" w:rsidRPr="00A118F7" w:rsidRDefault="00A118F7" w:rsidP="00A118F7">
      <w:pPr>
        <w:keepNext/>
        <w:autoSpaceDE w:val="0"/>
        <w:autoSpaceDN w:val="0"/>
        <w:adjustRightInd w:val="0"/>
        <w:spacing w:line="240" w:lineRule="atLeast"/>
        <w:rPr>
          <w:sz w:val="22"/>
          <w:szCs w:val="22"/>
          <w:lang w:eastAsia="en-GB"/>
        </w:rPr>
      </w:pPr>
      <w:r w:rsidRPr="00A118F7">
        <w:rPr>
          <w:sz w:val="22"/>
          <w:szCs w:val="22"/>
          <w:lang w:eastAsia="en-GB"/>
        </w:rPr>
        <w:t>AbbVie Deutschland GmbH &amp; Co. KG</w:t>
      </w:r>
    </w:p>
    <w:p w14:paraId="5E692CA4" w14:textId="77777777" w:rsidR="00A118F7" w:rsidRPr="00A118F7" w:rsidRDefault="00A118F7" w:rsidP="00A118F7">
      <w:pPr>
        <w:keepNext/>
        <w:autoSpaceDE w:val="0"/>
        <w:autoSpaceDN w:val="0"/>
        <w:adjustRightInd w:val="0"/>
        <w:spacing w:line="240" w:lineRule="atLeast"/>
        <w:rPr>
          <w:sz w:val="22"/>
          <w:szCs w:val="22"/>
          <w:lang w:eastAsia="en-GB"/>
        </w:rPr>
      </w:pPr>
      <w:r w:rsidRPr="00A118F7">
        <w:rPr>
          <w:sz w:val="22"/>
          <w:szCs w:val="22"/>
          <w:lang w:eastAsia="en-GB"/>
        </w:rPr>
        <w:t>Knollstrasse</w:t>
      </w:r>
    </w:p>
    <w:p w14:paraId="03E2860B" w14:textId="77777777" w:rsidR="00A118F7" w:rsidRPr="00A118F7" w:rsidRDefault="00A118F7" w:rsidP="00A118F7">
      <w:pPr>
        <w:keepNext/>
        <w:autoSpaceDE w:val="0"/>
        <w:autoSpaceDN w:val="0"/>
        <w:adjustRightInd w:val="0"/>
        <w:spacing w:line="240" w:lineRule="atLeast"/>
        <w:rPr>
          <w:sz w:val="22"/>
          <w:szCs w:val="22"/>
          <w:lang w:eastAsia="en-GB"/>
        </w:rPr>
      </w:pPr>
      <w:r w:rsidRPr="00A118F7">
        <w:rPr>
          <w:sz w:val="22"/>
          <w:szCs w:val="22"/>
          <w:lang w:eastAsia="en-GB"/>
        </w:rPr>
        <w:t>67061 Ludwigshafen</w:t>
      </w:r>
    </w:p>
    <w:p w14:paraId="243D0E24" w14:textId="77777777" w:rsidR="00D7303D" w:rsidRDefault="00A118F7" w:rsidP="00A118F7">
      <w:pPr>
        <w:pStyle w:val="EMEANormal"/>
        <w:rPr>
          <w:lang w:val="en-GB"/>
        </w:rPr>
      </w:pPr>
      <w:r w:rsidRPr="00A118F7">
        <w:rPr>
          <w:szCs w:val="22"/>
          <w:lang w:val="en-GB" w:eastAsia="en-GB"/>
        </w:rPr>
        <w:t>Germany</w:t>
      </w:r>
    </w:p>
    <w:p w14:paraId="5554531E" w14:textId="77777777" w:rsidR="00072B94" w:rsidRDefault="00072B94" w:rsidP="00F423D9">
      <w:pPr>
        <w:pStyle w:val="EMEANormal"/>
        <w:rPr>
          <w:lang w:val="en-GB"/>
        </w:rPr>
      </w:pPr>
    </w:p>
    <w:p w14:paraId="1F059026" w14:textId="77777777" w:rsidR="00072B94" w:rsidRDefault="00072B94" w:rsidP="00F423D9">
      <w:pPr>
        <w:pStyle w:val="EMEANormal"/>
        <w:rPr>
          <w:lang w:val="en-GB"/>
        </w:rPr>
      </w:pPr>
    </w:p>
    <w:p w14:paraId="3377CB03" w14:textId="77777777" w:rsidR="00D7303D" w:rsidRDefault="00D7303D" w:rsidP="00573B91">
      <w:pPr>
        <w:pStyle w:val="EMEAHeading1"/>
        <w:keepNext/>
        <w:spacing w:beforeLines="0" w:before="0" w:afterLines="0" w:after="0"/>
        <w:rPr>
          <w:rFonts w:ascii="Times New Roman" w:hAnsi="Times New Roman"/>
          <w:lang w:val="en-GB"/>
        </w:rPr>
      </w:pPr>
      <w:r w:rsidRPr="002B2400">
        <w:rPr>
          <w:rFonts w:ascii="Times New Roman" w:hAnsi="Times New Roman"/>
          <w:lang w:val="en-GB"/>
        </w:rPr>
        <w:t>8.</w:t>
      </w:r>
      <w:r w:rsidRPr="002B2400">
        <w:rPr>
          <w:rFonts w:ascii="Times New Roman" w:hAnsi="Times New Roman"/>
          <w:lang w:val="en-GB"/>
        </w:rPr>
        <w:tab/>
        <w:t>MARKETING AUTHORISATION NUMBERS</w:t>
      </w:r>
    </w:p>
    <w:p w14:paraId="15B3F754" w14:textId="77777777" w:rsidR="00072B94" w:rsidRPr="00072B94" w:rsidRDefault="00072B94" w:rsidP="00573B91">
      <w:pPr>
        <w:pStyle w:val="EMEANormal"/>
        <w:keepNext/>
        <w:rPr>
          <w:lang w:val="en-GB"/>
        </w:rPr>
      </w:pPr>
    </w:p>
    <w:p w14:paraId="3423FEB3" w14:textId="77777777" w:rsidR="00D7303D" w:rsidRPr="002B2400" w:rsidRDefault="00D7303D" w:rsidP="00573B91">
      <w:pPr>
        <w:pStyle w:val="EMEANormal"/>
        <w:keepNext/>
        <w:rPr>
          <w:lang w:val="en-GB"/>
        </w:rPr>
      </w:pPr>
      <w:r w:rsidRPr="002B2400">
        <w:rPr>
          <w:lang w:val="en-GB"/>
        </w:rPr>
        <w:t>EU/1/01/172/004</w:t>
      </w:r>
    </w:p>
    <w:p w14:paraId="63EEE0CF" w14:textId="77777777" w:rsidR="00D7303D" w:rsidRPr="002B2400" w:rsidRDefault="00D7303D" w:rsidP="00573B91">
      <w:pPr>
        <w:pStyle w:val="EMEANormal"/>
        <w:keepNext/>
        <w:rPr>
          <w:lang w:val="en-GB"/>
        </w:rPr>
      </w:pPr>
      <w:r w:rsidRPr="002B2400">
        <w:rPr>
          <w:lang w:val="en-GB"/>
        </w:rPr>
        <w:t>EU/1/01/172/005</w:t>
      </w:r>
    </w:p>
    <w:p w14:paraId="5E333F7C" w14:textId="77777777" w:rsidR="00D7303D" w:rsidRPr="002B2400" w:rsidRDefault="00D7303D" w:rsidP="00573B91">
      <w:pPr>
        <w:pStyle w:val="EMEANormal"/>
        <w:keepNext/>
        <w:rPr>
          <w:lang w:val="en-GB"/>
        </w:rPr>
      </w:pPr>
      <w:r w:rsidRPr="002B2400">
        <w:rPr>
          <w:lang w:val="en-GB"/>
        </w:rPr>
        <w:t>EU/1/01/172/007</w:t>
      </w:r>
    </w:p>
    <w:p w14:paraId="6F177387" w14:textId="77777777" w:rsidR="00D7303D" w:rsidRDefault="00D7303D" w:rsidP="00573B91">
      <w:pPr>
        <w:pStyle w:val="EMEANormal"/>
        <w:keepNext/>
        <w:rPr>
          <w:lang w:val="en-GB"/>
        </w:rPr>
      </w:pPr>
      <w:r w:rsidRPr="00342F7C">
        <w:rPr>
          <w:lang w:val="en-GB"/>
        </w:rPr>
        <w:t>EU/1/01/172/008</w:t>
      </w:r>
    </w:p>
    <w:p w14:paraId="71B7E911" w14:textId="77777777" w:rsidR="00072B94" w:rsidRDefault="00072B94" w:rsidP="00047BED">
      <w:pPr>
        <w:pStyle w:val="EMEANormal"/>
        <w:keepNext/>
        <w:rPr>
          <w:lang w:val="en-GB"/>
        </w:rPr>
      </w:pPr>
    </w:p>
    <w:p w14:paraId="37752816" w14:textId="77777777" w:rsidR="00072B94" w:rsidRPr="00342F7C" w:rsidRDefault="00072B94" w:rsidP="00047BED">
      <w:pPr>
        <w:pStyle w:val="EMEANormal"/>
        <w:keepNext/>
        <w:rPr>
          <w:lang w:val="en-GB"/>
        </w:rPr>
      </w:pPr>
    </w:p>
    <w:p w14:paraId="248FB806" w14:textId="77777777" w:rsidR="00D7303D" w:rsidRDefault="00266A4D" w:rsidP="00072B94">
      <w:pPr>
        <w:pStyle w:val="EMEAHeading1"/>
        <w:spacing w:beforeLines="0" w:before="0" w:afterLines="0" w:after="0"/>
        <w:rPr>
          <w:rFonts w:ascii="Times New Roman" w:hAnsi="Times New Roman"/>
          <w:lang w:val="en-GB"/>
        </w:rPr>
      </w:pPr>
      <w:r>
        <w:rPr>
          <w:rFonts w:ascii="Times New Roman" w:hAnsi="Times New Roman"/>
          <w:lang w:val="en-GB"/>
        </w:rPr>
        <w:t>9.</w:t>
      </w:r>
      <w:r w:rsidR="00D7303D" w:rsidRPr="00342F7C">
        <w:rPr>
          <w:rFonts w:ascii="Times New Roman" w:hAnsi="Times New Roman"/>
          <w:lang w:val="en-GB"/>
        </w:rPr>
        <w:tab/>
        <w:t>Date of first authorisation/renewal of THE authorisation</w:t>
      </w:r>
    </w:p>
    <w:p w14:paraId="38938477" w14:textId="77777777" w:rsidR="00072B94" w:rsidRPr="00072B94" w:rsidRDefault="00072B94" w:rsidP="00072B94">
      <w:pPr>
        <w:pStyle w:val="EMEANormal"/>
        <w:rPr>
          <w:lang w:val="en-GB"/>
        </w:rPr>
      </w:pPr>
    </w:p>
    <w:p w14:paraId="0E4D8B3F" w14:textId="77777777" w:rsidR="00D7303D" w:rsidRPr="00342F7C" w:rsidRDefault="00D7303D">
      <w:pPr>
        <w:pStyle w:val="EMEANormal"/>
        <w:rPr>
          <w:lang w:val="en-GB"/>
        </w:rPr>
      </w:pPr>
      <w:r w:rsidRPr="00342F7C">
        <w:rPr>
          <w:lang w:val="en-GB"/>
        </w:rPr>
        <w:t>Date of first authorisation: 20 March 2001</w:t>
      </w:r>
    </w:p>
    <w:p w14:paraId="4FE3A456" w14:textId="77777777" w:rsidR="00D7303D" w:rsidRDefault="00D7303D">
      <w:pPr>
        <w:pStyle w:val="EMEANormal"/>
        <w:rPr>
          <w:lang w:val="en-GB"/>
        </w:rPr>
      </w:pPr>
      <w:r w:rsidRPr="00342F7C">
        <w:rPr>
          <w:lang w:val="en-GB"/>
        </w:rPr>
        <w:t xml:space="preserve">Date of latest renewal: </w:t>
      </w:r>
      <w:r>
        <w:rPr>
          <w:lang w:val="en-GB"/>
        </w:rPr>
        <w:t>20 March</w:t>
      </w:r>
      <w:r w:rsidRPr="00342F7C">
        <w:rPr>
          <w:lang w:val="en-GB"/>
        </w:rPr>
        <w:t xml:space="preserve"> 2011</w:t>
      </w:r>
    </w:p>
    <w:p w14:paraId="6B2456C6" w14:textId="77777777" w:rsidR="00072B94" w:rsidRDefault="00072B94">
      <w:pPr>
        <w:pStyle w:val="EMEANormal"/>
        <w:rPr>
          <w:lang w:val="en-GB"/>
        </w:rPr>
      </w:pPr>
    </w:p>
    <w:p w14:paraId="6C21DA78" w14:textId="77777777" w:rsidR="00072B94" w:rsidRPr="00342F7C" w:rsidRDefault="00072B94">
      <w:pPr>
        <w:pStyle w:val="EMEANormal"/>
        <w:rPr>
          <w:lang w:val="en-GB"/>
        </w:rPr>
      </w:pPr>
    </w:p>
    <w:p w14:paraId="69C72733" w14:textId="77777777" w:rsidR="00D7303D" w:rsidRDefault="00266A4D" w:rsidP="007F01E5">
      <w:pPr>
        <w:pStyle w:val="EMEAHeading1"/>
        <w:keepNext/>
        <w:spacing w:beforeLines="0" w:before="0" w:afterLines="0" w:after="0"/>
        <w:rPr>
          <w:rFonts w:ascii="Times New Roman" w:hAnsi="Times New Roman"/>
          <w:lang w:val="en-GB"/>
        </w:rPr>
      </w:pPr>
      <w:r>
        <w:rPr>
          <w:rFonts w:ascii="Times New Roman" w:hAnsi="Times New Roman"/>
          <w:lang w:val="en-GB"/>
        </w:rPr>
        <w:t>10.</w:t>
      </w:r>
      <w:r w:rsidR="00D7303D" w:rsidRPr="00342F7C">
        <w:rPr>
          <w:rFonts w:ascii="Times New Roman" w:hAnsi="Times New Roman"/>
          <w:lang w:val="en-GB"/>
        </w:rPr>
        <w:tab/>
        <w:t>Date of revision of the text</w:t>
      </w:r>
    </w:p>
    <w:p w14:paraId="1837C83D" w14:textId="77777777" w:rsidR="00072B94" w:rsidRPr="00072B94" w:rsidRDefault="00072B94" w:rsidP="007F01E5">
      <w:pPr>
        <w:pStyle w:val="EMEANormal"/>
        <w:keepNext/>
        <w:rPr>
          <w:lang w:val="en-GB"/>
        </w:rPr>
      </w:pPr>
    </w:p>
    <w:p w14:paraId="2F09978A" w14:textId="77777777" w:rsidR="0081124D" w:rsidRPr="00342F7C" w:rsidRDefault="0081124D" w:rsidP="007F01E5">
      <w:pPr>
        <w:pStyle w:val="EMEANormal"/>
        <w:keepNext/>
        <w:rPr>
          <w:iCs/>
          <w:noProof/>
          <w:szCs w:val="22"/>
          <w:lang w:val="en-GB"/>
        </w:rPr>
      </w:pPr>
    </w:p>
    <w:p w14:paraId="1E0758A2" w14:textId="77777777" w:rsidR="00D7303D" w:rsidRPr="00342F7C" w:rsidRDefault="00D7303D" w:rsidP="00132FBF">
      <w:pPr>
        <w:pStyle w:val="EMEANormal"/>
        <w:rPr>
          <w:lang w:val="en-GB"/>
        </w:rPr>
      </w:pPr>
      <w:r w:rsidRPr="00342F7C">
        <w:rPr>
          <w:iCs/>
          <w:noProof/>
          <w:szCs w:val="22"/>
          <w:lang w:val="en-GB"/>
        </w:rPr>
        <w:t xml:space="preserve">Detailed information on this product </w:t>
      </w:r>
      <w:r w:rsidRPr="00342F7C">
        <w:rPr>
          <w:noProof/>
          <w:szCs w:val="22"/>
          <w:lang w:val="en-GB"/>
        </w:rPr>
        <w:t xml:space="preserve">is available on the website of the European Medicines Agency </w:t>
      </w:r>
      <w:hyperlink r:id="rId14" w:history="1">
        <w:r w:rsidRPr="00342F7C">
          <w:rPr>
            <w:rStyle w:val="Hyperlink"/>
            <w:noProof/>
            <w:szCs w:val="22"/>
            <w:lang w:val="en-GB"/>
          </w:rPr>
          <w:t>http://www.ema.europa.eu</w:t>
        </w:r>
      </w:hyperlink>
    </w:p>
    <w:p w14:paraId="1AE00DFA" w14:textId="77777777" w:rsidR="00D7303D" w:rsidRDefault="00D7303D" w:rsidP="00867DE1">
      <w:pPr>
        <w:pStyle w:val="EMEAHeading1Para1"/>
        <w:spacing w:afterLines="0" w:after="0"/>
        <w:rPr>
          <w:rFonts w:ascii="Times New Roman" w:hAnsi="Times New Roman"/>
          <w:lang w:val="en-GB"/>
        </w:rPr>
      </w:pPr>
      <w:r w:rsidRPr="00342F7C">
        <w:rPr>
          <w:rFonts w:ascii="Times New Roman" w:hAnsi="Times New Roman"/>
          <w:lang w:val="en-GB"/>
        </w:rPr>
        <w:br w:type="page"/>
      </w:r>
      <w:r w:rsidR="00266A4D">
        <w:rPr>
          <w:rFonts w:ascii="Times New Roman" w:hAnsi="Times New Roman"/>
          <w:lang w:val="en-GB"/>
        </w:rPr>
        <w:t>1.</w:t>
      </w:r>
      <w:r w:rsidRPr="00342F7C">
        <w:rPr>
          <w:rFonts w:ascii="Times New Roman" w:hAnsi="Times New Roman"/>
          <w:lang w:val="en-GB"/>
        </w:rPr>
        <w:tab/>
        <w:t xml:space="preserve">Name of the medicinal product </w:t>
      </w:r>
    </w:p>
    <w:p w14:paraId="20850278" w14:textId="77777777" w:rsidR="00867DE1" w:rsidRDefault="00867DE1" w:rsidP="00867DE1">
      <w:pPr>
        <w:pStyle w:val="EMEANormal"/>
        <w:rPr>
          <w:lang w:val="en-GB"/>
        </w:rPr>
      </w:pPr>
    </w:p>
    <w:p w14:paraId="29BC767C" w14:textId="77777777" w:rsidR="00D7303D" w:rsidRDefault="00D7303D">
      <w:pPr>
        <w:pStyle w:val="EMEANormal"/>
        <w:rPr>
          <w:lang w:val="en-GB"/>
        </w:rPr>
      </w:pPr>
      <w:r w:rsidRPr="00342F7C">
        <w:rPr>
          <w:lang w:val="en-GB"/>
        </w:rPr>
        <w:t>Kaletra 100 mg/25 mg film-coated tablets</w:t>
      </w:r>
    </w:p>
    <w:p w14:paraId="3E1A3210" w14:textId="77777777" w:rsidR="00867DE1" w:rsidRDefault="00867DE1">
      <w:pPr>
        <w:pStyle w:val="EMEANormal"/>
        <w:rPr>
          <w:lang w:val="en-GB"/>
        </w:rPr>
      </w:pPr>
    </w:p>
    <w:p w14:paraId="0DFF6070" w14:textId="77777777" w:rsidR="00867DE1" w:rsidRPr="00342F7C" w:rsidRDefault="00867DE1">
      <w:pPr>
        <w:pStyle w:val="EMEANormal"/>
        <w:rPr>
          <w:lang w:val="en-GB"/>
        </w:rPr>
      </w:pPr>
    </w:p>
    <w:p w14:paraId="19236D40" w14:textId="77777777" w:rsidR="00D7303D" w:rsidRPr="00342F7C" w:rsidRDefault="00266A4D" w:rsidP="00867DE1">
      <w:pPr>
        <w:pStyle w:val="EMEAHeading1"/>
        <w:spacing w:beforeLines="0" w:before="0" w:afterLines="0" w:after="0"/>
        <w:rPr>
          <w:rFonts w:ascii="Times New Roman" w:hAnsi="Times New Roman"/>
          <w:lang w:val="en-GB"/>
        </w:rPr>
      </w:pPr>
      <w:r>
        <w:rPr>
          <w:rFonts w:ascii="Times New Roman" w:hAnsi="Times New Roman"/>
          <w:lang w:val="en-GB"/>
        </w:rPr>
        <w:t>2.</w:t>
      </w:r>
      <w:r w:rsidR="00D7303D" w:rsidRPr="00342F7C">
        <w:rPr>
          <w:rFonts w:ascii="Times New Roman" w:hAnsi="Times New Roman"/>
          <w:lang w:val="en-GB"/>
        </w:rPr>
        <w:tab/>
        <w:t xml:space="preserve">Qualitative and quantitative composition </w:t>
      </w:r>
    </w:p>
    <w:p w14:paraId="7F22EB71" w14:textId="77777777" w:rsidR="00D7303D" w:rsidRPr="00342F7C" w:rsidRDefault="00D7303D">
      <w:pPr>
        <w:pStyle w:val="EMEANormal"/>
        <w:rPr>
          <w:lang w:val="en-GB"/>
        </w:rPr>
      </w:pPr>
      <w:r w:rsidRPr="00342F7C">
        <w:rPr>
          <w:lang w:val="en-GB"/>
        </w:rPr>
        <w:t>Each film-coated tablet contains 100 mg of lopinavir co-formulated with 25 mg of ritonavir as a pharmacokinetic enhancer.</w:t>
      </w:r>
    </w:p>
    <w:p w14:paraId="79AF3AEB" w14:textId="77777777" w:rsidR="00D7303D" w:rsidRPr="00342F7C" w:rsidRDefault="00D7303D">
      <w:pPr>
        <w:pStyle w:val="EMEANormal"/>
        <w:rPr>
          <w:lang w:val="en-GB"/>
        </w:rPr>
      </w:pPr>
    </w:p>
    <w:p w14:paraId="527446BA" w14:textId="77777777" w:rsidR="00D7303D" w:rsidRDefault="00D7303D">
      <w:pPr>
        <w:pStyle w:val="EMEANormal"/>
        <w:rPr>
          <w:lang w:val="en-GB"/>
        </w:rPr>
      </w:pPr>
      <w:r w:rsidRPr="00342F7C">
        <w:rPr>
          <w:lang w:val="en-GB"/>
        </w:rPr>
        <w:t xml:space="preserve">For </w:t>
      </w:r>
      <w:r w:rsidR="00407728">
        <w:rPr>
          <w:lang w:val="en-GB"/>
        </w:rPr>
        <w:t>the</w:t>
      </w:r>
      <w:r w:rsidRPr="00342F7C">
        <w:rPr>
          <w:lang w:val="en-GB"/>
        </w:rPr>
        <w:t xml:space="preserve"> full list of excipients, see section 6.1. </w:t>
      </w:r>
    </w:p>
    <w:p w14:paraId="51CA2310" w14:textId="77777777" w:rsidR="00867DE1" w:rsidRDefault="00867DE1">
      <w:pPr>
        <w:pStyle w:val="EMEANormal"/>
        <w:rPr>
          <w:lang w:val="en-GB"/>
        </w:rPr>
      </w:pPr>
    </w:p>
    <w:p w14:paraId="52B00051" w14:textId="77777777" w:rsidR="00867DE1" w:rsidRPr="00342F7C" w:rsidRDefault="00867DE1">
      <w:pPr>
        <w:pStyle w:val="EMEANormal"/>
        <w:rPr>
          <w:lang w:val="en-GB"/>
        </w:rPr>
      </w:pPr>
    </w:p>
    <w:p w14:paraId="450905A8" w14:textId="77777777" w:rsidR="00D7303D" w:rsidRDefault="00266A4D" w:rsidP="00867DE1">
      <w:pPr>
        <w:pStyle w:val="EMEAHeading1"/>
        <w:spacing w:beforeLines="0" w:before="0" w:afterLines="0" w:after="0"/>
        <w:rPr>
          <w:rFonts w:ascii="Times New Roman" w:hAnsi="Times New Roman"/>
          <w:i/>
          <w:lang w:val="en-GB"/>
        </w:rPr>
      </w:pPr>
      <w:r>
        <w:rPr>
          <w:rFonts w:ascii="Times New Roman" w:hAnsi="Times New Roman"/>
          <w:lang w:val="en-GB"/>
        </w:rPr>
        <w:t>3.</w:t>
      </w:r>
      <w:r w:rsidR="00D7303D" w:rsidRPr="00342F7C">
        <w:rPr>
          <w:rFonts w:ascii="Times New Roman" w:hAnsi="Times New Roman"/>
          <w:lang w:val="en-GB"/>
        </w:rPr>
        <w:tab/>
        <w:t>Pharmaceutical Form</w:t>
      </w:r>
      <w:r w:rsidR="00D7303D" w:rsidRPr="00342F7C">
        <w:rPr>
          <w:rFonts w:ascii="Times New Roman" w:hAnsi="Times New Roman"/>
          <w:i/>
          <w:lang w:val="en-GB"/>
        </w:rPr>
        <w:t xml:space="preserve"> </w:t>
      </w:r>
    </w:p>
    <w:p w14:paraId="062ADCE5" w14:textId="77777777" w:rsidR="00867DE1" w:rsidRPr="00867DE1" w:rsidRDefault="00867DE1" w:rsidP="00867DE1">
      <w:pPr>
        <w:pStyle w:val="EMEANormal"/>
        <w:rPr>
          <w:lang w:val="en-GB"/>
        </w:rPr>
      </w:pPr>
    </w:p>
    <w:p w14:paraId="3568EF05" w14:textId="77777777" w:rsidR="00D7303D" w:rsidRPr="00342F7C" w:rsidRDefault="00D7303D">
      <w:pPr>
        <w:pStyle w:val="EMEANormal"/>
        <w:rPr>
          <w:lang w:val="en-GB"/>
        </w:rPr>
      </w:pPr>
      <w:r w:rsidRPr="00342F7C">
        <w:rPr>
          <w:lang w:val="en-GB"/>
        </w:rPr>
        <w:t>Film-coated tablet</w:t>
      </w:r>
    </w:p>
    <w:p w14:paraId="15A664A4" w14:textId="77777777" w:rsidR="00D7303D" w:rsidRPr="00342F7C" w:rsidRDefault="00D7303D">
      <w:pPr>
        <w:pStyle w:val="EMEANormal"/>
        <w:rPr>
          <w:lang w:val="en-GB"/>
        </w:rPr>
      </w:pPr>
    </w:p>
    <w:p w14:paraId="2B6FA88B" w14:textId="79B845E3" w:rsidR="00D7303D" w:rsidRDefault="00A523DF">
      <w:pPr>
        <w:pStyle w:val="EMEANormal"/>
        <w:rPr>
          <w:lang w:val="en-GB"/>
        </w:rPr>
      </w:pPr>
      <w:r w:rsidRPr="00C15E8E">
        <w:rPr>
          <w:lang w:val="en-GB"/>
        </w:rPr>
        <w:t>Pale pink debossed with [Abbott logo] and “AC”.</w:t>
      </w:r>
    </w:p>
    <w:p w14:paraId="75A1A27A" w14:textId="77777777" w:rsidR="00867DE1" w:rsidRDefault="00867DE1">
      <w:pPr>
        <w:pStyle w:val="EMEANormal"/>
        <w:rPr>
          <w:lang w:val="en-GB"/>
        </w:rPr>
      </w:pPr>
    </w:p>
    <w:p w14:paraId="54E3152F" w14:textId="77777777" w:rsidR="00867DE1" w:rsidRPr="00342F7C" w:rsidRDefault="00867DE1">
      <w:pPr>
        <w:pStyle w:val="EMEANormal"/>
        <w:rPr>
          <w:lang w:val="en-GB"/>
        </w:rPr>
      </w:pPr>
    </w:p>
    <w:p w14:paraId="26B09773" w14:textId="77777777" w:rsidR="00D7303D" w:rsidRDefault="00D7303D" w:rsidP="00867DE1">
      <w:pPr>
        <w:pStyle w:val="EMEAHeading1"/>
        <w:spacing w:beforeLines="0" w:before="0" w:afterLines="0" w:after="0"/>
        <w:rPr>
          <w:rFonts w:ascii="Times New Roman" w:hAnsi="Times New Roman"/>
          <w:lang w:val="en-GB"/>
        </w:rPr>
      </w:pPr>
      <w:r w:rsidRPr="00342F7C">
        <w:rPr>
          <w:rFonts w:ascii="Times New Roman" w:hAnsi="Times New Roman"/>
          <w:lang w:val="en-GB"/>
        </w:rPr>
        <w:t>4.</w:t>
      </w:r>
      <w:r w:rsidRPr="00342F7C">
        <w:rPr>
          <w:rFonts w:ascii="Times New Roman" w:hAnsi="Times New Roman"/>
          <w:lang w:val="en-GB"/>
        </w:rPr>
        <w:tab/>
        <w:t>Clinical Particulars</w:t>
      </w:r>
    </w:p>
    <w:p w14:paraId="5FAED56A" w14:textId="77777777" w:rsidR="00867DE1" w:rsidRPr="00867DE1" w:rsidRDefault="00867DE1" w:rsidP="00867DE1">
      <w:pPr>
        <w:pStyle w:val="EMEANormal"/>
        <w:rPr>
          <w:lang w:val="en-GB"/>
        </w:rPr>
      </w:pPr>
    </w:p>
    <w:p w14:paraId="513E3E04" w14:textId="77777777" w:rsidR="00D7303D" w:rsidRDefault="00266A4D" w:rsidP="00867DE1">
      <w:pPr>
        <w:pStyle w:val="EMEAHeading2SPCEmpty"/>
        <w:spacing w:afterLines="0" w:after="0"/>
        <w:rPr>
          <w:rFonts w:ascii="Times New Roman" w:hAnsi="Times New Roman"/>
          <w:lang w:val="en-GB"/>
        </w:rPr>
      </w:pPr>
      <w:r>
        <w:rPr>
          <w:rFonts w:ascii="Times New Roman" w:hAnsi="Times New Roman"/>
          <w:lang w:val="en-GB"/>
        </w:rPr>
        <w:t>4.1</w:t>
      </w:r>
      <w:r w:rsidR="00D7303D" w:rsidRPr="00342F7C">
        <w:rPr>
          <w:rFonts w:ascii="Times New Roman" w:hAnsi="Times New Roman"/>
          <w:lang w:val="en-GB"/>
        </w:rPr>
        <w:tab/>
        <w:t>Therapeutic indications</w:t>
      </w:r>
    </w:p>
    <w:p w14:paraId="5BDDF89E" w14:textId="77777777" w:rsidR="00867DE1" w:rsidRPr="00867DE1" w:rsidRDefault="00867DE1" w:rsidP="00867DE1">
      <w:pPr>
        <w:pStyle w:val="EMEANormal"/>
        <w:rPr>
          <w:lang w:val="en-GB"/>
        </w:rPr>
      </w:pPr>
    </w:p>
    <w:p w14:paraId="6D97A514" w14:textId="77777777" w:rsidR="00D7303D" w:rsidRPr="00342F7C" w:rsidRDefault="00D7303D">
      <w:pPr>
        <w:pStyle w:val="EMEANormal"/>
        <w:rPr>
          <w:lang w:val="en-GB"/>
        </w:rPr>
      </w:pPr>
      <w:r w:rsidRPr="00342F7C">
        <w:rPr>
          <w:lang w:val="en-GB"/>
        </w:rPr>
        <w:t xml:space="preserve">Kaletra is indicated in combination with other antiretroviral medicinal products for the treatment of human immunodeficiency virus (HIV-1) infected children above the age of 2 years, adolescents and adults. </w:t>
      </w:r>
    </w:p>
    <w:p w14:paraId="6DA4EEBE" w14:textId="77777777" w:rsidR="00D7303D" w:rsidRPr="00342F7C" w:rsidRDefault="00D7303D">
      <w:pPr>
        <w:pStyle w:val="EMEANormal"/>
        <w:rPr>
          <w:lang w:val="en-GB"/>
        </w:rPr>
      </w:pPr>
    </w:p>
    <w:p w14:paraId="6B67E03D" w14:textId="77777777" w:rsidR="00D7303D" w:rsidRDefault="00D7303D">
      <w:pPr>
        <w:pStyle w:val="EMEANormal"/>
        <w:rPr>
          <w:lang w:val="en-GB"/>
        </w:rPr>
      </w:pPr>
      <w:r w:rsidRPr="00342F7C">
        <w:rPr>
          <w:lang w:val="en-GB"/>
        </w:rPr>
        <w:t>The choice of Kaletra to treat protease inhibitor experienced HIV-1 infected patients should be based on individual viral resistance testing and treatment history of patients (see sections 4.4 and 5.1).</w:t>
      </w:r>
    </w:p>
    <w:p w14:paraId="0B126FB0" w14:textId="77777777" w:rsidR="00867DE1" w:rsidRPr="00342F7C" w:rsidRDefault="00867DE1">
      <w:pPr>
        <w:pStyle w:val="EMEANormal"/>
        <w:rPr>
          <w:lang w:val="en-GB"/>
        </w:rPr>
      </w:pPr>
    </w:p>
    <w:p w14:paraId="5D535939" w14:textId="77777777" w:rsidR="00D7303D" w:rsidRDefault="00266A4D" w:rsidP="00867DE1">
      <w:pPr>
        <w:pStyle w:val="EMEAHeading2SPC"/>
        <w:spacing w:beforeLines="0" w:before="0" w:afterLines="0" w:after="0"/>
        <w:rPr>
          <w:rFonts w:ascii="Times New Roman" w:hAnsi="Times New Roman"/>
          <w:lang w:val="en-GB"/>
        </w:rPr>
      </w:pPr>
      <w:r>
        <w:rPr>
          <w:rFonts w:ascii="Times New Roman" w:hAnsi="Times New Roman"/>
          <w:lang w:val="en-GB"/>
        </w:rPr>
        <w:t>4.2</w:t>
      </w:r>
      <w:r w:rsidR="00D7303D" w:rsidRPr="00342F7C">
        <w:rPr>
          <w:rFonts w:ascii="Times New Roman" w:hAnsi="Times New Roman"/>
          <w:lang w:val="en-GB"/>
        </w:rPr>
        <w:tab/>
        <w:t>Posology and method of administration</w:t>
      </w:r>
    </w:p>
    <w:p w14:paraId="6192D8F0" w14:textId="77777777" w:rsidR="00867DE1" w:rsidRPr="00867DE1" w:rsidRDefault="00867DE1" w:rsidP="00867DE1">
      <w:pPr>
        <w:pStyle w:val="EMEANormal"/>
        <w:rPr>
          <w:lang w:val="en-GB"/>
        </w:rPr>
      </w:pPr>
    </w:p>
    <w:p w14:paraId="59996B58" w14:textId="77777777" w:rsidR="00D7303D" w:rsidRPr="00342F7C" w:rsidRDefault="00D7303D">
      <w:pPr>
        <w:pStyle w:val="EMEANormal"/>
        <w:rPr>
          <w:lang w:val="en-GB"/>
        </w:rPr>
      </w:pPr>
      <w:r w:rsidRPr="00342F7C">
        <w:rPr>
          <w:lang w:val="en-GB"/>
        </w:rPr>
        <w:t>Kaletra should be prescribed by physicians who are experienced in the treatment of HIV infection.</w:t>
      </w:r>
    </w:p>
    <w:p w14:paraId="6DB7E7FB" w14:textId="77777777" w:rsidR="00D7303D" w:rsidRPr="00342F7C" w:rsidRDefault="00D7303D">
      <w:pPr>
        <w:pStyle w:val="EMEANormal"/>
        <w:rPr>
          <w:lang w:val="en-GB"/>
        </w:rPr>
      </w:pPr>
    </w:p>
    <w:p w14:paraId="434B804B" w14:textId="77777777" w:rsidR="00D7303D" w:rsidRPr="00342F7C" w:rsidRDefault="00D7303D">
      <w:pPr>
        <w:pStyle w:val="EMEANormal"/>
        <w:rPr>
          <w:lang w:val="en-GB"/>
        </w:rPr>
      </w:pPr>
      <w:r w:rsidRPr="00342F7C">
        <w:rPr>
          <w:lang w:val="en-GB"/>
        </w:rPr>
        <w:t xml:space="preserve">Kaletra tablets must be swallowed whole and not chewed, broken or crushed. </w:t>
      </w:r>
    </w:p>
    <w:p w14:paraId="42859DAE" w14:textId="77777777" w:rsidR="00D7303D" w:rsidRPr="00342F7C" w:rsidRDefault="00D7303D">
      <w:pPr>
        <w:pStyle w:val="EMEANormal"/>
        <w:rPr>
          <w:u w:val="single"/>
          <w:lang w:val="en-GB"/>
        </w:rPr>
      </w:pPr>
    </w:p>
    <w:p w14:paraId="1AFEED49" w14:textId="77777777" w:rsidR="00D7303D" w:rsidRPr="00342F7C" w:rsidRDefault="00D7303D">
      <w:pPr>
        <w:pStyle w:val="EMEANormal"/>
        <w:rPr>
          <w:u w:val="single"/>
          <w:lang w:val="en-GB"/>
        </w:rPr>
      </w:pPr>
      <w:r w:rsidRPr="00342F7C">
        <w:rPr>
          <w:u w:val="single"/>
          <w:lang w:val="en-GB"/>
        </w:rPr>
        <w:t>Posology</w:t>
      </w:r>
    </w:p>
    <w:p w14:paraId="40E1D187" w14:textId="77777777" w:rsidR="00D7303D" w:rsidRPr="00342F7C" w:rsidRDefault="00D7303D">
      <w:pPr>
        <w:pStyle w:val="EMEANormal"/>
        <w:rPr>
          <w:lang w:val="en-GB"/>
        </w:rPr>
      </w:pPr>
    </w:p>
    <w:p w14:paraId="322FF0E0" w14:textId="77777777" w:rsidR="00407728" w:rsidRDefault="00D7303D">
      <w:pPr>
        <w:pStyle w:val="EMEANormal"/>
        <w:rPr>
          <w:lang w:val="en-GB"/>
        </w:rPr>
      </w:pPr>
      <w:r w:rsidRPr="00342F7C">
        <w:rPr>
          <w:i/>
          <w:lang w:val="en-GB"/>
        </w:rPr>
        <w:t>Adult</w:t>
      </w:r>
      <w:r w:rsidR="00407728">
        <w:rPr>
          <w:i/>
          <w:lang w:val="en-GB"/>
        </w:rPr>
        <w:t>s</w:t>
      </w:r>
      <w:r w:rsidRPr="00342F7C">
        <w:rPr>
          <w:i/>
          <w:lang w:val="en-GB"/>
        </w:rPr>
        <w:t xml:space="preserve"> and adolescent</w:t>
      </w:r>
      <w:r w:rsidR="00407728">
        <w:rPr>
          <w:i/>
          <w:lang w:val="en-GB"/>
        </w:rPr>
        <w:t>s</w:t>
      </w:r>
      <w:r w:rsidRPr="00342F7C">
        <w:rPr>
          <w:lang w:val="en-GB"/>
        </w:rPr>
        <w:t xml:space="preserve"> </w:t>
      </w:r>
    </w:p>
    <w:p w14:paraId="74388A21" w14:textId="77777777" w:rsidR="00D7303D" w:rsidRPr="00342F7C" w:rsidRDefault="00407728">
      <w:pPr>
        <w:pStyle w:val="EMEANormal"/>
        <w:rPr>
          <w:lang w:val="en-GB"/>
        </w:rPr>
      </w:pPr>
      <w:r>
        <w:rPr>
          <w:lang w:val="en-GB"/>
        </w:rPr>
        <w:t>T</w:t>
      </w:r>
      <w:r w:rsidR="00D7303D" w:rsidRPr="00342F7C">
        <w:rPr>
          <w:lang w:val="en-GB"/>
        </w:rPr>
        <w:t>he standard recommended dosage of Kaletra tablets is 400/100 mg (two 200/50 mg) tablets twice daily taken with or without food.  In adult patients, in cases where once</w:t>
      </w:r>
      <w:r w:rsidR="00BD64AF">
        <w:rPr>
          <w:lang w:val="en-GB"/>
        </w:rPr>
        <w:noBreakHyphen/>
      </w:r>
      <w:r w:rsidR="00D7303D" w:rsidRPr="00342F7C">
        <w:rPr>
          <w:lang w:val="en-GB"/>
        </w:rPr>
        <w:t>daily dosing is considered necessary for the management of the patient, Kaletra tablets may be administered as 800/200 mg (four 200/50 mg tablets) once daily with or without food.  The use of a once</w:t>
      </w:r>
      <w:r w:rsidR="00002FFE">
        <w:rPr>
          <w:lang w:val="en-GB"/>
        </w:rPr>
        <w:noBreakHyphen/>
      </w:r>
      <w:r w:rsidR="00D7303D" w:rsidRPr="00342F7C">
        <w:rPr>
          <w:lang w:val="en-GB"/>
        </w:rPr>
        <w:t>daily dosing should be limited to those adult patients having only very few protease inhibitor (PI) associated mutations (i.e. less than 3 PI mutations in line with clinical trial results, see section 5.1 for the full description of the population) and should take into account the risk of a lesser sustainability of the virologic suppression (see section 5.1) and higher risk of diarrhoea (see section 4.8) compared to the recommended standard twice</w:t>
      </w:r>
      <w:r w:rsidR="00002FFE">
        <w:rPr>
          <w:lang w:val="en-GB"/>
        </w:rPr>
        <w:noBreakHyphen/>
      </w:r>
      <w:r w:rsidR="00D7303D" w:rsidRPr="00342F7C">
        <w:rPr>
          <w:lang w:val="en-GB"/>
        </w:rPr>
        <w:t>daily dosing.  An oral solution is available to patients who have difficulty swallowing.  Refer to the Summary of Product Characteristics for Kaletra oral solution for dosing instructions.</w:t>
      </w:r>
    </w:p>
    <w:p w14:paraId="3817FC24" w14:textId="77777777" w:rsidR="00D7303D" w:rsidRPr="00342F7C" w:rsidRDefault="00D7303D">
      <w:pPr>
        <w:pStyle w:val="EMEANormal"/>
        <w:rPr>
          <w:lang w:val="en-GB"/>
        </w:rPr>
      </w:pPr>
    </w:p>
    <w:p w14:paraId="0B30B724" w14:textId="77777777" w:rsidR="00407728" w:rsidRDefault="00D7303D">
      <w:pPr>
        <w:pStyle w:val="EMEANormal"/>
        <w:rPr>
          <w:i/>
          <w:lang w:val="en-GB"/>
        </w:rPr>
      </w:pPr>
      <w:r w:rsidRPr="00342F7C">
        <w:rPr>
          <w:i/>
          <w:lang w:val="en-GB"/>
        </w:rPr>
        <w:t xml:space="preserve">Paediatric </w:t>
      </w:r>
      <w:r w:rsidR="00407728">
        <w:rPr>
          <w:i/>
          <w:lang w:val="en-GB"/>
        </w:rPr>
        <w:t>population</w:t>
      </w:r>
      <w:r w:rsidR="00407728" w:rsidRPr="00342F7C">
        <w:rPr>
          <w:i/>
          <w:lang w:val="en-GB"/>
        </w:rPr>
        <w:t xml:space="preserve"> </w:t>
      </w:r>
      <w:r w:rsidRPr="00342F7C">
        <w:rPr>
          <w:i/>
          <w:lang w:val="en-GB"/>
        </w:rPr>
        <w:t>(2 years of age and above)</w:t>
      </w:r>
    </w:p>
    <w:p w14:paraId="66EE8D2F" w14:textId="77777777" w:rsidR="00D7303D" w:rsidRPr="00342F7C" w:rsidRDefault="00407728">
      <w:pPr>
        <w:pStyle w:val="EMEANormal"/>
        <w:rPr>
          <w:lang w:val="en-GB"/>
        </w:rPr>
      </w:pPr>
      <w:r>
        <w:rPr>
          <w:lang w:val="en-GB"/>
        </w:rPr>
        <w:t>T</w:t>
      </w:r>
      <w:r w:rsidR="00D7303D" w:rsidRPr="00342F7C">
        <w:rPr>
          <w:lang w:val="en-GB"/>
        </w:rPr>
        <w:t>he adult dose of Kaletra tablets (400/100 mg twice daily) may be used in children 40 kg or greater or with a Body Surface Area (BSA)* greater than 1.4 m</w:t>
      </w:r>
      <w:r w:rsidR="00D7303D" w:rsidRPr="00342F7C">
        <w:rPr>
          <w:vertAlign w:val="superscript"/>
          <w:lang w:val="en-GB"/>
        </w:rPr>
        <w:t>2</w:t>
      </w:r>
      <w:r w:rsidR="00D7303D" w:rsidRPr="00342F7C">
        <w:rPr>
          <w:lang w:val="en-GB"/>
        </w:rPr>
        <w:t>.  For children weighing less than 40 kg or with a BSA between 0.5 and 1.4 m</w:t>
      </w:r>
      <w:r w:rsidR="00D7303D" w:rsidRPr="00342F7C">
        <w:rPr>
          <w:vertAlign w:val="superscript"/>
          <w:lang w:val="en-GB"/>
        </w:rPr>
        <w:t xml:space="preserve">2 </w:t>
      </w:r>
      <w:r w:rsidR="00D7303D" w:rsidRPr="00342F7C">
        <w:rPr>
          <w:lang w:val="en-GB"/>
        </w:rPr>
        <w:t xml:space="preserve">and able to swallow tablets, refer to the dosing guideline tables below.  For children unable to swallow tablets, please refer to the Kaletra oral solution Summary of Product Characteristics.  </w:t>
      </w:r>
      <w:r w:rsidR="009C757F">
        <w:rPr>
          <w:lang w:val="en-GB"/>
        </w:rPr>
        <w:t xml:space="preserve">Based on the </w:t>
      </w:r>
      <w:r w:rsidR="003C4A95">
        <w:rPr>
          <w:lang w:val="en-GB"/>
        </w:rPr>
        <w:t xml:space="preserve">current </w:t>
      </w:r>
      <w:r w:rsidR="009C757F">
        <w:rPr>
          <w:lang w:val="en-GB"/>
        </w:rPr>
        <w:t xml:space="preserve">data available, </w:t>
      </w:r>
      <w:r w:rsidR="00D7303D" w:rsidRPr="00342F7C">
        <w:rPr>
          <w:lang w:val="en-GB"/>
        </w:rPr>
        <w:t xml:space="preserve">Kaletra </w:t>
      </w:r>
      <w:r w:rsidR="00002FFE">
        <w:rPr>
          <w:lang w:val="en-GB"/>
        </w:rPr>
        <w:t>should not be administered once</w:t>
      </w:r>
      <w:r w:rsidR="004F2509">
        <w:rPr>
          <w:lang w:val="en-GB"/>
        </w:rPr>
        <w:t xml:space="preserve"> </w:t>
      </w:r>
      <w:r w:rsidR="00CA08D8">
        <w:rPr>
          <w:lang w:val="en-GB"/>
        </w:rPr>
        <w:t>daily</w:t>
      </w:r>
      <w:r w:rsidR="00CA08D8" w:rsidRPr="00C15E8E">
        <w:rPr>
          <w:lang w:val="en-GB"/>
        </w:rPr>
        <w:t xml:space="preserve"> </w:t>
      </w:r>
      <w:r w:rsidR="00D7303D" w:rsidRPr="00FE7FF3">
        <w:rPr>
          <w:lang w:val="en-GB"/>
        </w:rPr>
        <w:t>in paediatric patients</w:t>
      </w:r>
      <w:r w:rsidR="009C757F">
        <w:rPr>
          <w:lang w:val="en-GB"/>
        </w:rPr>
        <w:t xml:space="preserve"> (see section 5.1)</w:t>
      </w:r>
      <w:r w:rsidR="00D7303D" w:rsidRPr="00FE7FF3">
        <w:rPr>
          <w:lang w:val="en-GB"/>
        </w:rPr>
        <w:t>.</w:t>
      </w:r>
    </w:p>
    <w:p w14:paraId="68AB2B40" w14:textId="77777777" w:rsidR="00D7303D" w:rsidRPr="00342F7C" w:rsidRDefault="00D7303D">
      <w:pPr>
        <w:pStyle w:val="EMEANormal"/>
        <w:rPr>
          <w:lang w:val="en-GB"/>
        </w:rPr>
      </w:pPr>
    </w:p>
    <w:p w14:paraId="09A714AA" w14:textId="77777777" w:rsidR="00D7303D" w:rsidRPr="00342F7C" w:rsidRDefault="00D7303D">
      <w:pPr>
        <w:pStyle w:val="EMEANormal"/>
        <w:rPr>
          <w:lang w:val="en-GB"/>
        </w:rPr>
      </w:pPr>
      <w:r w:rsidRPr="00342F7C">
        <w:rPr>
          <w:lang w:val="en-GB"/>
        </w:rPr>
        <w:t>Before prescribing Kaletra 100/25 mg tablets, infants and young children should be assessed for the ability to swallow intact tablets.  If a child is unable to reliably swallow a Kaletra tablet, Kaletra oral solution formulation should be prescribed.</w:t>
      </w:r>
    </w:p>
    <w:p w14:paraId="69D06C23" w14:textId="77777777" w:rsidR="00D7303D" w:rsidRPr="00342F7C" w:rsidRDefault="00D7303D">
      <w:pPr>
        <w:pStyle w:val="EMEANormal"/>
        <w:rPr>
          <w:lang w:val="en-GB"/>
        </w:rPr>
      </w:pPr>
    </w:p>
    <w:p w14:paraId="7BD16542" w14:textId="77777777" w:rsidR="00D7303D" w:rsidRPr="00342F7C" w:rsidRDefault="00D7303D">
      <w:pPr>
        <w:pStyle w:val="EMEANormal"/>
        <w:rPr>
          <w:lang w:val="en-GB"/>
        </w:rPr>
      </w:pPr>
      <w:r w:rsidRPr="00342F7C">
        <w:rPr>
          <w:lang w:val="en-GB"/>
        </w:rPr>
        <w:t xml:space="preserve">The following table contains dosing guidelines for Kaletra 100/25 mg tablets based on </w:t>
      </w:r>
      <w:r w:rsidR="00325134">
        <w:rPr>
          <w:lang w:val="en-GB"/>
        </w:rPr>
        <w:t>body weight and</w:t>
      </w:r>
      <w:r w:rsidR="00325134" w:rsidRPr="00342F7C">
        <w:rPr>
          <w:lang w:val="en-GB"/>
        </w:rPr>
        <w:t xml:space="preserve"> </w:t>
      </w:r>
      <w:r w:rsidRPr="00342F7C">
        <w:rPr>
          <w:lang w:val="en-GB"/>
        </w:rPr>
        <w:t xml:space="preserve">BSA.  </w:t>
      </w:r>
    </w:p>
    <w:p w14:paraId="2B26A06B" w14:textId="77777777" w:rsidR="00D7303D" w:rsidRPr="00342F7C" w:rsidRDefault="00D7303D">
      <w:pPr>
        <w:pStyle w:val="EMEANormal"/>
        <w:rPr>
          <w:lang w:val="en-GB"/>
        </w:rPr>
      </w:pPr>
    </w:p>
    <w:tbl>
      <w:tblPr>
        <w:tblW w:w="79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9"/>
        <w:gridCol w:w="2535"/>
        <w:gridCol w:w="3550"/>
      </w:tblGrid>
      <w:tr w:rsidR="00325134" w:rsidRPr="00342F7C" w14:paraId="03D98F77" w14:textId="77777777" w:rsidTr="00B65B04">
        <w:trPr>
          <w:cantSplit/>
          <w:jc w:val="center"/>
        </w:trPr>
        <w:tc>
          <w:tcPr>
            <w:tcW w:w="7954" w:type="dxa"/>
            <w:gridSpan w:val="3"/>
          </w:tcPr>
          <w:p w14:paraId="03E50410" w14:textId="77777777" w:rsidR="00325134" w:rsidRPr="00342F7C" w:rsidRDefault="00325134" w:rsidP="00B65B04">
            <w:pPr>
              <w:pStyle w:val="Heading1"/>
              <w:spacing w:before="120" w:after="120"/>
              <w:jc w:val="center"/>
            </w:pPr>
            <w:r w:rsidRPr="00342F7C">
              <w:t>Paediatric dosing guidelines</w:t>
            </w:r>
            <w:r>
              <w:br/>
            </w:r>
            <w:r w:rsidRPr="00325134">
              <w:t>without concomitant efavirenz or nevirapine*</w:t>
            </w:r>
            <w:r w:rsidRPr="00342F7C">
              <w:t xml:space="preserve"> </w:t>
            </w:r>
          </w:p>
        </w:tc>
      </w:tr>
      <w:tr w:rsidR="00325134" w:rsidRPr="00342F7C" w14:paraId="3767AECD" w14:textId="77777777" w:rsidTr="00B65B04">
        <w:trPr>
          <w:cantSplit/>
          <w:jc w:val="center"/>
        </w:trPr>
        <w:tc>
          <w:tcPr>
            <w:tcW w:w="1869" w:type="dxa"/>
          </w:tcPr>
          <w:p w14:paraId="4C617DCE" w14:textId="77777777" w:rsidR="00325134" w:rsidRPr="00342F7C" w:rsidRDefault="00325134" w:rsidP="00B65B04">
            <w:pPr>
              <w:autoSpaceDE w:val="0"/>
              <w:autoSpaceDN w:val="0"/>
              <w:adjustRightInd w:val="0"/>
              <w:spacing w:before="120" w:line="240" w:lineRule="atLeast"/>
              <w:jc w:val="center"/>
              <w:rPr>
                <w:sz w:val="22"/>
              </w:rPr>
            </w:pPr>
            <w:r>
              <w:rPr>
                <w:sz w:val="22"/>
              </w:rPr>
              <w:t>Weight (kg)</w:t>
            </w:r>
          </w:p>
        </w:tc>
        <w:tc>
          <w:tcPr>
            <w:tcW w:w="2535" w:type="dxa"/>
          </w:tcPr>
          <w:p w14:paraId="53241CCE" w14:textId="77777777" w:rsidR="00325134" w:rsidRPr="00342F7C" w:rsidRDefault="00325134" w:rsidP="00B65B04">
            <w:pPr>
              <w:autoSpaceDE w:val="0"/>
              <w:autoSpaceDN w:val="0"/>
              <w:adjustRightInd w:val="0"/>
              <w:spacing w:before="120" w:line="240" w:lineRule="atLeast"/>
              <w:jc w:val="center"/>
              <w:rPr>
                <w:sz w:val="22"/>
              </w:rPr>
            </w:pPr>
            <w:r w:rsidRPr="00342F7C">
              <w:rPr>
                <w:sz w:val="22"/>
              </w:rPr>
              <w:t>Body Surface Area (m</w:t>
            </w:r>
            <w:r w:rsidRPr="00342F7C">
              <w:rPr>
                <w:sz w:val="22"/>
                <w:vertAlign w:val="superscript"/>
              </w:rPr>
              <w:t>2</w:t>
            </w:r>
            <w:r w:rsidRPr="00342F7C">
              <w:rPr>
                <w:sz w:val="22"/>
              </w:rPr>
              <w:t>)</w:t>
            </w:r>
          </w:p>
        </w:tc>
        <w:tc>
          <w:tcPr>
            <w:tcW w:w="3550" w:type="dxa"/>
          </w:tcPr>
          <w:p w14:paraId="2B71E3ED" w14:textId="77777777" w:rsidR="00325134" w:rsidRPr="00342F7C" w:rsidRDefault="00325134" w:rsidP="00B65B04">
            <w:pPr>
              <w:pStyle w:val="Heading3"/>
            </w:pPr>
            <w:r w:rsidRPr="00342F7C">
              <w:t xml:space="preserve">Recommended number of </w:t>
            </w:r>
          </w:p>
          <w:p w14:paraId="4B41D3D0" w14:textId="77777777" w:rsidR="00325134" w:rsidRPr="00342F7C" w:rsidRDefault="00325134" w:rsidP="00B65B04">
            <w:pPr>
              <w:autoSpaceDE w:val="0"/>
              <w:autoSpaceDN w:val="0"/>
              <w:adjustRightInd w:val="0"/>
              <w:spacing w:after="120" w:line="240" w:lineRule="atLeast"/>
              <w:jc w:val="center"/>
              <w:rPr>
                <w:sz w:val="22"/>
              </w:rPr>
            </w:pPr>
            <w:r w:rsidRPr="00342F7C">
              <w:rPr>
                <w:sz w:val="22"/>
              </w:rPr>
              <w:t>100/25 mg tablets twice-daily</w:t>
            </w:r>
          </w:p>
        </w:tc>
      </w:tr>
      <w:tr w:rsidR="00325134" w:rsidRPr="00342F7C" w14:paraId="4ED06B98" w14:textId="77777777" w:rsidTr="00B65B04">
        <w:trPr>
          <w:jc w:val="center"/>
        </w:trPr>
        <w:tc>
          <w:tcPr>
            <w:tcW w:w="1869" w:type="dxa"/>
          </w:tcPr>
          <w:p w14:paraId="1FA9B8F4" w14:textId="77777777" w:rsidR="00325134" w:rsidRPr="00342F7C" w:rsidRDefault="00325134" w:rsidP="00B65B04">
            <w:pPr>
              <w:autoSpaceDE w:val="0"/>
              <w:autoSpaceDN w:val="0"/>
              <w:adjustRightInd w:val="0"/>
              <w:spacing w:line="240" w:lineRule="atLeast"/>
              <w:jc w:val="center"/>
              <w:rPr>
                <w:sz w:val="22"/>
              </w:rPr>
            </w:pPr>
            <w:r>
              <w:rPr>
                <w:sz w:val="22"/>
              </w:rPr>
              <w:t>15 to 25</w:t>
            </w:r>
          </w:p>
        </w:tc>
        <w:tc>
          <w:tcPr>
            <w:tcW w:w="2535" w:type="dxa"/>
          </w:tcPr>
          <w:p w14:paraId="4D29313F" w14:textId="77777777" w:rsidR="00325134" w:rsidRPr="00342F7C" w:rsidRDefault="00325134" w:rsidP="00B65B04">
            <w:pPr>
              <w:autoSpaceDE w:val="0"/>
              <w:autoSpaceDN w:val="0"/>
              <w:adjustRightInd w:val="0"/>
              <w:spacing w:line="240" w:lineRule="atLeast"/>
              <w:jc w:val="center"/>
              <w:rPr>
                <w:sz w:val="22"/>
              </w:rPr>
            </w:pPr>
            <w:r w:rsidRPr="00342F7C">
              <w:rPr>
                <w:sz w:val="22"/>
              </w:rPr>
              <w:sym w:font="Symbol" w:char="F0B3"/>
            </w:r>
            <w:r w:rsidRPr="00342F7C">
              <w:rPr>
                <w:sz w:val="22"/>
              </w:rPr>
              <w:t> 0.5 to &lt; 0.9</w:t>
            </w:r>
          </w:p>
        </w:tc>
        <w:tc>
          <w:tcPr>
            <w:tcW w:w="3550" w:type="dxa"/>
          </w:tcPr>
          <w:p w14:paraId="4053181A" w14:textId="77777777" w:rsidR="00325134" w:rsidRPr="00342F7C" w:rsidRDefault="00325134" w:rsidP="00B65B04">
            <w:pPr>
              <w:pStyle w:val="CommentText"/>
              <w:tabs>
                <w:tab w:val="left" w:pos="562"/>
              </w:tabs>
              <w:suppressAutoHyphens/>
              <w:autoSpaceDE w:val="0"/>
              <w:autoSpaceDN w:val="0"/>
              <w:adjustRightInd w:val="0"/>
              <w:spacing w:line="240" w:lineRule="atLeast"/>
              <w:jc w:val="center"/>
              <w:rPr>
                <w:sz w:val="22"/>
                <w:szCs w:val="24"/>
                <w:lang w:val="en-GB"/>
              </w:rPr>
            </w:pPr>
            <w:r w:rsidRPr="00342F7C">
              <w:rPr>
                <w:sz w:val="22"/>
                <w:szCs w:val="24"/>
                <w:lang w:val="en-GB"/>
              </w:rPr>
              <w:t>2 tablets (200/50 mg)</w:t>
            </w:r>
          </w:p>
        </w:tc>
      </w:tr>
      <w:tr w:rsidR="00325134" w:rsidRPr="00342F7C" w14:paraId="3420D2BC" w14:textId="77777777" w:rsidTr="00B65B04">
        <w:trPr>
          <w:jc w:val="center"/>
        </w:trPr>
        <w:tc>
          <w:tcPr>
            <w:tcW w:w="1869" w:type="dxa"/>
          </w:tcPr>
          <w:p w14:paraId="2CBC915E" w14:textId="77777777" w:rsidR="00325134" w:rsidRPr="00342F7C" w:rsidRDefault="00325134" w:rsidP="00B65B04">
            <w:pPr>
              <w:autoSpaceDE w:val="0"/>
              <w:autoSpaceDN w:val="0"/>
              <w:adjustRightInd w:val="0"/>
              <w:spacing w:line="240" w:lineRule="atLeast"/>
              <w:jc w:val="center"/>
              <w:rPr>
                <w:sz w:val="22"/>
              </w:rPr>
            </w:pPr>
            <w:r>
              <w:rPr>
                <w:sz w:val="22"/>
              </w:rPr>
              <w:t>&gt; 25 to 35</w:t>
            </w:r>
          </w:p>
        </w:tc>
        <w:tc>
          <w:tcPr>
            <w:tcW w:w="2535" w:type="dxa"/>
          </w:tcPr>
          <w:p w14:paraId="5921933F" w14:textId="77777777" w:rsidR="00325134" w:rsidRPr="00342F7C" w:rsidRDefault="00325134" w:rsidP="00B65B04">
            <w:pPr>
              <w:autoSpaceDE w:val="0"/>
              <w:autoSpaceDN w:val="0"/>
              <w:adjustRightInd w:val="0"/>
              <w:spacing w:line="240" w:lineRule="atLeast"/>
              <w:jc w:val="center"/>
              <w:rPr>
                <w:sz w:val="22"/>
              </w:rPr>
            </w:pPr>
            <w:r w:rsidRPr="00342F7C">
              <w:rPr>
                <w:sz w:val="22"/>
              </w:rPr>
              <w:sym w:font="Symbol" w:char="F0B3"/>
            </w:r>
            <w:r w:rsidRPr="00342F7C">
              <w:rPr>
                <w:sz w:val="22"/>
              </w:rPr>
              <w:t> 0.9 to &lt; 1.4</w:t>
            </w:r>
          </w:p>
        </w:tc>
        <w:tc>
          <w:tcPr>
            <w:tcW w:w="3550" w:type="dxa"/>
          </w:tcPr>
          <w:p w14:paraId="781AB864" w14:textId="77777777" w:rsidR="00325134" w:rsidRPr="00342F7C" w:rsidRDefault="00325134" w:rsidP="00B65B04">
            <w:pPr>
              <w:autoSpaceDE w:val="0"/>
              <w:autoSpaceDN w:val="0"/>
              <w:adjustRightInd w:val="0"/>
              <w:spacing w:line="240" w:lineRule="atLeast"/>
              <w:jc w:val="center"/>
              <w:rPr>
                <w:sz w:val="22"/>
              </w:rPr>
            </w:pPr>
            <w:r w:rsidRPr="00342F7C">
              <w:rPr>
                <w:sz w:val="22"/>
              </w:rPr>
              <w:t>3 tablets (300/75 mg)</w:t>
            </w:r>
          </w:p>
        </w:tc>
      </w:tr>
      <w:tr w:rsidR="00325134" w:rsidRPr="00342F7C" w14:paraId="5DDCA913" w14:textId="77777777" w:rsidTr="00B65B04">
        <w:trPr>
          <w:jc w:val="center"/>
        </w:trPr>
        <w:tc>
          <w:tcPr>
            <w:tcW w:w="1869" w:type="dxa"/>
          </w:tcPr>
          <w:p w14:paraId="6A413A41" w14:textId="77777777" w:rsidR="00325134" w:rsidRPr="00342F7C" w:rsidRDefault="00325134" w:rsidP="00B65B04">
            <w:pPr>
              <w:autoSpaceDE w:val="0"/>
              <w:autoSpaceDN w:val="0"/>
              <w:adjustRightInd w:val="0"/>
              <w:spacing w:line="240" w:lineRule="atLeast"/>
              <w:jc w:val="center"/>
              <w:rPr>
                <w:sz w:val="22"/>
              </w:rPr>
            </w:pPr>
            <w:r>
              <w:rPr>
                <w:sz w:val="22"/>
              </w:rPr>
              <w:t>&gt; 35</w:t>
            </w:r>
          </w:p>
        </w:tc>
        <w:tc>
          <w:tcPr>
            <w:tcW w:w="2535" w:type="dxa"/>
          </w:tcPr>
          <w:p w14:paraId="6364C626" w14:textId="77777777" w:rsidR="00325134" w:rsidRPr="00342F7C" w:rsidRDefault="00325134" w:rsidP="00B65B04">
            <w:pPr>
              <w:autoSpaceDE w:val="0"/>
              <w:autoSpaceDN w:val="0"/>
              <w:adjustRightInd w:val="0"/>
              <w:spacing w:line="240" w:lineRule="atLeast"/>
              <w:jc w:val="center"/>
              <w:rPr>
                <w:sz w:val="22"/>
              </w:rPr>
            </w:pPr>
            <w:r w:rsidRPr="00342F7C">
              <w:rPr>
                <w:sz w:val="22"/>
              </w:rPr>
              <w:sym w:font="Symbol" w:char="F0B3"/>
            </w:r>
            <w:r w:rsidRPr="00342F7C">
              <w:rPr>
                <w:sz w:val="22"/>
              </w:rPr>
              <w:t> 1.4</w:t>
            </w:r>
          </w:p>
        </w:tc>
        <w:tc>
          <w:tcPr>
            <w:tcW w:w="3550" w:type="dxa"/>
          </w:tcPr>
          <w:p w14:paraId="2C128748" w14:textId="77777777" w:rsidR="00325134" w:rsidRPr="00342F7C" w:rsidRDefault="00325134" w:rsidP="00B65B04">
            <w:pPr>
              <w:autoSpaceDE w:val="0"/>
              <w:autoSpaceDN w:val="0"/>
              <w:adjustRightInd w:val="0"/>
              <w:spacing w:line="240" w:lineRule="atLeast"/>
              <w:jc w:val="center"/>
              <w:rPr>
                <w:sz w:val="22"/>
              </w:rPr>
            </w:pPr>
            <w:r w:rsidRPr="00342F7C">
              <w:rPr>
                <w:sz w:val="22"/>
              </w:rPr>
              <w:t>4 tablets (400/100 mg)</w:t>
            </w:r>
          </w:p>
        </w:tc>
      </w:tr>
    </w:tbl>
    <w:p w14:paraId="754F2886" w14:textId="77777777" w:rsidR="00325134" w:rsidRDefault="00325134" w:rsidP="00325134">
      <w:pPr>
        <w:pStyle w:val="EMEANormal"/>
        <w:rPr>
          <w:lang w:val="en-GB"/>
        </w:rPr>
      </w:pPr>
      <w:r w:rsidRPr="00325134">
        <w:rPr>
          <w:lang w:val="en-GB"/>
        </w:rPr>
        <w:tab/>
        <w:t xml:space="preserve">*weight based dosing recommendations are based on limited data </w:t>
      </w:r>
    </w:p>
    <w:p w14:paraId="78D288B9" w14:textId="77777777" w:rsidR="00D7303D" w:rsidRPr="00342F7C" w:rsidRDefault="00D7303D">
      <w:pPr>
        <w:pStyle w:val="EMEANormal"/>
        <w:rPr>
          <w:lang w:val="en-GB"/>
        </w:rPr>
      </w:pPr>
    </w:p>
    <w:p w14:paraId="3FD41EB6" w14:textId="77777777" w:rsidR="00D7303D" w:rsidRPr="00342F7C" w:rsidRDefault="00D7303D">
      <w:pPr>
        <w:pStyle w:val="EMEANormal"/>
        <w:rPr>
          <w:lang w:val="en-GB"/>
        </w:rPr>
      </w:pPr>
      <w:r w:rsidRPr="00342F7C">
        <w:rPr>
          <w:lang w:val="en-GB"/>
        </w:rPr>
        <w:t>If more convenient for patients, the Kaletra 200/50 mg tablets may also be considered alone or in combination with the Kaletra 100/25 mg tablet to achieve the recommended dose.</w:t>
      </w:r>
    </w:p>
    <w:p w14:paraId="47AB0F8C" w14:textId="77777777" w:rsidR="00D7303D" w:rsidRPr="00342F7C" w:rsidRDefault="00D7303D">
      <w:pPr>
        <w:pStyle w:val="EMEANormal"/>
        <w:rPr>
          <w:lang w:val="en-GB"/>
        </w:rPr>
      </w:pPr>
    </w:p>
    <w:p w14:paraId="08804920" w14:textId="77777777" w:rsidR="00D7303D" w:rsidRPr="00342F7C" w:rsidRDefault="00D7303D">
      <w:pPr>
        <w:pStyle w:val="EMEANormal"/>
        <w:tabs>
          <w:tab w:val="clear" w:pos="562"/>
          <w:tab w:val="left" w:pos="220"/>
        </w:tabs>
        <w:rPr>
          <w:lang w:val="en-GB"/>
        </w:rPr>
      </w:pPr>
      <w:r w:rsidRPr="00342F7C">
        <w:rPr>
          <w:lang w:val="en-GB"/>
        </w:rPr>
        <w:t>*</w:t>
      </w:r>
      <w:r w:rsidRPr="00342F7C">
        <w:rPr>
          <w:lang w:val="en-GB"/>
        </w:rPr>
        <w:tab/>
        <w:t>Body surface area can be calculated with the following equation:</w:t>
      </w:r>
    </w:p>
    <w:p w14:paraId="3C820D3E" w14:textId="77777777" w:rsidR="00D7303D" w:rsidRPr="00342F7C" w:rsidRDefault="00D7303D">
      <w:pPr>
        <w:pStyle w:val="EMEANormal"/>
        <w:rPr>
          <w:lang w:val="en-GB"/>
        </w:rPr>
      </w:pPr>
    </w:p>
    <w:p w14:paraId="6442DB56" w14:textId="77777777" w:rsidR="00D7303D" w:rsidRPr="00342F7C" w:rsidRDefault="00D7303D">
      <w:pPr>
        <w:pStyle w:val="EMEANormal"/>
        <w:jc w:val="center"/>
        <w:rPr>
          <w:lang w:val="en-GB"/>
        </w:rPr>
      </w:pPr>
      <w:r w:rsidRPr="00342F7C">
        <w:rPr>
          <w:lang w:val="en-GB"/>
        </w:rPr>
        <w:t>BSA (m</w:t>
      </w:r>
      <w:r w:rsidRPr="00342F7C">
        <w:rPr>
          <w:vertAlign w:val="superscript"/>
          <w:lang w:val="en-GB"/>
        </w:rPr>
        <w:t>2</w:t>
      </w:r>
      <w:r w:rsidRPr="00342F7C">
        <w:rPr>
          <w:lang w:val="en-GB"/>
        </w:rPr>
        <w:t xml:space="preserve">) = </w:t>
      </w:r>
      <w:r w:rsidRPr="00342F7C">
        <w:rPr>
          <w:lang w:val="en-GB"/>
        </w:rPr>
        <w:sym w:font="Symbol" w:char="F0D6"/>
      </w:r>
      <w:r w:rsidRPr="00342F7C">
        <w:rPr>
          <w:lang w:val="en-GB"/>
        </w:rPr>
        <w:t xml:space="preserve"> (Height (cm) X Weight (kg) / 3600)</w:t>
      </w:r>
    </w:p>
    <w:p w14:paraId="73E56DF2" w14:textId="77777777" w:rsidR="00D7303D" w:rsidRPr="00342F7C" w:rsidRDefault="00D7303D">
      <w:pPr>
        <w:pStyle w:val="EMEANormal"/>
        <w:rPr>
          <w:lang w:val="en-GB"/>
        </w:rPr>
      </w:pPr>
    </w:p>
    <w:p w14:paraId="43B7D8D8" w14:textId="77777777" w:rsidR="00407728" w:rsidRDefault="00D7303D">
      <w:pPr>
        <w:pStyle w:val="EMEANormal"/>
        <w:rPr>
          <w:lang w:val="en-GB"/>
        </w:rPr>
      </w:pPr>
      <w:r w:rsidRPr="00342F7C">
        <w:rPr>
          <w:i/>
          <w:lang w:val="en-GB"/>
        </w:rPr>
        <w:t>Children less than 2 years of age</w:t>
      </w:r>
    </w:p>
    <w:p w14:paraId="7F06C117" w14:textId="77777777" w:rsidR="00D7303D" w:rsidRPr="00342F7C" w:rsidRDefault="00407728">
      <w:pPr>
        <w:pStyle w:val="EMEANormal"/>
        <w:rPr>
          <w:lang w:val="en-GB"/>
        </w:rPr>
      </w:pPr>
      <w:r>
        <w:rPr>
          <w:lang w:val="en-GB"/>
        </w:rPr>
        <w:t>T</w:t>
      </w:r>
      <w:r w:rsidR="00D7303D" w:rsidRPr="00342F7C">
        <w:rPr>
          <w:lang w:val="en-GB"/>
        </w:rPr>
        <w:t>he safety and efficacy of Kaletra in children aged less than 2 years have not been established.  Currently available data are described in section 5.2 but no recommendation on the posology can be made.</w:t>
      </w:r>
    </w:p>
    <w:p w14:paraId="412A7B67" w14:textId="77777777" w:rsidR="00D7303D" w:rsidRPr="00342F7C" w:rsidRDefault="00D7303D">
      <w:pPr>
        <w:pStyle w:val="EMEANormal"/>
        <w:tabs>
          <w:tab w:val="clear" w:pos="562"/>
          <w:tab w:val="left" w:pos="220"/>
        </w:tabs>
        <w:rPr>
          <w:lang w:val="en-GB"/>
        </w:rPr>
      </w:pPr>
    </w:p>
    <w:p w14:paraId="15CCF590" w14:textId="77777777" w:rsidR="00D7303D" w:rsidRPr="00342F7C" w:rsidRDefault="00D7303D">
      <w:pPr>
        <w:pStyle w:val="EMEANormal"/>
        <w:rPr>
          <w:lang w:val="en-GB"/>
        </w:rPr>
      </w:pPr>
      <w:r w:rsidRPr="00342F7C">
        <w:rPr>
          <w:i/>
          <w:iCs/>
          <w:lang w:val="en-GB"/>
        </w:rPr>
        <w:t>Concomitant Therapy: Efavirenz or nevirapine</w:t>
      </w:r>
    </w:p>
    <w:p w14:paraId="72F5524D" w14:textId="77777777" w:rsidR="00D7303D" w:rsidRPr="00342F7C" w:rsidRDefault="00D7303D">
      <w:pPr>
        <w:pStyle w:val="EMEANormal"/>
        <w:rPr>
          <w:lang w:val="en-GB"/>
        </w:rPr>
      </w:pPr>
      <w:r w:rsidRPr="00342F7C">
        <w:rPr>
          <w:lang w:val="en-GB"/>
        </w:rPr>
        <w:t>The following table contains dosing guidelines for Kaletra 100/25 mg tablets based on BSA when used in combination with efavirenz or nevirapine in children.</w:t>
      </w:r>
    </w:p>
    <w:p w14:paraId="48634EA1" w14:textId="77777777" w:rsidR="00D7303D" w:rsidRPr="00342F7C" w:rsidRDefault="00D7303D">
      <w:pPr>
        <w:pStyle w:val="EMEANormal"/>
        <w:rPr>
          <w:lang w:val="en-GB"/>
        </w:rPr>
      </w:pPr>
    </w:p>
    <w:tbl>
      <w:tblPr>
        <w:tblW w:w="6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0"/>
        <w:gridCol w:w="3630"/>
      </w:tblGrid>
      <w:tr w:rsidR="00D7303D" w:rsidRPr="00342F7C" w14:paraId="512F435D" w14:textId="77777777">
        <w:trPr>
          <w:cantSplit/>
          <w:jc w:val="center"/>
        </w:trPr>
        <w:tc>
          <w:tcPr>
            <w:tcW w:w="6380" w:type="dxa"/>
            <w:gridSpan w:val="2"/>
          </w:tcPr>
          <w:p w14:paraId="24CC5DAB" w14:textId="77777777" w:rsidR="00D7303D" w:rsidRPr="00342F7C" w:rsidRDefault="00D7303D">
            <w:pPr>
              <w:pStyle w:val="Heading1"/>
              <w:spacing w:before="120"/>
              <w:jc w:val="center"/>
            </w:pPr>
            <w:r w:rsidRPr="00342F7C">
              <w:t xml:space="preserve">Paediatric dosing guidelines with concomitant </w:t>
            </w:r>
          </w:p>
          <w:p w14:paraId="4F32212B" w14:textId="77777777" w:rsidR="00D7303D" w:rsidRPr="00342F7C" w:rsidRDefault="00D7303D">
            <w:pPr>
              <w:pStyle w:val="Heading1"/>
              <w:spacing w:after="120"/>
              <w:jc w:val="center"/>
              <w:rPr>
                <w:b w:val="0"/>
                <w:bCs/>
              </w:rPr>
            </w:pPr>
            <w:r w:rsidRPr="00342F7C">
              <w:t xml:space="preserve">efavirenz or nevirapine </w:t>
            </w:r>
          </w:p>
        </w:tc>
      </w:tr>
      <w:tr w:rsidR="00D7303D" w:rsidRPr="00342F7C" w14:paraId="051CBBF2" w14:textId="77777777">
        <w:trPr>
          <w:cantSplit/>
          <w:jc w:val="center"/>
        </w:trPr>
        <w:tc>
          <w:tcPr>
            <w:tcW w:w="2750" w:type="dxa"/>
          </w:tcPr>
          <w:p w14:paraId="1D383156" w14:textId="77777777" w:rsidR="00D7303D" w:rsidRPr="00342F7C" w:rsidRDefault="00D7303D">
            <w:pPr>
              <w:autoSpaceDE w:val="0"/>
              <w:autoSpaceDN w:val="0"/>
              <w:adjustRightInd w:val="0"/>
              <w:spacing w:before="120" w:line="240" w:lineRule="atLeast"/>
              <w:jc w:val="center"/>
              <w:rPr>
                <w:sz w:val="22"/>
              </w:rPr>
            </w:pPr>
            <w:r w:rsidRPr="00342F7C">
              <w:rPr>
                <w:sz w:val="22"/>
              </w:rPr>
              <w:t>Body Surface Area (m</w:t>
            </w:r>
            <w:r w:rsidRPr="00342F7C">
              <w:rPr>
                <w:sz w:val="22"/>
                <w:vertAlign w:val="superscript"/>
              </w:rPr>
              <w:t>2</w:t>
            </w:r>
            <w:r w:rsidRPr="00342F7C">
              <w:rPr>
                <w:sz w:val="22"/>
              </w:rPr>
              <w:t>)</w:t>
            </w:r>
          </w:p>
        </w:tc>
        <w:tc>
          <w:tcPr>
            <w:tcW w:w="3630" w:type="dxa"/>
          </w:tcPr>
          <w:p w14:paraId="0FC96EF6" w14:textId="77777777" w:rsidR="00D7303D" w:rsidRPr="00342F7C" w:rsidRDefault="00D7303D">
            <w:pPr>
              <w:pStyle w:val="Heading3"/>
            </w:pPr>
            <w:r w:rsidRPr="00342F7C">
              <w:t xml:space="preserve">Recommended number of </w:t>
            </w:r>
          </w:p>
          <w:p w14:paraId="3DB2881E" w14:textId="77777777" w:rsidR="00D7303D" w:rsidRPr="00342F7C" w:rsidRDefault="00D7303D">
            <w:pPr>
              <w:autoSpaceDE w:val="0"/>
              <w:autoSpaceDN w:val="0"/>
              <w:adjustRightInd w:val="0"/>
              <w:spacing w:after="120" w:line="240" w:lineRule="atLeast"/>
              <w:jc w:val="center"/>
              <w:rPr>
                <w:sz w:val="22"/>
              </w:rPr>
            </w:pPr>
            <w:r w:rsidRPr="00342F7C">
              <w:rPr>
                <w:sz w:val="22"/>
              </w:rPr>
              <w:t>100/25 mg tablets twice-daily</w:t>
            </w:r>
          </w:p>
        </w:tc>
      </w:tr>
      <w:tr w:rsidR="00D7303D" w:rsidRPr="00342F7C" w14:paraId="4B039A50" w14:textId="77777777">
        <w:trPr>
          <w:jc w:val="center"/>
        </w:trPr>
        <w:tc>
          <w:tcPr>
            <w:tcW w:w="2750" w:type="dxa"/>
          </w:tcPr>
          <w:p w14:paraId="3A62EC9C" w14:textId="77777777" w:rsidR="00D7303D" w:rsidRPr="00342F7C" w:rsidRDefault="00D7303D">
            <w:pPr>
              <w:pStyle w:val="Header"/>
              <w:tabs>
                <w:tab w:val="clear" w:pos="4320"/>
                <w:tab w:val="clear" w:pos="8640"/>
              </w:tabs>
              <w:autoSpaceDE w:val="0"/>
              <w:autoSpaceDN w:val="0"/>
              <w:adjustRightInd w:val="0"/>
              <w:spacing w:line="240" w:lineRule="atLeast"/>
              <w:jc w:val="center"/>
              <w:rPr>
                <w:lang w:val="en-GB"/>
              </w:rPr>
            </w:pPr>
            <w:r w:rsidRPr="00342F7C">
              <w:rPr>
                <w:lang w:val="en-GB"/>
              </w:rPr>
              <w:sym w:font="Symbol" w:char="F0B3"/>
            </w:r>
            <w:r w:rsidRPr="00342F7C">
              <w:rPr>
                <w:lang w:val="en-GB"/>
              </w:rPr>
              <w:t> 0.5 to &lt; 0.8</w:t>
            </w:r>
          </w:p>
        </w:tc>
        <w:tc>
          <w:tcPr>
            <w:tcW w:w="3630" w:type="dxa"/>
          </w:tcPr>
          <w:p w14:paraId="001BF145" w14:textId="77777777" w:rsidR="00D7303D" w:rsidRPr="00342F7C" w:rsidRDefault="00D7303D">
            <w:pPr>
              <w:autoSpaceDE w:val="0"/>
              <w:autoSpaceDN w:val="0"/>
              <w:adjustRightInd w:val="0"/>
              <w:spacing w:line="240" w:lineRule="atLeast"/>
              <w:jc w:val="center"/>
              <w:rPr>
                <w:sz w:val="22"/>
              </w:rPr>
            </w:pPr>
            <w:r w:rsidRPr="00342F7C">
              <w:rPr>
                <w:sz w:val="22"/>
              </w:rPr>
              <w:t>2 tablets (200/50 mg)</w:t>
            </w:r>
          </w:p>
        </w:tc>
      </w:tr>
      <w:tr w:rsidR="00D7303D" w:rsidRPr="00342F7C" w14:paraId="036447FE" w14:textId="77777777">
        <w:trPr>
          <w:jc w:val="center"/>
        </w:trPr>
        <w:tc>
          <w:tcPr>
            <w:tcW w:w="2750" w:type="dxa"/>
          </w:tcPr>
          <w:p w14:paraId="6443DC62" w14:textId="77777777" w:rsidR="00D7303D" w:rsidRPr="00342F7C" w:rsidRDefault="00D7303D">
            <w:pPr>
              <w:autoSpaceDE w:val="0"/>
              <w:autoSpaceDN w:val="0"/>
              <w:adjustRightInd w:val="0"/>
              <w:spacing w:line="240" w:lineRule="atLeast"/>
              <w:jc w:val="center"/>
              <w:rPr>
                <w:sz w:val="22"/>
              </w:rPr>
            </w:pPr>
            <w:r w:rsidRPr="00342F7C">
              <w:rPr>
                <w:sz w:val="22"/>
              </w:rPr>
              <w:sym w:font="Symbol" w:char="F0B3"/>
            </w:r>
            <w:r w:rsidRPr="00342F7C">
              <w:rPr>
                <w:sz w:val="22"/>
              </w:rPr>
              <w:t> 0.8 to &lt; 1.2</w:t>
            </w:r>
          </w:p>
        </w:tc>
        <w:tc>
          <w:tcPr>
            <w:tcW w:w="3630" w:type="dxa"/>
          </w:tcPr>
          <w:p w14:paraId="1A6A845B" w14:textId="77777777" w:rsidR="00D7303D" w:rsidRPr="00342F7C" w:rsidRDefault="00D7303D">
            <w:pPr>
              <w:autoSpaceDE w:val="0"/>
              <w:autoSpaceDN w:val="0"/>
              <w:adjustRightInd w:val="0"/>
              <w:spacing w:line="240" w:lineRule="atLeast"/>
              <w:jc w:val="center"/>
              <w:rPr>
                <w:sz w:val="22"/>
              </w:rPr>
            </w:pPr>
            <w:r w:rsidRPr="00342F7C">
              <w:rPr>
                <w:sz w:val="22"/>
              </w:rPr>
              <w:t>3 tablets (300/75 mg)</w:t>
            </w:r>
          </w:p>
        </w:tc>
      </w:tr>
      <w:tr w:rsidR="00D7303D" w:rsidRPr="00342F7C" w14:paraId="2C261162" w14:textId="77777777">
        <w:trPr>
          <w:jc w:val="center"/>
        </w:trPr>
        <w:tc>
          <w:tcPr>
            <w:tcW w:w="2750" w:type="dxa"/>
          </w:tcPr>
          <w:p w14:paraId="392A7FD7" w14:textId="77777777" w:rsidR="00D7303D" w:rsidRPr="00342F7C" w:rsidRDefault="00D7303D">
            <w:pPr>
              <w:autoSpaceDE w:val="0"/>
              <w:autoSpaceDN w:val="0"/>
              <w:adjustRightInd w:val="0"/>
              <w:spacing w:line="240" w:lineRule="atLeast"/>
              <w:jc w:val="center"/>
              <w:rPr>
                <w:sz w:val="22"/>
              </w:rPr>
            </w:pPr>
            <w:r w:rsidRPr="00342F7C">
              <w:rPr>
                <w:sz w:val="22"/>
              </w:rPr>
              <w:sym w:font="Symbol" w:char="F0B3"/>
            </w:r>
            <w:r w:rsidRPr="00342F7C">
              <w:rPr>
                <w:sz w:val="22"/>
              </w:rPr>
              <w:t> 1.2 to &lt; 1.4</w:t>
            </w:r>
          </w:p>
        </w:tc>
        <w:tc>
          <w:tcPr>
            <w:tcW w:w="3630" w:type="dxa"/>
          </w:tcPr>
          <w:p w14:paraId="2E772729" w14:textId="77777777" w:rsidR="00D7303D" w:rsidRPr="00342F7C" w:rsidRDefault="00D7303D">
            <w:pPr>
              <w:autoSpaceDE w:val="0"/>
              <w:autoSpaceDN w:val="0"/>
              <w:adjustRightInd w:val="0"/>
              <w:spacing w:line="240" w:lineRule="atLeast"/>
              <w:jc w:val="center"/>
              <w:rPr>
                <w:sz w:val="22"/>
              </w:rPr>
            </w:pPr>
            <w:r w:rsidRPr="00342F7C">
              <w:rPr>
                <w:sz w:val="22"/>
              </w:rPr>
              <w:t>4 tablets (400/100 mg)</w:t>
            </w:r>
          </w:p>
        </w:tc>
      </w:tr>
      <w:tr w:rsidR="00D7303D" w:rsidRPr="00342F7C" w14:paraId="09991A60" w14:textId="77777777">
        <w:trPr>
          <w:jc w:val="center"/>
        </w:trPr>
        <w:tc>
          <w:tcPr>
            <w:tcW w:w="2750" w:type="dxa"/>
          </w:tcPr>
          <w:p w14:paraId="4B75AD00" w14:textId="77777777" w:rsidR="00D7303D" w:rsidRPr="00342F7C" w:rsidRDefault="00D7303D">
            <w:pPr>
              <w:autoSpaceDE w:val="0"/>
              <w:autoSpaceDN w:val="0"/>
              <w:adjustRightInd w:val="0"/>
              <w:spacing w:line="240" w:lineRule="atLeast"/>
              <w:jc w:val="center"/>
              <w:rPr>
                <w:sz w:val="22"/>
              </w:rPr>
            </w:pPr>
            <w:r w:rsidRPr="00342F7C">
              <w:rPr>
                <w:sz w:val="22"/>
              </w:rPr>
              <w:sym w:font="Symbol" w:char="F0B3"/>
            </w:r>
            <w:r w:rsidRPr="00342F7C">
              <w:rPr>
                <w:sz w:val="22"/>
              </w:rPr>
              <w:t> 1.4</w:t>
            </w:r>
          </w:p>
        </w:tc>
        <w:tc>
          <w:tcPr>
            <w:tcW w:w="3630" w:type="dxa"/>
          </w:tcPr>
          <w:p w14:paraId="7C7AAF04" w14:textId="77777777" w:rsidR="00D7303D" w:rsidRPr="00342F7C" w:rsidRDefault="00D7303D">
            <w:pPr>
              <w:autoSpaceDE w:val="0"/>
              <w:autoSpaceDN w:val="0"/>
              <w:adjustRightInd w:val="0"/>
              <w:spacing w:line="240" w:lineRule="atLeast"/>
              <w:jc w:val="center"/>
              <w:rPr>
                <w:sz w:val="22"/>
              </w:rPr>
            </w:pPr>
            <w:r w:rsidRPr="00342F7C">
              <w:rPr>
                <w:sz w:val="22"/>
              </w:rPr>
              <w:t>5 tablets (500/125 mg)</w:t>
            </w:r>
          </w:p>
        </w:tc>
      </w:tr>
    </w:tbl>
    <w:p w14:paraId="51959A55" w14:textId="77777777" w:rsidR="00D7303D" w:rsidRPr="00342F7C" w:rsidRDefault="00D7303D">
      <w:pPr>
        <w:pStyle w:val="EMEANormal"/>
        <w:rPr>
          <w:lang w:val="en-GB"/>
        </w:rPr>
      </w:pPr>
    </w:p>
    <w:p w14:paraId="734E9753" w14:textId="77777777" w:rsidR="00D7303D" w:rsidRPr="00342F7C" w:rsidRDefault="00D7303D">
      <w:pPr>
        <w:pStyle w:val="EMEANormal"/>
        <w:rPr>
          <w:lang w:val="en-GB"/>
        </w:rPr>
      </w:pPr>
      <w:r w:rsidRPr="00342F7C">
        <w:rPr>
          <w:lang w:val="en-GB"/>
        </w:rPr>
        <w:t>If more convenient for patients, the Kaletra 200/50 mg tablets may also be considered alone or in combination with the Kaletra 100/25 mg tablet to achieve the recommended dose.</w:t>
      </w:r>
    </w:p>
    <w:p w14:paraId="2910534C" w14:textId="77777777" w:rsidR="00D7303D" w:rsidRPr="00342F7C" w:rsidRDefault="00D7303D">
      <w:pPr>
        <w:pStyle w:val="EMEANormal"/>
        <w:rPr>
          <w:lang w:val="en-GB"/>
        </w:rPr>
      </w:pPr>
    </w:p>
    <w:p w14:paraId="72586618" w14:textId="77777777" w:rsidR="00C4194B" w:rsidRDefault="00D7303D">
      <w:pPr>
        <w:pStyle w:val="EMEANormal"/>
        <w:rPr>
          <w:i/>
          <w:iCs/>
          <w:lang w:val="en-GB"/>
        </w:rPr>
      </w:pPr>
      <w:r w:rsidRPr="00342F7C">
        <w:rPr>
          <w:i/>
          <w:iCs/>
          <w:lang w:val="en-GB"/>
        </w:rPr>
        <w:t>Hepatic impairment</w:t>
      </w:r>
    </w:p>
    <w:p w14:paraId="44519E9B" w14:textId="77777777" w:rsidR="00D7303D" w:rsidRPr="00342F7C" w:rsidRDefault="00D7303D">
      <w:pPr>
        <w:pStyle w:val="EMEANormal"/>
        <w:rPr>
          <w:lang w:val="en-GB"/>
        </w:rPr>
      </w:pPr>
      <w:r w:rsidRPr="00342F7C">
        <w:rPr>
          <w:lang w:val="en-GB"/>
        </w:rPr>
        <w:t>In HIV-infected patients with mild to moderate hepatic impairment, an increase of approximately 30% in lopinavir exposure has been observed but is not expected to be of clinical relevance (see section 5.2).  No data are available in patients with severe hepatic impairment.  Kaletra must not be given to these patients (see section 4.3).</w:t>
      </w:r>
    </w:p>
    <w:p w14:paraId="0A3E6BC4" w14:textId="77777777" w:rsidR="00D7303D" w:rsidRPr="00342F7C" w:rsidRDefault="00D7303D">
      <w:pPr>
        <w:pStyle w:val="EMEANormal"/>
        <w:rPr>
          <w:lang w:val="en-GB"/>
        </w:rPr>
      </w:pPr>
    </w:p>
    <w:p w14:paraId="17B8EE4F" w14:textId="77777777" w:rsidR="00C4194B" w:rsidRDefault="00D7303D" w:rsidP="00F62C9B">
      <w:pPr>
        <w:pStyle w:val="EMEANormal"/>
        <w:keepNext/>
        <w:rPr>
          <w:i/>
          <w:lang w:val="en-GB"/>
        </w:rPr>
      </w:pPr>
      <w:r w:rsidRPr="00342F7C">
        <w:rPr>
          <w:i/>
          <w:lang w:val="en-GB"/>
        </w:rPr>
        <w:t>Renal impairment</w:t>
      </w:r>
    </w:p>
    <w:p w14:paraId="2C9B17B4" w14:textId="77777777" w:rsidR="00D7303D" w:rsidRPr="00342F7C" w:rsidRDefault="00C4194B" w:rsidP="00F62C9B">
      <w:pPr>
        <w:pStyle w:val="EMEANormal"/>
        <w:keepNext/>
        <w:rPr>
          <w:lang w:val="en-GB"/>
        </w:rPr>
      </w:pPr>
      <w:r>
        <w:rPr>
          <w:lang w:val="en-GB"/>
        </w:rPr>
        <w:t>S</w:t>
      </w:r>
      <w:r w:rsidR="00D7303D" w:rsidRPr="00342F7C">
        <w:rPr>
          <w:lang w:val="en-GB"/>
        </w:rPr>
        <w:t>ince the renal clearance of lopinavir and ritonavir is negligible, increased plasma concentrations are not expected in patients with renal impairment.  Because lopinavir and ritonavir are highly protein bound, it is unlikely that they will be significantly removed by haemodialysis or peritoneal dialysis.</w:t>
      </w:r>
    </w:p>
    <w:p w14:paraId="54E92769" w14:textId="77777777" w:rsidR="00D7303D" w:rsidRDefault="00D7303D">
      <w:pPr>
        <w:pStyle w:val="EMEANormal"/>
        <w:rPr>
          <w:lang w:val="en-GB"/>
        </w:rPr>
      </w:pPr>
    </w:p>
    <w:p w14:paraId="0F99CAE1" w14:textId="77777777" w:rsidR="00E9743C" w:rsidRPr="00E9743C" w:rsidRDefault="00E9743C" w:rsidP="00E9743C">
      <w:pPr>
        <w:pStyle w:val="EMEANormal"/>
        <w:rPr>
          <w:i/>
        </w:rPr>
      </w:pPr>
      <w:r w:rsidRPr="00E9743C">
        <w:rPr>
          <w:i/>
        </w:rPr>
        <w:t>Pregnancy and postpartum</w:t>
      </w:r>
    </w:p>
    <w:p w14:paraId="1A08C426" w14:textId="77777777" w:rsidR="00E9743C" w:rsidRPr="00E9743C" w:rsidRDefault="00E9743C" w:rsidP="0052761E">
      <w:pPr>
        <w:pStyle w:val="EMEANormal"/>
        <w:numPr>
          <w:ilvl w:val="0"/>
          <w:numId w:val="18"/>
        </w:numPr>
        <w:tabs>
          <w:tab w:val="clear" w:pos="562"/>
          <w:tab w:val="left" w:pos="284"/>
        </w:tabs>
        <w:ind w:left="284" w:hanging="284"/>
      </w:pPr>
      <w:r w:rsidRPr="00E9743C">
        <w:t>No dose adjustment is required for lopinavir/ritonavir during pregnancy and postpartum.</w:t>
      </w:r>
    </w:p>
    <w:p w14:paraId="5D59B84D" w14:textId="77777777" w:rsidR="00E9743C" w:rsidRPr="00E9743C" w:rsidRDefault="00E9743C" w:rsidP="0052761E">
      <w:pPr>
        <w:pStyle w:val="EMEANormal"/>
        <w:numPr>
          <w:ilvl w:val="0"/>
          <w:numId w:val="18"/>
        </w:numPr>
        <w:tabs>
          <w:tab w:val="clear" w:pos="562"/>
          <w:tab w:val="left" w:pos="284"/>
        </w:tabs>
        <w:ind w:left="284" w:hanging="284"/>
      </w:pPr>
      <w:r w:rsidRPr="00E9743C">
        <w:t>Once</w:t>
      </w:r>
      <w:r w:rsidR="00002FFE">
        <w:noBreakHyphen/>
      </w:r>
      <w:r w:rsidRPr="00E9743C">
        <w:t>daily administration of lopinavir/ritonavir is not recommended for pregnant women</w:t>
      </w:r>
      <w:r w:rsidR="00444B6C">
        <w:t xml:space="preserve"> due to the lack of pharmacokinetic and clinical data</w:t>
      </w:r>
      <w:r w:rsidRPr="00E9743C">
        <w:t>.</w:t>
      </w:r>
    </w:p>
    <w:p w14:paraId="56003B49" w14:textId="77777777" w:rsidR="00E9743C" w:rsidRPr="00342F7C" w:rsidRDefault="00E9743C">
      <w:pPr>
        <w:pStyle w:val="EMEANormal"/>
        <w:rPr>
          <w:lang w:val="en-GB"/>
        </w:rPr>
      </w:pPr>
    </w:p>
    <w:p w14:paraId="61EF4D23" w14:textId="77777777" w:rsidR="00D7303D" w:rsidRPr="00342F7C" w:rsidRDefault="00D7303D">
      <w:pPr>
        <w:pStyle w:val="EMEANormal"/>
        <w:rPr>
          <w:u w:val="single"/>
          <w:lang w:val="en-GB"/>
        </w:rPr>
      </w:pPr>
      <w:r w:rsidRPr="00342F7C">
        <w:rPr>
          <w:u w:val="single"/>
          <w:lang w:val="en-GB"/>
        </w:rPr>
        <w:t>Method of administration</w:t>
      </w:r>
    </w:p>
    <w:p w14:paraId="346F2DF4" w14:textId="77777777" w:rsidR="00D7303D" w:rsidRPr="00342F7C" w:rsidRDefault="00D7303D">
      <w:pPr>
        <w:pStyle w:val="EMEANormal"/>
        <w:rPr>
          <w:u w:val="single"/>
          <w:lang w:val="en-GB"/>
        </w:rPr>
      </w:pPr>
    </w:p>
    <w:p w14:paraId="2842B53F" w14:textId="77777777" w:rsidR="00D7303D" w:rsidRDefault="00D7303D">
      <w:pPr>
        <w:pStyle w:val="EMEANormal"/>
        <w:rPr>
          <w:lang w:val="en-GB"/>
        </w:rPr>
      </w:pPr>
      <w:r w:rsidRPr="00231177">
        <w:rPr>
          <w:lang w:val="en-GB"/>
        </w:rPr>
        <w:t xml:space="preserve">Kaletra tablets are administered orally and </w:t>
      </w:r>
      <w:r w:rsidRPr="00342F7C">
        <w:rPr>
          <w:lang w:val="en-GB"/>
        </w:rPr>
        <w:t>must be swallowed whole and not chewed, broken or crushed.  Kaletra tablets can be taken with or without food.</w:t>
      </w:r>
    </w:p>
    <w:p w14:paraId="222FEFEE" w14:textId="77777777" w:rsidR="00867DE1" w:rsidRPr="00342F7C" w:rsidRDefault="00867DE1">
      <w:pPr>
        <w:pStyle w:val="EMEANormal"/>
        <w:rPr>
          <w:u w:val="single"/>
          <w:lang w:val="en-GB"/>
        </w:rPr>
      </w:pPr>
    </w:p>
    <w:p w14:paraId="24144039" w14:textId="77777777" w:rsidR="00D7303D" w:rsidRDefault="00266A4D" w:rsidP="00867DE1">
      <w:pPr>
        <w:pStyle w:val="EMEAHeading2SPC"/>
        <w:spacing w:beforeLines="0" w:before="0" w:afterLines="0" w:after="0"/>
        <w:rPr>
          <w:rFonts w:ascii="Times New Roman" w:hAnsi="Times New Roman"/>
          <w:lang w:val="en-GB"/>
        </w:rPr>
      </w:pPr>
      <w:r>
        <w:rPr>
          <w:rFonts w:ascii="Times New Roman" w:hAnsi="Times New Roman"/>
          <w:lang w:val="en-GB"/>
        </w:rPr>
        <w:t>4.3</w:t>
      </w:r>
      <w:r w:rsidR="00D7303D" w:rsidRPr="00342F7C">
        <w:rPr>
          <w:rFonts w:ascii="Times New Roman" w:hAnsi="Times New Roman"/>
          <w:lang w:val="en-GB"/>
        </w:rPr>
        <w:tab/>
        <w:t>Contraindications</w:t>
      </w:r>
    </w:p>
    <w:p w14:paraId="37F09E7A" w14:textId="77777777" w:rsidR="00867DE1" w:rsidRPr="00867DE1" w:rsidRDefault="00867DE1" w:rsidP="00867DE1">
      <w:pPr>
        <w:pStyle w:val="EMEANormal"/>
        <w:rPr>
          <w:lang w:val="en-GB"/>
        </w:rPr>
      </w:pPr>
    </w:p>
    <w:p w14:paraId="24FC8B02" w14:textId="77777777" w:rsidR="00D7303D" w:rsidRPr="00342F7C" w:rsidRDefault="00D7303D">
      <w:pPr>
        <w:pStyle w:val="EMEANormal"/>
        <w:rPr>
          <w:lang w:val="en-GB"/>
        </w:rPr>
      </w:pPr>
      <w:r w:rsidRPr="00342F7C">
        <w:rPr>
          <w:lang w:val="en-GB"/>
        </w:rPr>
        <w:t>Hypersensitivity to the active substances or to any of the excipients</w:t>
      </w:r>
      <w:r w:rsidR="00D80FE9">
        <w:rPr>
          <w:lang w:val="en-GB"/>
        </w:rPr>
        <w:t xml:space="preserve"> listed in section 6.1</w:t>
      </w:r>
      <w:r w:rsidRPr="00342F7C">
        <w:rPr>
          <w:lang w:val="en-GB"/>
        </w:rPr>
        <w:t>.</w:t>
      </w:r>
    </w:p>
    <w:p w14:paraId="076D99A8" w14:textId="77777777" w:rsidR="00D7303D" w:rsidRPr="00342F7C" w:rsidRDefault="00D7303D">
      <w:pPr>
        <w:pStyle w:val="EMEANormal"/>
        <w:rPr>
          <w:lang w:val="en-GB"/>
        </w:rPr>
      </w:pPr>
    </w:p>
    <w:p w14:paraId="12AC71EA" w14:textId="77777777" w:rsidR="00D7303D" w:rsidRPr="00342F7C" w:rsidRDefault="00D7303D">
      <w:pPr>
        <w:pStyle w:val="EMEANormal"/>
        <w:rPr>
          <w:lang w:val="en-GB"/>
        </w:rPr>
      </w:pPr>
      <w:r w:rsidRPr="00342F7C">
        <w:rPr>
          <w:lang w:val="en-GB"/>
        </w:rPr>
        <w:t xml:space="preserve">Severe hepatic insufficiency. </w:t>
      </w:r>
    </w:p>
    <w:p w14:paraId="7C9AD41A" w14:textId="77777777" w:rsidR="00D7303D" w:rsidRPr="00342F7C" w:rsidRDefault="00D7303D">
      <w:pPr>
        <w:pStyle w:val="EMEANormal"/>
        <w:rPr>
          <w:lang w:val="en-GB"/>
        </w:rPr>
      </w:pPr>
    </w:p>
    <w:p w14:paraId="5AC7EF31" w14:textId="77777777" w:rsidR="00D7303D" w:rsidRDefault="00D7303D">
      <w:pPr>
        <w:pStyle w:val="EMEANormal"/>
        <w:rPr>
          <w:lang w:val="en-GB"/>
        </w:rPr>
      </w:pPr>
      <w:r w:rsidRPr="00342F7C">
        <w:rPr>
          <w:lang w:val="en-GB"/>
        </w:rPr>
        <w:t>Kaletra contains lopinavir and ritonavir, both of which are inhibitors of the P450 isoform CYP3A.  Kaletra should not be co-administered with medicinal products that are highly dependent on CYP3A for clearance and for which elevated plasma concentrations are associated with serious and/or life threatening events.  These medicinal products include</w:t>
      </w:r>
      <w:r>
        <w:rPr>
          <w:lang w:val="en-GB"/>
        </w:rPr>
        <w:t>:</w:t>
      </w:r>
      <w:r w:rsidRPr="00342F7C">
        <w:rPr>
          <w:lang w:val="en-GB"/>
        </w:rPr>
        <w:t xml:space="preserve"> </w:t>
      </w:r>
    </w:p>
    <w:p w14:paraId="43300D7B" w14:textId="77777777" w:rsidR="00D7303D" w:rsidRDefault="00D7303D">
      <w:pPr>
        <w:pStyle w:val="EMEANormal"/>
        <w:rPr>
          <w:lang w:val="en-GB"/>
        </w:rPr>
      </w:pPr>
    </w:p>
    <w:tbl>
      <w:tblPr>
        <w:tblW w:w="9522" w:type="dxa"/>
        <w:tblLook w:val="0000" w:firstRow="0" w:lastRow="0" w:firstColumn="0" w:lastColumn="0" w:noHBand="0" w:noVBand="0"/>
      </w:tblPr>
      <w:tblGrid>
        <w:gridCol w:w="2425"/>
        <w:gridCol w:w="3112"/>
        <w:gridCol w:w="3985"/>
      </w:tblGrid>
      <w:tr w:rsidR="00D7303D" w:rsidRPr="007750BF" w14:paraId="21095A22" w14:textId="77777777" w:rsidTr="006E1FDC">
        <w:trPr>
          <w:cantSplit/>
        </w:trPr>
        <w:tc>
          <w:tcPr>
            <w:tcW w:w="2425" w:type="dxa"/>
            <w:tcBorders>
              <w:top w:val="single" w:sz="4" w:space="0" w:color="auto"/>
              <w:bottom w:val="single" w:sz="4" w:space="0" w:color="auto"/>
            </w:tcBorders>
          </w:tcPr>
          <w:p w14:paraId="258209FE" w14:textId="77777777" w:rsidR="00D7303D" w:rsidRPr="00E25432" w:rsidRDefault="00D7303D" w:rsidP="003C2268">
            <w:pPr>
              <w:tabs>
                <w:tab w:val="left" w:pos="567"/>
              </w:tabs>
              <w:spacing w:before="120" w:after="120"/>
              <w:rPr>
                <w:b/>
                <w:bCs/>
                <w:sz w:val="22"/>
                <w:szCs w:val="22"/>
              </w:rPr>
            </w:pPr>
            <w:r w:rsidRPr="00E25432">
              <w:rPr>
                <w:b/>
                <w:bCs/>
                <w:sz w:val="22"/>
                <w:szCs w:val="22"/>
              </w:rPr>
              <w:t>Medicinal product class</w:t>
            </w:r>
          </w:p>
        </w:tc>
        <w:tc>
          <w:tcPr>
            <w:tcW w:w="3112" w:type="dxa"/>
            <w:tcBorders>
              <w:top w:val="single" w:sz="4" w:space="0" w:color="auto"/>
              <w:bottom w:val="single" w:sz="4" w:space="0" w:color="auto"/>
            </w:tcBorders>
          </w:tcPr>
          <w:p w14:paraId="08C614BE" w14:textId="77777777" w:rsidR="00D7303D" w:rsidRPr="00E25432" w:rsidRDefault="00D7303D" w:rsidP="003C2268">
            <w:pPr>
              <w:tabs>
                <w:tab w:val="left" w:pos="567"/>
              </w:tabs>
              <w:spacing w:before="120" w:after="120"/>
              <w:rPr>
                <w:b/>
                <w:bCs/>
                <w:sz w:val="22"/>
                <w:szCs w:val="22"/>
              </w:rPr>
            </w:pPr>
            <w:r w:rsidRPr="00E25432">
              <w:rPr>
                <w:b/>
                <w:bCs/>
                <w:sz w:val="22"/>
                <w:szCs w:val="22"/>
              </w:rPr>
              <w:t>Medicinal products within class</w:t>
            </w:r>
          </w:p>
        </w:tc>
        <w:tc>
          <w:tcPr>
            <w:tcW w:w="3985" w:type="dxa"/>
            <w:tcBorders>
              <w:top w:val="single" w:sz="4" w:space="0" w:color="auto"/>
              <w:bottom w:val="single" w:sz="4" w:space="0" w:color="auto"/>
            </w:tcBorders>
          </w:tcPr>
          <w:p w14:paraId="32166ABB" w14:textId="77777777" w:rsidR="00D7303D" w:rsidRPr="00E25432" w:rsidRDefault="00D7303D" w:rsidP="003C2268">
            <w:pPr>
              <w:pStyle w:val="Heading7"/>
              <w:spacing w:before="120" w:after="120"/>
              <w:rPr>
                <w:b/>
                <w:bCs/>
                <w:sz w:val="22"/>
                <w:szCs w:val="22"/>
              </w:rPr>
            </w:pPr>
            <w:r w:rsidRPr="00E25432">
              <w:rPr>
                <w:b/>
                <w:bCs/>
                <w:sz w:val="22"/>
                <w:szCs w:val="22"/>
              </w:rPr>
              <w:t>Rationale</w:t>
            </w:r>
          </w:p>
        </w:tc>
      </w:tr>
      <w:tr w:rsidR="00D7303D" w:rsidRPr="007750BF" w14:paraId="140D4E7D" w14:textId="77777777" w:rsidTr="002610DE">
        <w:trPr>
          <w:cantSplit/>
        </w:trPr>
        <w:tc>
          <w:tcPr>
            <w:tcW w:w="9522" w:type="dxa"/>
            <w:gridSpan w:val="3"/>
            <w:tcBorders>
              <w:top w:val="single" w:sz="4" w:space="0" w:color="auto"/>
              <w:bottom w:val="single" w:sz="4" w:space="0" w:color="auto"/>
            </w:tcBorders>
          </w:tcPr>
          <w:p w14:paraId="7ED387CA" w14:textId="77777777" w:rsidR="00D7303D" w:rsidRPr="00E25432" w:rsidRDefault="00D7303D" w:rsidP="003C2268">
            <w:pPr>
              <w:pStyle w:val="Heading7"/>
              <w:spacing w:before="120" w:after="120"/>
              <w:rPr>
                <w:bCs/>
                <w:sz w:val="22"/>
                <w:szCs w:val="22"/>
              </w:rPr>
            </w:pPr>
            <w:r w:rsidRPr="00E25432">
              <w:rPr>
                <w:bCs/>
                <w:sz w:val="22"/>
                <w:szCs w:val="22"/>
              </w:rPr>
              <w:t>Concomitant medicinal product levels increased</w:t>
            </w:r>
          </w:p>
        </w:tc>
      </w:tr>
      <w:tr w:rsidR="00D7303D" w:rsidRPr="007750BF" w14:paraId="12143508" w14:textId="77777777" w:rsidTr="006E1FDC">
        <w:trPr>
          <w:cantSplit/>
        </w:trPr>
        <w:tc>
          <w:tcPr>
            <w:tcW w:w="2425" w:type="dxa"/>
            <w:tcBorders>
              <w:top w:val="single" w:sz="4" w:space="0" w:color="auto"/>
              <w:bottom w:val="single" w:sz="4" w:space="0" w:color="auto"/>
            </w:tcBorders>
          </w:tcPr>
          <w:p w14:paraId="5D88DFDC" w14:textId="77777777" w:rsidR="00D7303D" w:rsidRPr="00E25432" w:rsidRDefault="00D7303D" w:rsidP="003C2268">
            <w:pPr>
              <w:tabs>
                <w:tab w:val="left" w:pos="567"/>
              </w:tabs>
              <w:rPr>
                <w:sz w:val="22"/>
                <w:szCs w:val="22"/>
              </w:rPr>
            </w:pPr>
            <w:r w:rsidRPr="00E25432">
              <w:rPr>
                <w:sz w:val="22"/>
                <w:szCs w:val="22"/>
              </w:rPr>
              <w:t>Alpha</w:t>
            </w:r>
            <w:r w:rsidRPr="00E25432">
              <w:rPr>
                <w:sz w:val="22"/>
                <w:szCs w:val="22"/>
                <w:vertAlign w:val="subscript"/>
              </w:rPr>
              <w:t>1</w:t>
            </w:r>
            <w:r w:rsidRPr="00E25432">
              <w:rPr>
                <w:sz w:val="22"/>
                <w:szCs w:val="22"/>
              </w:rPr>
              <w:t>-adrenoreceptor antagonist</w:t>
            </w:r>
          </w:p>
        </w:tc>
        <w:tc>
          <w:tcPr>
            <w:tcW w:w="3112" w:type="dxa"/>
            <w:tcBorders>
              <w:top w:val="single" w:sz="4" w:space="0" w:color="auto"/>
              <w:bottom w:val="single" w:sz="4" w:space="0" w:color="auto"/>
            </w:tcBorders>
          </w:tcPr>
          <w:p w14:paraId="6700DB94" w14:textId="77777777" w:rsidR="00D7303D" w:rsidRPr="00E25432" w:rsidRDefault="00D7303D" w:rsidP="003C2268">
            <w:pPr>
              <w:tabs>
                <w:tab w:val="left" w:pos="567"/>
              </w:tabs>
              <w:rPr>
                <w:sz w:val="22"/>
                <w:szCs w:val="22"/>
              </w:rPr>
            </w:pPr>
            <w:r w:rsidRPr="00E25432">
              <w:rPr>
                <w:sz w:val="22"/>
                <w:szCs w:val="22"/>
              </w:rPr>
              <w:t>Alfuzosin</w:t>
            </w:r>
          </w:p>
        </w:tc>
        <w:tc>
          <w:tcPr>
            <w:tcW w:w="3985" w:type="dxa"/>
            <w:tcBorders>
              <w:top w:val="single" w:sz="4" w:space="0" w:color="auto"/>
              <w:bottom w:val="single" w:sz="4" w:space="0" w:color="auto"/>
            </w:tcBorders>
          </w:tcPr>
          <w:p w14:paraId="26F4A2BF" w14:textId="77777777" w:rsidR="00D7303D" w:rsidRPr="00E25432" w:rsidRDefault="00D7303D" w:rsidP="003C2268">
            <w:pPr>
              <w:tabs>
                <w:tab w:val="left" w:pos="567"/>
              </w:tabs>
              <w:rPr>
                <w:sz w:val="22"/>
                <w:szCs w:val="22"/>
              </w:rPr>
            </w:pPr>
            <w:r w:rsidRPr="00A95936">
              <w:rPr>
                <w:sz w:val="22"/>
                <w:szCs w:val="22"/>
              </w:rPr>
              <w:t>Increased plasma concentrations of alfuzosin which may lead to severe hypotension.  The concomitant administration with alfuzosin is contraindicated (see section 4.5).</w:t>
            </w:r>
          </w:p>
        </w:tc>
      </w:tr>
      <w:tr w:rsidR="00C05E7A" w:rsidRPr="007750BF" w14:paraId="15758D59" w14:textId="77777777" w:rsidTr="006E1FDC">
        <w:trPr>
          <w:cantSplit/>
        </w:trPr>
        <w:tc>
          <w:tcPr>
            <w:tcW w:w="2425" w:type="dxa"/>
            <w:tcBorders>
              <w:top w:val="single" w:sz="4" w:space="0" w:color="auto"/>
              <w:bottom w:val="single" w:sz="4" w:space="0" w:color="auto"/>
            </w:tcBorders>
          </w:tcPr>
          <w:p w14:paraId="2C433DDD" w14:textId="77777777" w:rsidR="00C05E7A" w:rsidRPr="00E25432" w:rsidRDefault="00C05E7A" w:rsidP="00E271FB">
            <w:pPr>
              <w:tabs>
                <w:tab w:val="left" w:pos="567"/>
              </w:tabs>
              <w:rPr>
                <w:sz w:val="22"/>
                <w:szCs w:val="22"/>
              </w:rPr>
            </w:pPr>
            <w:r>
              <w:rPr>
                <w:sz w:val="22"/>
                <w:szCs w:val="22"/>
              </w:rPr>
              <w:t>Antianginal</w:t>
            </w:r>
          </w:p>
        </w:tc>
        <w:tc>
          <w:tcPr>
            <w:tcW w:w="3112" w:type="dxa"/>
            <w:tcBorders>
              <w:top w:val="single" w:sz="4" w:space="0" w:color="auto"/>
              <w:bottom w:val="single" w:sz="4" w:space="0" w:color="auto"/>
            </w:tcBorders>
          </w:tcPr>
          <w:p w14:paraId="2AA9057A" w14:textId="77777777" w:rsidR="00C05E7A" w:rsidRPr="00E25432" w:rsidRDefault="00C05E7A" w:rsidP="00E271FB">
            <w:pPr>
              <w:tabs>
                <w:tab w:val="left" w:pos="567"/>
              </w:tabs>
              <w:rPr>
                <w:sz w:val="22"/>
                <w:szCs w:val="22"/>
                <w:lang w:val="es-MX"/>
              </w:rPr>
            </w:pPr>
            <w:r>
              <w:rPr>
                <w:sz w:val="22"/>
                <w:szCs w:val="22"/>
                <w:lang w:val="es-MX"/>
              </w:rPr>
              <w:t>Ranolazine</w:t>
            </w:r>
          </w:p>
        </w:tc>
        <w:tc>
          <w:tcPr>
            <w:tcW w:w="3985" w:type="dxa"/>
            <w:tcBorders>
              <w:top w:val="single" w:sz="4" w:space="0" w:color="auto"/>
              <w:bottom w:val="single" w:sz="4" w:space="0" w:color="auto"/>
            </w:tcBorders>
          </w:tcPr>
          <w:p w14:paraId="3143EA05" w14:textId="77777777" w:rsidR="00C05E7A" w:rsidRPr="00E25432" w:rsidRDefault="00C05E7A" w:rsidP="00E271FB">
            <w:pPr>
              <w:tabs>
                <w:tab w:val="left" w:pos="567"/>
              </w:tabs>
              <w:rPr>
                <w:sz w:val="22"/>
                <w:szCs w:val="22"/>
              </w:rPr>
            </w:pPr>
            <w:r>
              <w:rPr>
                <w:sz w:val="22"/>
                <w:szCs w:val="22"/>
              </w:rPr>
              <w:t>Increased plasma concentrations of ranolazine which may increase the potential for serious and/or life-threatening reactions (see section 4.5).</w:t>
            </w:r>
          </w:p>
        </w:tc>
      </w:tr>
      <w:tr w:rsidR="00D7303D" w:rsidRPr="007750BF" w14:paraId="0DF84B61" w14:textId="77777777" w:rsidTr="006E1FDC">
        <w:trPr>
          <w:cantSplit/>
        </w:trPr>
        <w:tc>
          <w:tcPr>
            <w:tcW w:w="2425" w:type="dxa"/>
            <w:tcBorders>
              <w:top w:val="single" w:sz="4" w:space="0" w:color="auto"/>
              <w:bottom w:val="single" w:sz="4" w:space="0" w:color="auto"/>
            </w:tcBorders>
          </w:tcPr>
          <w:p w14:paraId="59BC4667" w14:textId="77777777" w:rsidR="00D7303D" w:rsidRPr="00E25432" w:rsidRDefault="00D7303D" w:rsidP="00323BFD">
            <w:pPr>
              <w:tabs>
                <w:tab w:val="left" w:pos="567"/>
              </w:tabs>
              <w:rPr>
                <w:sz w:val="22"/>
                <w:szCs w:val="22"/>
              </w:rPr>
            </w:pPr>
            <w:r w:rsidRPr="00E25432">
              <w:rPr>
                <w:sz w:val="22"/>
                <w:szCs w:val="22"/>
              </w:rPr>
              <w:t>Antiarrhy</w:t>
            </w:r>
            <w:r w:rsidR="00323BFD">
              <w:rPr>
                <w:sz w:val="22"/>
                <w:szCs w:val="22"/>
              </w:rPr>
              <w:t>th</w:t>
            </w:r>
            <w:r w:rsidRPr="00E25432">
              <w:rPr>
                <w:sz w:val="22"/>
                <w:szCs w:val="22"/>
              </w:rPr>
              <w:t>mics</w:t>
            </w:r>
          </w:p>
        </w:tc>
        <w:tc>
          <w:tcPr>
            <w:tcW w:w="3112" w:type="dxa"/>
            <w:tcBorders>
              <w:top w:val="single" w:sz="4" w:space="0" w:color="auto"/>
              <w:bottom w:val="single" w:sz="4" w:space="0" w:color="auto"/>
            </w:tcBorders>
          </w:tcPr>
          <w:p w14:paraId="26E5CAAA" w14:textId="77777777" w:rsidR="00D7303D" w:rsidRPr="00E25432" w:rsidRDefault="00D7303D" w:rsidP="003C2268">
            <w:pPr>
              <w:tabs>
                <w:tab w:val="left" w:pos="567"/>
              </w:tabs>
              <w:rPr>
                <w:sz w:val="22"/>
                <w:szCs w:val="22"/>
                <w:lang w:val="es-MX"/>
              </w:rPr>
            </w:pPr>
            <w:r w:rsidRPr="00E25432">
              <w:rPr>
                <w:sz w:val="22"/>
                <w:szCs w:val="22"/>
                <w:lang w:val="es-MX"/>
              </w:rPr>
              <w:t>Amiodarone</w:t>
            </w:r>
            <w:r w:rsidR="002610DE">
              <w:rPr>
                <w:sz w:val="22"/>
                <w:szCs w:val="22"/>
                <w:lang w:val="es-MX"/>
              </w:rPr>
              <w:t>, dronedarone</w:t>
            </w:r>
          </w:p>
        </w:tc>
        <w:tc>
          <w:tcPr>
            <w:tcW w:w="3985" w:type="dxa"/>
            <w:tcBorders>
              <w:top w:val="single" w:sz="4" w:space="0" w:color="auto"/>
              <w:bottom w:val="single" w:sz="4" w:space="0" w:color="auto"/>
            </w:tcBorders>
          </w:tcPr>
          <w:p w14:paraId="589CAF27" w14:textId="77777777" w:rsidR="00D7303D" w:rsidRPr="00E25432" w:rsidRDefault="00D7303D" w:rsidP="003C2268">
            <w:pPr>
              <w:tabs>
                <w:tab w:val="left" w:pos="567"/>
              </w:tabs>
              <w:rPr>
                <w:sz w:val="22"/>
                <w:szCs w:val="22"/>
              </w:rPr>
            </w:pPr>
            <w:r w:rsidRPr="00E25432">
              <w:rPr>
                <w:sz w:val="22"/>
                <w:szCs w:val="22"/>
              </w:rPr>
              <w:t>Increased plasma concentrations of amiodarone</w:t>
            </w:r>
            <w:r w:rsidR="002610DE">
              <w:rPr>
                <w:sz w:val="22"/>
                <w:szCs w:val="22"/>
              </w:rPr>
              <w:t xml:space="preserve"> and dronedarone</w:t>
            </w:r>
            <w:r w:rsidRPr="00E25432">
              <w:rPr>
                <w:sz w:val="22"/>
                <w:szCs w:val="22"/>
              </w:rPr>
              <w:t>.  Thereby, increasing the risk of arrhythmias or other serious adverse reactions</w:t>
            </w:r>
            <w:r w:rsidR="001546A9">
              <w:rPr>
                <w:sz w:val="22"/>
                <w:szCs w:val="22"/>
              </w:rPr>
              <w:t xml:space="preserve"> (see section 4.5)</w:t>
            </w:r>
            <w:r w:rsidRPr="00E25432">
              <w:rPr>
                <w:sz w:val="22"/>
                <w:szCs w:val="22"/>
              </w:rPr>
              <w:t>.</w:t>
            </w:r>
          </w:p>
        </w:tc>
      </w:tr>
      <w:tr w:rsidR="00D7303D" w:rsidRPr="007750BF" w14:paraId="706FF5B1" w14:textId="77777777" w:rsidTr="000818DA">
        <w:trPr>
          <w:cantSplit/>
        </w:trPr>
        <w:tc>
          <w:tcPr>
            <w:tcW w:w="2425" w:type="dxa"/>
            <w:tcBorders>
              <w:bottom w:val="single" w:sz="4" w:space="0" w:color="auto"/>
            </w:tcBorders>
          </w:tcPr>
          <w:p w14:paraId="09708469" w14:textId="77777777" w:rsidR="00D7303D" w:rsidRPr="00E25432" w:rsidRDefault="00D7303D" w:rsidP="003C2268">
            <w:pPr>
              <w:tabs>
                <w:tab w:val="left" w:pos="567"/>
              </w:tabs>
              <w:rPr>
                <w:sz w:val="22"/>
                <w:szCs w:val="22"/>
              </w:rPr>
            </w:pPr>
            <w:r w:rsidRPr="00E25432">
              <w:rPr>
                <w:sz w:val="22"/>
                <w:szCs w:val="22"/>
              </w:rPr>
              <w:t>Antibiotic</w:t>
            </w:r>
          </w:p>
        </w:tc>
        <w:tc>
          <w:tcPr>
            <w:tcW w:w="3112" w:type="dxa"/>
          </w:tcPr>
          <w:p w14:paraId="3C945E27" w14:textId="77777777" w:rsidR="00D7303D" w:rsidRPr="00E25432" w:rsidRDefault="00D7303D" w:rsidP="003C2268">
            <w:pPr>
              <w:tabs>
                <w:tab w:val="left" w:pos="567"/>
              </w:tabs>
              <w:rPr>
                <w:sz w:val="22"/>
                <w:szCs w:val="22"/>
              </w:rPr>
            </w:pPr>
            <w:r w:rsidRPr="00E25432">
              <w:rPr>
                <w:sz w:val="22"/>
                <w:szCs w:val="22"/>
              </w:rPr>
              <w:t>Fusidic Acid</w:t>
            </w:r>
          </w:p>
        </w:tc>
        <w:tc>
          <w:tcPr>
            <w:tcW w:w="3985" w:type="dxa"/>
          </w:tcPr>
          <w:p w14:paraId="22ECC5E0" w14:textId="77777777" w:rsidR="00D7303D" w:rsidRPr="00E25432" w:rsidRDefault="00D7303D" w:rsidP="001546A9">
            <w:pPr>
              <w:tabs>
                <w:tab w:val="left" w:pos="567"/>
              </w:tabs>
              <w:rPr>
                <w:sz w:val="22"/>
                <w:szCs w:val="22"/>
              </w:rPr>
            </w:pPr>
            <w:r w:rsidRPr="00A95936">
              <w:rPr>
                <w:sz w:val="22"/>
                <w:szCs w:val="22"/>
              </w:rPr>
              <w:t>Increased plasma concentrations of fusidic acid. The concomitant administration with fusidic acid is contraindicated in dermatological infections (see section 4.5).</w:t>
            </w:r>
          </w:p>
        </w:tc>
      </w:tr>
      <w:tr w:rsidR="000818DA" w:rsidRPr="007750BF" w14:paraId="72389163" w14:textId="77777777" w:rsidTr="000818DA">
        <w:trPr>
          <w:cantSplit/>
        </w:trPr>
        <w:tc>
          <w:tcPr>
            <w:tcW w:w="2425" w:type="dxa"/>
            <w:vMerge w:val="restart"/>
            <w:tcBorders>
              <w:top w:val="single" w:sz="4" w:space="0" w:color="auto"/>
            </w:tcBorders>
          </w:tcPr>
          <w:p w14:paraId="123186E8" w14:textId="77777777" w:rsidR="000818DA" w:rsidRPr="008C6B79" w:rsidRDefault="000818DA" w:rsidP="001D025B">
            <w:pPr>
              <w:tabs>
                <w:tab w:val="left" w:pos="567"/>
              </w:tabs>
              <w:rPr>
                <w:sz w:val="22"/>
                <w:szCs w:val="22"/>
              </w:rPr>
            </w:pPr>
            <w:r>
              <w:rPr>
                <w:sz w:val="22"/>
                <w:szCs w:val="22"/>
              </w:rPr>
              <w:t>Anticancer</w:t>
            </w:r>
          </w:p>
        </w:tc>
        <w:tc>
          <w:tcPr>
            <w:tcW w:w="3112" w:type="dxa"/>
            <w:tcBorders>
              <w:top w:val="single" w:sz="4" w:space="0" w:color="auto"/>
            </w:tcBorders>
          </w:tcPr>
          <w:p w14:paraId="111132A6" w14:textId="77777777" w:rsidR="000818DA" w:rsidRPr="008C6B79" w:rsidRDefault="000818DA" w:rsidP="001D025B">
            <w:pPr>
              <w:tabs>
                <w:tab w:val="left" w:pos="567"/>
              </w:tabs>
              <w:rPr>
                <w:sz w:val="22"/>
                <w:szCs w:val="22"/>
              </w:rPr>
            </w:pPr>
            <w:r>
              <w:rPr>
                <w:sz w:val="22"/>
                <w:szCs w:val="22"/>
              </w:rPr>
              <w:t>Neratinib</w:t>
            </w:r>
          </w:p>
        </w:tc>
        <w:tc>
          <w:tcPr>
            <w:tcW w:w="3985" w:type="dxa"/>
            <w:tcBorders>
              <w:top w:val="single" w:sz="4" w:space="0" w:color="auto"/>
            </w:tcBorders>
          </w:tcPr>
          <w:p w14:paraId="5BD0BEE7" w14:textId="77777777" w:rsidR="000818DA" w:rsidRPr="008C6B79" w:rsidRDefault="000818DA" w:rsidP="001D025B">
            <w:pPr>
              <w:tabs>
                <w:tab w:val="left" w:pos="567"/>
              </w:tabs>
              <w:rPr>
                <w:sz w:val="22"/>
                <w:szCs w:val="22"/>
              </w:rPr>
            </w:pPr>
            <w:r>
              <w:rPr>
                <w:sz w:val="22"/>
                <w:szCs w:val="22"/>
              </w:rPr>
              <w:t>Increased plasma concentrations of neratinib which may increase the potential for serious and/or life</w:t>
            </w:r>
            <w:r>
              <w:rPr>
                <w:sz w:val="22"/>
                <w:szCs w:val="22"/>
              </w:rPr>
              <w:noBreakHyphen/>
              <w:t>threatening reactions (see section 4.5).</w:t>
            </w:r>
          </w:p>
        </w:tc>
      </w:tr>
      <w:tr w:rsidR="000818DA" w:rsidRPr="007750BF" w14:paraId="2CEB52A1" w14:textId="77777777" w:rsidTr="000818DA">
        <w:trPr>
          <w:cantSplit/>
        </w:trPr>
        <w:tc>
          <w:tcPr>
            <w:tcW w:w="2425" w:type="dxa"/>
            <w:vMerge/>
          </w:tcPr>
          <w:p w14:paraId="7F2E6B43" w14:textId="77777777" w:rsidR="000818DA" w:rsidRPr="00E25432" w:rsidRDefault="000818DA" w:rsidP="001D025B">
            <w:pPr>
              <w:tabs>
                <w:tab w:val="left" w:pos="567"/>
              </w:tabs>
              <w:rPr>
                <w:sz w:val="22"/>
                <w:szCs w:val="22"/>
              </w:rPr>
            </w:pPr>
          </w:p>
        </w:tc>
        <w:tc>
          <w:tcPr>
            <w:tcW w:w="3112" w:type="dxa"/>
            <w:tcBorders>
              <w:top w:val="single" w:sz="4" w:space="0" w:color="auto"/>
            </w:tcBorders>
          </w:tcPr>
          <w:p w14:paraId="32D5E38D" w14:textId="77777777" w:rsidR="000818DA" w:rsidRPr="00E25432" w:rsidRDefault="000818DA" w:rsidP="001D025B">
            <w:pPr>
              <w:tabs>
                <w:tab w:val="left" w:pos="567"/>
              </w:tabs>
              <w:rPr>
                <w:sz w:val="22"/>
                <w:szCs w:val="22"/>
              </w:rPr>
            </w:pPr>
            <w:r w:rsidRPr="008C6B79">
              <w:rPr>
                <w:sz w:val="22"/>
                <w:szCs w:val="22"/>
              </w:rPr>
              <w:t>Venetoclax</w:t>
            </w:r>
          </w:p>
        </w:tc>
        <w:tc>
          <w:tcPr>
            <w:tcW w:w="3985" w:type="dxa"/>
            <w:tcBorders>
              <w:top w:val="single" w:sz="4" w:space="0" w:color="auto"/>
            </w:tcBorders>
          </w:tcPr>
          <w:p w14:paraId="52875597" w14:textId="77777777" w:rsidR="000818DA" w:rsidRPr="00A95936" w:rsidRDefault="000818DA" w:rsidP="001D025B">
            <w:pPr>
              <w:tabs>
                <w:tab w:val="left" w:pos="567"/>
              </w:tabs>
              <w:rPr>
                <w:sz w:val="22"/>
                <w:szCs w:val="22"/>
              </w:rPr>
            </w:pPr>
            <w:r w:rsidRPr="008C6B79">
              <w:rPr>
                <w:sz w:val="22"/>
                <w:szCs w:val="22"/>
              </w:rPr>
              <w:t>Increased plasma concentrations of venetoclax.  Increased risk of tumor lysis syndrome at the dose initiation and during the ramp-up phase (see section 4.5).</w:t>
            </w:r>
          </w:p>
        </w:tc>
      </w:tr>
      <w:tr w:rsidR="002610DE" w:rsidRPr="007750BF" w14:paraId="5B98FD5E" w14:textId="77777777" w:rsidTr="006E1FDC">
        <w:trPr>
          <w:cantSplit/>
        </w:trPr>
        <w:tc>
          <w:tcPr>
            <w:tcW w:w="2425" w:type="dxa"/>
            <w:tcBorders>
              <w:top w:val="single" w:sz="4" w:space="0" w:color="auto"/>
              <w:bottom w:val="single" w:sz="4" w:space="0" w:color="auto"/>
            </w:tcBorders>
          </w:tcPr>
          <w:p w14:paraId="5ACDBCFC" w14:textId="77777777" w:rsidR="002610DE" w:rsidRPr="00E25432" w:rsidRDefault="002610DE" w:rsidP="003C2268">
            <w:pPr>
              <w:tabs>
                <w:tab w:val="left" w:pos="567"/>
              </w:tabs>
              <w:rPr>
                <w:sz w:val="22"/>
                <w:szCs w:val="22"/>
              </w:rPr>
            </w:pPr>
            <w:r>
              <w:rPr>
                <w:sz w:val="22"/>
                <w:szCs w:val="22"/>
              </w:rPr>
              <w:t>Anti-gout</w:t>
            </w:r>
          </w:p>
        </w:tc>
        <w:tc>
          <w:tcPr>
            <w:tcW w:w="3112" w:type="dxa"/>
            <w:tcBorders>
              <w:top w:val="single" w:sz="4" w:space="0" w:color="auto"/>
              <w:bottom w:val="single" w:sz="4" w:space="0" w:color="auto"/>
            </w:tcBorders>
          </w:tcPr>
          <w:p w14:paraId="21D7E8DD" w14:textId="77777777" w:rsidR="002610DE" w:rsidRPr="00E25432" w:rsidRDefault="002610DE" w:rsidP="003C2268">
            <w:pPr>
              <w:tabs>
                <w:tab w:val="left" w:pos="567"/>
              </w:tabs>
              <w:rPr>
                <w:sz w:val="22"/>
                <w:szCs w:val="22"/>
              </w:rPr>
            </w:pPr>
            <w:r>
              <w:rPr>
                <w:sz w:val="22"/>
                <w:szCs w:val="22"/>
              </w:rPr>
              <w:t>Colchicine</w:t>
            </w:r>
          </w:p>
        </w:tc>
        <w:tc>
          <w:tcPr>
            <w:tcW w:w="3985" w:type="dxa"/>
            <w:tcBorders>
              <w:top w:val="single" w:sz="4" w:space="0" w:color="auto"/>
              <w:bottom w:val="single" w:sz="4" w:space="0" w:color="auto"/>
            </w:tcBorders>
          </w:tcPr>
          <w:p w14:paraId="730D2D8A" w14:textId="77777777" w:rsidR="002610DE" w:rsidRPr="00E25432" w:rsidRDefault="002610DE" w:rsidP="003C2268">
            <w:pPr>
              <w:tabs>
                <w:tab w:val="left" w:pos="567"/>
              </w:tabs>
              <w:rPr>
                <w:sz w:val="22"/>
                <w:szCs w:val="22"/>
              </w:rPr>
            </w:pPr>
            <w:r>
              <w:rPr>
                <w:sz w:val="22"/>
                <w:szCs w:val="22"/>
              </w:rPr>
              <w:t>Increased plasma concentrations of colchicine.  Potential for serious and/or life-threatening reactions in patients with renal and/or hepatic impairment (see sections 4.4 and 4.5).</w:t>
            </w:r>
          </w:p>
        </w:tc>
      </w:tr>
      <w:tr w:rsidR="00D7303D" w:rsidRPr="007750BF" w14:paraId="34FFA23D" w14:textId="77777777" w:rsidTr="006E1FDC">
        <w:trPr>
          <w:cantSplit/>
        </w:trPr>
        <w:tc>
          <w:tcPr>
            <w:tcW w:w="2425" w:type="dxa"/>
            <w:tcBorders>
              <w:top w:val="single" w:sz="4" w:space="0" w:color="auto"/>
              <w:bottom w:val="single" w:sz="4" w:space="0" w:color="auto"/>
            </w:tcBorders>
          </w:tcPr>
          <w:p w14:paraId="173CF144" w14:textId="77777777" w:rsidR="00D7303D" w:rsidRPr="00E25432" w:rsidRDefault="00D7303D" w:rsidP="003C2268">
            <w:pPr>
              <w:tabs>
                <w:tab w:val="left" w:pos="567"/>
              </w:tabs>
              <w:rPr>
                <w:sz w:val="22"/>
                <w:szCs w:val="22"/>
              </w:rPr>
            </w:pPr>
            <w:r w:rsidRPr="00E25432">
              <w:rPr>
                <w:sz w:val="22"/>
                <w:szCs w:val="22"/>
              </w:rPr>
              <w:t>Antihistamines</w:t>
            </w:r>
          </w:p>
        </w:tc>
        <w:tc>
          <w:tcPr>
            <w:tcW w:w="3112" w:type="dxa"/>
            <w:tcBorders>
              <w:top w:val="single" w:sz="4" w:space="0" w:color="auto"/>
              <w:bottom w:val="single" w:sz="4" w:space="0" w:color="auto"/>
            </w:tcBorders>
          </w:tcPr>
          <w:p w14:paraId="180089AF" w14:textId="77777777" w:rsidR="00D7303D" w:rsidRPr="00E25432" w:rsidRDefault="00D7303D" w:rsidP="003C2268">
            <w:pPr>
              <w:tabs>
                <w:tab w:val="left" w:pos="567"/>
              </w:tabs>
              <w:rPr>
                <w:sz w:val="22"/>
                <w:szCs w:val="22"/>
              </w:rPr>
            </w:pPr>
            <w:r w:rsidRPr="00E25432">
              <w:rPr>
                <w:sz w:val="22"/>
                <w:szCs w:val="22"/>
              </w:rPr>
              <w:t>Astemizole, terfenadine</w:t>
            </w:r>
          </w:p>
        </w:tc>
        <w:tc>
          <w:tcPr>
            <w:tcW w:w="3985" w:type="dxa"/>
            <w:tcBorders>
              <w:top w:val="single" w:sz="4" w:space="0" w:color="auto"/>
              <w:bottom w:val="single" w:sz="4" w:space="0" w:color="auto"/>
            </w:tcBorders>
          </w:tcPr>
          <w:p w14:paraId="67AEB917" w14:textId="77777777" w:rsidR="00D7303D" w:rsidRPr="00E25432" w:rsidRDefault="00D7303D" w:rsidP="003C2268">
            <w:pPr>
              <w:tabs>
                <w:tab w:val="left" w:pos="567"/>
              </w:tabs>
              <w:rPr>
                <w:sz w:val="22"/>
                <w:szCs w:val="22"/>
              </w:rPr>
            </w:pPr>
            <w:r w:rsidRPr="00E25432">
              <w:rPr>
                <w:sz w:val="22"/>
                <w:szCs w:val="22"/>
              </w:rPr>
              <w:t>Increased plasma concentrations of astemizole and terfenadine.  Thereby, increasing the risk of serious arrhythmias from these agents</w:t>
            </w:r>
            <w:r w:rsidR="001546A9">
              <w:rPr>
                <w:sz w:val="22"/>
                <w:szCs w:val="22"/>
              </w:rPr>
              <w:t xml:space="preserve"> (see section 4.5)</w:t>
            </w:r>
            <w:r w:rsidRPr="00E25432">
              <w:rPr>
                <w:sz w:val="22"/>
                <w:szCs w:val="22"/>
              </w:rPr>
              <w:t>.</w:t>
            </w:r>
          </w:p>
        </w:tc>
      </w:tr>
      <w:tr w:rsidR="00C00C6C" w:rsidRPr="007750BF" w14:paraId="0C3AE840" w14:textId="77777777" w:rsidTr="006E1FDC">
        <w:trPr>
          <w:cantSplit/>
        </w:trPr>
        <w:tc>
          <w:tcPr>
            <w:tcW w:w="2425" w:type="dxa"/>
            <w:vMerge w:val="restart"/>
            <w:tcBorders>
              <w:top w:val="single" w:sz="4" w:space="0" w:color="auto"/>
            </w:tcBorders>
          </w:tcPr>
          <w:p w14:paraId="4DFFD3CD" w14:textId="77777777" w:rsidR="00C00C6C" w:rsidRPr="00E25432" w:rsidRDefault="00C00C6C" w:rsidP="00F62C9B">
            <w:pPr>
              <w:keepNext/>
              <w:tabs>
                <w:tab w:val="left" w:pos="567"/>
              </w:tabs>
              <w:rPr>
                <w:sz w:val="22"/>
                <w:szCs w:val="22"/>
              </w:rPr>
            </w:pPr>
            <w:r w:rsidRPr="00E25432">
              <w:rPr>
                <w:sz w:val="22"/>
                <w:szCs w:val="22"/>
              </w:rPr>
              <w:t>Antipsychotics/ Neuroleptics</w:t>
            </w:r>
          </w:p>
        </w:tc>
        <w:tc>
          <w:tcPr>
            <w:tcW w:w="3112" w:type="dxa"/>
            <w:tcBorders>
              <w:top w:val="single" w:sz="4" w:space="0" w:color="auto"/>
              <w:bottom w:val="single" w:sz="4" w:space="0" w:color="auto"/>
            </w:tcBorders>
          </w:tcPr>
          <w:p w14:paraId="6A6D50E9" w14:textId="77777777" w:rsidR="00C00C6C" w:rsidRPr="00E25432" w:rsidRDefault="00C00C6C" w:rsidP="00F62C9B">
            <w:pPr>
              <w:keepNext/>
              <w:tabs>
                <w:tab w:val="left" w:pos="567"/>
              </w:tabs>
              <w:rPr>
                <w:sz w:val="22"/>
                <w:szCs w:val="22"/>
              </w:rPr>
            </w:pPr>
            <w:r>
              <w:rPr>
                <w:sz w:val="22"/>
                <w:szCs w:val="22"/>
              </w:rPr>
              <w:t>Lurasidone</w:t>
            </w:r>
          </w:p>
        </w:tc>
        <w:tc>
          <w:tcPr>
            <w:tcW w:w="3985" w:type="dxa"/>
            <w:tcBorders>
              <w:top w:val="single" w:sz="4" w:space="0" w:color="auto"/>
              <w:bottom w:val="single" w:sz="4" w:space="0" w:color="auto"/>
            </w:tcBorders>
          </w:tcPr>
          <w:p w14:paraId="7EC5FAFE" w14:textId="77777777" w:rsidR="00C00C6C" w:rsidRPr="00E25432" w:rsidRDefault="00C00C6C" w:rsidP="00F62C9B">
            <w:pPr>
              <w:keepNext/>
              <w:tabs>
                <w:tab w:val="left" w:pos="567"/>
              </w:tabs>
              <w:rPr>
                <w:sz w:val="22"/>
                <w:szCs w:val="22"/>
              </w:rPr>
            </w:pPr>
            <w:r>
              <w:rPr>
                <w:sz w:val="22"/>
                <w:szCs w:val="22"/>
              </w:rPr>
              <w:t>Increased plasma concentrations of lurasidone which may increase the potential for serious and/or life-threatening reactions (see section 4.5).</w:t>
            </w:r>
          </w:p>
        </w:tc>
      </w:tr>
      <w:tr w:rsidR="00C00C6C" w:rsidRPr="007750BF" w14:paraId="482711C9" w14:textId="77777777" w:rsidTr="006E1FDC">
        <w:trPr>
          <w:cantSplit/>
        </w:trPr>
        <w:tc>
          <w:tcPr>
            <w:tcW w:w="2425" w:type="dxa"/>
            <w:vMerge/>
          </w:tcPr>
          <w:p w14:paraId="4AEC8A09" w14:textId="77777777" w:rsidR="00C00C6C" w:rsidRPr="00E25432" w:rsidRDefault="00C00C6C" w:rsidP="00F62C9B">
            <w:pPr>
              <w:keepNext/>
              <w:tabs>
                <w:tab w:val="left" w:pos="567"/>
              </w:tabs>
              <w:rPr>
                <w:sz w:val="22"/>
                <w:szCs w:val="22"/>
              </w:rPr>
            </w:pPr>
          </w:p>
        </w:tc>
        <w:tc>
          <w:tcPr>
            <w:tcW w:w="3112" w:type="dxa"/>
            <w:tcBorders>
              <w:top w:val="single" w:sz="4" w:space="0" w:color="auto"/>
              <w:bottom w:val="single" w:sz="4" w:space="0" w:color="auto"/>
            </w:tcBorders>
          </w:tcPr>
          <w:p w14:paraId="6F784A3E" w14:textId="77777777" w:rsidR="00C00C6C" w:rsidRPr="00E25432" w:rsidRDefault="00C00C6C" w:rsidP="00F62C9B">
            <w:pPr>
              <w:keepNext/>
              <w:tabs>
                <w:tab w:val="left" w:pos="567"/>
              </w:tabs>
              <w:rPr>
                <w:sz w:val="22"/>
                <w:szCs w:val="22"/>
              </w:rPr>
            </w:pPr>
            <w:r w:rsidRPr="00E25432">
              <w:rPr>
                <w:sz w:val="22"/>
                <w:szCs w:val="22"/>
              </w:rPr>
              <w:t>Pimozide</w:t>
            </w:r>
          </w:p>
        </w:tc>
        <w:tc>
          <w:tcPr>
            <w:tcW w:w="3985" w:type="dxa"/>
            <w:tcBorders>
              <w:top w:val="single" w:sz="4" w:space="0" w:color="auto"/>
              <w:bottom w:val="single" w:sz="4" w:space="0" w:color="auto"/>
            </w:tcBorders>
          </w:tcPr>
          <w:p w14:paraId="74C51798" w14:textId="77777777" w:rsidR="00C00C6C" w:rsidRPr="00E25432" w:rsidRDefault="00C00C6C" w:rsidP="00F62C9B">
            <w:pPr>
              <w:keepNext/>
              <w:tabs>
                <w:tab w:val="left" w:pos="567"/>
              </w:tabs>
              <w:rPr>
                <w:sz w:val="22"/>
                <w:szCs w:val="22"/>
              </w:rPr>
            </w:pPr>
            <w:r w:rsidRPr="00E25432">
              <w:rPr>
                <w:sz w:val="22"/>
                <w:szCs w:val="22"/>
              </w:rPr>
              <w:t>Increased plasma concentrations of pimozide.  Thereby, increasing the risk of serious haematologic abnormalities, or other serious adverse effects from this agent</w:t>
            </w:r>
            <w:r w:rsidR="001546A9">
              <w:rPr>
                <w:sz w:val="22"/>
                <w:szCs w:val="22"/>
              </w:rPr>
              <w:t xml:space="preserve"> (see section 4.5)</w:t>
            </w:r>
            <w:r w:rsidRPr="00E25432">
              <w:rPr>
                <w:sz w:val="22"/>
                <w:szCs w:val="22"/>
              </w:rPr>
              <w:t>.</w:t>
            </w:r>
          </w:p>
        </w:tc>
      </w:tr>
      <w:tr w:rsidR="00C00C6C" w:rsidRPr="00B8664C" w14:paraId="2E726928" w14:textId="77777777" w:rsidTr="006E1FDC">
        <w:trPr>
          <w:cantSplit/>
        </w:trPr>
        <w:tc>
          <w:tcPr>
            <w:tcW w:w="2425" w:type="dxa"/>
            <w:vMerge/>
            <w:tcBorders>
              <w:bottom w:val="single" w:sz="4" w:space="0" w:color="auto"/>
            </w:tcBorders>
          </w:tcPr>
          <w:p w14:paraId="1DE237B2" w14:textId="77777777" w:rsidR="00C00C6C" w:rsidRPr="00797BFA" w:rsidRDefault="00C00C6C" w:rsidP="003C2268">
            <w:pPr>
              <w:tabs>
                <w:tab w:val="left" w:pos="567"/>
              </w:tabs>
              <w:rPr>
                <w:sz w:val="22"/>
                <w:szCs w:val="22"/>
              </w:rPr>
            </w:pPr>
          </w:p>
        </w:tc>
        <w:tc>
          <w:tcPr>
            <w:tcW w:w="3112" w:type="dxa"/>
            <w:tcBorders>
              <w:top w:val="single" w:sz="4" w:space="0" w:color="auto"/>
              <w:bottom w:val="single" w:sz="4" w:space="0" w:color="auto"/>
            </w:tcBorders>
          </w:tcPr>
          <w:p w14:paraId="0A7F5BD1" w14:textId="77777777" w:rsidR="00C00C6C" w:rsidRPr="00797BFA" w:rsidRDefault="00C00C6C" w:rsidP="003C2268">
            <w:pPr>
              <w:tabs>
                <w:tab w:val="left" w:pos="567"/>
              </w:tabs>
              <w:rPr>
                <w:sz w:val="22"/>
                <w:szCs w:val="22"/>
              </w:rPr>
            </w:pPr>
            <w:r w:rsidRPr="00797BFA">
              <w:rPr>
                <w:sz w:val="22"/>
                <w:szCs w:val="22"/>
              </w:rPr>
              <w:t>Quetiapine</w:t>
            </w:r>
          </w:p>
        </w:tc>
        <w:tc>
          <w:tcPr>
            <w:tcW w:w="3985" w:type="dxa"/>
            <w:tcBorders>
              <w:top w:val="single" w:sz="4" w:space="0" w:color="auto"/>
              <w:bottom w:val="single" w:sz="4" w:space="0" w:color="auto"/>
            </w:tcBorders>
          </w:tcPr>
          <w:p w14:paraId="52F22496" w14:textId="77777777" w:rsidR="00C00C6C" w:rsidRPr="00797BFA" w:rsidRDefault="00C00C6C" w:rsidP="003C2268">
            <w:pPr>
              <w:tabs>
                <w:tab w:val="left" w:pos="567"/>
              </w:tabs>
              <w:rPr>
                <w:sz w:val="22"/>
                <w:szCs w:val="22"/>
              </w:rPr>
            </w:pPr>
            <w:r w:rsidRPr="00797BFA">
              <w:rPr>
                <w:sz w:val="22"/>
                <w:szCs w:val="22"/>
              </w:rPr>
              <w:t>Increased plasma concentrations of quetiapine which may lead to coma.  The concomitant administration with quetiapine is contraindicated (see section 4.5).</w:t>
            </w:r>
          </w:p>
        </w:tc>
      </w:tr>
      <w:tr w:rsidR="00C00C6C" w:rsidRPr="007750BF" w14:paraId="09BEF028" w14:textId="77777777" w:rsidTr="006E1FDC">
        <w:trPr>
          <w:cantSplit/>
        </w:trPr>
        <w:tc>
          <w:tcPr>
            <w:tcW w:w="2425" w:type="dxa"/>
            <w:tcBorders>
              <w:top w:val="single" w:sz="4" w:space="0" w:color="auto"/>
              <w:bottom w:val="single" w:sz="4" w:space="0" w:color="auto"/>
            </w:tcBorders>
          </w:tcPr>
          <w:p w14:paraId="7638F520" w14:textId="77777777" w:rsidR="00C00C6C" w:rsidRPr="00E25432" w:rsidRDefault="00C00C6C" w:rsidP="003C2268">
            <w:pPr>
              <w:tabs>
                <w:tab w:val="left" w:pos="567"/>
              </w:tabs>
              <w:rPr>
                <w:sz w:val="22"/>
                <w:szCs w:val="22"/>
              </w:rPr>
            </w:pPr>
            <w:r w:rsidRPr="00E25432">
              <w:rPr>
                <w:sz w:val="22"/>
                <w:szCs w:val="22"/>
              </w:rPr>
              <w:t>Ergot alkaloids</w:t>
            </w:r>
          </w:p>
        </w:tc>
        <w:tc>
          <w:tcPr>
            <w:tcW w:w="3112" w:type="dxa"/>
            <w:tcBorders>
              <w:top w:val="single" w:sz="4" w:space="0" w:color="auto"/>
              <w:bottom w:val="single" w:sz="4" w:space="0" w:color="auto"/>
            </w:tcBorders>
          </w:tcPr>
          <w:p w14:paraId="0220C56A" w14:textId="77777777" w:rsidR="00C00C6C" w:rsidRPr="00E25432" w:rsidRDefault="00C00C6C" w:rsidP="003C2268">
            <w:pPr>
              <w:tabs>
                <w:tab w:val="left" w:pos="567"/>
              </w:tabs>
              <w:rPr>
                <w:sz w:val="22"/>
                <w:szCs w:val="22"/>
              </w:rPr>
            </w:pPr>
            <w:r w:rsidRPr="00E25432">
              <w:rPr>
                <w:sz w:val="22"/>
                <w:szCs w:val="22"/>
              </w:rPr>
              <w:t>Dihydroergotamine, ergonovine, ergotamine, methylergonovine</w:t>
            </w:r>
          </w:p>
        </w:tc>
        <w:tc>
          <w:tcPr>
            <w:tcW w:w="3985" w:type="dxa"/>
            <w:tcBorders>
              <w:top w:val="single" w:sz="4" w:space="0" w:color="auto"/>
              <w:bottom w:val="single" w:sz="4" w:space="0" w:color="auto"/>
            </w:tcBorders>
          </w:tcPr>
          <w:p w14:paraId="3E421F7E" w14:textId="77777777" w:rsidR="00C00C6C" w:rsidRPr="00E25432" w:rsidRDefault="00C00C6C" w:rsidP="003C2268">
            <w:pPr>
              <w:tabs>
                <w:tab w:val="left" w:pos="567"/>
              </w:tabs>
              <w:rPr>
                <w:sz w:val="22"/>
                <w:szCs w:val="22"/>
              </w:rPr>
            </w:pPr>
            <w:r w:rsidRPr="00E25432">
              <w:rPr>
                <w:sz w:val="22"/>
                <w:szCs w:val="22"/>
              </w:rPr>
              <w:t>Increased plasma concentrations of ergot derivatives leading to acute ergot toxicity, including vasospasm and ischaemia</w:t>
            </w:r>
            <w:r w:rsidR="001546A9">
              <w:rPr>
                <w:sz w:val="22"/>
                <w:szCs w:val="22"/>
              </w:rPr>
              <w:t xml:space="preserve"> (see section 4.5)</w:t>
            </w:r>
            <w:r w:rsidRPr="00E25432">
              <w:rPr>
                <w:sz w:val="22"/>
                <w:szCs w:val="22"/>
              </w:rPr>
              <w:t>.</w:t>
            </w:r>
          </w:p>
        </w:tc>
      </w:tr>
      <w:tr w:rsidR="00C00C6C" w:rsidRPr="007750BF" w14:paraId="3D1807C7" w14:textId="77777777" w:rsidTr="006E1FDC">
        <w:trPr>
          <w:cantSplit/>
        </w:trPr>
        <w:tc>
          <w:tcPr>
            <w:tcW w:w="2425" w:type="dxa"/>
            <w:tcBorders>
              <w:top w:val="single" w:sz="4" w:space="0" w:color="auto"/>
              <w:bottom w:val="single" w:sz="4" w:space="0" w:color="auto"/>
            </w:tcBorders>
          </w:tcPr>
          <w:p w14:paraId="7D0FEEAB" w14:textId="77777777" w:rsidR="00C00C6C" w:rsidRPr="00E25432" w:rsidRDefault="00C00C6C" w:rsidP="003C2268">
            <w:pPr>
              <w:tabs>
                <w:tab w:val="left" w:pos="567"/>
              </w:tabs>
              <w:rPr>
                <w:sz w:val="22"/>
                <w:szCs w:val="22"/>
              </w:rPr>
            </w:pPr>
            <w:r w:rsidRPr="00E25432">
              <w:rPr>
                <w:sz w:val="22"/>
                <w:szCs w:val="22"/>
              </w:rPr>
              <w:t>GI motility agent</w:t>
            </w:r>
          </w:p>
        </w:tc>
        <w:tc>
          <w:tcPr>
            <w:tcW w:w="3112" w:type="dxa"/>
            <w:tcBorders>
              <w:top w:val="single" w:sz="4" w:space="0" w:color="auto"/>
              <w:bottom w:val="single" w:sz="4" w:space="0" w:color="auto"/>
            </w:tcBorders>
          </w:tcPr>
          <w:p w14:paraId="6744028A" w14:textId="77777777" w:rsidR="00C00C6C" w:rsidRPr="00E25432" w:rsidRDefault="00C00C6C" w:rsidP="003C2268">
            <w:pPr>
              <w:tabs>
                <w:tab w:val="left" w:pos="567"/>
              </w:tabs>
              <w:rPr>
                <w:sz w:val="22"/>
                <w:szCs w:val="22"/>
              </w:rPr>
            </w:pPr>
            <w:r w:rsidRPr="00E25432">
              <w:rPr>
                <w:sz w:val="22"/>
                <w:szCs w:val="22"/>
              </w:rPr>
              <w:t>Cisapride</w:t>
            </w:r>
          </w:p>
        </w:tc>
        <w:tc>
          <w:tcPr>
            <w:tcW w:w="3985" w:type="dxa"/>
            <w:tcBorders>
              <w:top w:val="single" w:sz="4" w:space="0" w:color="auto"/>
              <w:bottom w:val="single" w:sz="4" w:space="0" w:color="auto"/>
            </w:tcBorders>
          </w:tcPr>
          <w:p w14:paraId="3722620B" w14:textId="77777777" w:rsidR="00C00C6C" w:rsidRPr="00E25432" w:rsidRDefault="00C00C6C" w:rsidP="003C2268">
            <w:pPr>
              <w:tabs>
                <w:tab w:val="left" w:pos="567"/>
              </w:tabs>
              <w:rPr>
                <w:sz w:val="22"/>
                <w:szCs w:val="22"/>
              </w:rPr>
            </w:pPr>
            <w:r w:rsidRPr="00E25432">
              <w:rPr>
                <w:sz w:val="22"/>
                <w:szCs w:val="22"/>
              </w:rPr>
              <w:t>Increased plasma concentrations of cisapride.  Thereby, increasing the risk of serious arrhythmias from this agent</w:t>
            </w:r>
            <w:r w:rsidR="001546A9">
              <w:rPr>
                <w:sz w:val="22"/>
                <w:szCs w:val="22"/>
              </w:rPr>
              <w:t xml:space="preserve"> (see section 4.5)</w:t>
            </w:r>
            <w:r w:rsidRPr="00E25432">
              <w:rPr>
                <w:sz w:val="22"/>
                <w:szCs w:val="22"/>
              </w:rPr>
              <w:t>.</w:t>
            </w:r>
          </w:p>
        </w:tc>
      </w:tr>
      <w:tr w:rsidR="00580178" w:rsidRPr="007750BF" w14:paraId="2BBBC07B" w14:textId="77777777" w:rsidTr="006E1FDC">
        <w:trPr>
          <w:cantSplit/>
        </w:trPr>
        <w:tc>
          <w:tcPr>
            <w:tcW w:w="2425" w:type="dxa"/>
            <w:vMerge w:val="restart"/>
            <w:tcBorders>
              <w:top w:val="single" w:sz="4" w:space="0" w:color="auto"/>
            </w:tcBorders>
          </w:tcPr>
          <w:p w14:paraId="5DEF3794" w14:textId="77777777" w:rsidR="00580178" w:rsidRPr="00E25432" w:rsidRDefault="00580178" w:rsidP="001D025B">
            <w:pPr>
              <w:tabs>
                <w:tab w:val="left" w:pos="567"/>
              </w:tabs>
              <w:rPr>
                <w:sz w:val="22"/>
                <w:szCs w:val="22"/>
              </w:rPr>
            </w:pPr>
            <w:r>
              <w:rPr>
                <w:sz w:val="22"/>
                <w:szCs w:val="22"/>
              </w:rPr>
              <w:t>Hepatitis C virus direct acting antivirals</w:t>
            </w:r>
          </w:p>
        </w:tc>
        <w:tc>
          <w:tcPr>
            <w:tcW w:w="3112" w:type="dxa"/>
            <w:tcBorders>
              <w:top w:val="single" w:sz="4" w:space="0" w:color="auto"/>
              <w:bottom w:val="single" w:sz="4" w:space="0" w:color="auto"/>
            </w:tcBorders>
          </w:tcPr>
          <w:p w14:paraId="3D34243F" w14:textId="77777777" w:rsidR="00580178" w:rsidRPr="00E25432" w:rsidRDefault="00580178" w:rsidP="001D025B">
            <w:pPr>
              <w:tabs>
                <w:tab w:val="left" w:pos="567"/>
              </w:tabs>
              <w:rPr>
                <w:sz w:val="22"/>
                <w:szCs w:val="22"/>
              </w:rPr>
            </w:pPr>
            <w:r>
              <w:rPr>
                <w:sz w:val="22"/>
                <w:szCs w:val="22"/>
              </w:rPr>
              <w:t>Elbasvir/grazoprevir</w:t>
            </w:r>
          </w:p>
        </w:tc>
        <w:tc>
          <w:tcPr>
            <w:tcW w:w="3985" w:type="dxa"/>
            <w:tcBorders>
              <w:top w:val="single" w:sz="4" w:space="0" w:color="auto"/>
              <w:bottom w:val="single" w:sz="4" w:space="0" w:color="auto"/>
            </w:tcBorders>
          </w:tcPr>
          <w:p w14:paraId="145F6BEB" w14:textId="77777777" w:rsidR="00580178" w:rsidRPr="00E25432" w:rsidRDefault="00580178" w:rsidP="001D025B">
            <w:pPr>
              <w:tabs>
                <w:tab w:val="left" w:pos="567"/>
              </w:tabs>
              <w:rPr>
                <w:sz w:val="22"/>
                <w:szCs w:val="22"/>
              </w:rPr>
            </w:pPr>
            <w:r>
              <w:rPr>
                <w:sz w:val="22"/>
                <w:szCs w:val="22"/>
              </w:rPr>
              <w:t>Increased risk of alanine transaminase (ALT) elevations (see section 4.5).</w:t>
            </w:r>
          </w:p>
        </w:tc>
      </w:tr>
      <w:tr w:rsidR="00580178" w:rsidRPr="007750BF" w14:paraId="25F13EBC" w14:textId="77777777" w:rsidTr="006E1FDC">
        <w:trPr>
          <w:cantSplit/>
        </w:trPr>
        <w:tc>
          <w:tcPr>
            <w:tcW w:w="2425" w:type="dxa"/>
            <w:vMerge/>
            <w:tcBorders>
              <w:bottom w:val="single" w:sz="4" w:space="0" w:color="auto"/>
            </w:tcBorders>
          </w:tcPr>
          <w:p w14:paraId="5CD40BAB" w14:textId="77777777" w:rsidR="00580178" w:rsidRDefault="00580178" w:rsidP="001D025B">
            <w:pPr>
              <w:tabs>
                <w:tab w:val="left" w:pos="567"/>
              </w:tabs>
              <w:rPr>
                <w:sz w:val="22"/>
                <w:szCs w:val="22"/>
              </w:rPr>
            </w:pPr>
          </w:p>
        </w:tc>
        <w:tc>
          <w:tcPr>
            <w:tcW w:w="3112" w:type="dxa"/>
            <w:tcBorders>
              <w:top w:val="single" w:sz="4" w:space="0" w:color="auto"/>
              <w:bottom w:val="single" w:sz="4" w:space="0" w:color="auto"/>
            </w:tcBorders>
          </w:tcPr>
          <w:p w14:paraId="4DD088EB" w14:textId="77777777" w:rsidR="00580178" w:rsidRDefault="00580178" w:rsidP="001D025B">
            <w:pPr>
              <w:tabs>
                <w:tab w:val="left" w:pos="567"/>
              </w:tabs>
              <w:rPr>
                <w:sz w:val="22"/>
                <w:szCs w:val="22"/>
              </w:rPr>
            </w:pPr>
            <w:r>
              <w:rPr>
                <w:sz w:val="22"/>
                <w:szCs w:val="22"/>
              </w:rPr>
              <w:t>Ombitasvir/paritaprevir/ritonavir with or without dasabuvir</w:t>
            </w:r>
          </w:p>
        </w:tc>
        <w:tc>
          <w:tcPr>
            <w:tcW w:w="3985" w:type="dxa"/>
            <w:tcBorders>
              <w:top w:val="single" w:sz="4" w:space="0" w:color="auto"/>
              <w:bottom w:val="single" w:sz="4" w:space="0" w:color="auto"/>
            </w:tcBorders>
          </w:tcPr>
          <w:p w14:paraId="54218B7E" w14:textId="77777777" w:rsidR="00580178" w:rsidRDefault="00580178" w:rsidP="001D025B">
            <w:pPr>
              <w:tabs>
                <w:tab w:val="left" w:pos="567"/>
              </w:tabs>
              <w:rPr>
                <w:sz w:val="22"/>
                <w:szCs w:val="22"/>
              </w:rPr>
            </w:pPr>
            <w:r>
              <w:rPr>
                <w:sz w:val="22"/>
                <w:szCs w:val="22"/>
              </w:rPr>
              <w:t>Increased plasma concentrations of paritaprevir; thereby, increasing the risk of alanine transaminase (ALT) elevations (see section 4.5).</w:t>
            </w:r>
          </w:p>
        </w:tc>
      </w:tr>
      <w:tr w:rsidR="00013BA6" w:rsidRPr="007750BF" w14:paraId="6F88992A" w14:textId="77777777" w:rsidTr="00013BA6">
        <w:trPr>
          <w:cantSplit/>
        </w:trPr>
        <w:tc>
          <w:tcPr>
            <w:tcW w:w="5537" w:type="dxa"/>
            <w:gridSpan w:val="2"/>
            <w:tcBorders>
              <w:top w:val="single" w:sz="4" w:space="0" w:color="auto"/>
            </w:tcBorders>
          </w:tcPr>
          <w:p w14:paraId="33008398" w14:textId="77777777" w:rsidR="00013BA6" w:rsidRPr="00B52503" w:rsidRDefault="00013BA6" w:rsidP="003C2268">
            <w:pPr>
              <w:tabs>
                <w:tab w:val="left" w:pos="567"/>
              </w:tabs>
              <w:rPr>
                <w:sz w:val="22"/>
                <w:szCs w:val="22"/>
              </w:rPr>
            </w:pPr>
            <w:r w:rsidRPr="00B52503">
              <w:rPr>
                <w:sz w:val="22"/>
                <w:szCs w:val="22"/>
              </w:rPr>
              <w:t>Lipid-modifying agents</w:t>
            </w:r>
          </w:p>
          <w:p w14:paraId="35C53B21" w14:textId="77777777" w:rsidR="00013BA6" w:rsidRPr="00E25432" w:rsidRDefault="00013BA6" w:rsidP="003C2268">
            <w:pPr>
              <w:tabs>
                <w:tab w:val="left" w:pos="567"/>
              </w:tabs>
              <w:rPr>
                <w:sz w:val="22"/>
                <w:szCs w:val="22"/>
              </w:rPr>
            </w:pPr>
          </w:p>
        </w:tc>
        <w:tc>
          <w:tcPr>
            <w:tcW w:w="3985" w:type="dxa"/>
            <w:tcBorders>
              <w:top w:val="single" w:sz="4" w:space="0" w:color="auto"/>
            </w:tcBorders>
          </w:tcPr>
          <w:p w14:paraId="6A7A43D1" w14:textId="77777777" w:rsidR="00013BA6" w:rsidRPr="00E25432" w:rsidRDefault="00013BA6" w:rsidP="003C2268">
            <w:pPr>
              <w:tabs>
                <w:tab w:val="left" w:pos="567"/>
              </w:tabs>
              <w:rPr>
                <w:sz w:val="22"/>
                <w:szCs w:val="22"/>
              </w:rPr>
            </w:pPr>
          </w:p>
        </w:tc>
      </w:tr>
      <w:tr w:rsidR="00580178" w:rsidRPr="007750BF" w14:paraId="6205E1EF" w14:textId="77777777" w:rsidTr="005F7244">
        <w:trPr>
          <w:cantSplit/>
        </w:trPr>
        <w:tc>
          <w:tcPr>
            <w:tcW w:w="2425" w:type="dxa"/>
          </w:tcPr>
          <w:p w14:paraId="6668E434" w14:textId="77777777" w:rsidR="00580178" w:rsidRPr="00E25432" w:rsidRDefault="00580178" w:rsidP="003C2268">
            <w:pPr>
              <w:tabs>
                <w:tab w:val="left" w:pos="567"/>
              </w:tabs>
              <w:rPr>
                <w:sz w:val="22"/>
                <w:szCs w:val="22"/>
              </w:rPr>
            </w:pPr>
            <w:r w:rsidRPr="00E25432">
              <w:rPr>
                <w:sz w:val="22"/>
                <w:szCs w:val="22"/>
              </w:rPr>
              <w:t>HMG Co-A Reductase Inhibitors</w:t>
            </w:r>
          </w:p>
        </w:tc>
        <w:tc>
          <w:tcPr>
            <w:tcW w:w="3112" w:type="dxa"/>
          </w:tcPr>
          <w:p w14:paraId="61079A25" w14:textId="77777777" w:rsidR="00580178" w:rsidRPr="00E25432" w:rsidRDefault="00580178" w:rsidP="003C2268">
            <w:pPr>
              <w:tabs>
                <w:tab w:val="left" w:pos="567"/>
              </w:tabs>
              <w:rPr>
                <w:sz w:val="22"/>
                <w:szCs w:val="22"/>
              </w:rPr>
            </w:pPr>
            <w:r w:rsidRPr="00E25432">
              <w:rPr>
                <w:sz w:val="22"/>
                <w:szCs w:val="22"/>
              </w:rPr>
              <w:t>Lovastatin, simvastatin</w:t>
            </w:r>
          </w:p>
        </w:tc>
        <w:tc>
          <w:tcPr>
            <w:tcW w:w="3985" w:type="dxa"/>
          </w:tcPr>
          <w:p w14:paraId="7BB175EC" w14:textId="77777777" w:rsidR="00580178" w:rsidRPr="00E25432" w:rsidRDefault="00580178" w:rsidP="003C2268">
            <w:pPr>
              <w:tabs>
                <w:tab w:val="left" w:pos="567"/>
              </w:tabs>
              <w:rPr>
                <w:sz w:val="22"/>
                <w:szCs w:val="22"/>
              </w:rPr>
            </w:pPr>
            <w:r w:rsidRPr="00E25432">
              <w:rPr>
                <w:sz w:val="22"/>
                <w:szCs w:val="22"/>
              </w:rPr>
              <w:t>Increased plasma concentrations of lovastatin and simvastatin; thereby, increasing the risk of myopathy including rhabdomyolysis (see section 4.5).</w:t>
            </w:r>
          </w:p>
        </w:tc>
      </w:tr>
      <w:tr w:rsidR="00214829" w:rsidRPr="007750BF" w14:paraId="663FD799" w14:textId="77777777" w:rsidTr="00013BA6">
        <w:trPr>
          <w:cantSplit/>
        </w:trPr>
        <w:tc>
          <w:tcPr>
            <w:tcW w:w="2425" w:type="dxa"/>
            <w:tcBorders>
              <w:bottom w:val="single" w:sz="4" w:space="0" w:color="auto"/>
            </w:tcBorders>
          </w:tcPr>
          <w:p w14:paraId="16B969C4" w14:textId="77777777" w:rsidR="00214829" w:rsidRPr="00E25432" w:rsidRDefault="00214829" w:rsidP="003C2268">
            <w:pPr>
              <w:tabs>
                <w:tab w:val="left" w:pos="567"/>
              </w:tabs>
              <w:rPr>
                <w:sz w:val="22"/>
                <w:szCs w:val="22"/>
              </w:rPr>
            </w:pPr>
            <w:r w:rsidRPr="00214829">
              <w:rPr>
                <w:sz w:val="22"/>
                <w:szCs w:val="22"/>
              </w:rPr>
              <w:t>Microsomal triglyceride transfer protein (MTTP) inhibitor</w:t>
            </w:r>
          </w:p>
        </w:tc>
        <w:tc>
          <w:tcPr>
            <w:tcW w:w="3112" w:type="dxa"/>
            <w:tcBorders>
              <w:bottom w:val="single" w:sz="4" w:space="0" w:color="auto"/>
            </w:tcBorders>
          </w:tcPr>
          <w:p w14:paraId="621B32CF" w14:textId="77777777" w:rsidR="00214829" w:rsidRPr="00E25432" w:rsidRDefault="00214829" w:rsidP="003C2268">
            <w:pPr>
              <w:tabs>
                <w:tab w:val="left" w:pos="567"/>
              </w:tabs>
              <w:rPr>
                <w:sz w:val="22"/>
                <w:szCs w:val="22"/>
              </w:rPr>
            </w:pPr>
            <w:r w:rsidRPr="00214829">
              <w:rPr>
                <w:sz w:val="22"/>
                <w:szCs w:val="22"/>
              </w:rPr>
              <w:t>Lomitapide</w:t>
            </w:r>
          </w:p>
        </w:tc>
        <w:tc>
          <w:tcPr>
            <w:tcW w:w="3985" w:type="dxa"/>
            <w:tcBorders>
              <w:bottom w:val="single" w:sz="4" w:space="0" w:color="auto"/>
            </w:tcBorders>
          </w:tcPr>
          <w:p w14:paraId="4879084A" w14:textId="77777777" w:rsidR="00214829" w:rsidRPr="00E25432" w:rsidRDefault="009B600A" w:rsidP="004369D8">
            <w:pPr>
              <w:tabs>
                <w:tab w:val="left" w:pos="567"/>
              </w:tabs>
              <w:rPr>
                <w:sz w:val="22"/>
                <w:szCs w:val="22"/>
              </w:rPr>
            </w:pPr>
            <w:r>
              <w:rPr>
                <w:sz w:val="22"/>
                <w:szCs w:val="22"/>
              </w:rPr>
              <w:t>Increased plasma concentrations of lomitapide</w:t>
            </w:r>
            <w:r w:rsidRPr="00214829">
              <w:rPr>
                <w:sz w:val="22"/>
                <w:szCs w:val="22"/>
              </w:rPr>
              <w:t xml:space="preserve"> (see section 4.5).</w:t>
            </w:r>
          </w:p>
        </w:tc>
      </w:tr>
      <w:tr w:rsidR="00580178" w:rsidRPr="007750BF" w14:paraId="32DA0E33" w14:textId="77777777" w:rsidTr="006E1FDC">
        <w:trPr>
          <w:cantSplit/>
        </w:trPr>
        <w:tc>
          <w:tcPr>
            <w:tcW w:w="2425" w:type="dxa"/>
            <w:vMerge w:val="restart"/>
            <w:tcBorders>
              <w:top w:val="single" w:sz="4" w:space="0" w:color="auto"/>
            </w:tcBorders>
          </w:tcPr>
          <w:p w14:paraId="3A3EE4D2" w14:textId="77777777" w:rsidR="00580178" w:rsidRDefault="00580178" w:rsidP="005F7244">
            <w:pPr>
              <w:keepNext/>
              <w:tabs>
                <w:tab w:val="left" w:pos="567"/>
              </w:tabs>
              <w:rPr>
                <w:sz w:val="22"/>
                <w:szCs w:val="22"/>
              </w:rPr>
            </w:pPr>
            <w:r>
              <w:rPr>
                <w:sz w:val="22"/>
                <w:szCs w:val="22"/>
              </w:rPr>
              <w:t>Phosphodiesterase (</w:t>
            </w:r>
            <w:r w:rsidRPr="00E25432">
              <w:rPr>
                <w:sz w:val="22"/>
                <w:szCs w:val="22"/>
              </w:rPr>
              <w:t>PDE5</w:t>
            </w:r>
            <w:r>
              <w:rPr>
                <w:sz w:val="22"/>
                <w:szCs w:val="22"/>
              </w:rPr>
              <w:t>)</w:t>
            </w:r>
            <w:r w:rsidRPr="00E25432">
              <w:rPr>
                <w:sz w:val="22"/>
                <w:szCs w:val="22"/>
              </w:rPr>
              <w:t xml:space="preserve"> inhibitors</w:t>
            </w:r>
          </w:p>
        </w:tc>
        <w:tc>
          <w:tcPr>
            <w:tcW w:w="3112" w:type="dxa"/>
            <w:tcBorders>
              <w:top w:val="single" w:sz="4" w:space="0" w:color="auto"/>
              <w:bottom w:val="single" w:sz="4" w:space="0" w:color="auto"/>
            </w:tcBorders>
          </w:tcPr>
          <w:p w14:paraId="19DD16C5" w14:textId="77777777" w:rsidR="00580178" w:rsidRPr="00E25432" w:rsidRDefault="00580178" w:rsidP="005F7244">
            <w:pPr>
              <w:keepNext/>
              <w:tabs>
                <w:tab w:val="left" w:pos="567"/>
              </w:tabs>
              <w:rPr>
                <w:sz w:val="22"/>
                <w:szCs w:val="22"/>
              </w:rPr>
            </w:pPr>
            <w:r>
              <w:rPr>
                <w:sz w:val="22"/>
                <w:szCs w:val="22"/>
              </w:rPr>
              <w:t>Avanafil</w:t>
            </w:r>
          </w:p>
        </w:tc>
        <w:tc>
          <w:tcPr>
            <w:tcW w:w="3985" w:type="dxa"/>
            <w:tcBorders>
              <w:top w:val="single" w:sz="4" w:space="0" w:color="auto"/>
              <w:bottom w:val="single" w:sz="4" w:space="0" w:color="auto"/>
            </w:tcBorders>
          </w:tcPr>
          <w:p w14:paraId="51BF4C2C" w14:textId="77777777" w:rsidR="00580178" w:rsidRPr="00E25432" w:rsidRDefault="00580178" w:rsidP="005F7244">
            <w:pPr>
              <w:keepNext/>
              <w:tabs>
                <w:tab w:val="left" w:pos="567"/>
              </w:tabs>
              <w:rPr>
                <w:sz w:val="22"/>
                <w:szCs w:val="22"/>
              </w:rPr>
            </w:pPr>
            <w:r>
              <w:rPr>
                <w:sz w:val="22"/>
                <w:szCs w:val="22"/>
              </w:rPr>
              <w:t>Increased plasma concentrations of avanafil (see sections 4.4 and 4.5)</w:t>
            </w:r>
          </w:p>
        </w:tc>
      </w:tr>
      <w:tr w:rsidR="00580178" w:rsidRPr="007750BF" w14:paraId="5257D7A8" w14:textId="77777777" w:rsidTr="006E1FDC">
        <w:trPr>
          <w:cantSplit/>
        </w:trPr>
        <w:tc>
          <w:tcPr>
            <w:tcW w:w="2425" w:type="dxa"/>
            <w:vMerge/>
          </w:tcPr>
          <w:p w14:paraId="725F88AD" w14:textId="77777777" w:rsidR="00580178" w:rsidRPr="00E25432" w:rsidRDefault="00580178" w:rsidP="00793515">
            <w:pPr>
              <w:keepNext/>
              <w:tabs>
                <w:tab w:val="left" w:pos="567"/>
              </w:tabs>
              <w:rPr>
                <w:sz w:val="22"/>
                <w:szCs w:val="22"/>
              </w:rPr>
            </w:pPr>
          </w:p>
        </w:tc>
        <w:tc>
          <w:tcPr>
            <w:tcW w:w="3112" w:type="dxa"/>
            <w:tcBorders>
              <w:top w:val="single" w:sz="4" w:space="0" w:color="auto"/>
              <w:bottom w:val="single" w:sz="4" w:space="0" w:color="auto"/>
            </w:tcBorders>
          </w:tcPr>
          <w:p w14:paraId="560B3FFE" w14:textId="77777777" w:rsidR="00580178" w:rsidRPr="00E25432" w:rsidRDefault="00580178" w:rsidP="00793515">
            <w:pPr>
              <w:keepNext/>
              <w:tabs>
                <w:tab w:val="left" w:pos="567"/>
              </w:tabs>
              <w:rPr>
                <w:sz w:val="22"/>
                <w:szCs w:val="22"/>
              </w:rPr>
            </w:pPr>
            <w:r w:rsidRPr="00E25432">
              <w:rPr>
                <w:sz w:val="22"/>
                <w:szCs w:val="22"/>
              </w:rPr>
              <w:t>Sildenafil</w:t>
            </w:r>
          </w:p>
          <w:p w14:paraId="08A2E9E3" w14:textId="77777777" w:rsidR="00580178" w:rsidRPr="00E25432" w:rsidRDefault="00580178" w:rsidP="00793515">
            <w:pPr>
              <w:keepNext/>
              <w:tabs>
                <w:tab w:val="left" w:pos="567"/>
              </w:tabs>
              <w:rPr>
                <w:sz w:val="22"/>
                <w:szCs w:val="22"/>
              </w:rPr>
            </w:pPr>
          </w:p>
        </w:tc>
        <w:tc>
          <w:tcPr>
            <w:tcW w:w="3985" w:type="dxa"/>
            <w:tcBorders>
              <w:top w:val="single" w:sz="4" w:space="0" w:color="auto"/>
              <w:bottom w:val="single" w:sz="4" w:space="0" w:color="auto"/>
            </w:tcBorders>
          </w:tcPr>
          <w:p w14:paraId="6CF3718B" w14:textId="77777777" w:rsidR="00580178" w:rsidRPr="00E25432" w:rsidRDefault="00580178" w:rsidP="00793515">
            <w:pPr>
              <w:keepNext/>
              <w:tabs>
                <w:tab w:val="left" w:pos="567"/>
              </w:tabs>
              <w:rPr>
                <w:sz w:val="22"/>
                <w:szCs w:val="22"/>
              </w:rPr>
            </w:pPr>
            <w:r w:rsidRPr="00E25432">
              <w:rPr>
                <w:sz w:val="22"/>
                <w:szCs w:val="22"/>
              </w:rPr>
              <w:t>Contraindicated when used for the treatment of pulmonary arterial hypertension (PAH) only.  Increased plasma concentrations of sildenafil.  Thereby, increasing the potential for sildenafil-associated adverse events (which include hypotension and syncope).  See section 4.4 and section 4.5 for co</w:t>
            </w:r>
            <w:r>
              <w:rPr>
                <w:sz w:val="22"/>
                <w:szCs w:val="22"/>
              </w:rPr>
              <w:noBreakHyphen/>
            </w:r>
            <w:r w:rsidRPr="00E25432">
              <w:rPr>
                <w:sz w:val="22"/>
                <w:szCs w:val="22"/>
              </w:rPr>
              <w:t>administration of sildenafil in patients with erectile dysfunction.</w:t>
            </w:r>
          </w:p>
        </w:tc>
      </w:tr>
      <w:tr w:rsidR="00580178" w:rsidRPr="007750BF" w14:paraId="18DE2B98" w14:textId="77777777" w:rsidTr="006E1FDC">
        <w:trPr>
          <w:cantSplit/>
        </w:trPr>
        <w:tc>
          <w:tcPr>
            <w:tcW w:w="2425" w:type="dxa"/>
            <w:vMerge/>
            <w:tcBorders>
              <w:bottom w:val="single" w:sz="4" w:space="0" w:color="auto"/>
            </w:tcBorders>
          </w:tcPr>
          <w:p w14:paraId="0EF9331B" w14:textId="77777777" w:rsidR="00580178" w:rsidRPr="00E25432" w:rsidRDefault="00580178" w:rsidP="003C2268">
            <w:pPr>
              <w:tabs>
                <w:tab w:val="left" w:pos="567"/>
              </w:tabs>
              <w:rPr>
                <w:sz w:val="22"/>
                <w:szCs w:val="22"/>
                <w:highlight w:val="yellow"/>
              </w:rPr>
            </w:pPr>
          </w:p>
        </w:tc>
        <w:tc>
          <w:tcPr>
            <w:tcW w:w="3112" w:type="dxa"/>
            <w:tcBorders>
              <w:top w:val="single" w:sz="4" w:space="0" w:color="auto"/>
              <w:bottom w:val="single" w:sz="4" w:space="0" w:color="auto"/>
            </w:tcBorders>
          </w:tcPr>
          <w:p w14:paraId="092A5BF1" w14:textId="77777777" w:rsidR="00580178" w:rsidRPr="00E25432" w:rsidRDefault="00580178" w:rsidP="003C2268">
            <w:pPr>
              <w:tabs>
                <w:tab w:val="left" w:pos="567"/>
              </w:tabs>
              <w:rPr>
                <w:sz w:val="22"/>
                <w:szCs w:val="22"/>
              </w:rPr>
            </w:pPr>
            <w:r w:rsidRPr="00E25432">
              <w:rPr>
                <w:sz w:val="22"/>
                <w:szCs w:val="22"/>
              </w:rPr>
              <w:t>Vardenafil</w:t>
            </w:r>
          </w:p>
        </w:tc>
        <w:tc>
          <w:tcPr>
            <w:tcW w:w="3985" w:type="dxa"/>
            <w:tcBorders>
              <w:top w:val="single" w:sz="4" w:space="0" w:color="auto"/>
              <w:bottom w:val="single" w:sz="4" w:space="0" w:color="auto"/>
            </w:tcBorders>
          </w:tcPr>
          <w:p w14:paraId="3915EAD1" w14:textId="77777777" w:rsidR="00580178" w:rsidRPr="00E25432" w:rsidRDefault="00580178" w:rsidP="003C2268">
            <w:pPr>
              <w:tabs>
                <w:tab w:val="left" w:pos="567"/>
              </w:tabs>
              <w:rPr>
                <w:sz w:val="22"/>
                <w:szCs w:val="22"/>
              </w:rPr>
            </w:pPr>
            <w:r w:rsidRPr="00E25432">
              <w:rPr>
                <w:sz w:val="22"/>
                <w:szCs w:val="22"/>
              </w:rPr>
              <w:t>Increased plasma concentrations of vardenafil (see section</w:t>
            </w:r>
            <w:r>
              <w:rPr>
                <w:sz w:val="22"/>
                <w:szCs w:val="22"/>
              </w:rPr>
              <w:t>s</w:t>
            </w:r>
            <w:r w:rsidRPr="00E25432">
              <w:rPr>
                <w:sz w:val="22"/>
                <w:szCs w:val="22"/>
              </w:rPr>
              <w:t xml:space="preserve"> 4.4 and 4.5)</w:t>
            </w:r>
          </w:p>
        </w:tc>
      </w:tr>
      <w:tr w:rsidR="00580178" w:rsidRPr="007750BF" w14:paraId="384AAF52" w14:textId="77777777" w:rsidTr="006E1FDC">
        <w:trPr>
          <w:cantSplit/>
        </w:trPr>
        <w:tc>
          <w:tcPr>
            <w:tcW w:w="2425" w:type="dxa"/>
            <w:tcBorders>
              <w:top w:val="single" w:sz="4" w:space="0" w:color="auto"/>
              <w:bottom w:val="single" w:sz="4" w:space="0" w:color="auto"/>
            </w:tcBorders>
          </w:tcPr>
          <w:p w14:paraId="1E3B2DA1" w14:textId="77777777" w:rsidR="00580178" w:rsidRPr="00E25432" w:rsidRDefault="00580178" w:rsidP="003C2268">
            <w:pPr>
              <w:tabs>
                <w:tab w:val="left" w:pos="567"/>
              </w:tabs>
              <w:rPr>
                <w:sz w:val="22"/>
                <w:szCs w:val="22"/>
              </w:rPr>
            </w:pPr>
            <w:r w:rsidRPr="00E25432">
              <w:rPr>
                <w:sz w:val="22"/>
                <w:szCs w:val="22"/>
              </w:rPr>
              <w:t>Sedatives/hypnotics</w:t>
            </w:r>
          </w:p>
        </w:tc>
        <w:tc>
          <w:tcPr>
            <w:tcW w:w="3112" w:type="dxa"/>
            <w:tcBorders>
              <w:top w:val="single" w:sz="4" w:space="0" w:color="auto"/>
              <w:bottom w:val="single" w:sz="4" w:space="0" w:color="auto"/>
            </w:tcBorders>
          </w:tcPr>
          <w:p w14:paraId="5F5230EF" w14:textId="77777777" w:rsidR="00580178" w:rsidRPr="00E25432" w:rsidRDefault="00580178" w:rsidP="003C2268">
            <w:pPr>
              <w:tabs>
                <w:tab w:val="left" w:pos="567"/>
              </w:tabs>
              <w:rPr>
                <w:sz w:val="22"/>
                <w:szCs w:val="22"/>
              </w:rPr>
            </w:pPr>
            <w:r w:rsidRPr="00E25432">
              <w:rPr>
                <w:sz w:val="22"/>
                <w:szCs w:val="22"/>
              </w:rPr>
              <w:t>Oral midazolam, triazolam</w:t>
            </w:r>
          </w:p>
        </w:tc>
        <w:tc>
          <w:tcPr>
            <w:tcW w:w="3985" w:type="dxa"/>
            <w:tcBorders>
              <w:top w:val="single" w:sz="4" w:space="0" w:color="auto"/>
              <w:bottom w:val="single" w:sz="4" w:space="0" w:color="auto"/>
            </w:tcBorders>
          </w:tcPr>
          <w:p w14:paraId="6F2C2A8C" w14:textId="77777777" w:rsidR="00580178" w:rsidRPr="00E25432" w:rsidRDefault="00580178" w:rsidP="003C2268">
            <w:pPr>
              <w:tabs>
                <w:tab w:val="left" w:pos="567"/>
              </w:tabs>
              <w:rPr>
                <w:sz w:val="22"/>
                <w:szCs w:val="22"/>
              </w:rPr>
            </w:pPr>
            <w:r w:rsidRPr="00E25432">
              <w:rPr>
                <w:sz w:val="22"/>
                <w:szCs w:val="22"/>
              </w:rPr>
              <w:t xml:space="preserve">Increased plasma concentrations of oral midazolam and triazolam.  Thereby, increasing the risk of extreme sedation and respiratory depression from these agents.  </w:t>
            </w:r>
          </w:p>
          <w:p w14:paraId="0C692204" w14:textId="77777777" w:rsidR="00580178" w:rsidRPr="00E25432" w:rsidRDefault="00580178" w:rsidP="003C2268">
            <w:pPr>
              <w:tabs>
                <w:tab w:val="left" w:pos="567"/>
              </w:tabs>
              <w:rPr>
                <w:sz w:val="22"/>
                <w:szCs w:val="22"/>
              </w:rPr>
            </w:pPr>
            <w:r w:rsidRPr="00E25432">
              <w:rPr>
                <w:sz w:val="22"/>
                <w:szCs w:val="22"/>
              </w:rPr>
              <w:t>For caution on parenterally administered midazolam, see section 4.5.</w:t>
            </w:r>
          </w:p>
        </w:tc>
      </w:tr>
      <w:tr w:rsidR="00580178" w:rsidRPr="007750BF" w14:paraId="160FA780" w14:textId="77777777" w:rsidTr="002610DE">
        <w:trPr>
          <w:cantSplit/>
        </w:trPr>
        <w:tc>
          <w:tcPr>
            <w:tcW w:w="9522" w:type="dxa"/>
            <w:gridSpan w:val="3"/>
            <w:tcBorders>
              <w:top w:val="single" w:sz="4" w:space="0" w:color="auto"/>
              <w:bottom w:val="single" w:sz="4" w:space="0" w:color="auto"/>
            </w:tcBorders>
          </w:tcPr>
          <w:p w14:paraId="2434BBA6" w14:textId="77777777" w:rsidR="00580178" w:rsidRPr="00E25432" w:rsidRDefault="00580178" w:rsidP="003C2268">
            <w:pPr>
              <w:tabs>
                <w:tab w:val="left" w:pos="567"/>
              </w:tabs>
              <w:spacing w:before="120" w:after="120"/>
              <w:rPr>
                <w:b/>
                <w:bCs/>
                <w:sz w:val="22"/>
                <w:szCs w:val="22"/>
              </w:rPr>
            </w:pPr>
            <w:r>
              <w:rPr>
                <w:b/>
                <w:bCs/>
                <w:sz w:val="22"/>
                <w:szCs w:val="22"/>
              </w:rPr>
              <w:t>Lopinavir/r</w:t>
            </w:r>
            <w:r w:rsidRPr="00E25432">
              <w:rPr>
                <w:b/>
                <w:bCs/>
                <w:sz w:val="22"/>
                <w:szCs w:val="22"/>
              </w:rPr>
              <w:t>itonavir medicinal product level decreased</w:t>
            </w:r>
          </w:p>
        </w:tc>
      </w:tr>
      <w:tr w:rsidR="00580178" w:rsidRPr="007750BF" w14:paraId="0D7BA6A9" w14:textId="77777777" w:rsidTr="006E1FDC">
        <w:trPr>
          <w:cantSplit/>
        </w:trPr>
        <w:tc>
          <w:tcPr>
            <w:tcW w:w="2425" w:type="dxa"/>
            <w:tcBorders>
              <w:top w:val="single" w:sz="4" w:space="0" w:color="auto"/>
              <w:bottom w:val="single" w:sz="4" w:space="0" w:color="auto"/>
            </w:tcBorders>
          </w:tcPr>
          <w:p w14:paraId="719984F5" w14:textId="77777777" w:rsidR="00580178" w:rsidRPr="00E25432" w:rsidRDefault="00580178" w:rsidP="003C2268">
            <w:pPr>
              <w:tabs>
                <w:tab w:val="left" w:pos="567"/>
              </w:tabs>
              <w:rPr>
                <w:sz w:val="22"/>
                <w:szCs w:val="22"/>
              </w:rPr>
            </w:pPr>
            <w:r w:rsidRPr="00E25432">
              <w:rPr>
                <w:sz w:val="22"/>
                <w:szCs w:val="22"/>
              </w:rPr>
              <w:t xml:space="preserve">Herbal </w:t>
            </w:r>
            <w:r>
              <w:rPr>
                <w:sz w:val="22"/>
                <w:szCs w:val="22"/>
              </w:rPr>
              <w:t>products</w:t>
            </w:r>
          </w:p>
        </w:tc>
        <w:tc>
          <w:tcPr>
            <w:tcW w:w="3112" w:type="dxa"/>
            <w:tcBorders>
              <w:top w:val="single" w:sz="4" w:space="0" w:color="auto"/>
              <w:bottom w:val="single" w:sz="4" w:space="0" w:color="auto"/>
            </w:tcBorders>
          </w:tcPr>
          <w:p w14:paraId="298E9255" w14:textId="77777777" w:rsidR="00580178" w:rsidRPr="00E25432" w:rsidRDefault="00580178" w:rsidP="003C2268">
            <w:pPr>
              <w:tabs>
                <w:tab w:val="left" w:pos="567"/>
              </w:tabs>
              <w:rPr>
                <w:sz w:val="22"/>
                <w:szCs w:val="22"/>
              </w:rPr>
            </w:pPr>
            <w:smartTag w:uri="urn:schemas-microsoft-com:office:smarttags" w:element="City">
              <w:smartTag w:uri="urn:schemas-microsoft-com:office:smarttags" w:element="place">
                <w:r w:rsidRPr="00E25432">
                  <w:rPr>
                    <w:sz w:val="22"/>
                    <w:szCs w:val="22"/>
                  </w:rPr>
                  <w:t>St. John’s</w:t>
                </w:r>
              </w:smartTag>
            </w:smartTag>
            <w:r>
              <w:rPr>
                <w:sz w:val="22"/>
                <w:szCs w:val="22"/>
              </w:rPr>
              <w:t xml:space="preserve"> w</w:t>
            </w:r>
            <w:r w:rsidRPr="00E25432">
              <w:rPr>
                <w:sz w:val="22"/>
                <w:szCs w:val="22"/>
              </w:rPr>
              <w:t>ort</w:t>
            </w:r>
          </w:p>
        </w:tc>
        <w:tc>
          <w:tcPr>
            <w:tcW w:w="3985" w:type="dxa"/>
            <w:tcBorders>
              <w:top w:val="single" w:sz="4" w:space="0" w:color="auto"/>
              <w:bottom w:val="single" w:sz="4" w:space="0" w:color="auto"/>
            </w:tcBorders>
          </w:tcPr>
          <w:p w14:paraId="5D908CEF" w14:textId="77777777" w:rsidR="00580178" w:rsidRPr="00E25432" w:rsidRDefault="00580178" w:rsidP="003C2268">
            <w:pPr>
              <w:tabs>
                <w:tab w:val="left" w:pos="567"/>
              </w:tabs>
              <w:rPr>
                <w:sz w:val="22"/>
                <w:szCs w:val="22"/>
              </w:rPr>
            </w:pPr>
            <w:r w:rsidRPr="00E25432">
              <w:rPr>
                <w:sz w:val="22"/>
                <w:szCs w:val="22"/>
              </w:rPr>
              <w:t xml:space="preserve">Herbal preparations containing </w:t>
            </w:r>
            <w:smartTag w:uri="urn:schemas-microsoft-com:office:smarttags" w:element="City">
              <w:smartTag w:uri="urn:schemas-microsoft-com:office:smarttags" w:element="place">
                <w:r w:rsidRPr="00E25432">
                  <w:rPr>
                    <w:sz w:val="22"/>
                    <w:szCs w:val="22"/>
                  </w:rPr>
                  <w:t>St John’s</w:t>
                </w:r>
              </w:smartTag>
            </w:smartTag>
            <w:r w:rsidRPr="00E25432">
              <w:rPr>
                <w:sz w:val="22"/>
                <w:szCs w:val="22"/>
              </w:rPr>
              <w:t xml:space="preserve"> wort (</w:t>
            </w:r>
            <w:r w:rsidRPr="00E25432">
              <w:rPr>
                <w:i/>
                <w:sz w:val="22"/>
                <w:szCs w:val="22"/>
              </w:rPr>
              <w:t>Hypericum perforatum)</w:t>
            </w:r>
            <w:r w:rsidRPr="00E25432">
              <w:rPr>
                <w:sz w:val="22"/>
                <w:szCs w:val="22"/>
              </w:rPr>
              <w:t xml:space="preserve"> due to the risk of decreased plasma concentrations and reduced clinical effects of lopinavir and ritonavir (see section 4.5).</w:t>
            </w:r>
          </w:p>
        </w:tc>
      </w:tr>
    </w:tbl>
    <w:p w14:paraId="5BB56235" w14:textId="77777777" w:rsidR="00867DE1" w:rsidRDefault="00867DE1" w:rsidP="00867DE1">
      <w:pPr>
        <w:pStyle w:val="EMEAHeading2SPC"/>
        <w:spacing w:beforeLines="0" w:before="0" w:afterLines="0" w:after="0"/>
        <w:rPr>
          <w:rFonts w:ascii="Times New Roman" w:hAnsi="Times New Roman"/>
          <w:lang w:val="en-GB"/>
        </w:rPr>
      </w:pPr>
    </w:p>
    <w:p w14:paraId="588569AA" w14:textId="77777777" w:rsidR="00D7303D" w:rsidRDefault="00266A4D" w:rsidP="00867DE1">
      <w:pPr>
        <w:pStyle w:val="EMEAHeading2SPC"/>
        <w:spacing w:beforeLines="0" w:before="0" w:afterLines="0" w:after="0"/>
        <w:rPr>
          <w:rFonts w:ascii="Times New Roman" w:hAnsi="Times New Roman"/>
          <w:lang w:val="en-GB"/>
        </w:rPr>
      </w:pPr>
      <w:r>
        <w:rPr>
          <w:rFonts w:ascii="Times New Roman" w:hAnsi="Times New Roman"/>
          <w:lang w:val="en-GB"/>
        </w:rPr>
        <w:t>4.4</w:t>
      </w:r>
      <w:r w:rsidR="00D7303D" w:rsidRPr="00342F7C">
        <w:rPr>
          <w:rFonts w:ascii="Times New Roman" w:hAnsi="Times New Roman"/>
          <w:lang w:val="en-GB"/>
        </w:rPr>
        <w:tab/>
        <w:t xml:space="preserve">Special warnings and precautions for use </w:t>
      </w:r>
    </w:p>
    <w:p w14:paraId="11337381" w14:textId="77777777" w:rsidR="006D4377" w:rsidRPr="00867DE1" w:rsidRDefault="006D4377" w:rsidP="00867DE1">
      <w:pPr>
        <w:pStyle w:val="EMEANormal"/>
        <w:rPr>
          <w:lang w:val="en-GB"/>
        </w:rPr>
      </w:pPr>
    </w:p>
    <w:p w14:paraId="7DE2E00B" w14:textId="77777777" w:rsidR="00D7303D" w:rsidRPr="0017061C" w:rsidRDefault="00D7303D" w:rsidP="00867DE1">
      <w:pPr>
        <w:pStyle w:val="EMEAHeadingUI"/>
        <w:spacing w:beforeLines="0" w:before="0" w:afterLines="0" w:after="0"/>
        <w:rPr>
          <w:u w:val="none"/>
          <w:lang w:val="en-GB"/>
        </w:rPr>
      </w:pPr>
      <w:r w:rsidRPr="0017061C">
        <w:rPr>
          <w:u w:val="none"/>
          <w:lang w:val="en-GB"/>
        </w:rPr>
        <w:t>Patients with coexisting conditions</w:t>
      </w:r>
    </w:p>
    <w:p w14:paraId="03BA1171" w14:textId="77777777" w:rsidR="00867DE1" w:rsidRPr="00867DE1" w:rsidRDefault="00867DE1" w:rsidP="00867DE1">
      <w:pPr>
        <w:pStyle w:val="EMEANormal"/>
        <w:rPr>
          <w:lang w:val="en-GB"/>
        </w:rPr>
      </w:pPr>
    </w:p>
    <w:p w14:paraId="143BD0E1" w14:textId="77777777" w:rsidR="00C4194B" w:rsidRPr="0017061C" w:rsidRDefault="00D7303D">
      <w:pPr>
        <w:pStyle w:val="EMEANormal"/>
        <w:rPr>
          <w:bCs/>
          <w:iCs/>
          <w:u w:val="single"/>
          <w:lang w:val="en-GB"/>
        </w:rPr>
      </w:pPr>
      <w:r w:rsidRPr="0017061C">
        <w:rPr>
          <w:bCs/>
          <w:iCs/>
          <w:u w:val="single"/>
          <w:lang w:val="en-GB"/>
        </w:rPr>
        <w:t>Hepatic impairment</w:t>
      </w:r>
    </w:p>
    <w:p w14:paraId="55C8FD63" w14:textId="77777777" w:rsidR="00D7303D" w:rsidRPr="00342F7C" w:rsidRDefault="00C4194B">
      <w:pPr>
        <w:pStyle w:val="EMEANormal"/>
        <w:rPr>
          <w:bCs/>
          <w:lang w:val="en-GB"/>
        </w:rPr>
      </w:pPr>
      <w:r>
        <w:rPr>
          <w:bCs/>
          <w:lang w:val="en-GB"/>
        </w:rPr>
        <w:t>T</w:t>
      </w:r>
      <w:r w:rsidR="00D7303D" w:rsidRPr="00342F7C">
        <w:rPr>
          <w:bCs/>
          <w:lang w:val="en-GB"/>
        </w:rPr>
        <w:t>he safety and efficacy of Kaletra has not been established in patients with significant underlying liver disorders.  Kaletra is contraindicated in patients with severe liver impairment (see section 4.3).  Patients with chronic hepatitis B or C and treated with combination antiretroviral therapy are at an increased risk for severe and potentially fatal hepatic adverse reactions.  In case of concomitant antiviral therapy for hepatitis B or C, please refer to the relevant product information for these medicinal products.</w:t>
      </w:r>
    </w:p>
    <w:p w14:paraId="1AAD9AE8" w14:textId="77777777" w:rsidR="00D7303D" w:rsidRPr="00342F7C" w:rsidRDefault="00D7303D">
      <w:pPr>
        <w:pStyle w:val="EMEANormal"/>
        <w:rPr>
          <w:lang w:val="en-GB"/>
        </w:rPr>
      </w:pPr>
    </w:p>
    <w:p w14:paraId="111C64E4" w14:textId="77777777" w:rsidR="00D7303D" w:rsidRPr="00342F7C" w:rsidRDefault="00D7303D" w:rsidP="00BD7D49">
      <w:pPr>
        <w:pStyle w:val="EMEANormal"/>
        <w:rPr>
          <w:lang w:val="en-GB"/>
        </w:rPr>
      </w:pPr>
      <w:r w:rsidRPr="00342F7C">
        <w:rPr>
          <w:lang w:val="en-GB"/>
        </w:rPr>
        <w:t xml:space="preserve">Patients with pre-existing liver dysfunction including chronic hepatitis have an increased frequency of liver function abnormalities during combination antiretroviral therapy and should be monitored according to standard practice.  If there is evidence of worsening liver disease in such patients, interruption or discontinuation of treatment should be considered. </w:t>
      </w:r>
    </w:p>
    <w:p w14:paraId="0957318F" w14:textId="77777777" w:rsidR="00D7303D" w:rsidRPr="00342F7C" w:rsidRDefault="00D7303D" w:rsidP="00BD7D49">
      <w:pPr>
        <w:pStyle w:val="EMEANormal"/>
        <w:rPr>
          <w:lang w:val="en-GB"/>
        </w:rPr>
      </w:pPr>
    </w:p>
    <w:p w14:paraId="7114ED4C" w14:textId="77777777" w:rsidR="00D7303D" w:rsidRPr="00342F7C" w:rsidRDefault="00D7303D" w:rsidP="00BD7D49">
      <w:pPr>
        <w:pStyle w:val="EMEANormal"/>
        <w:rPr>
          <w:lang w:val="en-GB"/>
        </w:rPr>
      </w:pPr>
      <w:r w:rsidRPr="00342F7C">
        <w:rPr>
          <w:lang w:val="en-GB"/>
        </w:rPr>
        <w:t>Elevated transaminases with or without elevated bilirubin levels have been reported in HIV-1 mono</w:t>
      </w:r>
      <w:r w:rsidRPr="00342F7C">
        <w:rPr>
          <w:lang w:val="en-GB"/>
        </w:rPr>
        <w:noBreakHyphen/>
        <w:t>infected and in individuals treated for post-exposure prophylaxis as early as 7 days after the initiation of lopinavir/ritonavir in conjunction with other antiretroviral agents.  In some cases the hepatic dysfunction was serious.</w:t>
      </w:r>
    </w:p>
    <w:p w14:paraId="4AE07F36" w14:textId="77777777" w:rsidR="00D7303D" w:rsidRPr="00342F7C" w:rsidRDefault="00D7303D" w:rsidP="00BD7D49">
      <w:pPr>
        <w:pStyle w:val="EMEANormal"/>
        <w:rPr>
          <w:lang w:val="en-GB"/>
        </w:rPr>
      </w:pPr>
    </w:p>
    <w:p w14:paraId="217D052C" w14:textId="77777777" w:rsidR="00D7303D" w:rsidRPr="00342F7C" w:rsidRDefault="00D7303D" w:rsidP="00BD7D49">
      <w:pPr>
        <w:pStyle w:val="EMEANormal"/>
        <w:rPr>
          <w:lang w:val="en-GB"/>
        </w:rPr>
      </w:pPr>
      <w:r w:rsidRPr="00342F7C">
        <w:rPr>
          <w:lang w:val="en-GB"/>
        </w:rPr>
        <w:t>Appropriate laboratory testing should be conducted prior to initiating therapy with lopinavir/ritonavir and close monitoring should be performed during treatment.</w:t>
      </w:r>
    </w:p>
    <w:p w14:paraId="543C388F" w14:textId="77777777" w:rsidR="00D7303D" w:rsidRPr="00342F7C" w:rsidRDefault="00D7303D">
      <w:pPr>
        <w:pStyle w:val="EMEANormal"/>
        <w:rPr>
          <w:lang w:val="en-GB"/>
        </w:rPr>
      </w:pPr>
    </w:p>
    <w:p w14:paraId="25529C0B" w14:textId="77777777" w:rsidR="00C4194B" w:rsidRDefault="00D7303D" w:rsidP="003C1BB0">
      <w:pPr>
        <w:pStyle w:val="EMEANormal"/>
        <w:keepNext/>
        <w:rPr>
          <w:lang w:val="en-GB"/>
        </w:rPr>
      </w:pPr>
      <w:r w:rsidRPr="0017061C">
        <w:rPr>
          <w:iCs/>
          <w:u w:val="single"/>
          <w:lang w:val="en-GB"/>
        </w:rPr>
        <w:t>Renal impairment</w:t>
      </w:r>
    </w:p>
    <w:p w14:paraId="6D392085" w14:textId="77777777" w:rsidR="00D7303D" w:rsidRPr="00342F7C" w:rsidRDefault="00C4194B" w:rsidP="003C1BB0">
      <w:pPr>
        <w:pStyle w:val="EMEANormal"/>
        <w:keepNext/>
        <w:rPr>
          <w:lang w:val="en-GB"/>
        </w:rPr>
      </w:pPr>
      <w:r>
        <w:rPr>
          <w:lang w:val="en-GB"/>
        </w:rPr>
        <w:t>S</w:t>
      </w:r>
      <w:r w:rsidR="00D7303D" w:rsidRPr="00342F7C">
        <w:rPr>
          <w:lang w:val="en-GB"/>
        </w:rPr>
        <w:t>ince the renal clearance of lopinavir and ritonavir is negligible, increased plasma concentrations are not expected in patients with renal impairment.  Because lopinavir and ritonavir are highly protein bound, it is unlikely that they will be significantly removed by haemodialysis or peritoneal dialysis.</w:t>
      </w:r>
    </w:p>
    <w:p w14:paraId="43A175F1" w14:textId="77777777" w:rsidR="00D7303D" w:rsidRPr="00342F7C" w:rsidRDefault="00D7303D">
      <w:pPr>
        <w:pStyle w:val="EMEANormal"/>
        <w:rPr>
          <w:lang w:val="en-GB"/>
        </w:rPr>
      </w:pPr>
    </w:p>
    <w:p w14:paraId="2436807C" w14:textId="77777777" w:rsidR="00C4194B" w:rsidRPr="0017061C" w:rsidRDefault="00D7303D">
      <w:pPr>
        <w:pStyle w:val="EMEANormal"/>
        <w:rPr>
          <w:iCs/>
          <w:u w:val="single"/>
          <w:lang w:val="en-GB"/>
        </w:rPr>
      </w:pPr>
      <w:r w:rsidRPr="0017061C">
        <w:rPr>
          <w:iCs/>
          <w:u w:val="single"/>
          <w:lang w:val="en-GB"/>
        </w:rPr>
        <w:t>Haemophilia</w:t>
      </w:r>
    </w:p>
    <w:p w14:paraId="59EBD808" w14:textId="77777777" w:rsidR="00D7303D" w:rsidRDefault="00C4194B">
      <w:pPr>
        <w:pStyle w:val="EMEANormal"/>
        <w:rPr>
          <w:lang w:val="en-GB"/>
        </w:rPr>
      </w:pPr>
      <w:r>
        <w:rPr>
          <w:lang w:val="en-GB"/>
        </w:rPr>
        <w:t>T</w:t>
      </w:r>
      <w:r w:rsidR="00D7303D" w:rsidRPr="00342F7C">
        <w:rPr>
          <w:lang w:val="en-GB"/>
        </w:rPr>
        <w:t>here have been reports of increased bleeding, including spontaneous skin haematomas and haemarthrosis in patients with haemophilia type A and B treated with protease inhibitors.  In some patients additional factor VIII was given.  In more than half of the reported cases, treatment with protease inhibitors was continued or reintroduced if treatment had been discontinued.  A causal relationship had been evoked, although the mechanism of action had not been elucidated.  Haemophiliac patients should therefore be made aware of the possibility of increased bleeding.</w:t>
      </w:r>
    </w:p>
    <w:p w14:paraId="47CB9395" w14:textId="77777777" w:rsidR="00867DE1" w:rsidRPr="00342F7C" w:rsidRDefault="00867DE1">
      <w:pPr>
        <w:pStyle w:val="EMEANormal"/>
        <w:rPr>
          <w:lang w:val="en-GB"/>
        </w:rPr>
      </w:pPr>
    </w:p>
    <w:p w14:paraId="67E98B73" w14:textId="77777777" w:rsidR="00D7303D" w:rsidRPr="0017061C" w:rsidRDefault="00D7303D" w:rsidP="00EE0B89">
      <w:pPr>
        <w:pStyle w:val="EMEAHeadingUI"/>
        <w:spacing w:beforeLines="0" w:before="0" w:afterLines="0" w:after="0"/>
        <w:rPr>
          <w:i w:val="0"/>
          <w:lang w:val="en-GB"/>
        </w:rPr>
      </w:pPr>
      <w:r w:rsidRPr="0017061C">
        <w:rPr>
          <w:i w:val="0"/>
          <w:lang w:val="en-GB"/>
        </w:rPr>
        <w:t>Pancreatitis</w:t>
      </w:r>
    </w:p>
    <w:p w14:paraId="0597B032" w14:textId="77777777" w:rsidR="00D7303D" w:rsidRPr="00342F7C" w:rsidRDefault="00D7303D">
      <w:pPr>
        <w:pStyle w:val="EMEANormal"/>
        <w:rPr>
          <w:lang w:val="en-GB"/>
        </w:rPr>
      </w:pPr>
      <w:r w:rsidRPr="00342F7C">
        <w:rPr>
          <w:lang w:val="en-GB"/>
        </w:rPr>
        <w:t>Cases of pancreatitis have been reported in patients receiving Kaletra, including those who developed hypertriglyceridaemia.  In most of these cases patients have had a prior history of pancreatitis and/or concurrent therapy with other medicinal products associated with pancreatitis.  Marked triglyceride elevation is a risk factor for development of pancreatitis.  Patients with advanced HIV disease may be at risk of elevated triglycerides and pancreatitis</w:t>
      </w:r>
    </w:p>
    <w:p w14:paraId="274F137B" w14:textId="77777777" w:rsidR="00D7303D" w:rsidRPr="00342F7C" w:rsidRDefault="00D7303D">
      <w:pPr>
        <w:pStyle w:val="EMEANormal"/>
        <w:rPr>
          <w:lang w:val="en-GB"/>
        </w:rPr>
      </w:pPr>
    </w:p>
    <w:p w14:paraId="1FAB1AB2" w14:textId="77777777" w:rsidR="00D7303D" w:rsidRDefault="00D7303D">
      <w:pPr>
        <w:pStyle w:val="EMEANormal"/>
        <w:rPr>
          <w:lang w:val="en-GB"/>
        </w:rPr>
      </w:pPr>
      <w:r w:rsidRPr="00342F7C">
        <w:rPr>
          <w:lang w:val="en-GB"/>
        </w:rPr>
        <w:t xml:space="preserve">Pancreatitis should be considered if clinical symptoms (nausea, vomiting, abdominal pain) or abnormalities in laboratory values (such as increased serum lipase or amylase values) suggestive of pancreatitis should occur.  Patients who exhibit these signs or symptoms should be evaluated and Kaletra therapy should be suspended if a diagnosis of pancreatitis is made (see section 4.8). </w:t>
      </w:r>
    </w:p>
    <w:p w14:paraId="022BDD4F" w14:textId="77777777" w:rsidR="00EE0B89" w:rsidRPr="00342F7C" w:rsidRDefault="00EE0B89">
      <w:pPr>
        <w:pStyle w:val="EMEANormal"/>
        <w:rPr>
          <w:lang w:val="en-GB"/>
        </w:rPr>
      </w:pPr>
    </w:p>
    <w:p w14:paraId="67D5CD7A" w14:textId="77777777" w:rsidR="00D7303D" w:rsidRPr="0017061C" w:rsidRDefault="00D7303D" w:rsidP="00EE0B89">
      <w:pPr>
        <w:pStyle w:val="EMEAHeadingUI"/>
        <w:keepNext/>
        <w:spacing w:beforeLines="0" w:before="0" w:afterLines="0" w:after="0"/>
        <w:rPr>
          <w:i w:val="0"/>
          <w:lang w:val="en-GB"/>
        </w:rPr>
      </w:pPr>
      <w:r w:rsidRPr="0017061C">
        <w:rPr>
          <w:i w:val="0"/>
          <w:lang w:val="en-GB"/>
        </w:rPr>
        <w:t xml:space="preserve">Immune </w:t>
      </w:r>
      <w:r w:rsidR="00FC25FF">
        <w:rPr>
          <w:i w:val="0"/>
          <w:lang w:val="en-GB"/>
        </w:rPr>
        <w:t>R</w:t>
      </w:r>
      <w:r w:rsidR="00FC25FF" w:rsidRPr="00FC25FF">
        <w:rPr>
          <w:i w:val="0"/>
          <w:lang w:val="en-GB"/>
        </w:rPr>
        <w:t xml:space="preserve">econstitution </w:t>
      </w:r>
      <w:r w:rsidR="00FC25FF">
        <w:rPr>
          <w:i w:val="0"/>
          <w:lang w:val="en-GB"/>
        </w:rPr>
        <w:t>I</w:t>
      </w:r>
      <w:r w:rsidR="00FC25FF" w:rsidRPr="00FC25FF">
        <w:rPr>
          <w:i w:val="0"/>
          <w:lang w:val="en-GB"/>
        </w:rPr>
        <w:t>nflammatory</w:t>
      </w:r>
      <w:r w:rsidR="001546A9">
        <w:rPr>
          <w:i w:val="0"/>
          <w:lang w:val="en-GB"/>
        </w:rPr>
        <w:t xml:space="preserve"> </w:t>
      </w:r>
      <w:r w:rsidRPr="0017061C">
        <w:rPr>
          <w:i w:val="0"/>
          <w:lang w:val="en-GB"/>
        </w:rPr>
        <w:t>Syndrome</w:t>
      </w:r>
    </w:p>
    <w:p w14:paraId="1038C0DB" w14:textId="77777777" w:rsidR="00D7303D" w:rsidRDefault="00D7303D" w:rsidP="00EE0B89">
      <w:pPr>
        <w:pStyle w:val="EMEANormal"/>
        <w:keepNext/>
        <w:rPr>
          <w:lang w:val="en-GB"/>
        </w:rPr>
      </w:pPr>
      <w:r w:rsidRPr="00342F7C">
        <w:rPr>
          <w:lang w:val="en-GB"/>
        </w:rPr>
        <w:t xml:space="preserve">In HIV-infected patients with severe immune deficiency at the time of institution of combination antiretroviral therapy (CART), an inflammatory reaction to asymtomatic or residual opportunistic pathogens may arise and cause serious clinical conditions, or aggravation of symptoms.  Typically, such reactions have been observed within the first few weeks or months of initiation of CART.  Relevant examples are cytomegalovirus retinitis, generalised and/or focal mycobacterial infections, and </w:t>
      </w:r>
      <w:r w:rsidRPr="00342F7C">
        <w:rPr>
          <w:i/>
          <w:lang w:val="en-GB"/>
        </w:rPr>
        <w:t>Pneumocystis jiroveci pneumonia</w:t>
      </w:r>
      <w:r w:rsidRPr="00342F7C">
        <w:rPr>
          <w:lang w:val="en-GB"/>
        </w:rPr>
        <w:t>.  Any inflammatory symptoms should be evaluated and treatment instituted when necessary.</w:t>
      </w:r>
    </w:p>
    <w:p w14:paraId="6C4B3B84" w14:textId="77777777" w:rsidR="00D7303D" w:rsidRDefault="00D7303D">
      <w:pPr>
        <w:pStyle w:val="EMEANormal"/>
        <w:rPr>
          <w:lang w:val="en-GB"/>
        </w:rPr>
      </w:pPr>
    </w:p>
    <w:p w14:paraId="1D372C5E" w14:textId="77777777" w:rsidR="00D7303D" w:rsidRPr="0076580C" w:rsidRDefault="00D7303D">
      <w:pPr>
        <w:pStyle w:val="EMEANormal"/>
        <w:rPr>
          <w:lang w:val="en-GB"/>
        </w:rPr>
      </w:pPr>
      <w:r w:rsidRPr="00575ABB">
        <w:t>Autoimmune disorders (such as Graves’ disease</w:t>
      </w:r>
      <w:r w:rsidR="008168DF">
        <w:t xml:space="preserve"> </w:t>
      </w:r>
      <w:r w:rsidR="008168DF">
        <w:rPr>
          <w:lang w:val="en-GB"/>
        </w:rPr>
        <w:t>and autoimmune hepatitis</w:t>
      </w:r>
      <w:r w:rsidRPr="00575ABB">
        <w:t xml:space="preserve">) have also been reported to occur in the setting of immune </w:t>
      </w:r>
      <w:r w:rsidR="0076580C">
        <w:t>reconstitution</w:t>
      </w:r>
      <w:r w:rsidRPr="00575ABB">
        <w:t>; however, the reported time to onset is more variable and can occur many months after initiation of treatment.</w:t>
      </w:r>
    </w:p>
    <w:p w14:paraId="68ADDDE6" w14:textId="77777777" w:rsidR="00D7303D" w:rsidRPr="00342F7C" w:rsidRDefault="00D7303D">
      <w:pPr>
        <w:pStyle w:val="EMEANormal"/>
        <w:rPr>
          <w:lang w:val="en-GB"/>
        </w:rPr>
      </w:pPr>
    </w:p>
    <w:p w14:paraId="7126B2E5" w14:textId="77777777" w:rsidR="00D7303D" w:rsidRPr="000D1F0B" w:rsidRDefault="00D7303D" w:rsidP="00F62C9B">
      <w:pPr>
        <w:pStyle w:val="EMEANormal"/>
        <w:keepNext/>
        <w:keepLines/>
        <w:rPr>
          <w:lang w:val="en-GB"/>
        </w:rPr>
      </w:pPr>
      <w:r w:rsidRPr="0017061C">
        <w:rPr>
          <w:iCs/>
          <w:u w:val="single"/>
          <w:lang w:val="en-GB"/>
        </w:rPr>
        <w:t>Osteonecrosis</w:t>
      </w:r>
    </w:p>
    <w:p w14:paraId="74A9DC12" w14:textId="77777777" w:rsidR="00D7303D" w:rsidRDefault="00D7303D" w:rsidP="00F62C9B">
      <w:pPr>
        <w:pStyle w:val="EMEANormal"/>
        <w:keepNext/>
        <w:keepLines/>
        <w:rPr>
          <w:lang w:val="en-GB"/>
        </w:rPr>
      </w:pPr>
      <w:r w:rsidRPr="00342F7C">
        <w:rPr>
          <w:lang w:val="en-GB"/>
        </w:rPr>
        <w:t>Although the etiology is considered to be multifactorial (including corticosteroid use, alcohol consumption, severe immunosuppression, higher body mass index), cases of osteonecrosis have been reported particularly in patients with advanced HIV</w:t>
      </w:r>
      <w:r w:rsidRPr="00342F7C">
        <w:rPr>
          <w:lang w:val="en-GB"/>
        </w:rPr>
        <w:noBreakHyphen/>
        <w:t>disease and/or long</w:t>
      </w:r>
      <w:r w:rsidRPr="00342F7C">
        <w:rPr>
          <w:lang w:val="en-GB"/>
        </w:rPr>
        <w:noBreakHyphen/>
        <w:t>term exposure to combination antiretroviral therapy (CART).  Patients should be advised to seek medical advice if they experience joint aches and pain, joint stiffness or difficulty in movement.</w:t>
      </w:r>
    </w:p>
    <w:p w14:paraId="336C997F" w14:textId="77777777" w:rsidR="00EE0B89" w:rsidRPr="00342F7C" w:rsidRDefault="00EE0B89">
      <w:pPr>
        <w:pStyle w:val="EMEANormal"/>
        <w:rPr>
          <w:lang w:val="en-GB"/>
        </w:rPr>
      </w:pPr>
    </w:p>
    <w:p w14:paraId="684979D2" w14:textId="77777777" w:rsidR="00D7303D" w:rsidRPr="0017061C" w:rsidRDefault="00D7303D" w:rsidP="00EE0B89">
      <w:pPr>
        <w:pStyle w:val="EMEAHeadingUI"/>
        <w:spacing w:beforeLines="0" w:before="0" w:afterLines="0" w:after="0"/>
        <w:rPr>
          <w:i w:val="0"/>
          <w:lang w:val="en-GB"/>
        </w:rPr>
      </w:pPr>
      <w:r w:rsidRPr="0017061C">
        <w:rPr>
          <w:i w:val="0"/>
          <w:lang w:val="en-GB"/>
        </w:rPr>
        <w:t xml:space="preserve">PR interval prolongation </w:t>
      </w:r>
    </w:p>
    <w:p w14:paraId="65D36193" w14:textId="77777777" w:rsidR="00D7303D" w:rsidRDefault="00D7303D">
      <w:pPr>
        <w:pStyle w:val="EMEANormal"/>
        <w:rPr>
          <w:lang w:val="en-GB"/>
        </w:rPr>
      </w:pPr>
      <w:r w:rsidRPr="00342F7C">
        <w:rPr>
          <w:lang w:val="en-GB"/>
        </w:rPr>
        <w:t>Lopinavir/ritonavir has been shown to cause modest asymptomatic prolongation of the PR interval in some healthy adult subjects.  Rare reports of 2</w:t>
      </w:r>
      <w:r w:rsidRPr="00342F7C">
        <w:rPr>
          <w:vertAlign w:val="superscript"/>
          <w:lang w:val="en-GB"/>
        </w:rPr>
        <w:t>nd</w:t>
      </w:r>
      <w:r w:rsidRPr="00342F7C">
        <w:rPr>
          <w:lang w:val="en-GB"/>
        </w:rPr>
        <w:t xml:space="preserve"> or 3</w:t>
      </w:r>
      <w:r w:rsidRPr="00342F7C">
        <w:rPr>
          <w:vertAlign w:val="superscript"/>
          <w:lang w:val="en-GB"/>
        </w:rPr>
        <w:t>rd</w:t>
      </w:r>
      <w:r w:rsidRPr="00342F7C">
        <w:rPr>
          <w:lang w:val="en-GB"/>
        </w:rPr>
        <w:t xml:space="preserve"> degree atroventricular block in patients with underlying structural heart disease and pre-existing conduction system abnormalities or in patients receiving drugs known to prolong the PR interval (such as verapamil or atazanavir) have been reported in patients receiving lopinavir/ritonavir.  Kaletra should be used with caution in such patients (see section 5.1).</w:t>
      </w:r>
    </w:p>
    <w:p w14:paraId="79534101" w14:textId="77777777" w:rsidR="00CA7C65" w:rsidRDefault="00CA7C65">
      <w:pPr>
        <w:pStyle w:val="EMEANormal"/>
        <w:rPr>
          <w:lang w:val="en-GB"/>
        </w:rPr>
      </w:pPr>
    </w:p>
    <w:p w14:paraId="09F1C631" w14:textId="77777777" w:rsidR="00CA7C65" w:rsidRPr="00CA7C65" w:rsidRDefault="00CA7C65" w:rsidP="00CA7C65">
      <w:pPr>
        <w:pStyle w:val="EMEANormal"/>
        <w:rPr>
          <w:u w:val="single"/>
          <w:lang w:val="en-GB"/>
        </w:rPr>
      </w:pPr>
      <w:r w:rsidRPr="00CA7C65">
        <w:rPr>
          <w:u w:val="single"/>
          <w:lang w:val="en-GB"/>
        </w:rPr>
        <w:t>Weight and metabolic parameters</w:t>
      </w:r>
    </w:p>
    <w:p w14:paraId="1B4CFEF9" w14:textId="77777777" w:rsidR="00CA7C65" w:rsidRPr="00483C55" w:rsidRDefault="00CA7C65" w:rsidP="00CA7C65">
      <w:pPr>
        <w:pStyle w:val="EMEANormal"/>
        <w:rPr>
          <w:lang w:val="en-GB"/>
        </w:rPr>
      </w:pPr>
      <w:r>
        <w:rPr>
          <w:lang w:val="en-GB"/>
        </w:rPr>
        <w:t>An increase in weight and in levels of blood lipids and glucose may occur during antiretroviral therapy.  Such changes may in part be linked to disease control and life style.  For lipids, there is in some cases evidence for a treatment effect, while for weight gain there is no strong evidence relating this to any particular treatment.  For monitoring of blood lipids and glucose, reference is made to established HIV treatment guidelines.  Lipid disorders should be managed as clinically appropriate.</w:t>
      </w:r>
    </w:p>
    <w:p w14:paraId="73DE60A2" w14:textId="77777777" w:rsidR="00EE0B89" w:rsidRPr="00342F7C" w:rsidRDefault="00EE0B89">
      <w:pPr>
        <w:pStyle w:val="EMEANormal"/>
        <w:rPr>
          <w:lang w:val="en-GB"/>
        </w:rPr>
      </w:pPr>
    </w:p>
    <w:p w14:paraId="352E2050" w14:textId="77777777" w:rsidR="00D7303D" w:rsidRPr="0017061C" w:rsidRDefault="00D7303D" w:rsidP="00EE0B89">
      <w:pPr>
        <w:pStyle w:val="EMEAHeadingUI"/>
        <w:spacing w:beforeLines="0" w:before="0" w:afterLines="0" w:after="0"/>
        <w:rPr>
          <w:i w:val="0"/>
          <w:lang w:val="en-GB"/>
        </w:rPr>
      </w:pPr>
      <w:r w:rsidRPr="0017061C">
        <w:rPr>
          <w:i w:val="0"/>
          <w:lang w:val="en-GB"/>
        </w:rPr>
        <w:t>Interactions with medicinal products</w:t>
      </w:r>
    </w:p>
    <w:p w14:paraId="459A6179" w14:textId="77777777" w:rsidR="00D7303D" w:rsidRDefault="00D7303D">
      <w:pPr>
        <w:pStyle w:val="EMEANormal"/>
        <w:rPr>
          <w:lang w:val="en-GB"/>
        </w:rPr>
      </w:pPr>
      <w:r w:rsidRPr="00342F7C">
        <w:rPr>
          <w:lang w:val="en-GB"/>
        </w:rPr>
        <w:t>Kaletra contains lopinavir and ritonavir, both of which are inhibitors of the P450 isoform CYP3A.  Kaletra is likely to increase plasma concentrations of medicinal products that are primarily metabolised by CYP3A.  These increases of plasma concentrations of co-administered medicinal products could increase or prolong their therapeutic effect and adverse events (see sections 4.3 and 4.5).</w:t>
      </w:r>
    </w:p>
    <w:p w14:paraId="4E9A3294" w14:textId="77777777" w:rsidR="003B7630" w:rsidRDefault="003B7630">
      <w:pPr>
        <w:pStyle w:val="EMEANormal"/>
        <w:rPr>
          <w:lang w:val="en-GB"/>
        </w:rPr>
      </w:pPr>
    </w:p>
    <w:p w14:paraId="0C932685" w14:textId="77777777" w:rsidR="00617545" w:rsidRDefault="00C965C5" w:rsidP="00C965C5">
      <w:pPr>
        <w:pStyle w:val="EMEANormal"/>
        <w:rPr>
          <w:lang w:val="en-GB"/>
        </w:rPr>
      </w:pPr>
      <w:r>
        <w:rPr>
          <w:lang w:val="en-GB"/>
        </w:rPr>
        <w:t>Strong CYP3A4 inhibitors such as protease inhibitors may increase bedaquiline exposure which could potentially increase the risk of bedaquiline</w:t>
      </w:r>
      <w:r>
        <w:rPr>
          <w:lang w:val="en-GB"/>
        </w:rPr>
        <w:noBreakHyphen/>
        <w:t>related adverse reactions.  Therefore, combination of bedaquiline with lopinavir/ritonavir should be avoided.  However, if the benefit outweighs the risk, co</w:t>
      </w:r>
      <w:r>
        <w:rPr>
          <w:lang w:val="en-GB"/>
        </w:rPr>
        <w:noBreakHyphen/>
        <w:t>administration of bedaquiline with lopinavir/ritonavir</w:t>
      </w:r>
      <w:r w:rsidRPr="00C965C5">
        <w:rPr>
          <w:lang w:val="en-GB"/>
        </w:rPr>
        <w:t xml:space="preserve"> </w:t>
      </w:r>
      <w:r>
        <w:rPr>
          <w:lang w:val="en-GB"/>
        </w:rPr>
        <w:t>must be done with caution.  More frequent electrocardiogram monitoring and monitoring of transaminases is recommended (see section 4.5 and refer to the bedaquiline SmPC).</w:t>
      </w:r>
    </w:p>
    <w:p w14:paraId="04396C20" w14:textId="77777777" w:rsidR="00A6621D" w:rsidRPr="00342F7C" w:rsidRDefault="00A6621D" w:rsidP="00C965C5">
      <w:pPr>
        <w:pStyle w:val="EMEANormal"/>
        <w:rPr>
          <w:lang w:val="en-GB"/>
        </w:rPr>
      </w:pPr>
    </w:p>
    <w:p w14:paraId="29F5B6C2" w14:textId="77777777" w:rsidR="00D7303D" w:rsidRDefault="007F1AFC" w:rsidP="0071232B">
      <w:pPr>
        <w:pStyle w:val="EMEANormal"/>
        <w:rPr>
          <w:lang w:val="en-GB"/>
        </w:rPr>
      </w:pPr>
      <w:r>
        <w:rPr>
          <w:lang w:val="en-GB"/>
        </w:rPr>
        <w:t>Co</w:t>
      </w:r>
      <w:r>
        <w:rPr>
          <w:lang w:val="en-GB"/>
        </w:rPr>
        <w:noBreakHyphen/>
        <w:t>administration of delamanid with a strong inhibitor of CYP3A (</w:t>
      </w:r>
      <w:r w:rsidR="00983852" w:rsidRPr="0056654E">
        <w:rPr>
          <w:lang w:val="en-GB"/>
        </w:rPr>
        <w:t>as</w:t>
      </w:r>
      <w:r w:rsidR="00983852">
        <w:rPr>
          <w:lang w:val="en-GB"/>
        </w:rPr>
        <w:t xml:space="preserve"> </w:t>
      </w:r>
      <w:r>
        <w:rPr>
          <w:lang w:val="en-GB"/>
        </w:rPr>
        <w:t xml:space="preserve">lopinavir/ritonavir) may increase exposure to delamanid metabolite, which has been associated with QTc prolongation.  Therefore, if co-administration of delamanid with lopinavir/ritonavir is considered necessary, </w:t>
      </w:r>
      <w:r w:rsidR="00983852" w:rsidRPr="0056654E">
        <w:rPr>
          <w:lang w:val="en-GB"/>
        </w:rPr>
        <w:t>very</w:t>
      </w:r>
      <w:r w:rsidR="00983852">
        <w:rPr>
          <w:lang w:val="en-GB"/>
        </w:rPr>
        <w:t xml:space="preserve"> </w:t>
      </w:r>
      <w:r>
        <w:rPr>
          <w:lang w:val="en-GB"/>
        </w:rPr>
        <w:t>frequent ECG monitoring throughout the full delamanid treatment period is recommended (see section 4.5 and refer to the delamanid SmPC).</w:t>
      </w:r>
    </w:p>
    <w:p w14:paraId="5270ED9E" w14:textId="77777777" w:rsidR="007F1AFC" w:rsidRDefault="007F1AFC" w:rsidP="0071232B">
      <w:pPr>
        <w:pStyle w:val="EMEANormal"/>
        <w:rPr>
          <w:lang w:val="en-GB"/>
        </w:rPr>
      </w:pPr>
    </w:p>
    <w:p w14:paraId="5158A8A1" w14:textId="77777777" w:rsidR="00D7303D" w:rsidRDefault="002610DE" w:rsidP="00EE0B89">
      <w:pPr>
        <w:pStyle w:val="EMEANormal"/>
        <w:rPr>
          <w:lang w:val="en-GB"/>
        </w:rPr>
      </w:pPr>
      <w:r>
        <w:rPr>
          <w:lang w:val="en-GB"/>
        </w:rPr>
        <w:t xml:space="preserve">Life-threatening and fatal drug interactions have been reported in patients treated with colchicine and strong inhibitors of CYP3A like ritonavir.  </w:t>
      </w:r>
      <w:r w:rsidR="00D7303D" w:rsidRPr="00A95936">
        <w:rPr>
          <w:lang w:val="en-GB"/>
        </w:rPr>
        <w:t>Concomitant administration with colchicine</w:t>
      </w:r>
      <w:r w:rsidR="00451218">
        <w:rPr>
          <w:lang w:val="en-GB"/>
        </w:rPr>
        <w:t xml:space="preserve"> is contraindicated</w:t>
      </w:r>
      <w:r w:rsidR="00D7303D" w:rsidRPr="00A95936">
        <w:rPr>
          <w:lang w:val="en-GB"/>
        </w:rPr>
        <w:t xml:space="preserve"> in patients with renal </w:t>
      </w:r>
      <w:r w:rsidR="00B529BE">
        <w:rPr>
          <w:lang w:val="en-GB"/>
        </w:rPr>
        <w:t>and/</w:t>
      </w:r>
      <w:r w:rsidR="00D7303D" w:rsidRPr="00A95936">
        <w:rPr>
          <w:lang w:val="en-GB"/>
        </w:rPr>
        <w:t>or hepatic impairment (see section</w:t>
      </w:r>
      <w:r>
        <w:rPr>
          <w:lang w:val="en-GB"/>
        </w:rPr>
        <w:t>s 4.3 and</w:t>
      </w:r>
      <w:r w:rsidR="00D7303D" w:rsidRPr="00A95936">
        <w:rPr>
          <w:lang w:val="en-GB"/>
        </w:rPr>
        <w:t xml:space="preserve"> 4.5).</w:t>
      </w:r>
    </w:p>
    <w:p w14:paraId="514A0759" w14:textId="77777777" w:rsidR="00EE0B89" w:rsidRPr="00A95936" w:rsidRDefault="00EE0B89" w:rsidP="00EE0B89">
      <w:pPr>
        <w:pStyle w:val="EMEANormal"/>
        <w:rPr>
          <w:lang w:val="en-GB"/>
        </w:rPr>
      </w:pPr>
    </w:p>
    <w:p w14:paraId="2008B986" w14:textId="77777777" w:rsidR="00D7303D" w:rsidRPr="00A95936" w:rsidRDefault="00D7303D" w:rsidP="0071232B">
      <w:pPr>
        <w:pStyle w:val="EMEANormal"/>
        <w:rPr>
          <w:lang w:val="en-GB"/>
        </w:rPr>
      </w:pPr>
      <w:r w:rsidRPr="00A95936">
        <w:rPr>
          <w:lang w:val="en-GB"/>
        </w:rPr>
        <w:t xml:space="preserve">The combination of Kaletra with: </w:t>
      </w:r>
    </w:p>
    <w:p w14:paraId="09C21B81" w14:textId="77777777" w:rsidR="007574EF" w:rsidRDefault="00D7303D" w:rsidP="00063B4B">
      <w:pPr>
        <w:pStyle w:val="EMEANormal"/>
        <w:tabs>
          <w:tab w:val="clear" w:pos="562"/>
          <w:tab w:val="left" w:pos="567"/>
        </w:tabs>
        <w:ind w:left="567" w:hanging="567"/>
        <w:rPr>
          <w:lang w:val="en-GB"/>
        </w:rPr>
      </w:pPr>
      <w:r w:rsidRPr="00A95936">
        <w:rPr>
          <w:lang w:val="en-GB"/>
        </w:rPr>
        <w:t>-</w:t>
      </w:r>
      <w:r w:rsidRPr="00A95936">
        <w:rPr>
          <w:lang w:val="en-GB"/>
        </w:rPr>
        <w:tab/>
        <w:t>tadalafil, indicated for the treatment of pulmonary arterial hypertension, is not recommended (see section 4.5);</w:t>
      </w:r>
      <w:r w:rsidR="007574EF" w:rsidRPr="007574EF">
        <w:rPr>
          <w:lang w:val="en-GB"/>
        </w:rPr>
        <w:t xml:space="preserve"> </w:t>
      </w:r>
    </w:p>
    <w:p w14:paraId="76A5E4D3" w14:textId="77777777" w:rsidR="00D7303D" w:rsidRDefault="007574EF" w:rsidP="00063B4B">
      <w:pPr>
        <w:pStyle w:val="EMEANormal"/>
        <w:tabs>
          <w:tab w:val="clear" w:pos="562"/>
          <w:tab w:val="left" w:pos="567"/>
          <w:tab w:val="left" w:pos="600"/>
        </w:tabs>
        <w:ind w:left="567" w:hanging="567"/>
        <w:rPr>
          <w:lang w:val="en-GB"/>
        </w:rPr>
      </w:pPr>
      <w:r>
        <w:rPr>
          <w:lang w:val="en-GB"/>
        </w:rPr>
        <w:t>-</w:t>
      </w:r>
      <w:r>
        <w:rPr>
          <w:lang w:val="en-GB"/>
        </w:rPr>
        <w:tab/>
        <w:t>riociguat is not recommended (see section 4.5);</w:t>
      </w:r>
    </w:p>
    <w:p w14:paraId="55485EFF" w14:textId="77777777" w:rsidR="00F60FB1" w:rsidRDefault="00F60FB1" w:rsidP="00063B4B">
      <w:pPr>
        <w:pStyle w:val="EMEANormal"/>
        <w:tabs>
          <w:tab w:val="clear" w:pos="562"/>
          <w:tab w:val="left" w:pos="567"/>
          <w:tab w:val="left" w:pos="600"/>
        </w:tabs>
        <w:ind w:left="567" w:hanging="567"/>
        <w:rPr>
          <w:lang w:val="en-GB"/>
        </w:rPr>
      </w:pPr>
      <w:r>
        <w:rPr>
          <w:lang w:val="en-GB"/>
        </w:rPr>
        <w:t>-</w:t>
      </w:r>
      <w:r>
        <w:rPr>
          <w:lang w:val="en-GB"/>
        </w:rPr>
        <w:tab/>
        <w:t>vorapaxar is not recommended (see section 4.5);</w:t>
      </w:r>
    </w:p>
    <w:p w14:paraId="54714FA7" w14:textId="77777777" w:rsidR="00D7303D" w:rsidRPr="00A95936" w:rsidRDefault="00D7303D" w:rsidP="00063B4B">
      <w:pPr>
        <w:pStyle w:val="EMEANormal"/>
        <w:tabs>
          <w:tab w:val="clear" w:pos="562"/>
          <w:tab w:val="left" w:pos="567"/>
          <w:tab w:val="left" w:pos="600"/>
        </w:tabs>
        <w:ind w:left="567" w:hanging="567"/>
        <w:rPr>
          <w:lang w:val="en-GB"/>
        </w:rPr>
      </w:pPr>
      <w:r w:rsidRPr="00A95936">
        <w:rPr>
          <w:lang w:val="en-GB"/>
        </w:rPr>
        <w:t>-</w:t>
      </w:r>
      <w:r w:rsidRPr="00A95936">
        <w:rPr>
          <w:lang w:val="en-GB"/>
        </w:rPr>
        <w:tab/>
        <w:t>fusidic acid in osteo-articular infections is not recommended (see section 4.5);</w:t>
      </w:r>
    </w:p>
    <w:p w14:paraId="1A098C8B" w14:textId="77777777" w:rsidR="00D7303D" w:rsidRDefault="00D7303D" w:rsidP="00063B4B">
      <w:pPr>
        <w:pStyle w:val="EMEANormal"/>
        <w:tabs>
          <w:tab w:val="clear" w:pos="562"/>
          <w:tab w:val="left" w:pos="567"/>
        </w:tabs>
        <w:ind w:left="567" w:hanging="567"/>
        <w:rPr>
          <w:lang w:val="en-GB"/>
        </w:rPr>
      </w:pPr>
      <w:r w:rsidRPr="00A95936">
        <w:rPr>
          <w:lang w:val="en-GB"/>
        </w:rPr>
        <w:t>-</w:t>
      </w:r>
      <w:r w:rsidRPr="00A95936">
        <w:rPr>
          <w:lang w:val="en-GB"/>
        </w:rPr>
        <w:tab/>
        <w:t>salmeterol is not recommended (see section 4.5)</w:t>
      </w:r>
      <w:r>
        <w:rPr>
          <w:lang w:val="en-GB"/>
        </w:rPr>
        <w:t>;</w:t>
      </w:r>
    </w:p>
    <w:p w14:paraId="7B615FEC" w14:textId="77777777" w:rsidR="00D7303D" w:rsidRDefault="00D7303D" w:rsidP="00063B4B">
      <w:pPr>
        <w:pStyle w:val="EMEANormal"/>
        <w:tabs>
          <w:tab w:val="clear" w:pos="562"/>
          <w:tab w:val="left" w:pos="567"/>
        </w:tabs>
        <w:ind w:left="567" w:hanging="567"/>
        <w:rPr>
          <w:lang w:val="en-GB"/>
        </w:rPr>
      </w:pPr>
      <w:r>
        <w:rPr>
          <w:lang w:val="en-GB"/>
        </w:rPr>
        <w:t>-</w:t>
      </w:r>
      <w:r>
        <w:rPr>
          <w:lang w:val="en-GB"/>
        </w:rPr>
        <w:tab/>
        <w:t>rivaroxaban is not recommended (see section 4.5)</w:t>
      </w:r>
      <w:r w:rsidRPr="00A95936">
        <w:rPr>
          <w:lang w:val="en-GB"/>
        </w:rPr>
        <w:t>.</w:t>
      </w:r>
    </w:p>
    <w:p w14:paraId="61A9E01C" w14:textId="77777777" w:rsidR="00D7303D" w:rsidRPr="00342F7C" w:rsidRDefault="00D7303D">
      <w:pPr>
        <w:pStyle w:val="EMEANormal"/>
        <w:rPr>
          <w:lang w:val="en-GB"/>
        </w:rPr>
      </w:pPr>
    </w:p>
    <w:p w14:paraId="4D078A48" w14:textId="77777777" w:rsidR="00D7303D" w:rsidRPr="00342F7C" w:rsidRDefault="00D7303D" w:rsidP="00F62C9B">
      <w:pPr>
        <w:pStyle w:val="EMEANormal"/>
        <w:keepNext/>
        <w:keepLines/>
        <w:rPr>
          <w:lang w:val="en-GB"/>
        </w:rPr>
      </w:pPr>
      <w:r w:rsidRPr="00342F7C">
        <w:rPr>
          <w:lang w:val="en-GB"/>
        </w:rPr>
        <w:t>The combination of Kaletra with atorvastatin is not recommended.  If the use of atorvastatin is considered strictly necessary, the lowest possible dose of atorvastatin should be administered with careful safety monitoring.  Caution must also be exercised and reduced doses should be considered if Kaletra is used concurrently with rosuvastatin.  If treatment with a HMG-CoA reductase inhibitor is indicated, pravastatin or fluvastatin is recommended (see section 4.5).</w:t>
      </w:r>
    </w:p>
    <w:p w14:paraId="3550CC84" w14:textId="77777777" w:rsidR="00D7303D" w:rsidRPr="00342F7C" w:rsidRDefault="00D7303D">
      <w:pPr>
        <w:pStyle w:val="EMEANormal"/>
        <w:rPr>
          <w:lang w:val="en-GB"/>
        </w:rPr>
      </w:pPr>
    </w:p>
    <w:p w14:paraId="77C2AE0E" w14:textId="77777777" w:rsidR="000D1F0B" w:rsidRDefault="00D7303D" w:rsidP="00E20202">
      <w:pPr>
        <w:pStyle w:val="EMEANormal"/>
        <w:rPr>
          <w:i/>
          <w:iCs/>
          <w:szCs w:val="19"/>
          <w:lang w:val="en-GB"/>
        </w:rPr>
      </w:pPr>
      <w:r w:rsidRPr="00342F7C">
        <w:rPr>
          <w:i/>
          <w:iCs/>
          <w:szCs w:val="19"/>
          <w:lang w:val="en-GB"/>
        </w:rPr>
        <w:t>PDE5 inhibitors</w:t>
      </w:r>
    </w:p>
    <w:p w14:paraId="029C4195" w14:textId="77777777" w:rsidR="00D7303D" w:rsidRPr="00342F7C" w:rsidRDefault="000D1F0B" w:rsidP="00E20202">
      <w:pPr>
        <w:pStyle w:val="EMEANormal"/>
        <w:rPr>
          <w:szCs w:val="19"/>
          <w:lang w:val="en-GB"/>
        </w:rPr>
      </w:pPr>
      <w:r>
        <w:rPr>
          <w:szCs w:val="19"/>
          <w:lang w:val="en-GB"/>
        </w:rPr>
        <w:t>P</w:t>
      </w:r>
      <w:r w:rsidR="00D7303D" w:rsidRPr="00342F7C">
        <w:rPr>
          <w:szCs w:val="19"/>
          <w:lang w:val="en-GB"/>
        </w:rPr>
        <w:t xml:space="preserve">articular caution should be used when prescribing sildenafil or tadalafil for the treatment of erectile dysfunction in patients receiving Kaletra.  Co-administration of Kaletra with these medicinal products is expected to substantially increase their concentrations and may result in associated adverse events such as hypotension, syncope, visual changes and prolonged erection (see section 4.5).  Concomitant use of </w:t>
      </w:r>
      <w:r w:rsidR="008E3042">
        <w:rPr>
          <w:szCs w:val="19"/>
          <w:lang w:val="en-GB"/>
        </w:rPr>
        <w:t xml:space="preserve">avanafil or </w:t>
      </w:r>
      <w:r w:rsidR="00D7303D" w:rsidRPr="00342F7C">
        <w:rPr>
          <w:szCs w:val="19"/>
          <w:lang w:val="en-GB"/>
        </w:rPr>
        <w:t>vardenafil and lopinavir/ritonavir is contraindicated (see section 4.3).  Concomitant use of sildenafil prescribed for the treatment of pulmonary arterial hypertension with Kaletra is contraindicated (see section 4.3).</w:t>
      </w:r>
    </w:p>
    <w:p w14:paraId="3F8C9339" w14:textId="77777777" w:rsidR="00D7303D" w:rsidRPr="00342F7C" w:rsidRDefault="00D7303D">
      <w:pPr>
        <w:pStyle w:val="EMEANormal"/>
        <w:rPr>
          <w:lang w:val="en-GB"/>
        </w:rPr>
      </w:pPr>
    </w:p>
    <w:p w14:paraId="0EF8BDFD" w14:textId="77777777" w:rsidR="00D7303D" w:rsidRPr="00342F7C" w:rsidRDefault="00D7303D">
      <w:pPr>
        <w:pStyle w:val="EMEANormal"/>
        <w:rPr>
          <w:lang w:val="en-GB"/>
        </w:rPr>
      </w:pPr>
      <w:r w:rsidRPr="00342F7C">
        <w:rPr>
          <w:lang w:val="en-GB"/>
        </w:rPr>
        <w:t>Particular caution must be used when prescribing Kaletra and medicinal products known to induce QT interval prolongation such as: chlorpheniramine, quinidine, erythromycin, clarithromycin.  Indeed, Kaletra could increase concentrations of the co-administered medicinal products and this may result in an increase of their associated cardiac adverse reactions.  Cardiac events have been reported with Kaletra in preclinical studies; therefore, the potential cardiac effects of Kaletra cannot be currently ruled out (see sections 4.8 and 5.3).</w:t>
      </w:r>
    </w:p>
    <w:p w14:paraId="779D59F0" w14:textId="77777777" w:rsidR="00D7303D" w:rsidRPr="00342F7C" w:rsidRDefault="00D7303D">
      <w:pPr>
        <w:pStyle w:val="EMEANormal"/>
        <w:rPr>
          <w:lang w:val="en-GB"/>
        </w:rPr>
      </w:pPr>
    </w:p>
    <w:p w14:paraId="6A9053E1" w14:textId="77777777" w:rsidR="00D7303D" w:rsidRPr="00342F7C" w:rsidRDefault="00D7303D">
      <w:pPr>
        <w:pStyle w:val="EMEANormal"/>
        <w:rPr>
          <w:lang w:val="en-GB"/>
        </w:rPr>
      </w:pPr>
      <w:r w:rsidRPr="00342F7C">
        <w:rPr>
          <w:lang w:val="en-GB"/>
        </w:rPr>
        <w:t>Co</w:t>
      </w:r>
      <w:r w:rsidRPr="00342F7C">
        <w:rPr>
          <w:lang w:val="en-GB"/>
        </w:rPr>
        <w:noBreakHyphen/>
        <w:t>administration of Kaletra with rifampicin is not recommended.  Rifampicin in combination with Kaletra causes large decreases in lopinavir concentrations which may in turn significantly decrease the lopinavir therapeutic effect.  Adequate exposure to lopinavir/ritonavir may be achieved when a higher dose of Kaletra is used but this is associated with a higher risk of liver and gastrointestinal toxicity.  Therefore, this co</w:t>
      </w:r>
      <w:r w:rsidRPr="00342F7C">
        <w:rPr>
          <w:lang w:val="en-GB"/>
        </w:rPr>
        <w:noBreakHyphen/>
        <w:t>administration should be avoided unless judged strictly necessary (see section 4.5).</w:t>
      </w:r>
    </w:p>
    <w:p w14:paraId="3DEEDD25" w14:textId="77777777" w:rsidR="00D7303D" w:rsidRPr="00342F7C" w:rsidRDefault="00D7303D" w:rsidP="00D7727A">
      <w:pPr>
        <w:pStyle w:val="EMEANormal"/>
        <w:rPr>
          <w:lang w:val="en-GB"/>
        </w:rPr>
      </w:pPr>
    </w:p>
    <w:p w14:paraId="0FA69854" w14:textId="77777777" w:rsidR="00D7303D" w:rsidRDefault="00D7303D" w:rsidP="00D7727A">
      <w:pPr>
        <w:pStyle w:val="EMEANormal"/>
        <w:rPr>
          <w:lang w:val="en-GB"/>
        </w:rPr>
      </w:pPr>
      <w:r w:rsidRPr="00342F7C">
        <w:rPr>
          <w:lang w:val="en-GB"/>
        </w:rPr>
        <w:t>Concomitant use of Kaletra and fluticasone or other glucocorticoids that are metabolised by CYP3A4</w:t>
      </w:r>
      <w:r>
        <w:rPr>
          <w:lang w:val="en-GB"/>
        </w:rPr>
        <w:t>, such as budesonide</w:t>
      </w:r>
      <w:r w:rsidR="005760A9">
        <w:rPr>
          <w:lang w:val="en-GB"/>
        </w:rPr>
        <w:t xml:space="preserve"> and triamcinolone</w:t>
      </w:r>
      <w:r>
        <w:rPr>
          <w:lang w:val="en-GB"/>
        </w:rPr>
        <w:t>,</w:t>
      </w:r>
      <w:r w:rsidRPr="00342F7C">
        <w:rPr>
          <w:lang w:val="en-GB"/>
        </w:rPr>
        <w:t xml:space="preserve"> is not recommended unless the potential benefit of treatment outweighs the risk of systemic corticosteroid effects, including Cushing’s syndrome and adrenal suppression (see section 4.5).</w:t>
      </w:r>
    </w:p>
    <w:p w14:paraId="052E97B9" w14:textId="77777777" w:rsidR="00EE0B89" w:rsidRPr="00342F7C" w:rsidRDefault="00EE0B89" w:rsidP="00D7727A">
      <w:pPr>
        <w:pStyle w:val="EMEANormal"/>
        <w:rPr>
          <w:lang w:val="en-GB"/>
        </w:rPr>
      </w:pPr>
    </w:p>
    <w:p w14:paraId="677F5970" w14:textId="77777777" w:rsidR="00D7303D" w:rsidRPr="0017061C" w:rsidRDefault="00D7303D" w:rsidP="00EE0B89">
      <w:pPr>
        <w:pStyle w:val="EMEAHeadingUI"/>
        <w:spacing w:beforeLines="0" w:before="0" w:afterLines="0" w:after="0"/>
        <w:rPr>
          <w:i w:val="0"/>
          <w:lang w:val="en-GB"/>
        </w:rPr>
      </w:pPr>
      <w:r w:rsidRPr="0017061C">
        <w:rPr>
          <w:i w:val="0"/>
          <w:lang w:val="en-GB"/>
        </w:rPr>
        <w:t>Other</w:t>
      </w:r>
    </w:p>
    <w:p w14:paraId="1B971799" w14:textId="77777777" w:rsidR="00D7303D" w:rsidRDefault="00D7303D">
      <w:pPr>
        <w:pStyle w:val="EMEANormal"/>
        <w:rPr>
          <w:lang w:val="en-GB"/>
        </w:rPr>
      </w:pPr>
      <w:r w:rsidRPr="00342F7C">
        <w:rPr>
          <w:lang w:val="en-GB"/>
        </w:rPr>
        <w:t xml:space="preserve">Kaletra is not a cure for HIV infection or AIDS.  </w:t>
      </w:r>
      <w:r w:rsidR="009A3B05">
        <w:rPr>
          <w:lang w:val="en-GB"/>
        </w:rPr>
        <w:t>While effective viral suppression with antiretroviral therapy has been proven to substantially reduce the risk of sexual transmission, a residual risk cannot be ex</w:t>
      </w:r>
      <w:r w:rsidR="00B41B6F">
        <w:rPr>
          <w:lang w:val="en-GB"/>
        </w:rPr>
        <w:t>c</w:t>
      </w:r>
      <w:r w:rsidR="009A3B05">
        <w:rPr>
          <w:lang w:val="en-GB"/>
        </w:rPr>
        <w:t>luded.  Precautions to prevent transmission should be taken in accordance with national guidelines</w:t>
      </w:r>
      <w:r w:rsidR="009A3B05" w:rsidRPr="00342F7C">
        <w:rPr>
          <w:lang w:val="en-GB"/>
        </w:rPr>
        <w:t xml:space="preserve">.  </w:t>
      </w:r>
      <w:r w:rsidRPr="00342F7C">
        <w:rPr>
          <w:lang w:val="en-GB"/>
        </w:rPr>
        <w:t xml:space="preserve"> People taking Kaletra may still develop infections or other illnesses associated with HIV disease and AIDS.</w:t>
      </w:r>
    </w:p>
    <w:p w14:paraId="0E71105E" w14:textId="77777777" w:rsidR="00EE0B89" w:rsidRPr="00342F7C" w:rsidRDefault="00EE0B89">
      <w:pPr>
        <w:pStyle w:val="EMEANormal"/>
        <w:rPr>
          <w:lang w:val="en-GB"/>
        </w:rPr>
      </w:pPr>
    </w:p>
    <w:p w14:paraId="228D9A13" w14:textId="77777777" w:rsidR="00D7303D" w:rsidRDefault="00266A4D" w:rsidP="00EE0B89">
      <w:pPr>
        <w:pStyle w:val="EMEAHeading2SPC"/>
        <w:spacing w:beforeLines="0" w:before="0" w:afterLines="0" w:after="0"/>
        <w:rPr>
          <w:rFonts w:ascii="Times New Roman" w:hAnsi="Times New Roman"/>
          <w:lang w:val="en-GB"/>
        </w:rPr>
      </w:pPr>
      <w:r>
        <w:rPr>
          <w:rFonts w:ascii="Times New Roman" w:hAnsi="Times New Roman"/>
          <w:lang w:val="en-GB"/>
        </w:rPr>
        <w:t>4.5</w:t>
      </w:r>
      <w:r w:rsidR="00D7303D" w:rsidRPr="00342F7C">
        <w:rPr>
          <w:rFonts w:ascii="Times New Roman" w:hAnsi="Times New Roman"/>
          <w:lang w:val="en-GB"/>
        </w:rPr>
        <w:tab/>
        <w:t xml:space="preserve">Interaction with other medicinal products and other forms of interaction </w:t>
      </w:r>
    </w:p>
    <w:p w14:paraId="2D5CA006" w14:textId="77777777" w:rsidR="00EE0B89" w:rsidRPr="00EE0B89" w:rsidRDefault="00EE0B89" w:rsidP="00EE0B89">
      <w:pPr>
        <w:pStyle w:val="EMEANormal"/>
        <w:rPr>
          <w:lang w:val="en-GB"/>
        </w:rPr>
      </w:pPr>
    </w:p>
    <w:p w14:paraId="5573C6D8" w14:textId="77777777" w:rsidR="00D7303D" w:rsidRPr="00342F7C" w:rsidRDefault="00D7303D">
      <w:pPr>
        <w:pStyle w:val="EMEANormal"/>
        <w:rPr>
          <w:lang w:val="en-GB"/>
        </w:rPr>
      </w:pPr>
      <w:r w:rsidRPr="00342F7C">
        <w:rPr>
          <w:lang w:val="en-GB"/>
        </w:rPr>
        <w:t xml:space="preserve">Kaletra contains lopinavir and ritonavir, both of which are inhibitors of the P450 isoform CYP3A </w:t>
      </w:r>
      <w:r w:rsidRPr="00342F7C">
        <w:rPr>
          <w:i/>
          <w:lang w:val="en-GB"/>
        </w:rPr>
        <w:t>in vitro</w:t>
      </w:r>
      <w:r w:rsidRPr="00342F7C">
        <w:rPr>
          <w:lang w:val="en-GB"/>
        </w:rPr>
        <w:t>.  Co-administration of Kaletra and medicinal products primarily metabolised by CYP3A may result in increased plasma concentrations of the other medicinal product, which could increase or prolong its therapeutic and adverse reactions.  Kaletra does not inhibit CYP2D6, CYP2C9, CYP2C19, CYP2E1, CYP2B6 or CYP1A2 at clinically relevant concentrations (see section 4.3).</w:t>
      </w:r>
    </w:p>
    <w:p w14:paraId="55A01CF1" w14:textId="77777777" w:rsidR="00D7303D" w:rsidRPr="00342F7C" w:rsidRDefault="00D7303D">
      <w:pPr>
        <w:pStyle w:val="EMEANormal"/>
        <w:rPr>
          <w:lang w:val="en-GB"/>
        </w:rPr>
      </w:pPr>
    </w:p>
    <w:p w14:paraId="7A832689" w14:textId="77777777" w:rsidR="00D7303D" w:rsidRPr="00342F7C" w:rsidRDefault="00D7303D">
      <w:pPr>
        <w:pStyle w:val="EMEANormal"/>
        <w:rPr>
          <w:lang w:val="en-GB"/>
        </w:rPr>
      </w:pPr>
      <w:r w:rsidRPr="00342F7C">
        <w:rPr>
          <w:lang w:val="en-GB"/>
        </w:rPr>
        <w:t xml:space="preserve">Kaletra has been shown </w:t>
      </w:r>
      <w:r w:rsidRPr="00342F7C">
        <w:rPr>
          <w:i/>
          <w:lang w:val="en-GB"/>
        </w:rPr>
        <w:t>in vivo</w:t>
      </w:r>
      <w:r w:rsidRPr="00342F7C">
        <w:rPr>
          <w:lang w:val="en-GB"/>
        </w:rPr>
        <w:t xml:space="preserve"> to induce its own metabolism and to increase the biotransformation of some medicinal products metabolised by cytochrome P450 enzymes (including CYP2C9 and CYP2C19) and by glucuronidation.  This may result in lowered plasma concentrations and potential decrease of efficacy of co-administered medicinal products.</w:t>
      </w:r>
    </w:p>
    <w:p w14:paraId="146A3F92" w14:textId="77777777" w:rsidR="00D7303D" w:rsidRPr="00342F7C" w:rsidRDefault="00D7303D">
      <w:pPr>
        <w:pStyle w:val="EMEANormal"/>
        <w:rPr>
          <w:lang w:val="en-GB"/>
        </w:rPr>
      </w:pPr>
      <w:r w:rsidRPr="00342F7C">
        <w:rPr>
          <w:lang w:val="en-GB"/>
        </w:rPr>
        <w:t xml:space="preserve"> </w:t>
      </w:r>
    </w:p>
    <w:p w14:paraId="4B1589CC" w14:textId="77777777" w:rsidR="00D7303D" w:rsidRPr="00342F7C" w:rsidRDefault="00D7303D" w:rsidP="00F62C9B">
      <w:pPr>
        <w:pStyle w:val="EMEANormal"/>
        <w:keepNext/>
        <w:rPr>
          <w:lang w:val="en-GB"/>
        </w:rPr>
      </w:pPr>
      <w:r w:rsidRPr="00342F7C">
        <w:rPr>
          <w:lang w:val="en-GB"/>
        </w:rPr>
        <w:t>Medicinal products that are contraindicated specifically due to the expected magnitude of interaction and potential for serious adverse events are listed in section 4.3.</w:t>
      </w:r>
    </w:p>
    <w:p w14:paraId="14543513" w14:textId="77777777" w:rsidR="00D7303D" w:rsidRPr="00342F7C" w:rsidRDefault="00D7303D" w:rsidP="00F62C9B">
      <w:pPr>
        <w:pStyle w:val="EMEANormal"/>
        <w:keepNext/>
        <w:rPr>
          <w:lang w:val="en-GB"/>
        </w:rPr>
      </w:pPr>
    </w:p>
    <w:p w14:paraId="7D84C4D5" w14:textId="77777777" w:rsidR="00D7303D" w:rsidRPr="00342F7C" w:rsidRDefault="00D7303D" w:rsidP="00F62C9B">
      <w:pPr>
        <w:pStyle w:val="EMEANormal"/>
        <w:keepNext/>
        <w:rPr>
          <w:lang w:val="en-GB"/>
        </w:rPr>
      </w:pPr>
      <w:r w:rsidRPr="00342F7C">
        <w:rPr>
          <w:lang w:val="en-GB"/>
        </w:rPr>
        <w:t>All interaction studies, when otherwise not stated, were performed using Kaletra capsules, which gives an approximately 20% lower exposure of lopinavir than the 200/50 mg tablets.</w:t>
      </w:r>
    </w:p>
    <w:p w14:paraId="698022A7" w14:textId="77777777" w:rsidR="00D7303D" w:rsidRPr="00342F7C" w:rsidRDefault="00D7303D" w:rsidP="00C6529F">
      <w:pPr>
        <w:pStyle w:val="EMEANormal"/>
        <w:rPr>
          <w:lang w:val="en-GB"/>
        </w:rPr>
      </w:pPr>
    </w:p>
    <w:p w14:paraId="73BE437F" w14:textId="77777777" w:rsidR="00D7303D" w:rsidRPr="00342F7C" w:rsidRDefault="00D7303D" w:rsidP="00C6529F">
      <w:pPr>
        <w:pStyle w:val="EMEANormal"/>
        <w:rPr>
          <w:szCs w:val="22"/>
          <w:lang w:val="en-GB"/>
        </w:rPr>
      </w:pPr>
      <w:r w:rsidRPr="00342F7C">
        <w:rPr>
          <w:lang w:val="en-GB"/>
        </w:rPr>
        <w:t>Known and theoretical interactions with selected antiretrovirals and non-antiretroviral medicinal products are listed in the table below.</w:t>
      </w:r>
      <w:r w:rsidR="006B4BCF">
        <w:rPr>
          <w:lang w:val="en-GB"/>
        </w:rPr>
        <w:t xml:space="preserve">  This list is not intended to be inclusive or comprehensive.  Individual SmPCs should be consulted.</w:t>
      </w:r>
    </w:p>
    <w:p w14:paraId="65304F61" w14:textId="77777777" w:rsidR="00D7303D" w:rsidRPr="00342F7C" w:rsidRDefault="00D7303D" w:rsidP="00C6529F">
      <w:pPr>
        <w:pStyle w:val="EMEANormal"/>
        <w:rPr>
          <w:lang w:val="en-GB"/>
        </w:rPr>
      </w:pPr>
    </w:p>
    <w:p w14:paraId="096219FA" w14:textId="77777777" w:rsidR="00D7303D" w:rsidRPr="00342F7C" w:rsidRDefault="00D7303D" w:rsidP="00C6529F">
      <w:pPr>
        <w:pStyle w:val="EMEANormal"/>
        <w:rPr>
          <w:i/>
          <w:lang w:val="en-GB"/>
        </w:rPr>
      </w:pPr>
      <w:r w:rsidRPr="00342F7C">
        <w:rPr>
          <w:i/>
          <w:lang w:val="en-GB"/>
        </w:rPr>
        <w:t>Interaction table</w:t>
      </w:r>
    </w:p>
    <w:p w14:paraId="138B4837" w14:textId="77777777" w:rsidR="00D7303D" w:rsidRPr="00342F7C" w:rsidRDefault="00D7303D" w:rsidP="00C6529F">
      <w:pPr>
        <w:pStyle w:val="EMEANormal"/>
        <w:rPr>
          <w:lang w:val="en-GB"/>
        </w:rPr>
      </w:pPr>
    </w:p>
    <w:p w14:paraId="615E28E4" w14:textId="77777777" w:rsidR="00D7303D" w:rsidRPr="00342F7C" w:rsidRDefault="00D7303D" w:rsidP="00C6529F">
      <w:pPr>
        <w:pStyle w:val="EMEANormal"/>
        <w:rPr>
          <w:sz w:val="20"/>
          <w:lang w:val="en-GB"/>
        </w:rPr>
      </w:pPr>
      <w:r w:rsidRPr="00342F7C">
        <w:rPr>
          <w:lang w:val="en-GB"/>
        </w:rPr>
        <w:t>Interactions between Kaletra and co-administered medicinal products are listed in the table below (increase is indicated as “↑”, decrease as “↓”, no change as “↔”,once daily as “QD”, twice daily as “BID” and three times daily as "TID").</w:t>
      </w:r>
    </w:p>
    <w:p w14:paraId="74539488" w14:textId="77777777" w:rsidR="00D7303D" w:rsidRPr="00342F7C" w:rsidRDefault="00D7303D" w:rsidP="00C6529F">
      <w:pPr>
        <w:pStyle w:val="EMEANormal"/>
        <w:rPr>
          <w:lang w:val="en-GB"/>
        </w:rPr>
      </w:pPr>
    </w:p>
    <w:p w14:paraId="45762037" w14:textId="77777777" w:rsidR="00D7303D" w:rsidRPr="00342F7C" w:rsidRDefault="00D7303D" w:rsidP="00C6529F">
      <w:pPr>
        <w:pStyle w:val="EMEANormal"/>
        <w:rPr>
          <w:lang w:val="en-GB"/>
        </w:rPr>
      </w:pPr>
      <w:r w:rsidRPr="00342F7C">
        <w:rPr>
          <w:lang w:val="en-GB"/>
        </w:rPr>
        <w:t>Unless otherwise stated, studies detailed below have been performed with the recommended dosage of lopinavir/ritonavir (i.e. 400/100 mg twice daily).</w:t>
      </w:r>
    </w:p>
    <w:p w14:paraId="5FBEACBA" w14:textId="77777777" w:rsidR="00D7303D" w:rsidRPr="00342F7C" w:rsidRDefault="00D7303D" w:rsidP="00C6529F">
      <w:pPr>
        <w:pStyle w:val="EMEANormal"/>
        <w:rPr>
          <w:szCs w:val="24"/>
          <w:lang w:val="en-GB"/>
        </w:rPr>
      </w:pPr>
    </w:p>
    <w:tbl>
      <w:tblPr>
        <w:tblW w:w="9072"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400"/>
        <w:gridCol w:w="10"/>
        <w:gridCol w:w="3230"/>
        <w:gridCol w:w="30"/>
        <w:gridCol w:w="3402"/>
      </w:tblGrid>
      <w:tr w:rsidR="00D7303D" w:rsidRPr="00342F7C" w14:paraId="46A5E143" w14:textId="77777777" w:rsidTr="008F531F">
        <w:tc>
          <w:tcPr>
            <w:tcW w:w="2400" w:type="dxa"/>
            <w:tcBorders>
              <w:top w:val="single" w:sz="4" w:space="0" w:color="auto"/>
              <w:left w:val="single" w:sz="4" w:space="0" w:color="auto"/>
              <w:bottom w:val="single" w:sz="4" w:space="0" w:color="auto"/>
              <w:right w:val="single" w:sz="4" w:space="0" w:color="auto"/>
            </w:tcBorders>
          </w:tcPr>
          <w:p w14:paraId="30F5581A" w14:textId="77777777" w:rsidR="00D7303D" w:rsidRPr="00342F7C" w:rsidRDefault="00D7303D" w:rsidP="00E95E29">
            <w:pPr>
              <w:pStyle w:val="EMEANormal"/>
              <w:rPr>
                <w:b/>
                <w:bCs/>
                <w:lang w:val="en-GB"/>
              </w:rPr>
            </w:pPr>
            <w:r w:rsidRPr="00342F7C">
              <w:rPr>
                <w:b/>
                <w:bCs/>
                <w:lang w:val="en-GB"/>
              </w:rPr>
              <w:t xml:space="preserve">Co-administered drug by therapeutic area </w:t>
            </w:r>
          </w:p>
          <w:p w14:paraId="4F41B2F0" w14:textId="77777777" w:rsidR="00D7303D" w:rsidRPr="00342F7C" w:rsidRDefault="00D7303D" w:rsidP="00E95E29">
            <w:pPr>
              <w:pStyle w:val="EMEANormal"/>
              <w:rPr>
                <w:b/>
                <w:bCs/>
                <w:lang w:val="en-GB"/>
              </w:rPr>
            </w:pPr>
          </w:p>
          <w:p w14:paraId="267A84B2" w14:textId="77777777" w:rsidR="00D7303D" w:rsidRPr="00342F7C" w:rsidRDefault="00D7303D" w:rsidP="00E95E29">
            <w:pPr>
              <w:pStyle w:val="EMEANormal"/>
              <w:rPr>
                <w:b/>
                <w:bCs/>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45415C88" w14:textId="77777777" w:rsidR="00D7303D" w:rsidRPr="00342F7C" w:rsidRDefault="00D7303D" w:rsidP="00E95E29">
            <w:pPr>
              <w:pStyle w:val="EMEANormal"/>
              <w:rPr>
                <w:b/>
                <w:bCs/>
                <w:lang w:val="en-GB"/>
              </w:rPr>
            </w:pPr>
            <w:r w:rsidRPr="00342F7C">
              <w:rPr>
                <w:b/>
                <w:bCs/>
                <w:lang w:val="en-GB"/>
              </w:rPr>
              <w:t>Effects on drug levels</w:t>
            </w:r>
          </w:p>
          <w:p w14:paraId="7787AC43" w14:textId="77777777" w:rsidR="00D7303D" w:rsidRPr="00342F7C" w:rsidRDefault="00D7303D" w:rsidP="00E95E29">
            <w:pPr>
              <w:pStyle w:val="EMEANormal"/>
              <w:rPr>
                <w:b/>
                <w:bCs/>
                <w:lang w:val="en-GB"/>
              </w:rPr>
            </w:pPr>
          </w:p>
          <w:p w14:paraId="2AE884E5" w14:textId="77777777" w:rsidR="00D7303D" w:rsidRPr="00342F7C" w:rsidRDefault="00D7303D" w:rsidP="00E95E29">
            <w:pPr>
              <w:pStyle w:val="EMEANormal"/>
              <w:rPr>
                <w:b/>
                <w:bCs/>
                <w:vertAlign w:val="subscript"/>
                <w:lang w:val="en-GB"/>
              </w:rPr>
            </w:pPr>
            <w:r w:rsidRPr="00342F7C">
              <w:rPr>
                <w:b/>
                <w:bCs/>
                <w:lang w:val="en-GB"/>
              </w:rPr>
              <w:t>Geometric Mean Change (%) in AUC, C</w:t>
            </w:r>
            <w:r w:rsidRPr="00342F7C">
              <w:rPr>
                <w:b/>
                <w:bCs/>
                <w:vertAlign w:val="subscript"/>
                <w:lang w:val="en-GB"/>
              </w:rPr>
              <w:t>max</w:t>
            </w:r>
            <w:r w:rsidRPr="00342F7C">
              <w:rPr>
                <w:b/>
                <w:bCs/>
                <w:lang w:val="en-GB"/>
              </w:rPr>
              <w:t>, C</w:t>
            </w:r>
            <w:r w:rsidRPr="00342F7C">
              <w:rPr>
                <w:b/>
                <w:bCs/>
                <w:vertAlign w:val="subscript"/>
                <w:lang w:val="en-GB"/>
              </w:rPr>
              <w:t>min</w:t>
            </w:r>
          </w:p>
          <w:p w14:paraId="353F1717" w14:textId="77777777" w:rsidR="00D7303D" w:rsidRPr="00342F7C" w:rsidRDefault="00D7303D" w:rsidP="00E95E29">
            <w:pPr>
              <w:pStyle w:val="EMEANormal"/>
              <w:rPr>
                <w:b/>
                <w:bCs/>
                <w:lang w:val="en-GB"/>
              </w:rPr>
            </w:pPr>
          </w:p>
          <w:p w14:paraId="50659549" w14:textId="77777777" w:rsidR="00D7303D" w:rsidRPr="00342F7C" w:rsidRDefault="00D7303D" w:rsidP="00E95E29">
            <w:pPr>
              <w:pStyle w:val="EMEANormal"/>
              <w:rPr>
                <w:b/>
                <w:bCs/>
                <w:lang w:val="en-GB"/>
              </w:rPr>
            </w:pPr>
            <w:r w:rsidRPr="00342F7C">
              <w:rPr>
                <w:b/>
                <w:bCs/>
                <w:lang w:val="en-GB"/>
              </w:rPr>
              <w:t>Mechanism of interaction</w:t>
            </w:r>
          </w:p>
        </w:tc>
        <w:tc>
          <w:tcPr>
            <w:tcW w:w="3432" w:type="dxa"/>
            <w:gridSpan w:val="2"/>
            <w:tcBorders>
              <w:top w:val="single" w:sz="4" w:space="0" w:color="auto"/>
              <w:left w:val="single" w:sz="4" w:space="0" w:color="auto"/>
              <w:bottom w:val="single" w:sz="4" w:space="0" w:color="auto"/>
              <w:right w:val="single" w:sz="4" w:space="0" w:color="auto"/>
            </w:tcBorders>
          </w:tcPr>
          <w:p w14:paraId="641CF9BE" w14:textId="77777777" w:rsidR="00D7303D" w:rsidRPr="00342F7C" w:rsidRDefault="00D7303D" w:rsidP="00E95E29">
            <w:pPr>
              <w:pStyle w:val="EMEANormal"/>
              <w:rPr>
                <w:b/>
                <w:bCs/>
                <w:lang w:val="en-GB"/>
              </w:rPr>
            </w:pPr>
            <w:r w:rsidRPr="00342F7C">
              <w:rPr>
                <w:b/>
                <w:bCs/>
                <w:lang w:val="en-GB"/>
              </w:rPr>
              <w:t>Clinical recommendation concerning co-administration with Kaletra</w:t>
            </w:r>
          </w:p>
        </w:tc>
      </w:tr>
      <w:tr w:rsidR="00D7303D" w:rsidRPr="00342F7C" w14:paraId="28ADDB54"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64BFAF1D" w14:textId="77777777" w:rsidR="00D7303D" w:rsidRPr="00342F7C" w:rsidRDefault="00D7303D" w:rsidP="00E95E29">
            <w:pPr>
              <w:pStyle w:val="EMEANormal"/>
              <w:rPr>
                <w:b/>
                <w:bCs/>
                <w:i/>
                <w:iCs/>
                <w:lang w:val="en-GB"/>
              </w:rPr>
            </w:pPr>
            <w:r w:rsidRPr="00342F7C">
              <w:rPr>
                <w:b/>
                <w:bCs/>
                <w:i/>
                <w:iCs/>
                <w:lang w:val="en-GB"/>
              </w:rPr>
              <w:t>Antiretroviral Agents</w:t>
            </w:r>
          </w:p>
        </w:tc>
      </w:tr>
      <w:tr w:rsidR="00D7303D" w:rsidRPr="00342F7C" w14:paraId="6A339736"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30C3FFA8" w14:textId="77777777" w:rsidR="00D7303D" w:rsidRPr="00342F7C" w:rsidRDefault="00D7303D" w:rsidP="00E95E29">
            <w:pPr>
              <w:pStyle w:val="EMEANormal"/>
              <w:rPr>
                <w:i/>
                <w:iCs/>
                <w:lang w:val="en-GB"/>
              </w:rPr>
            </w:pPr>
            <w:r w:rsidRPr="00342F7C">
              <w:rPr>
                <w:i/>
                <w:iCs/>
                <w:lang w:val="en-GB"/>
              </w:rPr>
              <w:t>Nucleoside/Nucleotide reverse transcriptase inhibitors (NRTIs)</w:t>
            </w:r>
            <w:r w:rsidRPr="00342F7C">
              <w:rPr>
                <w:i/>
                <w:iCs/>
                <w:lang w:val="en-GB"/>
              </w:rPr>
              <w:tab/>
            </w:r>
          </w:p>
        </w:tc>
      </w:tr>
      <w:tr w:rsidR="00D7303D" w:rsidRPr="00342F7C" w14:paraId="490AE8C0" w14:textId="77777777" w:rsidTr="008F531F">
        <w:tc>
          <w:tcPr>
            <w:tcW w:w="2400" w:type="dxa"/>
            <w:tcBorders>
              <w:top w:val="single" w:sz="4" w:space="0" w:color="auto"/>
              <w:left w:val="single" w:sz="4" w:space="0" w:color="auto"/>
              <w:bottom w:val="single" w:sz="4" w:space="0" w:color="auto"/>
              <w:right w:val="single" w:sz="4" w:space="0" w:color="auto"/>
            </w:tcBorders>
          </w:tcPr>
          <w:p w14:paraId="583CE1E2" w14:textId="77777777" w:rsidR="00D7303D" w:rsidRPr="00342F7C" w:rsidRDefault="00D7303D" w:rsidP="00E95E29">
            <w:pPr>
              <w:pStyle w:val="EMEANormal"/>
              <w:rPr>
                <w:lang w:val="en-GB"/>
              </w:rPr>
            </w:pPr>
            <w:r w:rsidRPr="00342F7C">
              <w:rPr>
                <w:lang w:val="en-GB"/>
              </w:rPr>
              <w:t>Stavudine, Lamivudine</w:t>
            </w:r>
          </w:p>
        </w:tc>
        <w:tc>
          <w:tcPr>
            <w:tcW w:w="3240" w:type="dxa"/>
            <w:gridSpan w:val="2"/>
            <w:tcBorders>
              <w:top w:val="single" w:sz="4" w:space="0" w:color="auto"/>
              <w:left w:val="single" w:sz="4" w:space="0" w:color="auto"/>
              <w:bottom w:val="single" w:sz="4" w:space="0" w:color="auto"/>
              <w:right w:val="single" w:sz="4" w:space="0" w:color="auto"/>
            </w:tcBorders>
          </w:tcPr>
          <w:p w14:paraId="32B29131" w14:textId="77777777" w:rsidR="00D7303D" w:rsidRPr="00342F7C" w:rsidRDefault="00D7303D" w:rsidP="00E95E29">
            <w:pPr>
              <w:pStyle w:val="EMEANormal"/>
              <w:rPr>
                <w:lang w:val="en-GB"/>
              </w:rPr>
            </w:pPr>
            <w:r w:rsidRPr="00342F7C">
              <w:rPr>
                <w:lang w:val="en-GB"/>
              </w:rPr>
              <w:t xml:space="preserve">Lopinavir: </w:t>
            </w:r>
            <w:r w:rsidRPr="00342F7C">
              <w:rPr>
                <w:szCs w:val="22"/>
                <w:lang w:val="en-GB"/>
              </w:rPr>
              <w:t>↔</w:t>
            </w:r>
          </w:p>
          <w:p w14:paraId="0778C278" w14:textId="77777777" w:rsidR="00D7303D" w:rsidRPr="00342F7C" w:rsidRDefault="00D7303D" w:rsidP="00E95E29">
            <w:pPr>
              <w:pStyle w:val="EMEANormal"/>
              <w:rPr>
                <w:lang w:val="en-GB"/>
              </w:rPr>
            </w:pPr>
          </w:p>
        </w:tc>
        <w:tc>
          <w:tcPr>
            <w:tcW w:w="3432" w:type="dxa"/>
            <w:gridSpan w:val="2"/>
            <w:tcBorders>
              <w:top w:val="single" w:sz="4" w:space="0" w:color="auto"/>
              <w:left w:val="single" w:sz="4" w:space="0" w:color="auto"/>
              <w:bottom w:val="single" w:sz="4" w:space="0" w:color="auto"/>
              <w:right w:val="single" w:sz="4" w:space="0" w:color="auto"/>
            </w:tcBorders>
          </w:tcPr>
          <w:p w14:paraId="3EC93BE0" w14:textId="77777777" w:rsidR="00D7303D" w:rsidRPr="00342F7C" w:rsidRDefault="00D7303D" w:rsidP="00E95E29">
            <w:pPr>
              <w:pStyle w:val="EMEANormal"/>
              <w:rPr>
                <w:lang w:val="en-GB"/>
              </w:rPr>
            </w:pPr>
            <w:r w:rsidRPr="00342F7C">
              <w:rPr>
                <w:lang w:val="en-GB"/>
              </w:rPr>
              <w:t>No dose adjustment necessary.</w:t>
            </w:r>
          </w:p>
        </w:tc>
      </w:tr>
      <w:tr w:rsidR="00D7303D" w:rsidRPr="00342F7C" w14:paraId="7D8C17FF" w14:textId="77777777" w:rsidTr="008F531F">
        <w:tc>
          <w:tcPr>
            <w:tcW w:w="2400" w:type="dxa"/>
            <w:tcBorders>
              <w:top w:val="single" w:sz="4" w:space="0" w:color="auto"/>
              <w:left w:val="single" w:sz="4" w:space="0" w:color="auto"/>
              <w:bottom w:val="single" w:sz="4" w:space="0" w:color="auto"/>
              <w:right w:val="single" w:sz="4" w:space="0" w:color="auto"/>
            </w:tcBorders>
          </w:tcPr>
          <w:p w14:paraId="428FE890" w14:textId="77777777" w:rsidR="00D7303D" w:rsidRPr="00342F7C" w:rsidRDefault="00D7303D" w:rsidP="00E95E29">
            <w:pPr>
              <w:pStyle w:val="EMEANormal"/>
              <w:rPr>
                <w:lang w:val="en-GB"/>
              </w:rPr>
            </w:pPr>
            <w:r w:rsidRPr="00342F7C">
              <w:rPr>
                <w:lang w:val="en-GB"/>
              </w:rPr>
              <w:t>Abacavir, Zidovudine</w:t>
            </w:r>
          </w:p>
          <w:p w14:paraId="25D9BBD9" w14:textId="77777777" w:rsidR="00D7303D" w:rsidRPr="00342F7C" w:rsidRDefault="00D7303D" w:rsidP="00E95E29">
            <w:pPr>
              <w:pStyle w:val="EMEANormal"/>
              <w:rPr>
                <w:lang w:val="en-GB"/>
              </w:rPr>
            </w:pPr>
          </w:p>
          <w:p w14:paraId="2D083E03" w14:textId="77777777" w:rsidR="00D7303D" w:rsidRPr="00342F7C" w:rsidRDefault="00D7303D" w:rsidP="00E95E29">
            <w:pPr>
              <w:pStyle w:val="EMEANormal"/>
              <w:rPr>
                <w:i/>
                <w:iCs/>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303FCC30" w14:textId="77777777" w:rsidR="00D7303D" w:rsidRPr="00342F7C" w:rsidRDefault="00D7303D" w:rsidP="00E95E29">
            <w:pPr>
              <w:pStyle w:val="EMEANormal"/>
              <w:rPr>
                <w:lang w:val="en-GB"/>
              </w:rPr>
            </w:pPr>
            <w:r w:rsidRPr="00342F7C">
              <w:rPr>
                <w:lang w:val="en-GB"/>
              </w:rPr>
              <w:t>Abacavir, Zidovudine:</w:t>
            </w:r>
          </w:p>
          <w:p w14:paraId="1A8911C6" w14:textId="77777777" w:rsidR="00D7303D" w:rsidRPr="00342F7C" w:rsidRDefault="00D7303D" w:rsidP="00E95E29">
            <w:pPr>
              <w:pStyle w:val="EMEANormal"/>
              <w:rPr>
                <w:lang w:val="en-GB"/>
              </w:rPr>
            </w:pPr>
            <w:r w:rsidRPr="00342F7C">
              <w:rPr>
                <w:lang w:val="en-GB"/>
              </w:rPr>
              <w:t xml:space="preserve">Concentrations may be reduced due to increased glucuronidation by </w:t>
            </w:r>
            <w:r w:rsidR="001546A9">
              <w:rPr>
                <w:lang w:val="en-GB"/>
              </w:rPr>
              <w:t>lopinavir/ritonavir</w:t>
            </w:r>
            <w:r w:rsidRPr="00342F7C">
              <w:rPr>
                <w:lang w:val="en-GB"/>
              </w:rPr>
              <w:t>.</w:t>
            </w:r>
          </w:p>
        </w:tc>
        <w:tc>
          <w:tcPr>
            <w:tcW w:w="3432" w:type="dxa"/>
            <w:gridSpan w:val="2"/>
            <w:tcBorders>
              <w:top w:val="single" w:sz="4" w:space="0" w:color="auto"/>
              <w:left w:val="single" w:sz="4" w:space="0" w:color="auto"/>
              <w:bottom w:val="single" w:sz="4" w:space="0" w:color="auto"/>
              <w:right w:val="single" w:sz="4" w:space="0" w:color="auto"/>
            </w:tcBorders>
          </w:tcPr>
          <w:p w14:paraId="177BA596" w14:textId="77777777" w:rsidR="00D7303D" w:rsidRPr="00342F7C" w:rsidRDefault="00D7303D" w:rsidP="00E95E29">
            <w:pPr>
              <w:pStyle w:val="EMEANormal"/>
              <w:rPr>
                <w:lang w:val="en-GB"/>
              </w:rPr>
            </w:pPr>
            <w:r w:rsidRPr="00342F7C">
              <w:rPr>
                <w:lang w:val="en-GB"/>
              </w:rPr>
              <w:t>The clinical significance of reduced abacavir and zidovudine concentrations is unknown.</w:t>
            </w:r>
          </w:p>
        </w:tc>
      </w:tr>
      <w:tr w:rsidR="00D7303D" w:rsidRPr="00342F7C" w14:paraId="288D1C20" w14:textId="77777777" w:rsidTr="008F531F">
        <w:tc>
          <w:tcPr>
            <w:tcW w:w="2400" w:type="dxa"/>
            <w:tcBorders>
              <w:top w:val="single" w:sz="4" w:space="0" w:color="auto"/>
              <w:left w:val="single" w:sz="4" w:space="0" w:color="auto"/>
              <w:bottom w:val="single" w:sz="4" w:space="0" w:color="auto"/>
              <w:right w:val="single" w:sz="4" w:space="0" w:color="auto"/>
            </w:tcBorders>
          </w:tcPr>
          <w:p w14:paraId="02818DCC" w14:textId="77777777" w:rsidR="00D7303D" w:rsidRPr="00342F7C" w:rsidRDefault="00D7303D" w:rsidP="00E95E29">
            <w:pPr>
              <w:pStyle w:val="EMEANormal"/>
              <w:rPr>
                <w:lang w:val="en-GB"/>
              </w:rPr>
            </w:pPr>
            <w:r w:rsidRPr="00342F7C">
              <w:rPr>
                <w:lang w:val="en-GB"/>
              </w:rPr>
              <w:t>Tenofovir</w:t>
            </w:r>
            <w:r w:rsidR="000B35E1">
              <w:rPr>
                <w:lang w:val="en-GB"/>
              </w:rPr>
              <w:t xml:space="preserve"> disoproxil fumarate (DF)</w:t>
            </w:r>
            <w:r w:rsidRPr="00342F7C">
              <w:rPr>
                <w:lang w:val="en-GB"/>
              </w:rPr>
              <w:t>, 300 mg QD</w:t>
            </w:r>
          </w:p>
          <w:p w14:paraId="3F297DD6" w14:textId="77777777" w:rsidR="00D7303D" w:rsidRPr="00342F7C" w:rsidRDefault="00D7303D" w:rsidP="00E95E29">
            <w:pPr>
              <w:pStyle w:val="EMEANormal"/>
              <w:rPr>
                <w:lang w:val="en-GB"/>
              </w:rPr>
            </w:pPr>
          </w:p>
          <w:p w14:paraId="35CD5376" w14:textId="77777777" w:rsidR="00D7303D" w:rsidRPr="00342F7C" w:rsidRDefault="000B35E1" w:rsidP="00E95E29">
            <w:pPr>
              <w:pStyle w:val="EMEANormal"/>
              <w:rPr>
                <w:i/>
                <w:iCs/>
                <w:lang w:val="en-GB"/>
              </w:rPr>
            </w:pPr>
            <w:r>
              <w:rPr>
                <w:lang w:val="en-GB"/>
              </w:rPr>
              <w:t>(equivalent to 245 mg tenofovir disoproxil)</w:t>
            </w:r>
          </w:p>
        </w:tc>
        <w:tc>
          <w:tcPr>
            <w:tcW w:w="3240" w:type="dxa"/>
            <w:gridSpan w:val="2"/>
            <w:tcBorders>
              <w:top w:val="single" w:sz="4" w:space="0" w:color="auto"/>
              <w:left w:val="single" w:sz="4" w:space="0" w:color="auto"/>
              <w:bottom w:val="single" w:sz="4" w:space="0" w:color="auto"/>
              <w:right w:val="single" w:sz="4" w:space="0" w:color="auto"/>
            </w:tcBorders>
          </w:tcPr>
          <w:p w14:paraId="2107A2BF" w14:textId="77777777" w:rsidR="00D7303D" w:rsidRPr="00342F7C" w:rsidRDefault="00D7303D" w:rsidP="00E95E29">
            <w:pPr>
              <w:pStyle w:val="EMEANormal"/>
              <w:rPr>
                <w:lang w:val="en-GB"/>
              </w:rPr>
            </w:pPr>
            <w:r w:rsidRPr="00342F7C">
              <w:rPr>
                <w:lang w:val="en-GB"/>
              </w:rPr>
              <w:t>Tenofovir:</w:t>
            </w:r>
          </w:p>
          <w:p w14:paraId="3CFB3ACD" w14:textId="77777777" w:rsidR="00D7303D" w:rsidRPr="00342F7C" w:rsidRDefault="00D7303D" w:rsidP="00E95E29">
            <w:pPr>
              <w:pStyle w:val="EMEANormal"/>
              <w:rPr>
                <w:szCs w:val="22"/>
                <w:lang w:val="en-GB"/>
              </w:rPr>
            </w:pPr>
            <w:r w:rsidRPr="00342F7C">
              <w:rPr>
                <w:szCs w:val="22"/>
                <w:lang w:val="en-GB"/>
              </w:rPr>
              <w:t>AUC: ↑ 32%</w:t>
            </w:r>
          </w:p>
          <w:p w14:paraId="0D0B93E8" w14:textId="77777777" w:rsidR="00D7303D" w:rsidRPr="00342F7C" w:rsidRDefault="00D7303D" w:rsidP="00E95E29">
            <w:pPr>
              <w:pStyle w:val="EMEANormal"/>
              <w:rPr>
                <w:szCs w:val="22"/>
                <w:lang w:val="en-GB"/>
              </w:rPr>
            </w:pPr>
            <w:r w:rsidRPr="00342F7C">
              <w:rPr>
                <w:szCs w:val="22"/>
                <w:lang w:val="en-GB"/>
              </w:rPr>
              <w:t>C</w:t>
            </w:r>
            <w:r w:rsidRPr="00342F7C">
              <w:rPr>
                <w:szCs w:val="22"/>
                <w:vertAlign w:val="subscript"/>
                <w:lang w:val="en-GB"/>
              </w:rPr>
              <w:t>max</w:t>
            </w:r>
            <w:r w:rsidRPr="00342F7C">
              <w:rPr>
                <w:szCs w:val="22"/>
                <w:lang w:val="en-GB"/>
              </w:rPr>
              <w:t>: ↔</w:t>
            </w:r>
          </w:p>
          <w:p w14:paraId="1035DF0F" w14:textId="77777777" w:rsidR="00D7303D" w:rsidRPr="00342F7C" w:rsidRDefault="00D7303D" w:rsidP="00E95E29">
            <w:pPr>
              <w:pStyle w:val="EMEANormal"/>
              <w:rPr>
                <w:lang w:val="en-GB"/>
              </w:rPr>
            </w:pPr>
            <w:r w:rsidRPr="00342F7C">
              <w:rPr>
                <w:szCs w:val="22"/>
                <w:lang w:val="en-GB"/>
              </w:rPr>
              <w:t>C</w:t>
            </w:r>
            <w:r w:rsidRPr="00342F7C">
              <w:rPr>
                <w:szCs w:val="22"/>
                <w:vertAlign w:val="subscript"/>
                <w:lang w:val="en-GB"/>
              </w:rPr>
              <w:t>min</w:t>
            </w:r>
            <w:r w:rsidRPr="00342F7C">
              <w:rPr>
                <w:szCs w:val="22"/>
                <w:lang w:val="en-GB"/>
              </w:rPr>
              <w:t>: ↑ 51%</w:t>
            </w:r>
          </w:p>
          <w:p w14:paraId="7DBB09A1" w14:textId="77777777" w:rsidR="00D7303D" w:rsidRPr="00342F7C" w:rsidRDefault="00D7303D" w:rsidP="00E95E29">
            <w:pPr>
              <w:pStyle w:val="EMEANormal"/>
              <w:rPr>
                <w:lang w:val="en-GB"/>
              </w:rPr>
            </w:pPr>
          </w:p>
          <w:p w14:paraId="0B6D54C3" w14:textId="77777777" w:rsidR="00D7303D" w:rsidRPr="00342F7C" w:rsidRDefault="00D7303D" w:rsidP="00E95E29">
            <w:pPr>
              <w:pStyle w:val="EMEANormal"/>
              <w:rPr>
                <w:lang w:val="en-GB"/>
              </w:rPr>
            </w:pPr>
            <w:r w:rsidRPr="00342F7C">
              <w:rPr>
                <w:lang w:val="en-GB"/>
              </w:rPr>
              <w:t xml:space="preserve">Lopinavir: </w:t>
            </w:r>
            <w:r w:rsidRPr="00342F7C">
              <w:rPr>
                <w:szCs w:val="22"/>
                <w:lang w:val="en-GB"/>
              </w:rPr>
              <w:t>↔</w:t>
            </w:r>
          </w:p>
        </w:tc>
        <w:tc>
          <w:tcPr>
            <w:tcW w:w="3432" w:type="dxa"/>
            <w:gridSpan w:val="2"/>
            <w:tcBorders>
              <w:top w:val="single" w:sz="4" w:space="0" w:color="auto"/>
              <w:left w:val="single" w:sz="4" w:space="0" w:color="auto"/>
              <w:bottom w:val="single" w:sz="4" w:space="0" w:color="auto"/>
              <w:right w:val="single" w:sz="4" w:space="0" w:color="auto"/>
            </w:tcBorders>
          </w:tcPr>
          <w:p w14:paraId="7C596646" w14:textId="77777777" w:rsidR="00D7303D" w:rsidRPr="00342F7C" w:rsidRDefault="00D7303D" w:rsidP="00E95E29">
            <w:pPr>
              <w:pStyle w:val="EMEANormal"/>
              <w:rPr>
                <w:lang w:val="en-GB"/>
              </w:rPr>
            </w:pPr>
            <w:r w:rsidRPr="00342F7C">
              <w:rPr>
                <w:lang w:val="en-GB"/>
              </w:rPr>
              <w:t>No dose adjustment necessary.</w:t>
            </w:r>
          </w:p>
          <w:p w14:paraId="0CB5766E" w14:textId="77777777" w:rsidR="00D7303D" w:rsidRPr="00342F7C" w:rsidRDefault="00D7303D" w:rsidP="00E95E29">
            <w:pPr>
              <w:pStyle w:val="EMEANormal"/>
              <w:rPr>
                <w:lang w:val="en-GB"/>
              </w:rPr>
            </w:pPr>
            <w:r w:rsidRPr="00342F7C">
              <w:rPr>
                <w:lang w:val="en-GB"/>
              </w:rPr>
              <w:t>Higher tenofovir concentrations could potentiate tenofovir associated adverse events, including renal disorders.</w:t>
            </w:r>
          </w:p>
        </w:tc>
      </w:tr>
      <w:tr w:rsidR="00D7303D" w:rsidRPr="00342F7C" w14:paraId="73F8DC61"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487CBA03" w14:textId="77777777" w:rsidR="00D7303D" w:rsidRPr="00342F7C" w:rsidRDefault="00D7303D" w:rsidP="00D11B95">
            <w:pPr>
              <w:pStyle w:val="EMEANormal"/>
              <w:keepNext/>
              <w:rPr>
                <w:lang w:val="en-GB"/>
              </w:rPr>
            </w:pPr>
            <w:r w:rsidRPr="00342F7C">
              <w:rPr>
                <w:i/>
                <w:iCs/>
                <w:lang w:val="en-GB"/>
              </w:rPr>
              <w:t>Non-nucleoside reverse transcriptase inhibitors (NNRTIs)</w:t>
            </w:r>
            <w:r w:rsidRPr="00342F7C">
              <w:rPr>
                <w:i/>
                <w:iCs/>
                <w:lang w:val="en-GB"/>
              </w:rPr>
              <w:tab/>
            </w:r>
          </w:p>
        </w:tc>
      </w:tr>
      <w:tr w:rsidR="00D7303D" w:rsidRPr="00342F7C" w14:paraId="32609576" w14:textId="77777777" w:rsidTr="008F531F">
        <w:trPr>
          <w:cantSplit/>
        </w:trPr>
        <w:tc>
          <w:tcPr>
            <w:tcW w:w="2400" w:type="dxa"/>
            <w:tcBorders>
              <w:top w:val="single" w:sz="4" w:space="0" w:color="auto"/>
              <w:left w:val="single" w:sz="4" w:space="0" w:color="auto"/>
              <w:bottom w:val="single" w:sz="4" w:space="0" w:color="auto"/>
              <w:right w:val="single" w:sz="4" w:space="0" w:color="auto"/>
            </w:tcBorders>
          </w:tcPr>
          <w:p w14:paraId="2D2B6688" w14:textId="77777777" w:rsidR="00D7303D" w:rsidRPr="00342F7C" w:rsidRDefault="00D7303D" w:rsidP="00E95E29">
            <w:pPr>
              <w:pStyle w:val="EMEANormal"/>
              <w:rPr>
                <w:bCs/>
                <w:iCs/>
                <w:lang w:val="en-GB"/>
              </w:rPr>
            </w:pPr>
            <w:r w:rsidRPr="00342F7C">
              <w:rPr>
                <w:bCs/>
                <w:iCs/>
                <w:lang w:val="en-GB"/>
              </w:rPr>
              <w:t>Efavirenz, 600 mg QD</w:t>
            </w:r>
          </w:p>
          <w:p w14:paraId="75093B75" w14:textId="77777777" w:rsidR="00D7303D" w:rsidRPr="00342F7C" w:rsidRDefault="00D7303D" w:rsidP="00E95E29">
            <w:pPr>
              <w:pStyle w:val="EMEANormal"/>
              <w:rPr>
                <w:bCs/>
                <w:iCs/>
                <w:lang w:val="en-GB"/>
              </w:rPr>
            </w:pPr>
          </w:p>
          <w:p w14:paraId="7E3ADF5A" w14:textId="77777777" w:rsidR="00D7303D" w:rsidRPr="00342F7C" w:rsidRDefault="00D7303D" w:rsidP="00E95E29">
            <w:pPr>
              <w:pStyle w:val="EMEANormal"/>
              <w:rPr>
                <w:bCs/>
                <w:iCs/>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3397769C" w14:textId="77777777" w:rsidR="00D7303D" w:rsidRPr="00342F7C" w:rsidRDefault="00D7303D" w:rsidP="00D11B95">
            <w:pPr>
              <w:pStyle w:val="EMEANormal"/>
              <w:keepNext/>
              <w:rPr>
                <w:lang w:val="en-GB"/>
              </w:rPr>
            </w:pPr>
            <w:r w:rsidRPr="00342F7C">
              <w:rPr>
                <w:lang w:val="en-GB"/>
              </w:rPr>
              <w:t>Lopinavir:</w:t>
            </w:r>
          </w:p>
          <w:p w14:paraId="54ADFC56" w14:textId="77777777" w:rsidR="00D7303D" w:rsidRPr="00342F7C" w:rsidRDefault="00D7303D" w:rsidP="00D11B95">
            <w:pPr>
              <w:pStyle w:val="EMEANormal"/>
              <w:keepNext/>
              <w:rPr>
                <w:lang w:val="en-GB"/>
              </w:rPr>
            </w:pPr>
            <w:r w:rsidRPr="00342F7C">
              <w:rPr>
                <w:lang w:val="en-GB"/>
              </w:rPr>
              <w:t>AUC: ↓</w:t>
            </w:r>
            <w:r w:rsidRPr="00342F7C">
              <w:rPr>
                <w:rFonts w:cs="Verdana"/>
                <w:lang w:val="en-GB"/>
              </w:rPr>
              <w:t xml:space="preserve"> 20%</w:t>
            </w:r>
          </w:p>
          <w:p w14:paraId="31B65BE4" w14:textId="77777777" w:rsidR="00D7303D" w:rsidRPr="00342F7C" w:rsidRDefault="00D7303D" w:rsidP="00D11B95">
            <w:pPr>
              <w:pStyle w:val="EMEANormal"/>
              <w:keepNext/>
              <w:rPr>
                <w:lang w:val="en-GB"/>
              </w:rPr>
            </w:pPr>
            <w:r w:rsidRPr="00342F7C">
              <w:rPr>
                <w:lang w:val="en-GB"/>
              </w:rPr>
              <w:t>C</w:t>
            </w:r>
            <w:r w:rsidRPr="00342F7C">
              <w:rPr>
                <w:vertAlign w:val="subscript"/>
                <w:lang w:val="en-GB"/>
              </w:rPr>
              <w:t>max</w:t>
            </w:r>
            <w:r w:rsidRPr="00342F7C">
              <w:rPr>
                <w:lang w:val="en-GB"/>
              </w:rPr>
              <w:t>: ↓ 13%</w:t>
            </w:r>
          </w:p>
          <w:p w14:paraId="3BEFFBD7" w14:textId="77777777" w:rsidR="00D7303D" w:rsidRPr="00342F7C" w:rsidRDefault="00D7303D" w:rsidP="00D11B95">
            <w:pPr>
              <w:pStyle w:val="EMEANormal"/>
              <w:keepNext/>
              <w:rPr>
                <w:lang w:val="en-GB"/>
              </w:rPr>
            </w:pPr>
            <w:r w:rsidRPr="00342F7C">
              <w:rPr>
                <w:lang w:val="en-GB"/>
              </w:rPr>
              <w:t>C</w:t>
            </w:r>
            <w:r w:rsidRPr="00342F7C">
              <w:rPr>
                <w:vertAlign w:val="subscript"/>
                <w:lang w:val="en-GB"/>
              </w:rPr>
              <w:t>min</w:t>
            </w:r>
            <w:r w:rsidRPr="00342F7C">
              <w:rPr>
                <w:lang w:val="en-GB"/>
              </w:rPr>
              <w:t>: ↓</w:t>
            </w:r>
            <w:r w:rsidRPr="00342F7C">
              <w:rPr>
                <w:rFonts w:cs="Verdana"/>
                <w:lang w:val="en-GB"/>
              </w:rPr>
              <w:t xml:space="preserve"> 42%</w:t>
            </w:r>
          </w:p>
        </w:tc>
        <w:tc>
          <w:tcPr>
            <w:tcW w:w="3432" w:type="dxa"/>
            <w:gridSpan w:val="2"/>
            <w:vMerge w:val="restart"/>
            <w:tcBorders>
              <w:top w:val="single" w:sz="4" w:space="0" w:color="auto"/>
              <w:left w:val="single" w:sz="4" w:space="0" w:color="auto"/>
              <w:bottom w:val="single" w:sz="4" w:space="0" w:color="auto"/>
              <w:right w:val="single" w:sz="4" w:space="0" w:color="auto"/>
            </w:tcBorders>
          </w:tcPr>
          <w:p w14:paraId="009D41EC" w14:textId="77777777" w:rsidR="00D7303D" w:rsidRPr="00342F7C" w:rsidRDefault="00D7303D" w:rsidP="00D11B95">
            <w:pPr>
              <w:pStyle w:val="EMEANormal"/>
              <w:keepNext/>
              <w:rPr>
                <w:lang w:val="en-GB"/>
              </w:rPr>
            </w:pPr>
            <w:r w:rsidRPr="00342F7C">
              <w:rPr>
                <w:lang w:val="en-GB"/>
              </w:rPr>
              <w:t xml:space="preserve">The Kaletra tablets dosage should be increased to 500/125 mg twice daily when co-administered with efavirenz.  </w:t>
            </w:r>
          </w:p>
          <w:p w14:paraId="2BF6B3E8" w14:textId="77777777" w:rsidR="00D7303D" w:rsidRPr="00342F7C" w:rsidRDefault="00D7303D" w:rsidP="00D11B95">
            <w:pPr>
              <w:pStyle w:val="EMEANormal"/>
              <w:keepNext/>
              <w:rPr>
                <w:lang w:val="en-GB"/>
              </w:rPr>
            </w:pPr>
            <w:r w:rsidRPr="00342F7C">
              <w:rPr>
                <w:lang w:val="en-GB"/>
              </w:rPr>
              <w:t>Kaletra must not be administered once daily in combination with efavirenz.</w:t>
            </w:r>
          </w:p>
        </w:tc>
      </w:tr>
      <w:tr w:rsidR="00D7303D" w:rsidRPr="00342F7C" w14:paraId="17A5D758" w14:textId="77777777" w:rsidTr="008F531F">
        <w:trPr>
          <w:cantSplit/>
        </w:trPr>
        <w:tc>
          <w:tcPr>
            <w:tcW w:w="2400" w:type="dxa"/>
            <w:tcBorders>
              <w:top w:val="single" w:sz="4" w:space="0" w:color="auto"/>
              <w:left w:val="single" w:sz="4" w:space="0" w:color="auto"/>
              <w:bottom w:val="single" w:sz="4" w:space="0" w:color="auto"/>
              <w:right w:val="single" w:sz="4" w:space="0" w:color="auto"/>
            </w:tcBorders>
          </w:tcPr>
          <w:p w14:paraId="3E52AE77" w14:textId="77777777" w:rsidR="00D7303D" w:rsidRPr="00342F7C" w:rsidRDefault="00D7303D" w:rsidP="00E95E29">
            <w:pPr>
              <w:pStyle w:val="EMEANormal"/>
              <w:rPr>
                <w:bCs/>
                <w:iCs/>
                <w:lang w:val="en-GB"/>
              </w:rPr>
            </w:pPr>
            <w:r w:rsidRPr="00342F7C">
              <w:rPr>
                <w:bCs/>
                <w:iCs/>
                <w:lang w:val="en-GB"/>
              </w:rPr>
              <w:t>Efavirenz, 600 mg QD</w:t>
            </w:r>
          </w:p>
          <w:p w14:paraId="04FBDE38" w14:textId="77777777" w:rsidR="00D7303D" w:rsidRPr="00342F7C" w:rsidRDefault="00D7303D" w:rsidP="00E95E29">
            <w:pPr>
              <w:pStyle w:val="EMEANormal"/>
              <w:rPr>
                <w:bCs/>
                <w:iCs/>
                <w:lang w:val="en-GB"/>
              </w:rPr>
            </w:pPr>
          </w:p>
          <w:p w14:paraId="4D88B102" w14:textId="77777777" w:rsidR="00D7303D" w:rsidRPr="00342F7C" w:rsidRDefault="00D7303D" w:rsidP="00E95E29">
            <w:pPr>
              <w:pStyle w:val="EMEANormal"/>
              <w:rPr>
                <w:lang w:val="en-GB"/>
              </w:rPr>
            </w:pPr>
            <w:r w:rsidRPr="00342F7C">
              <w:rPr>
                <w:lang w:val="en-GB"/>
              </w:rPr>
              <w:t>(Lopinavir/ritonavir 500/125 mg BID)</w:t>
            </w:r>
          </w:p>
          <w:p w14:paraId="0FFB6914" w14:textId="77777777" w:rsidR="00D7303D" w:rsidRPr="00342F7C" w:rsidRDefault="00D7303D" w:rsidP="00E95E29">
            <w:pPr>
              <w:pStyle w:val="EMEANormal"/>
              <w:rPr>
                <w:bCs/>
                <w:i/>
                <w:iCs/>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3AFAE574" w14:textId="77777777" w:rsidR="00D7303D" w:rsidRPr="00342F7C" w:rsidRDefault="00D7303D" w:rsidP="00E95E29">
            <w:pPr>
              <w:pStyle w:val="EMEANormal"/>
              <w:rPr>
                <w:rFonts w:cs="Verdana"/>
                <w:lang w:val="en-GB"/>
              </w:rPr>
            </w:pPr>
          </w:p>
          <w:p w14:paraId="46416E07" w14:textId="77777777" w:rsidR="00D7303D" w:rsidRPr="00342F7C" w:rsidRDefault="00D7303D" w:rsidP="00E95E29">
            <w:pPr>
              <w:pStyle w:val="EMEANormal"/>
              <w:rPr>
                <w:lang w:val="en-GB"/>
              </w:rPr>
            </w:pPr>
            <w:r w:rsidRPr="00342F7C">
              <w:rPr>
                <w:rFonts w:cs="Verdana"/>
                <w:lang w:val="en-GB"/>
              </w:rPr>
              <w:t xml:space="preserve">Lopinavir: </w:t>
            </w:r>
            <w:r w:rsidRPr="00342F7C">
              <w:rPr>
                <w:szCs w:val="22"/>
                <w:lang w:val="en-GB"/>
              </w:rPr>
              <w:t>↔</w:t>
            </w:r>
          </w:p>
          <w:p w14:paraId="5726E90B" w14:textId="77777777" w:rsidR="00D7303D" w:rsidRPr="00342F7C" w:rsidRDefault="00D7303D" w:rsidP="00E95E29">
            <w:pPr>
              <w:pStyle w:val="EMEANormal"/>
              <w:rPr>
                <w:lang w:val="en-GB"/>
              </w:rPr>
            </w:pPr>
            <w:r w:rsidRPr="00342F7C">
              <w:rPr>
                <w:lang w:val="en-GB"/>
              </w:rPr>
              <w:t xml:space="preserve">(Relative to 400/100 mg BID administered alone) </w:t>
            </w:r>
          </w:p>
        </w:tc>
        <w:tc>
          <w:tcPr>
            <w:tcW w:w="3432" w:type="dxa"/>
            <w:gridSpan w:val="2"/>
            <w:vMerge/>
            <w:tcBorders>
              <w:top w:val="single" w:sz="4" w:space="0" w:color="auto"/>
              <w:left w:val="single" w:sz="4" w:space="0" w:color="auto"/>
              <w:bottom w:val="single" w:sz="4" w:space="0" w:color="auto"/>
              <w:right w:val="single" w:sz="4" w:space="0" w:color="auto"/>
            </w:tcBorders>
            <w:vAlign w:val="center"/>
          </w:tcPr>
          <w:p w14:paraId="0AC7376C" w14:textId="77777777" w:rsidR="00D7303D" w:rsidRPr="00342F7C" w:rsidRDefault="00D7303D" w:rsidP="00E95E29">
            <w:pPr>
              <w:rPr>
                <w:sz w:val="22"/>
                <w:szCs w:val="20"/>
              </w:rPr>
            </w:pPr>
          </w:p>
        </w:tc>
      </w:tr>
      <w:tr w:rsidR="00D7303D" w:rsidRPr="00342F7C" w14:paraId="3B226EF7" w14:textId="77777777" w:rsidTr="008F531F">
        <w:tc>
          <w:tcPr>
            <w:tcW w:w="2400" w:type="dxa"/>
            <w:tcBorders>
              <w:top w:val="single" w:sz="4" w:space="0" w:color="auto"/>
              <w:left w:val="single" w:sz="4" w:space="0" w:color="auto"/>
              <w:bottom w:val="single" w:sz="4" w:space="0" w:color="auto"/>
              <w:right w:val="single" w:sz="4" w:space="0" w:color="auto"/>
            </w:tcBorders>
          </w:tcPr>
          <w:p w14:paraId="50430BC8" w14:textId="77777777" w:rsidR="00D7303D" w:rsidRPr="00342F7C" w:rsidRDefault="00D7303D" w:rsidP="00E95E29">
            <w:pPr>
              <w:pStyle w:val="EMEANormal"/>
              <w:rPr>
                <w:bCs/>
                <w:i/>
                <w:lang w:val="en-GB"/>
              </w:rPr>
            </w:pPr>
            <w:r w:rsidRPr="00342F7C">
              <w:rPr>
                <w:bCs/>
                <w:iCs/>
                <w:lang w:val="en-GB"/>
              </w:rPr>
              <w:t>Nevirapine, 200 mg BID</w:t>
            </w:r>
          </w:p>
          <w:p w14:paraId="3727D611" w14:textId="77777777" w:rsidR="00D7303D" w:rsidRPr="00342F7C" w:rsidRDefault="00D7303D" w:rsidP="00E95E29">
            <w:pPr>
              <w:pStyle w:val="EMEANormal"/>
              <w:rPr>
                <w:bCs/>
                <w:i/>
                <w:lang w:val="en-GB"/>
              </w:rPr>
            </w:pPr>
          </w:p>
          <w:p w14:paraId="0E4C1EEC" w14:textId="77777777" w:rsidR="00D7303D" w:rsidRPr="00342F7C" w:rsidRDefault="00D7303D" w:rsidP="00E95E29">
            <w:pPr>
              <w:pStyle w:val="EMEANormal"/>
              <w:rPr>
                <w:i/>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194B07EC" w14:textId="77777777" w:rsidR="00D7303D" w:rsidRPr="00342F7C" w:rsidRDefault="00D7303D" w:rsidP="00E95E29">
            <w:pPr>
              <w:pStyle w:val="EMEANormal"/>
              <w:rPr>
                <w:lang w:val="en-GB"/>
              </w:rPr>
            </w:pPr>
            <w:r w:rsidRPr="00342F7C">
              <w:rPr>
                <w:lang w:val="en-GB"/>
              </w:rPr>
              <w:t>Lopinavir:</w:t>
            </w:r>
          </w:p>
          <w:p w14:paraId="6E7BA772" w14:textId="77777777" w:rsidR="00D7303D" w:rsidRPr="00342F7C" w:rsidRDefault="00D7303D" w:rsidP="00E95E29">
            <w:pPr>
              <w:pStyle w:val="EMEANormal"/>
              <w:rPr>
                <w:lang w:val="en-GB"/>
              </w:rPr>
            </w:pPr>
            <w:r w:rsidRPr="00342F7C">
              <w:rPr>
                <w:lang w:val="en-GB"/>
              </w:rPr>
              <w:t>AUC: ↓</w:t>
            </w:r>
            <w:r w:rsidRPr="00342F7C">
              <w:rPr>
                <w:rFonts w:cs="Verdana"/>
                <w:lang w:val="en-GB"/>
              </w:rPr>
              <w:t xml:space="preserve"> 27%</w:t>
            </w:r>
          </w:p>
          <w:p w14:paraId="18D3C1E5" w14:textId="77777777" w:rsidR="00D7303D" w:rsidRPr="00342F7C" w:rsidRDefault="00D7303D" w:rsidP="00E95E29">
            <w:pPr>
              <w:pStyle w:val="EMEANormal"/>
              <w:rPr>
                <w:lang w:val="en-GB"/>
              </w:rPr>
            </w:pPr>
            <w:r w:rsidRPr="00342F7C">
              <w:rPr>
                <w:lang w:val="en-GB"/>
              </w:rPr>
              <w:t>C</w:t>
            </w:r>
            <w:r w:rsidRPr="00342F7C">
              <w:rPr>
                <w:vertAlign w:val="subscript"/>
                <w:lang w:val="en-GB"/>
              </w:rPr>
              <w:t>max</w:t>
            </w:r>
            <w:r w:rsidRPr="00342F7C">
              <w:rPr>
                <w:lang w:val="en-GB"/>
              </w:rPr>
              <w:t>: ↓ 19%</w:t>
            </w:r>
          </w:p>
          <w:p w14:paraId="0EC21CE0" w14:textId="77777777" w:rsidR="00D7303D" w:rsidRPr="00342F7C" w:rsidRDefault="00D7303D" w:rsidP="00F4521F">
            <w:pPr>
              <w:pStyle w:val="EMEANormal"/>
              <w:rPr>
                <w:lang w:val="en-GB"/>
              </w:rPr>
            </w:pPr>
            <w:r w:rsidRPr="00342F7C">
              <w:rPr>
                <w:lang w:val="en-GB"/>
              </w:rPr>
              <w:t>C</w:t>
            </w:r>
            <w:r w:rsidRPr="00342F7C">
              <w:rPr>
                <w:vertAlign w:val="subscript"/>
                <w:lang w:val="en-GB"/>
              </w:rPr>
              <w:t>min</w:t>
            </w:r>
            <w:r w:rsidRPr="00342F7C">
              <w:rPr>
                <w:lang w:val="en-GB"/>
              </w:rPr>
              <w:t>: ↓</w:t>
            </w:r>
            <w:r w:rsidRPr="00342F7C">
              <w:rPr>
                <w:rFonts w:cs="Verdana"/>
                <w:lang w:val="en-GB"/>
              </w:rPr>
              <w:t xml:space="preserve"> 51%</w:t>
            </w:r>
          </w:p>
        </w:tc>
        <w:tc>
          <w:tcPr>
            <w:tcW w:w="3432" w:type="dxa"/>
            <w:gridSpan w:val="2"/>
            <w:tcBorders>
              <w:top w:val="single" w:sz="4" w:space="0" w:color="auto"/>
              <w:left w:val="single" w:sz="4" w:space="0" w:color="auto"/>
              <w:bottom w:val="single" w:sz="4" w:space="0" w:color="auto"/>
              <w:right w:val="single" w:sz="4" w:space="0" w:color="auto"/>
            </w:tcBorders>
          </w:tcPr>
          <w:p w14:paraId="47DA7712" w14:textId="77777777" w:rsidR="00D7303D" w:rsidRPr="00342F7C" w:rsidRDefault="00D7303D" w:rsidP="00E95E29">
            <w:pPr>
              <w:pStyle w:val="EMEANormal"/>
              <w:rPr>
                <w:lang w:val="en-GB"/>
              </w:rPr>
            </w:pPr>
            <w:r w:rsidRPr="00342F7C">
              <w:rPr>
                <w:lang w:val="en-GB"/>
              </w:rPr>
              <w:t xml:space="preserve">The Kaletra tablets dosage should be increased to 500/125 mg twice daily when co-administered with nevirapine.  </w:t>
            </w:r>
          </w:p>
          <w:p w14:paraId="2316C223" w14:textId="77777777" w:rsidR="00D7303D" w:rsidRPr="00342F7C" w:rsidRDefault="00D7303D" w:rsidP="00E95E29">
            <w:pPr>
              <w:pStyle w:val="EMEANormal"/>
              <w:rPr>
                <w:i/>
                <w:iCs/>
                <w:lang w:val="en-GB"/>
              </w:rPr>
            </w:pPr>
            <w:r w:rsidRPr="00342F7C">
              <w:rPr>
                <w:lang w:val="en-GB"/>
              </w:rPr>
              <w:t>Kaletra must not be administered once daily in combination with nevirapine.</w:t>
            </w:r>
          </w:p>
        </w:tc>
      </w:tr>
      <w:tr w:rsidR="00E7753E" w:rsidRPr="00342F7C" w14:paraId="5A7657E8" w14:textId="77777777" w:rsidTr="008F531F">
        <w:tc>
          <w:tcPr>
            <w:tcW w:w="2400" w:type="dxa"/>
            <w:tcBorders>
              <w:top w:val="single" w:sz="4" w:space="0" w:color="auto"/>
              <w:left w:val="single" w:sz="4" w:space="0" w:color="auto"/>
              <w:bottom w:val="single" w:sz="4" w:space="0" w:color="auto"/>
              <w:right w:val="single" w:sz="4" w:space="0" w:color="auto"/>
            </w:tcBorders>
          </w:tcPr>
          <w:p w14:paraId="3307C0B0" w14:textId="77777777" w:rsidR="00E7753E" w:rsidRPr="003C4A95" w:rsidRDefault="00E7753E" w:rsidP="00591AA5">
            <w:pPr>
              <w:keepNext/>
              <w:widowControl w:val="0"/>
              <w:autoSpaceDE w:val="0"/>
              <w:autoSpaceDN w:val="0"/>
              <w:adjustRightInd w:val="0"/>
              <w:ind w:right="-20"/>
              <w:rPr>
                <w:sz w:val="22"/>
                <w:szCs w:val="22"/>
                <w:lang w:val="fr-FR" w:eastAsia="fr-FR"/>
              </w:rPr>
            </w:pPr>
            <w:r w:rsidRPr="003C4A95">
              <w:rPr>
                <w:sz w:val="22"/>
                <w:szCs w:val="22"/>
                <w:lang w:val="fr-FR" w:eastAsia="fr-FR"/>
              </w:rPr>
              <w:t>Etravirine</w:t>
            </w:r>
          </w:p>
          <w:p w14:paraId="4B77FA4D" w14:textId="77777777" w:rsidR="00E7753E" w:rsidRDefault="00E7753E" w:rsidP="00F62C9B">
            <w:pPr>
              <w:pStyle w:val="EMEANormal"/>
              <w:keepNext/>
              <w:rPr>
                <w:szCs w:val="22"/>
                <w:lang w:val="fr-FR" w:eastAsia="fr-FR"/>
              </w:rPr>
            </w:pPr>
          </w:p>
          <w:p w14:paraId="54CA380F" w14:textId="77777777" w:rsidR="00E7753E" w:rsidRPr="00342F7C" w:rsidRDefault="00E7753E" w:rsidP="00F62C9B">
            <w:pPr>
              <w:pStyle w:val="EMEANormal"/>
              <w:keepNext/>
              <w:rPr>
                <w:bCs/>
                <w:iCs/>
                <w:lang w:val="en-GB"/>
              </w:rPr>
            </w:pPr>
            <w:r w:rsidRPr="006B3F1F">
              <w:rPr>
                <w:szCs w:val="22"/>
                <w:lang w:val="fr-FR" w:eastAsia="fr-FR"/>
              </w:rPr>
              <w:t>(</w:t>
            </w:r>
            <w:r w:rsidRPr="006B3F1F">
              <w:rPr>
                <w:szCs w:val="22"/>
              </w:rPr>
              <w:t>Lopinavir/ri</w:t>
            </w:r>
            <w:r w:rsidRPr="006B3F1F">
              <w:rPr>
                <w:spacing w:val="-1"/>
                <w:szCs w:val="22"/>
              </w:rPr>
              <w:t>t</w:t>
            </w:r>
            <w:r w:rsidRPr="006B3F1F">
              <w:rPr>
                <w:szCs w:val="22"/>
              </w:rPr>
              <w:t>onavir tablet 400/</w:t>
            </w:r>
            <w:r w:rsidRPr="006B3F1F">
              <w:rPr>
                <w:spacing w:val="-1"/>
                <w:szCs w:val="22"/>
              </w:rPr>
              <w:t>1</w:t>
            </w:r>
            <w:r w:rsidRPr="006B3F1F">
              <w:rPr>
                <w:szCs w:val="22"/>
              </w:rPr>
              <w:t>00</w:t>
            </w:r>
            <w:r w:rsidRPr="006B3F1F">
              <w:rPr>
                <w:spacing w:val="-7"/>
                <w:szCs w:val="22"/>
              </w:rPr>
              <w:t xml:space="preserve"> </w:t>
            </w:r>
            <w:r w:rsidRPr="006B3F1F">
              <w:rPr>
                <w:spacing w:val="-2"/>
                <w:szCs w:val="22"/>
              </w:rPr>
              <w:t>m</w:t>
            </w:r>
            <w:r w:rsidRPr="006B3F1F">
              <w:rPr>
                <w:szCs w:val="22"/>
              </w:rPr>
              <w:t>g</w:t>
            </w:r>
            <w:r w:rsidRPr="006B3F1F">
              <w:rPr>
                <w:spacing w:val="-2"/>
                <w:szCs w:val="22"/>
              </w:rPr>
              <w:t xml:space="preserve"> </w:t>
            </w:r>
            <w:r w:rsidRPr="006B3F1F">
              <w:rPr>
                <w:szCs w:val="22"/>
              </w:rPr>
              <w:t>BID)</w:t>
            </w:r>
          </w:p>
        </w:tc>
        <w:tc>
          <w:tcPr>
            <w:tcW w:w="3240" w:type="dxa"/>
            <w:gridSpan w:val="2"/>
            <w:tcBorders>
              <w:top w:val="single" w:sz="4" w:space="0" w:color="auto"/>
              <w:left w:val="single" w:sz="4" w:space="0" w:color="auto"/>
              <w:bottom w:val="single" w:sz="4" w:space="0" w:color="auto"/>
              <w:right w:val="single" w:sz="4" w:space="0" w:color="auto"/>
            </w:tcBorders>
          </w:tcPr>
          <w:p w14:paraId="6CD57A5A" w14:textId="77777777" w:rsidR="00E7753E" w:rsidRPr="00A13996" w:rsidRDefault="00E7753E" w:rsidP="00591AA5">
            <w:pPr>
              <w:keepNext/>
              <w:widowControl w:val="0"/>
              <w:autoSpaceDE w:val="0"/>
              <w:autoSpaceDN w:val="0"/>
              <w:adjustRightInd w:val="0"/>
              <w:spacing w:before="8" w:line="229" w:lineRule="auto"/>
              <w:ind w:left="44" w:right="-20"/>
              <w:rPr>
                <w:sz w:val="22"/>
                <w:szCs w:val="22"/>
                <w:lang w:val="fr-FR" w:eastAsia="fr-FR"/>
              </w:rPr>
            </w:pPr>
            <w:r w:rsidRPr="00A13996">
              <w:rPr>
                <w:sz w:val="22"/>
                <w:szCs w:val="22"/>
                <w:lang w:val="fr-FR" w:eastAsia="fr-FR"/>
              </w:rPr>
              <w:t>Etravirine:</w:t>
            </w:r>
          </w:p>
          <w:p w14:paraId="54C3C5E8" w14:textId="77777777" w:rsidR="00E7753E" w:rsidRPr="006B3F1F" w:rsidRDefault="00E7753E" w:rsidP="00591AA5">
            <w:pPr>
              <w:keepNext/>
              <w:widowControl w:val="0"/>
              <w:autoSpaceDE w:val="0"/>
              <w:autoSpaceDN w:val="0"/>
              <w:adjustRightInd w:val="0"/>
              <w:spacing w:before="5" w:line="234" w:lineRule="auto"/>
              <w:ind w:left="44" w:right="-20"/>
              <w:jc w:val="both"/>
              <w:rPr>
                <w:sz w:val="22"/>
                <w:szCs w:val="22"/>
                <w:lang w:val="fr-FR" w:eastAsia="fr-FR"/>
              </w:rPr>
            </w:pPr>
            <w:r w:rsidRPr="006B3F1F">
              <w:rPr>
                <w:sz w:val="22"/>
                <w:szCs w:val="22"/>
                <w:lang w:val="fr-FR" w:eastAsia="fr-FR"/>
              </w:rPr>
              <w:t>AUC:</w:t>
            </w:r>
            <w:r w:rsidRPr="006B3F1F">
              <w:rPr>
                <w:spacing w:val="-1"/>
                <w:sz w:val="22"/>
                <w:szCs w:val="22"/>
                <w:lang w:val="fr-FR" w:eastAsia="fr-FR"/>
              </w:rPr>
              <w:t xml:space="preserve"> </w:t>
            </w:r>
            <w:r w:rsidRPr="006B3F1F">
              <w:rPr>
                <w:sz w:val="22"/>
                <w:szCs w:val="22"/>
                <w:lang w:val="fr-FR" w:eastAsia="fr-FR"/>
              </w:rPr>
              <w:t>↓</w:t>
            </w:r>
            <w:r w:rsidRPr="006B3F1F">
              <w:rPr>
                <w:spacing w:val="-1"/>
                <w:sz w:val="22"/>
                <w:szCs w:val="22"/>
                <w:lang w:val="fr-FR" w:eastAsia="fr-FR"/>
              </w:rPr>
              <w:t xml:space="preserve"> </w:t>
            </w:r>
            <w:r w:rsidRPr="006B3F1F">
              <w:rPr>
                <w:sz w:val="22"/>
                <w:szCs w:val="22"/>
                <w:lang w:val="fr-FR" w:eastAsia="fr-FR"/>
              </w:rPr>
              <w:t>35%</w:t>
            </w:r>
          </w:p>
          <w:p w14:paraId="758C2ED1" w14:textId="77777777" w:rsidR="00E7753E" w:rsidRPr="006B3F1F" w:rsidRDefault="00E7753E" w:rsidP="00591AA5">
            <w:pPr>
              <w:keepNext/>
              <w:widowControl w:val="0"/>
              <w:autoSpaceDE w:val="0"/>
              <w:autoSpaceDN w:val="0"/>
              <w:adjustRightInd w:val="0"/>
              <w:spacing w:before="5" w:line="234" w:lineRule="auto"/>
              <w:ind w:left="44" w:right="-20"/>
              <w:jc w:val="both"/>
              <w:rPr>
                <w:spacing w:val="1"/>
                <w:sz w:val="22"/>
                <w:szCs w:val="22"/>
                <w:lang w:val="fr-FR" w:eastAsia="fr-FR"/>
              </w:rPr>
            </w:pPr>
            <w:r w:rsidRPr="006B3F1F">
              <w:rPr>
                <w:spacing w:val="2"/>
                <w:sz w:val="22"/>
                <w:szCs w:val="22"/>
                <w:lang w:val="fr-FR" w:eastAsia="fr-FR"/>
              </w:rPr>
              <w:t>C</w:t>
            </w:r>
            <w:r w:rsidRPr="006B3F1F">
              <w:rPr>
                <w:spacing w:val="-1"/>
                <w:position w:val="-3"/>
                <w:sz w:val="22"/>
                <w:szCs w:val="22"/>
                <w:vertAlign w:val="subscript"/>
                <w:lang w:val="fr-FR" w:eastAsia="fr-FR"/>
              </w:rPr>
              <w:t>mi</w:t>
            </w:r>
            <w:r w:rsidRPr="006B3F1F">
              <w:rPr>
                <w:position w:val="-3"/>
                <w:sz w:val="22"/>
                <w:szCs w:val="22"/>
                <w:vertAlign w:val="subscript"/>
                <w:lang w:val="fr-FR" w:eastAsia="fr-FR"/>
              </w:rPr>
              <w:t>n</w:t>
            </w:r>
            <w:r w:rsidRPr="006B3F1F">
              <w:rPr>
                <w:position w:val="-3"/>
                <w:sz w:val="22"/>
                <w:szCs w:val="22"/>
                <w:lang w:val="fr-FR" w:eastAsia="fr-FR"/>
              </w:rPr>
              <w:t>:</w:t>
            </w:r>
            <w:r w:rsidRPr="006B3F1F">
              <w:rPr>
                <w:spacing w:val="17"/>
                <w:position w:val="-3"/>
                <w:sz w:val="22"/>
                <w:szCs w:val="22"/>
                <w:lang w:val="fr-FR" w:eastAsia="fr-FR"/>
              </w:rPr>
              <w:t xml:space="preserve"> </w:t>
            </w:r>
            <w:r w:rsidRPr="006B3F1F">
              <w:rPr>
                <w:sz w:val="22"/>
                <w:szCs w:val="22"/>
                <w:lang w:val="fr-FR" w:eastAsia="fr-FR"/>
              </w:rPr>
              <w:t>↓</w:t>
            </w:r>
            <w:r w:rsidRPr="006B3F1F">
              <w:rPr>
                <w:spacing w:val="-1"/>
                <w:sz w:val="22"/>
                <w:szCs w:val="22"/>
                <w:lang w:val="fr-FR" w:eastAsia="fr-FR"/>
              </w:rPr>
              <w:t xml:space="preserve"> </w:t>
            </w:r>
            <w:r w:rsidRPr="006B3F1F">
              <w:rPr>
                <w:sz w:val="22"/>
                <w:szCs w:val="22"/>
                <w:lang w:val="fr-FR" w:eastAsia="fr-FR"/>
              </w:rPr>
              <w:t>45%</w:t>
            </w:r>
            <w:r w:rsidRPr="006B3F1F">
              <w:rPr>
                <w:spacing w:val="1"/>
                <w:sz w:val="22"/>
                <w:szCs w:val="22"/>
                <w:lang w:val="fr-FR" w:eastAsia="fr-FR"/>
              </w:rPr>
              <w:t xml:space="preserve"> </w:t>
            </w:r>
          </w:p>
          <w:p w14:paraId="1DED0A74" w14:textId="77777777" w:rsidR="00E7753E" w:rsidRPr="006B3F1F" w:rsidRDefault="00E7753E" w:rsidP="00591AA5">
            <w:pPr>
              <w:pStyle w:val="EMEANormal"/>
              <w:keepNext/>
              <w:ind w:left="44"/>
              <w:rPr>
                <w:szCs w:val="22"/>
                <w:lang w:val="fr-FR" w:eastAsia="fr-FR"/>
              </w:rPr>
            </w:pPr>
            <w:r w:rsidRPr="006B3F1F">
              <w:rPr>
                <w:spacing w:val="2"/>
                <w:szCs w:val="22"/>
                <w:lang w:val="fr-FR" w:eastAsia="fr-FR"/>
              </w:rPr>
              <w:t>C</w:t>
            </w:r>
            <w:r w:rsidRPr="006B3F1F">
              <w:rPr>
                <w:spacing w:val="-1"/>
                <w:position w:val="-3"/>
                <w:szCs w:val="22"/>
                <w:vertAlign w:val="subscript"/>
                <w:lang w:val="fr-FR" w:eastAsia="fr-FR"/>
              </w:rPr>
              <w:t>ma</w:t>
            </w:r>
            <w:r w:rsidRPr="006B3F1F">
              <w:rPr>
                <w:position w:val="-3"/>
                <w:szCs w:val="22"/>
                <w:vertAlign w:val="subscript"/>
                <w:lang w:val="fr-FR" w:eastAsia="fr-FR"/>
              </w:rPr>
              <w:t>x</w:t>
            </w:r>
            <w:r w:rsidRPr="006B3F1F">
              <w:rPr>
                <w:position w:val="-3"/>
                <w:szCs w:val="22"/>
                <w:lang w:val="fr-FR" w:eastAsia="fr-FR"/>
              </w:rPr>
              <w:t>:</w:t>
            </w:r>
            <w:r w:rsidRPr="006B3F1F">
              <w:rPr>
                <w:spacing w:val="17"/>
                <w:position w:val="-3"/>
                <w:szCs w:val="22"/>
                <w:lang w:val="fr-FR" w:eastAsia="fr-FR"/>
              </w:rPr>
              <w:t xml:space="preserve"> </w:t>
            </w:r>
            <w:r w:rsidRPr="006B3F1F">
              <w:rPr>
                <w:szCs w:val="22"/>
                <w:lang w:val="fr-FR" w:eastAsia="fr-FR"/>
              </w:rPr>
              <w:t>↓</w:t>
            </w:r>
            <w:r w:rsidRPr="006B3F1F">
              <w:rPr>
                <w:spacing w:val="-1"/>
                <w:szCs w:val="22"/>
                <w:lang w:val="fr-FR" w:eastAsia="fr-FR"/>
              </w:rPr>
              <w:t xml:space="preserve"> </w:t>
            </w:r>
            <w:r w:rsidRPr="006B3F1F">
              <w:rPr>
                <w:szCs w:val="22"/>
                <w:lang w:val="fr-FR" w:eastAsia="fr-FR"/>
              </w:rPr>
              <w:t>30%</w:t>
            </w:r>
          </w:p>
          <w:p w14:paraId="29B6C7CD" w14:textId="77777777" w:rsidR="00E7753E" w:rsidRPr="006B3F1F" w:rsidRDefault="00E7753E" w:rsidP="00591AA5">
            <w:pPr>
              <w:pStyle w:val="EMEANormal"/>
              <w:keepNext/>
              <w:ind w:left="44"/>
              <w:rPr>
                <w:szCs w:val="22"/>
                <w:lang w:val="fr-FR" w:eastAsia="fr-FR"/>
              </w:rPr>
            </w:pPr>
          </w:p>
          <w:p w14:paraId="641BDE22" w14:textId="77777777" w:rsidR="00E7753E" w:rsidRPr="006B3F1F" w:rsidRDefault="00E7753E" w:rsidP="00591AA5">
            <w:pPr>
              <w:keepNext/>
              <w:widowControl w:val="0"/>
              <w:autoSpaceDE w:val="0"/>
              <w:autoSpaceDN w:val="0"/>
              <w:adjustRightInd w:val="0"/>
              <w:spacing w:line="222" w:lineRule="exact"/>
              <w:ind w:left="44" w:right="-20"/>
              <w:rPr>
                <w:sz w:val="22"/>
                <w:szCs w:val="22"/>
                <w:lang w:val="fr-FR" w:eastAsia="fr-FR"/>
              </w:rPr>
            </w:pPr>
            <w:r w:rsidRPr="006B3F1F">
              <w:rPr>
                <w:sz w:val="22"/>
                <w:szCs w:val="22"/>
                <w:lang w:val="fr-FR" w:eastAsia="fr-FR"/>
              </w:rPr>
              <w:t>Lopinavir:</w:t>
            </w:r>
          </w:p>
          <w:p w14:paraId="1C25B650" w14:textId="77777777" w:rsidR="00E7753E" w:rsidRPr="006B3F1F" w:rsidRDefault="00E7753E" w:rsidP="00591AA5">
            <w:pPr>
              <w:keepNext/>
              <w:widowControl w:val="0"/>
              <w:autoSpaceDE w:val="0"/>
              <w:autoSpaceDN w:val="0"/>
              <w:adjustRightInd w:val="0"/>
              <w:spacing w:before="8" w:line="229" w:lineRule="auto"/>
              <w:ind w:left="44" w:right="-20"/>
              <w:rPr>
                <w:spacing w:val="1"/>
                <w:sz w:val="22"/>
                <w:szCs w:val="22"/>
                <w:lang w:val="fr-FR" w:eastAsia="fr-FR"/>
              </w:rPr>
            </w:pPr>
            <w:r w:rsidRPr="006B3F1F">
              <w:rPr>
                <w:sz w:val="22"/>
                <w:szCs w:val="22"/>
                <w:lang w:val="fr-FR" w:eastAsia="fr-FR"/>
              </w:rPr>
              <w:t>AUC:</w:t>
            </w:r>
            <w:r w:rsidRPr="006B3F1F">
              <w:rPr>
                <w:spacing w:val="-4"/>
                <w:sz w:val="22"/>
                <w:szCs w:val="22"/>
                <w:lang w:val="fr-FR" w:eastAsia="fr-FR"/>
              </w:rPr>
              <w:t xml:space="preserve"> </w:t>
            </w:r>
            <w:r w:rsidRPr="006B3F1F">
              <w:rPr>
                <w:sz w:val="22"/>
                <w:szCs w:val="22"/>
                <w:lang w:val="fr-FR" w:eastAsia="fr-FR"/>
              </w:rPr>
              <w:t>↔</w:t>
            </w:r>
            <w:r w:rsidRPr="006B3F1F">
              <w:rPr>
                <w:spacing w:val="-1"/>
                <w:sz w:val="22"/>
                <w:szCs w:val="22"/>
                <w:lang w:val="fr-FR" w:eastAsia="fr-FR"/>
              </w:rPr>
              <w:t xml:space="preserve"> </w:t>
            </w:r>
          </w:p>
          <w:p w14:paraId="6DCFED7B" w14:textId="77777777" w:rsidR="00E7753E" w:rsidRPr="006B3F1F" w:rsidRDefault="00E7753E" w:rsidP="00591AA5">
            <w:pPr>
              <w:keepNext/>
              <w:widowControl w:val="0"/>
              <w:autoSpaceDE w:val="0"/>
              <w:autoSpaceDN w:val="0"/>
              <w:adjustRightInd w:val="0"/>
              <w:spacing w:before="8" w:line="229" w:lineRule="auto"/>
              <w:ind w:left="44" w:right="-20"/>
              <w:rPr>
                <w:spacing w:val="1"/>
                <w:sz w:val="22"/>
                <w:szCs w:val="22"/>
                <w:lang w:val="fr-FR" w:eastAsia="fr-FR"/>
              </w:rPr>
            </w:pPr>
            <w:r w:rsidRPr="006B3F1F">
              <w:rPr>
                <w:spacing w:val="2"/>
                <w:sz w:val="22"/>
                <w:szCs w:val="22"/>
                <w:lang w:val="fr-FR" w:eastAsia="fr-FR"/>
              </w:rPr>
              <w:t>C</w:t>
            </w:r>
            <w:r w:rsidRPr="006B3F1F">
              <w:rPr>
                <w:spacing w:val="-1"/>
                <w:position w:val="-3"/>
                <w:sz w:val="22"/>
                <w:szCs w:val="22"/>
                <w:vertAlign w:val="subscript"/>
                <w:lang w:val="fr-FR" w:eastAsia="fr-FR"/>
              </w:rPr>
              <w:t>mi</w:t>
            </w:r>
            <w:r w:rsidRPr="006B3F1F">
              <w:rPr>
                <w:position w:val="-3"/>
                <w:sz w:val="22"/>
                <w:szCs w:val="22"/>
                <w:vertAlign w:val="subscript"/>
                <w:lang w:val="fr-FR" w:eastAsia="fr-FR"/>
              </w:rPr>
              <w:t>n</w:t>
            </w:r>
            <w:r w:rsidRPr="006B3F1F">
              <w:rPr>
                <w:position w:val="-3"/>
                <w:sz w:val="22"/>
                <w:szCs w:val="22"/>
                <w:lang w:val="fr-FR" w:eastAsia="fr-FR"/>
              </w:rPr>
              <w:t>:</w:t>
            </w:r>
            <w:r w:rsidRPr="006B3F1F">
              <w:rPr>
                <w:spacing w:val="17"/>
                <w:position w:val="-3"/>
                <w:sz w:val="22"/>
                <w:szCs w:val="22"/>
                <w:lang w:val="fr-FR" w:eastAsia="fr-FR"/>
              </w:rPr>
              <w:t xml:space="preserve"> </w:t>
            </w:r>
            <w:r w:rsidRPr="006B3F1F">
              <w:rPr>
                <w:sz w:val="22"/>
                <w:szCs w:val="22"/>
                <w:lang w:val="fr-FR" w:eastAsia="fr-FR"/>
              </w:rPr>
              <w:t>↓</w:t>
            </w:r>
            <w:r w:rsidRPr="006B3F1F">
              <w:rPr>
                <w:spacing w:val="-1"/>
                <w:sz w:val="22"/>
                <w:szCs w:val="22"/>
                <w:lang w:val="fr-FR" w:eastAsia="fr-FR"/>
              </w:rPr>
              <w:t xml:space="preserve"> </w:t>
            </w:r>
            <w:r w:rsidRPr="006B3F1F">
              <w:rPr>
                <w:sz w:val="22"/>
                <w:szCs w:val="22"/>
                <w:lang w:val="fr-FR" w:eastAsia="fr-FR"/>
              </w:rPr>
              <w:t>20%</w:t>
            </w:r>
          </w:p>
          <w:p w14:paraId="5CD68064" w14:textId="77777777" w:rsidR="00E7753E" w:rsidRPr="00342F7C" w:rsidRDefault="00E7753E" w:rsidP="00591AA5">
            <w:pPr>
              <w:pStyle w:val="EMEANormal"/>
              <w:keepNext/>
              <w:ind w:left="44"/>
              <w:rPr>
                <w:lang w:val="en-GB"/>
              </w:rPr>
            </w:pPr>
            <w:r w:rsidRPr="006B3F1F">
              <w:rPr>
                <w:spacing w:val="2"/>
                <w:szCs w:val="22"/>
                <w:lang w:val="fr-FR" w:eastAsia="fr-FR"/>
              </w:rPr>
              <w:t>C</w:t>
            </w:r>
            <w:r w:rsidRPr="006B3F1F">
              <w:rPr>
                <w:spacing w:val="-1"/>
                <w:position w:val="-3"/>
                <w:szCs w:val="22"/>
                <w:vertAlign w:val="subscript"/>
                <w:lang w:val="fr-FR" w:eastAsia="fr-FR"/>
              </w:rPr>
              <w:t>ma</w:t>
            </w:r>
            <w:r w:rsidRPr="006B3F1F">
              <w:rPr>
                <w:position w:val="-3"/>
                <w:szCs w:val="22"/>
                <w:vertAlign w:val="subscript"/>
                <w:lang w:val="fr-FR" w:eastAsia="fr-FR"/>
              </w:rPr>
              <w:t>x</w:t>
            </w:r>
            <w:r w:rsidRPr="006B3F1F">
              <w:rPr>
                <w:position w:val="-3"/>
                <w:szCs w:val="22"/>
                <w:lang w:val="fr-FR" w:eastAsia="fr-FR"/>
              </w:rPr>
              <w:t>:</w:t>
            </w:r>
            <w:r w:rsidRPr="006B3F1F">
              <w:rPr>
                <w:spacing w:val="14"/>
                <w:position w:val="-3"/>
                <w:szCs w:val="22"/>
                <w:lang w:val="fr-FR" w:eastAsia="fr-FR"/>
              </w:rPr>
              <w:t xml:space="preserve"> </w:t>
            </w:r>
            <w:r w:rsidRPr="006B3F1F">
              <w:rPr>
                <w:szCs w:val="22"/>
                <w:lang w:val="fr-FR" w:eastAsia="fr-FR"/>
              </w:rPr>
              <w:t>↔</w:t>
            </w:r>
            <w:r w:rsidRPr="006B3F1F">
              <w:rPr>
                <w:spacing w:val="-1"/>
                <w:szCs w:val="22"/>
                <w:lang w:val="fr-FR" w:eastAsia="fr-FR"/>
              </w:rPr>
              <w:t xml:space="preserve"> </w:t>
            </w:r>
          </w:p>
        </w:tc>
        <w:tc>
          <w:tcPr>
            <w:tcW w:w="3432" w:type="dxa"/>
            <w:gridSpan w:val="2"/>
            <w:tcBorders>
              <w:top w:val="single" w:sz="4" w:space="0" w:color="auto"/>
              <w:left w:val="single" w:sz="4" w:space="0" w:color="auto"/>
              <w:bottom w:val="single" w:sz="4" w:space="0" w:color="auto"/>
              <w:right w:val="single" w:sz="4" w:space="0" w:color="auto"/>
            </w:tcBorders>
          </w:tcPr>
          <w:p w14:paraId="2C086E25" w14:textId="77777777" w:rsidR="00E7753E" w:rsidRPr="002E7494" w:rsidRDefault="00E7753E" w:rsidP="00F62C9B">
            <w:pPr>
              <w:pStyle w:val="EMEANormal"/>
              <w:keepNext/>
              <w:rPr>
                <w:lang w:val="en-GB"/>
              </w:rPr>
            </w:pPr>
            <w:r w:rsidRPr="002E7494">
              <w:rPr>
                <w:szCs w:val="22"/>
                <w:lang w:eastAsia="fr-FR"/>
              </w:rPr>
              <w:t>No dose adjustment necessary</w:t>
            </w:r>
          </w:p>
        </w:tc>
      </w:tr>
      <w:tr w:rsidR="00E7753E" w:rsidRPr="00342F7C" w14:paraId="0F651E83" w14:textId="77777777" w:rsidTr="008F531F">
        <w:tc>
          <w:tcPr>
            <w:tcW w:w="2400" w:type="dxa"/>
            <w:tcBorders>
              <w:top w:val="single" w:sz="4" w:space="0" w:color="auto"/>
              <w:left w:val="single" w:sz="4" w:space="0" w:color="auto"/>
              <w:bottom w:val="single" w:sz="4" w:space="0" w:color="auto"/>
              <w:right w:val="single" w:sz="4" w:space="0" w:color="auto"/>
            </w:tcBorders>
          </w:tcPr>
          <w:p w14:paraId="091750A7" w14:textId="77777777" w:rsidR="00E7753E" w:rsidRPr="006B3F1F" w:rsidRDefault="00E7753E" w:rsidP="00591AA5">
            <w:pPr>
              <w:widowControl w:val="0"/>
              <w:autoSpaceDE w:val="0"/>
              <w:autoSpaceDN w:val="0"/>
              <w:adjustRightInd w:val="0"/>
              <w:ind w:right="-20"/>
              <w:rPr>
                <w:sz w:val="22"/>
                <w:szCs w:val="22"/>
                <w:lang w:val="fr-FR" w:eastAsia="fr-FR"/>
              </w:rPr>
            </w:pPr>
            <w:r w:rsidRPr="006B3F1F">
              <w:rPr>
                <w:sz w:val="22"/>
                <w:szCs w:val="22"/>
                <w:lang w:val="fr-FR" w:eastAsia="fr-FR"/>
              </w:rPr>
              <w:t>Rilpivirine</w:t>
            </w:r>
          </w:p>
          <w:p w14:paraId="5E7DC353" w14:textId="77777777" w:rsidR="00E7753E" w:rsidRDefault="00E7753E" w:rsidP="00966A6C">
            <w:pPr>
              <w:pStyle w:val="EMEANormal"/>
              <w:rPr>
                <w:szCs w:val="22"/>
                <w:lang w:val="fr-FR" w:eastAsia="fr-FR"/>
              </w:rPr>
            </w:pPr>
          </w:p>
          <w:p w14:paraId="19BB2AE2" w14:textId="77777777" w:rsidR="00E7753E" w:rsidRPr="00342F7C" w:rsidRDefault="00E7753E" w:rsidP="00E95E29">
            <w:pPr>
              <w:pStyle w:val="EMEANormal"/>
              <w:rPr>
                <w:bCs/>
                <w:iCs/>
                <w:lang w:val="en-GB"/>
              </w:rPr>
            </w:pPr>
            <w:r w:rsidRPr="006B3F1F">
              <w:rPr>
                <w:szCs w:val="22"/>
                <w:lang w:val="fr-FR" w:eastAsia="fr-FR"/>
              </w:rPr>
              <w:t>(</w:t>
            </w:r>
            <w:r w:rsidRPr="006B3F1F">
              <w:rPr>
                <w:szCs w:val="22"/>
              </w:rPr>
              <w:t>Lopinavir/ri</w:t>
            </w:r>
            <w:r w:rsidRPr="006B3F1F">
              <w:rPr>
                <w:spacing w:val="-1"/>
                <w:szCs w:val="22"/>
              </w:rPr>
              <w:t>t</w:t>
            </w:r>
            <w:r w:rsidRPr="006B3F1F">
              <w:rPr>
                <w:szCs w:val="22"/>
              </w:rPr>
              <w:t>onavir capsule 400/</w:t>
            </w:r>
            <w:r w:rsidRPr="006B3F1F">
              <w:rPr>
                <w:spacing w:val="-1"/>
                <w:szCs w:val="22"/>
              </w:rPr>
              <w:t>1</w:t>
            </w:r>
            <w:r w:rsidRPr="006B3F1F">
              <w:rPr>
                <w:szCs w:val="22"/>
              </w:rPr>
              <w:t>00</w:t>
            </w:r>
            <w:r w:rsidRPr="006B3F1F">
              <w:rPr>
                <w:spacing w:val="-7"/>
                <w:szCs w:val="22"/>
              </w:rPr>
              <w:t xml:space="preserve"> </w:t>
            </w:r>
            <w:r w:rsidRPr="006B3F1F">
              <w:rPr>
                <w:spacing w:val="-2"/>
                <w:szCs w:val="22"/>
              </w:rPr>
              <w:t>m</w:t>
            </w:r>
            <w:r w:rsidRPr="006B3F1F">
              <w:rPr>
                <w:szCs w:val="22"/>
              </w:rPr>
              <w:t>g</w:t>
            </w:r>
            <w:r w:rsidRPr="006B3F1F">
              <w:rPr>
                <w:spacing w:val="-2"/>
                <w:szCs w:val="22"/>
              </w:rPr>
              <w:t xml:space="preserve"> </w:t>
            </w:r>
            <w:r w:rsidRPr="006B3F1F">
              <w:rPr>
                <w:szCs w:val="22"/>
              </w:rPr>
              <w:t>BID)</w:t>
            </w:r>
          </w:p>
        </w:tc>
        <w:tc>
          <w:tcPr>
            <w:tcW w:w="3240" w:type="dxa"/>
            <w:gridSpan w:val="2"/>
            <w:tcBorders>
              <w:top w:val="single" w:sz="4" w:space="0" w:color="auto"/>
              <w:left w:val="single" w:sz="4" w:space="0" w:color="auto"/>
              <w:bottom w:val="single" w:sz="4" w:space="0" w:color="auto"/>
              <w:right w:val="single" w:sz="4" w:space="0" w:color="auto"/>
            </w:tcBorders>
          </w:tcPr>
          <w:p w14:paraId="3C68F0E0" w14:textId="77777777" w:rsidR="00E7753E" w:rsidRPr="006B3F1F" w:rsidRDefault="00E7753E" w:rsidP="00966A6C">
            <w:pPr>
              <w:widowControl w:val="0"/>
              <w:autoSpaceDE w:val="0"/>
              <w:autoSpaceDN w:val="0"/>
              <w:adjustRightInd w:val="0"/>
              <w:spacing w:before="9" w:line="228" w:lineRule="auto"/>
              <w:ind w:left="44" w:right="1206"/>
              <w:rPr>
                <w:sz w:val="22"/>
                <w:szCs w:val="22"/>
                <w:lang w:val="fr-FR" w:eastAsia="fr-FR"/>
              </w:rPr>
            </w:pPr>
            <w:r w:rsidRPr="006B3F1F">
              <w:rPr>
                <w:sz w:val="22"/>
                <w:szCs w:val="22"/>
                <w:lang w:val="fr-FR" w:eastAsia="fr-FR"/>
              </w:rPr>
              <w:t>Rilpivirine:</w:t>
            </w:r>
          </w:p>
          <w:p w14:paraId="20ED93E0" w14:textId="77777777" w:rsidR="00E7753E" w:rsidRPr="006B3F1F" w:rsidRDefault="00E7753E" w:rsidP="00966A6C">
            <w:pPr>
              <w:widowControl w:val="0"/>
              <w:autoSpaceDE w:val="0"/>
              <w:autoSpaceDN w:val="0"/>
              <w:adjustRightInd w:val="0"/>
              <w:spacing w:before="9" w:line="228" w:lineRule="auto"/>
              <w:ind w:left="44" w:right="1206"/>
              <w:rPr>
                <w:sz w:val="22"/>
                <w:szCs w:val="22"/>
                <w:lang w:val="fr-FR" w:eastAsia="fr-FR"/>
              </w:rPr>
            </w:pPr>
            <w:r w:rsidRPr="006B3F1F">
              <w:rPr>
                <w:sz w:val="22"/>
                <w:szCs w:val="22"/>
                <w:lang w:val="fr-FR" w:eastAsia="fr-FR"/>
              </w:rPr>
              <w:t>AUC:</w:t>
            </w:r>
            <w:r w:rsidRPr="006B3F1F">
              <w:rPr>
                <w:spacing w:val="-1"/>
                <w:sz w:val="22"/>
                <w:szCs w:val="22"/>
                <w:lang w:val="fr-FR" w:eastAsia="fr-FR"/>
              </w:rPr>
              <w:t xml:space="preserve"> </w:t>
            </w:r>
            <w:r w:rsidRPr="006B3F1F">
              <w:rPr>
                <w:sz w:val="22"/>
                <w:szCs w:val="22"/>
                <w:lang w:val="fr-FR" w:eastAsia="fr-FR"/>
              </w:rPr>
              <w:t>↑</w:t>
            </w:r>
            <w:r w:rsidRPr="006B3F1F">
              <w:rPr>
                <w:spacing w:val="-4"/>
                <w:sz w:val="22"/>
                <w:szCs w:val="22"/>
                <w:lang w:val="fr-FR" w:eastAsia="fr-FR"/>
              </w:rPr>
              <w:t xml:space="preserve"> </w:t>
            </w:r>
            <w:r w:rsidRPr="006B3F1F">
              <w:rPr>
                <w:spacing w:val="1"/>
                <w:sz w:val="22"/>
                <w:szCs w:val="22"/>
                <w:lang w:val="fr-FR" w:eastAsia="fr-FR"/>
              </w:rPr>
              <w:t xml:space="preserve">52% </w:t>
            </w:r>
          </w:p>
          <w:p w14:paraId="554EAB53" w14:textId="77777777" w:rsidR="00E7753E" w:rsidRPr="006B3F1F" w:rsidRDefault="00E7753E" w:rsidP="00966A6C">
            <w:pPr>
              <w:widowControl w:val="0"/>
              <w:autoSpaceDE w:val="0"/>
              <w:autoSpaceDN w:val="0"/>
              <w:adjustRightInd w:val="0"/>
              <w:spacing w:before="9" w:line="228" w:lineRule="auto"/>
              <w:ind w:left="44" w:right="1206"/>
              <w:rPr>
                <w:sz w:val="22"/>
                <w:szCs w:val="22"/>
                <w:lang w:val="fr-FR" w:eastAsia="fr-FR"/>
              </w:rPr>
            </w:pPr>
            <w:r w:rsidRPr="006B3F1F">
              <w:rPr>
                <w:spacing w:val="1"/>
                <w:sz w:val="22"/>
                <w:szCs w:val="22"/>
                <w:lang w:val="fr-FR" w:eastAsia="fr-FR"/>
              </w:rPr>
              <w:t>C</w:t>
            </w:r>
            <w:r w:rsidRPr="00E7753E">
              <w:rPr>
                <w:spacing w:val="-1"/>
                <w:position w:val="-3"/>
                <w:sz w:val="22"/>
                <w:szCs w:val="22"/>
                <w:vertAlign w:val="subscript"/>
                <w:lang w:val="fr-FR" w:eastAsia="fr-FR"/>
              </w:rPr>
              <w:t>mi</w:t>
            </w:r>
            <w:r w:rsidRPr="00E7753E">
              <w:rPr>
                <w:position w:val="-3"/>
                <w:sz w:val="22"/>
                <w:szCs w:val="22"/>
                <w:vertAlign w:val="subscript"/>
                <w:lang w:val="fr-FR" w:eastAsia="fr-FR"/>
              </w:rPr>
              <w:t>n</w:t>
            </w:r>
            <w:r w:rsidRPr="006B3F1F">
              <w:rPr>
                <w:position w:val="-3"/>
                <w:sz w:val="22"/>
                <w:szCs w:val="22"/>
                <w:lang w:val="fr-FR" w:eastAsia="fr-FR"/>
              </w:rPr>
              <w:t>:</w:t>
            </w:r>
            <w:r w:rsidRPr="006B3F1F">
              <w:rPr>
                <w:spacing w:val="17"/>
                <w:position w:val="-3"/>
                <w:sz w:val="22"/>
                <w:szCs w:val="22"/>
                <w:lang w:val="fr-FR" w:eastAsia="fr-FR"/>
              </w:rPr>
              <w:t xml:space="preserve"> </w:t>
            </w:r>
            <w:r w:rsidRPr="006B3F1F">
              <w:rPr>
                <w:sz w:val="22"/>
                <w:szCs w:val="22"/>
                <w:lang w:val="fr-FR" w:eastAsia="fr-FR"/>
              </w:rPr>
              <w:t>↑</w:t>
            </w:r>
            <w:r w:rsidRPr="006B3F1F">
              <w:rPr>
                <w:spacing w:val="-4"/>
                <w:sz w:val="22"/>
                <w:szCs w:val="22"/>
                <w:lang w:val="fr-FR" w:eastAsia="fr-FR"/>
              </w:rPr>
              <w:t xml:space="preserve"> </w:t>
            </w:r>
            <w:r w:rsidRPr="006B3F1F">
              <w:rPr>
                <w:spacing w:val="1"/>
                <w:sz w:val="22"/>
                <w:szCs w:val="22"/>
                <w:lang w:val="fr-FR" w:eastAsia="fr-FR"/>
              </w:rPr>
              <w:t xml:space="preserve">74% </w:t>
            </w:r>
          </w:p>
          <w:p w14:paraId="460F7CC6" w14:textId="77777777" w:rsidR="00E7753E" w:rsidRDefault="00E7753E" w:rsidP="00966A6C">
            <w:pPr>
              <w:widowControl w:val="0"/>
              <w:autoSpaceDE w:val="0"/>
              <w:autoSpaceDN w:val="0"/>
              <w:adjustRightInd w:val="0"/>
              <w:spacing w:before="9" w:line="228" w:lineRule="auto"/>
              <w:ind w:left="44" w:right="1206"/>
              <w:rPr>
                <w:spacing w:val="1"/>
                <w:sz w:val="22"/>
                <w:szCs w:val="22"/>
                <w:lang w:val="fr-FR" w:eastAsia="fr-FR"/>
              </w:rPr>
            </w:pPr>
            <w:r w:rsidRPr="006B3F1F">
              <w:rPr>
                <w:spacing w:val="1"/>
                <w:sz w:val="22"/>
                <w:szCs w:val="22"/>
                <w:lang w:val="fr-FR" w:eastAsia="fr-FR"/>
              </w:rPr>
              <w:t>C</w:t>
            </w:r>
            <w:r w:rsidRPr="00E7753E">
              <w:rPr>
                <w:spacing w:val="-1"/>
                <w:position w:val="-3"/>
                <w:sz w:val="22"/>
                <w:szCs w:val="22"/>
                <w:vertAlign w:val="subscript"/>
                <w:lang w:val="fr-FR" w:eastAsia="fr-FR"/>
              </w:rPr>
              <w:t>ma</w:t>
            </w:r>
            <w:r w:rsidRPr="00E7753E">
              <w:rPr>
                <w:position w:val="-3"/>
                <w:sz w:val="22"/>
                <w:szCs w:val="22"/>
                <w:vertAlign w:val="subscript"/>
                <w:lang w:val="fr-FR" w:eastAsia="fr-FR"/>
              </w:rPr>
              <w:t>x</w:t>
            </w:r>
            <w:r w:rsidRPr="006B3F1F">
              <w:rPr>
                <w:position w:val="-3"/>
                <w:sz w:val="22"/>
                <w:szCs w:val="22"/>
                <w:lang w:val="fr-FR" w:eastAsia="fr-FR"/>
              </w:rPr>
              <w:t>:</w:t>
            </w:r>
            <w:r w:rsidRPr="006B3F1F">
              <w:rPr>
                <w:spacing w:val="17"/>
                <w:position w:val="-3"/>
                <w:sz w:val="22"/>
                <w:szCs w:val="22"/>
                <w:lang w:val="fr-FR" w:eastAsia="fr-FR"/>
              </w:rPr>
              <w:t xml:space="preserve"> </w:t>
            </w:r>
            <w:r w:rsidRPr="006B3F1F">
              <w:rPr>
                <w:sz w:val="22"/>
                <w:szCs w:val="22"/>
                <w:lang w:val="fr-FR" w:eastAsia="fr-FR"/>
              </w:rPr>
              <w:t>↑</w:t>
            </w:r>
            <w:r w:rsidRPr="006B3F1F">
              <w:rPr>
                <w:spacing w:val="-4"/>
                <w:sz w:val="22"/>
                <w:szCs w:val="22"/>
                <w:lang w:val="fr-FR" w:eastAsia="fr-FR"/>
              </w:rPr>
              <w:t xml:space="preserve"> </w:t>
            </w:r>
            <w:r w:rsidRPr="006B3F1F">
              <w:rPr>
                <w:spacing w:val="1"/>
                <w:sz w:val="22"/>
                <w:szCs w:val="22"/>
                <w:lang w:val="fr-FR" w:eastAsia="fr-FR"/>
              </w:rPr>
              <w:t>29%</w:t>
            </w:r>
          </w:p>
          <w:p w14:paraId="5B3287CD" w14:textId="77777777" w:rsidR="00E7753E" w:rsidRDefault="00E7753E" w:rsidP="00966A6C">
            <w:pPr>
              <w:widowControl w:val="0"/>
              <w:autoSpaceDE w:val="0"/>
              <w:autoSpaceDN w:val="0"/>
              <w:adjustRightInd w:val="0"/>
              <w:spacing w:before="9" w:line="228" w:lineRule="auto"/>
              <w:ind w:left="44" w:right="1206"/>
              <w:rPr>
                <w:spacing w:val="1"/>
                <w:sz w:val="22"/>
                <w:szCs w:val="22"/>
                <w:lang w:val="fr-FR" w:eastAsia="fr-FR"/>
              </w:rPr>
            </w:pPr>
          </w:p>
          <w:p w14:paraId="3C90B570" w14:textId="77777777" w:rsidR="00E7753E" w:rsidRPr="00922746" w:rsidRDefault="00E7753E" w:rsidP="00966A6C">
            <w:pPr>
              <w:widowControl w:val="0"/>
              <w:autoSpaceDE w:val="0"/>
              <w:autoSpaceDN w:val="0"/>
              <w:adjustRightInd w:val="0"/>
              <w:spacing w:line="222" w:lineRule="exact"/>
              <w:ind w:left="44" w:right="-20"/>
              <w:rPr>
                <w:sz w:val="22"/>
                <w:szCs w:val="22"/>
                <w:lang w:val="fi-FI" w:eastAsia="fr-FR"/>
              </w:rPr>
            </w:pPr>
            <w:r w:rsidRPr="00922746">
              <w:rPr>
                <w:sz w:val="22"/>
                <w:szCs w:val="22"/>
                <w:lang w:val="fi-FI" w:eastAsia="fr-FR"/>
              </w:rPr>
              <w:t>Lopinavir:</w:t>
            </w:r>
          </w:p>
          <w:p w14:paraId="168D6E18" w14:textId="77777777" w:rsidR="00E7753E" w:rsidRPr="006B3F1F" w:rsidRDefault="00E7753E" w:rsidP="00966A6C">
            <w:pPr>
              <w:widowControl w:val="0"/>
              <w:autoSpaceDE w:val="0"/>
              <w:autoSpaceDN w:val="0"/>
              <w:adjustRightInd w:val="0"/>
              <w:spacing w:line="222" w:lineRule="exact"/>
              <w:ind w:left="44" w:right="-20"/>
              <w:rPr>
                <w:sz w:val="22"/>
                <w:szCs w:val="22"/>
                <w:lang w:eastAsia="fr-FR"/>
              </w:rPr>
            </w:pPr>
            <w:r w:rsidRPr="006B3F1F">
              <w:rPr>
                <w:sz w:val="22"/>
                <w:szCs w:val="22"/>
                <w:lang w:eastAsia="fr-FR"/>
              </w:rPr>
              <w:t>AUC:</w:t>
            </w:r>
            <w:r w:rsidRPr="006B3F1F">
              <w:rPr>
                <w:spacing w:val="-3"/>
                <w:sz w:val="22"/>
                <w:szCs w:val="22"/>
                <w:lang w:eastAsia="fr-FR"/>
              </w:rPr>
              <w:t xml:space="preserve"> </w:t>
            </w:r>
            <w:r w:rsidRPr="006B3F1F">
              <w:rPr>
                <w:sz w:val="22"/>
                <w:szCs w:val="22"/>
                <w:lang w:eastAsia="fr-FR"/>
              </w:rPr>
              <w:t>↔</w:t>
            </w:r>
          </w:p>
          <w:p w14:paraId="4AC5517B" w14:textId="77777777" w:rsidR="00E7753E" w:rsidRPr="006B3F1F" w:rsidRDefault="00E7753E" w:rsidP="00966A6C">
            <w:pPr>
              <w:widowControl w:val="0"/>
              <w:autoSpaceDE w:val="0"/>
              <w:autoSpaceDN w:val="0"/>
              <w:adjustRightInd w:val="0"/>
              <w:spacing w:before="9" w:line="228" w:lineRule="auto"/>
              <w:ind w:left="44" w:right="1206"/>
              <w:rPr>
                <w:sz w:val="22"/>
                <w:szCs w:val="22"/>
                <w:lang w:eastAsia="fr-FR"/>
              </w:rPr>
            </w:pPr>
            <w:r w:rsidRPr="006B3F1F">
              <w:rPr>
                <w:spacing w:val="1"/>
                <w:sz w:val="22"/>
                <w:szCs w:val="22"/>
                <w:lang w:eastAsia="fr-FR"/>
              </w:rPr>
              <w:t>C</w:t>
            </w:r>
            <w:r w:rsidRPr="00E7753E">
              <w:rPr>
                <w:position w:val="-3"/>
                <w:sz w:val="22"/>
                <w:szCs w:val="22"/>
                <w:vertAlign w:val="subscript"/>
                <w:lang w:eastAsia="fr-FR"/>
              </w:rPr>
              <w:t>min</w:t>
            </w:r>
            <w:r w:rsidRPr="006B3F1F">
              <w:rPr>
                <w:position w:val="-3"/>
                <w:sz w:val="22"/>
                <w:szCs w:val="22"/>
                <w:lang w:eastAsia="fr-FR"/>
              </w:rPr>
              <w:t>:</w:t>
            </w:r>
            <w:r w:rsidRPr="006B3F1F">
              <w:rPr>
                <w:spacing w:val="17"/>
                <w:position w:val="-3"/>
                <w:sz w:val="22"/>
                <w:szCs w:val="22"/>
                <w:lang w:eastAsia="fr-FR"/>
              </w:rPr>
              <w:t xml:space="preserve"> </w:t>
            </w:r>
            <w:r w:rsidRPr="006B3F1F">
              <w:rPr>
                <w:sz w:val="22"/>
                <w:szCs w:val="22"/>
                <w:lang w:eastAsia="fr-FR"/>
              </w:rPr>
              <w:t>↓</w:t>
            </w:r>
            <w:r w:rsidRPr="006B3F1F">
              <w:rPr>
                <w:spacing w:val="-4"/>
                <w:sz w:val="22"/>
                <w:szCs w:val="22"/>
                <w:lang w:eastAsia="fr-FR"/>
              </w:rPr>
              <w:t xml:space="preserve"> </w:t>
            </w:r>
            <w:r w:rsidRPr="006B3F1F">
              <w:rPr>
                <w:spacing w:val="1"/>
                <w:sz w:val="22"/>
                <w:szCs w:val="22"/>
                <w:lang w:eastAsia="fr-FR"/>
              </w:rPr>
              <w:t xml:space="preserve">11% </w:t>
            </w:r>
          </w:p>
          <w:p w14:paraId="0ED3AF75" w14:textId="77777777" w:rsidR="00E7753E" w:rsidRPr="006B3F1F" w:rsidRDefault="00E7753E" w:rsidP="00966A6C">
            <w:pPr>
              <w:widowControl w:val="0"/>
              <w:autoSpaceDE w:val="0"/>
              <w:autoSpaceDN w:val="0"/>
              <w:adjustRightInd w:val="0"/>
              <w:spacing w:before="9" w:line="228" w:lineRule="auto"/>
              <w:ind w:left="44" w:right="1206"/>
              <w:rPr>
                <w:sz w:val="22"/>
                <w:szCs w:val="22"/>
                <w:lang w:eastAsia="fr-FR"/>
              </w:rPr>
            </w:pPr>
            <w:r w:rsidRPr="006B3F1F">
              <w:rPr>
                <w:spacing w:val="1"/>
                <w:sz w:val="22"/>
                <w:szCs w:val="22"/>
                <w:lang w:eastAsia="fr-FR"/>
              </w:rPr>
              <w:t>C</w:t>
            </w:r>
            <w:r w:rsidRPr="00E7753E">
              <w:rPr>
                <w:spacing w:val="-2"/>
                <w:position w:val="-3"/>
                <w:sz w:val="22"/>
                <w:szCs w:val="22"/>
                <w:vertAlign w:val="subscript"/>
                <w:lang w:eastAsia="fr-FR"/>
              </w:rPr>
              <w:t>m</w:t>
            </w:r>
            <w:r w:rsidRPr="00E7753E">
              <w:rPr>
                <w:spacing w:val="2"/>
                <w:position w:val="-3"/>
                <w:sz w:val="22"/>
                <w:szCs w:val="22"/>
                <w:vertAlign w:val="subscript"/>
                <w:lang w:eastAsia="fr-FR"/>
              </w:rPr>
              <w:t>a</w:t>
            </w:r>
            <w:r w:rsidRPr="00E7753E">
              <w:rPr>
                <w:position w:val="-3"/>
                <w:sz w:val="22"/>
                <w:szCs w:val="22"/>
                <w:vertAlign w:val="subscript"/>
                <w:lang w:eastAsia="fr-FR"/>
              </w:rPr>
              <w:t>x</w:t>
            </w:r>
            <w:r w:rsidRPr="006B3F1F">
              <w:rPr>
                <w:position w:val="-3"/>
                <w:sz w:val="22"/>
                <w:szCs w:val="22"/>
                <w:lang w:eastAsia="fr-FR"/>
              </w:rPr>
              <w:t>:</w:t>
            </w:r>
            <w:r w:rsidRPr="006B3F1F">
              <w:rPr>
                <w:spacing w:val="14"/>
                <w:position w:val="-3"/>
                <w:sz w:val="22"/>
                <w:szCs w:val="22"/>
                <w:lang w:eastAsia="fr-FR"/>
              </w:rPr>
              <w:t xml:space="preserve"> </w:t>
            </w:r>
            <w:r w:rsidRPr="006B3F1F">
              <w:rPr>
                <w:sz w:val="22"/>
                <w:szCs w:val="22"/>
                <w:lang w:eastAsia="fr-FR"/>
              </w:rPr>
              <w:t xml:space="preserve">↔ </w:t>
            </w:r>
          </w:p>
          <w:p w14:paraId="69FED1D3" w14:textId="77777777" w:rsidR="00E7753E" w:rsidRPr="006B3F1F" w:rsidRDefault="00E7753E" w:rsidP="00966A6C">
            <w:pPr>
              <w:widowControl w:val="0"/>
              <w:autoSpaceDE w:val="0"/>
              <w:autoSpaceDN w:val="0"/>
              <w:adjustRightInd w:val="0"/>
              <w:spacing w:before="19" w:line="200" w:lineRule="exact"/>
              <w:ind w:left="44" w:right="-20"/>
              <w:rPr>
                <w:sz w:val="22"/>
                <w:szCs w:val="22"/>
                <w:lang w:val="fr-FR" w:eastAsia="fr-FR"/>
              </w:rPr>
            </w:pPr>
          </w:p>
          <w:p w14:paraId="6FC47FF0" w14:textId="77777777" w:rsidR="00E7753E" w:rsidRPr="00342F7C" w:rsidRDefault="00E7753E" w:rsidP="00E95E29">
            <w:pPr>
              <w:pStyle w:val="EMEANormal"/>
              <w:rPr>
                <w:lang w:val="en-GB"/>
              </w:rPr>
            </w:pPr>
            <w:r w:rsidRPr="006B3F1F">
              <w:rPr>
                <w:szCs w:val="22"/>
                <w:lang w:eastAsia="fr-FR"/>
              </w:rPr>
              <w:t>(inhibition</w:t>
            </w:r>
            <w:r w:rsidRPr="006B3F1F">
              <w:rPr>
                <w:spacing w:val="-8"/>
                <w:szCs w:val="22"/>
                <w:lang w:eastAsia="fr-FR"/>
              </w:rPr>
              <w:t xml:space="preserve"> </w:t>
            </w:r>
            <w:r w:rsidRPr="006B3F1F">
              <w:rPr>
                <w:szCs w:val="22"/>
                <w:lang w:eastAsia="fr-FR"/>
              </w:rPr>
              <w:t>of</w:t>
            </w:r>
            <w:r w:rsidRPr="006B3F1F">
              <w:rPr>
                <w:spacing w:val="1"/>
                <w:szCs w:val="22"/>
                <w:lang w:eastAsia="fr-FR"/>
              </w:rPr>
              <w:t xml:space="preserve"> </w:t>
            </w:r>
            <w:r w:rsidRPr="006B3F1F">
              <w:rPr>
                <w:szCs w:val="22"/>
                <w:lang w:eastAsia="fr-FR"/>
              </w:rPr>
              <w:t>CYP3A</w:t>
            </w:r>
            <w:r w:rsidRPr="006B3F1F">
              <w:rPr>
                <w:spacing w:val="-5"/>
                <w:szCs w:val="22"/>
                <w:lang w:eastAsia="fr-FR"/>
              </w:rPr>
              <w:t xml:space="preserve"> </w:t>
            </w:r>
            <w:r w:rsidRPr="006B3F1F">
              <w:rPr>
                <w:szCs w:val="22"/>
                <w:lang w:eastAsia="fr-FR"/>
              </w:rPr>
              <w:t>enzymes)</w:t>
            </w:r>
          </w:p>
        </w:tc>
        <w:tc>
          <w:tcPr>
            <w:tcW w:w="3432" w:type="dxa"/>
            <w:gridSpan w:val="2"/>
            <w:tcBorders>
              <w:top w:val="single" w:sz="4" w:space="0" w:color="auto"/>
              <w:left w:val="single" w:sz="4" w:space="0" w:color="auto"/>
              <w:bottom w:val="single" w:sz="4" w:space="0" w:color="auto"/>
              <w:right w:val="single" w:sz="4" w:space="0" w:color="auto"/>
            </w:tcBorders>
          </w:tcPr>
          <w:p w14:paraId="606D16CB" w14:textId="77777777" w:rsidR="00E7753E" w:rsidRPr="006B3F1F" w:rsidRDefault="00E7753E" w:rsidP="00966A6C">
            <w:pPr>
              <w:widowControl w:val="0"/>
              <w:autoSpaceDE w:val="0"/>
              <w:autoSpaceDN w:val="0"/>
              <w:adjustRightInd w:val="0"/>
              <w:spacing w:line="225" w:lineRule="exact"/>
              <w:ind w:right="-20"/>
              <w:rPr>
                <w:sz w:val="22"/>
                <w:szCs w:val="22"/>
                <w:lang w:eastAsia="fr-FR"/>
              </w:rPr>
            </w:pPr>
            <w:r w:rsidRPr="006B3F1F">
              <w:rPr>
                <w:sz w:val="22"/>
                <w:szCs w:val="22"/>
                <w:lang w:eastAsia="fr-FR"/>
              </w:rPr>
              <w:t>Concomitant</w:t>
            </w:r>
            <w:r w:rsidRPr="006B3F1F">
              <w:rPr>
                <w:spacing w:val="-10"/>
                <w:sz w:val="22"/>
                <w:szCs w:val="22"/>
                <w:lang w:eastAsia="fr-FR"/>
              </w:rPr>
              <w:t xml:space="preserve"> </w:t>
            </w:r>
            <w:r w:rsidRPr="006B3F1F">
              <w:rPr>
                <w:sz w:val="22"/>
                <w:szCs w:val="22"/>
                <w:lang w:eastAsia="fr-FR"/>
              </w:rPr>
              <w:t>use</w:t>
            </w:r>
            <w:r w:rsidRPr="006B3F1F">
              <w:rPr>
                <w:spacing w:val="-3"/>
                <w:sz w:val="22"/>
                <w:szCs w:val="22"/>
                <w:lang w:eastAsia="fr-FR"/>
              </w:rPr>
              <w:t xml:space="preserve"> </w:t>
            </w:r>
            <w:r w:rsidRPr="006B3F1F">
              <w:rPr>
                <w:sz w:val="22"/>
                <w:szCs w:val="22"/>
                <w:lang w:eastAsia="fr-FR"/>
              </w:rPr>
              <w:t>of</w:t>
            </w:r>
            <w:r w:rsidRPr="006B3F1F">
              <w:rPr>
                <w:spacing w:val="-1"/>
                <w:sz w:val="22"/>
                <w:szCs w:val="22"/>
                <w:lang w:eastAsia="fr-FR"/>
              </w:rPr>
              <w:t xml:space="preserve"> </w:t>
            </w:r>
            <w:r w:rsidRPr="006B3F1F">
              <w:rPr>
                <w:spacing w:val="1"/>
                <w:sz w:val="22"/>
                <w:szCs w:val="22"/>
                <w:lang w:eastAsia="fr-FR"/>
              </w:rPr>
              <w:t>Kaletra</w:t>
            </w:r>
            <w:r w:rsidRPr="006B3F1F">
              <w:rPr>
                <w:spacing w:val="-6"/>
                <w:sz w:val="22"/>
                <w:szCs w:val="22"/>
                <w:lang w:eastAsia="fr-FR"/>
              </w:rPr>
              <w:t xml:space="preserve"> </w:t>
            </w:r>
            <w:r w:rsidRPr="006B3F1F">
              <w:rPr>
                <w:spacing w:val="-1"/>
                <w:sz w:val="22"/>
                <w:szCs w:val="22"/>
                <w:lang w:eastAsia="fr-FR"/>
              </w:rPr>
              <w:t>with</w:t>
            </w:r>
          </w:p>
          <w:p w14:paraId="54104648" w14:textId="77777777" w:rsidR="00E7753E" w:rsidRPr="00342F7C" w:rsidRDefault="00E7753E" w:rsidP="00E95E29">
            <w:pPr>
              <w:pStyle w:val="EMEANormal"/>
              <w:rPr>
                <w:lang w:val="en-GB"/>
              </w:rPr>
            </w:pPr>
            <w:r w:rsidRPr="006B3F1F">
              <w:rPr>
                <w:szCs w:val="22"/>
                <w:lang w:eastAsia="fr-FR"/>
              </w:rPr>
              <w:t>rilpivirine</w:t>
            </w:r>
            <w:r w:rsidRPr="006B3F1F">
              <w:rPr>
                <w:spacing w:val="-3"/>
                <w:szCs w:val="22"/>
                <w:lang w:eastAsia="fr-FR"/>
              </w:rPr>
              <w:t xml:space="preserve"> </w:t>
            </w:r>
            <w:r w:rsidRPr="006B3F1F">
              <w:rPr>
                <w:szCs w:val="22"/>
                <w:lang w:eastAsia="fr-FR"/>
              </w:rPr>
              <w:t>causes</w:t>
            </w:r>
            <w:r w:rsidRPr="006B3F1F">
              <w:rPr>
                <w:spacing w:val="-5"/>
                <w:szCs w:val="22"/>
                <w:lang w:eastAsia="fr-FR"/>
              </w:rPr>
              <w:t xml:space="preserve"> </w:t>
            </w:r>
            <w:r w:rsidRPr="006B3F1F">
              <w:rPr>
                <w:szCs w:val="22"/>
                <w:lang w:eastAsia="fr-FR"/>
              </w:rPr>
              <w:t>an</w:t>
            </w:r>
            <w:r w:rsidRPr="006B3F1F">
              <w:rPr>
                <w:spacing w:val="-2"/>
                <w:szCs w:val="22"/>
                <w:lang w:eastAsia="fr-FR"/>
              </w:rPr>
              <w:t xml:space="preserve"> </w:t>
            </w:r>
            <w:r w:rsidRPr="006B3F1F">
              <w:rPr>
                <w:szCs w:val="22"/>
                <w:lang w:eastAsia="fr-FR"/>
              </w:rPr>
              <w:t>increase in</w:t>
            </w:r>
            <w:r w:rsidRPr="006B3F1F">
              <w:rPr>
                <w:spacing w:val="-2"/>
                <w:szCs w:val="22"/>
                <w:lang w:eastAsia="fr-FR"/>
              </w:rPr>
              <w:t xml:space="preserve"> </w:t>
            </w:r>
            <w:r w:rsidRPr="006B3F1F">
              <w:rPr>
                <w:szCs w:val="22"/>
                <w:lang w:eastAsia="fr-FR"/>
              </w:rPr>
              <w:t>the</w:t>
            </w:r>
            <w:r w:rsidRPr="006B3F1F">
              <w:rPr>
                <w:spacing w:val="-2"/>
                <w:szCs w:val="22"/>
                <w:lang w:eastAsia="fr-FR"/>
              </w:rPr>
              <w:t xml:space="preserve"> </w:t>
            </w:r>
            <w:r w:rsidRPr="006B3F1F">
              <w:rPr>
                <w:szCs w:val="22"/>
                <w:lang w:eastAsia="fr-FR"/>
              </w:rPr>
              <w:t>plasma</w:t>
            </w:r>
            <w:r w:rsidRPr="006B3F1F">
              <w:rPr>
                <w:spacing w:val="-6"/>
                <w:szCs w:val="22"/>
                <w:lang w:eastAsia="fr-FR"/>
              </w:rPr>
              <w:t xml:space="preserve"> </w:t>
            </w:r>
            <w:r w:rsidRPr="006B3F1F">
              <w:rPr>
                <w:szCs w:val="22"/>
                <w:lang w:eastAsia="fr-FR"/>
              </w:rPr>
              <w:t>concentrations</w:t>
            </w:r>
            <w:r w:rsidRPr="006B3F1F">
              <w:rPr>
                <w:spacing w:val="-12"/>
                <w:szCs w:val="22"/>
                <w:lang w:eastAsia="fr-FR"/>
              </w:rPr>
              <w:t xml:space="preserve"> </w:t>
            </w:r>
            <w:r w:rsidRPr="006B3F1F">
              <w:rPr>
                <w:spacing w:val="4"/>
                <w:szCs w:val="22"/>
                <w:lang w:eastAsia="fr-FR"/>
              </w:rPr>
              <w:t xml:space="preserve">of </w:t>
            </w:r>
            <w:r w:rsidRPr="006B3F1F">
              <w:rPr>
                <w:szCs w:val="22"/>
                <w:lang w:eastAsia="fr-FR"/>
              </w:rPr>
              <w:t>rilpivirine,</w:t>
            </w:r>
            <w:r w:rsidRPr="006B3F1F">
              <w:rPr>
                <w:spacing w:val="-8"/>
                <w:szCs w:val="22"/>
                <w:lang w:eastAsia="fr-FR"/>
              </w:rPr>
              <w:t xml:space="preserve"> </w:t>
            </w:r>
            <w:r w:rsidRPr="006B3F1F">
              <w:rPr>
                <w:szCs w:val="22"/>
                <w:lang w:eastAsia="fr-FR"/>
              </w:rPr>
              <w:t>but</w:t>
            </w:r>
            <w:r w:rsidRPr="006B3F1F">
              <w:rPr>
                <w:spacing w:val="-3"/>
                <w:szCs w:val="22"/>
                <w:lang w:eastAsia="fr-FR"/>
              </w:rPr>
              <w:t xml:space="preserve"> </w:t>
            </w:r>
            <w:r w:rsidRPr="006B3F1F">
              <w:rPr>
                <w:szCs w:val="22"/>
                <w:lang w:eastAsia="fr-FR"/>
              </w:rPr>
              <w:t>no</w:t>
            </w:r>
            <w:r w:rsidRPr="006B3F1F">
              <w:rPr>
                <w:spacing w:val="-2"/>
                <w:szCs w:val="22"/>
                <w:lang w:eastAsia="fr-FR"/>
              </w:rPr>
              <w:t xml:space="preserve"> </w:t>
            </w:r>
            <w:r w:rsidRPr="006B3F1F">
              <w:rPr>
                <w:szCs w:val="22"/>
                <w:lang w:eastAsia="fr-FR"/>
              </w:rPr>
              <w:t>dose</w:t>
            </w:r>
            <w:r w:rsidRPr="006B3F1F">
              <w:rPr>
                <w:spacing w:val="-4"/>
                <w:szCs w:val="22"/>
                <w:lang w:eastAsia="fr-FR"/>
              </w:rPr>
              <w:t xml:space="preserve"> a</w:t>
            </w:r>
            <w:r w:rsidRPr="006B3F1F">
              <w:rPr>
                <w:szCs w:val="22"/>
                <w:lang w:eastAsia="fr-FR"/>
              </w:rPr>
              <w:t>djustment</w:t>
            </w:r>
            <w:r w:rsidRPr="006B3F1F">
              <w:rPr>
                <w:spacing w:val="-9"/>
                <w:szCs w:val="22"/>
                <w:lang w:eastAsia="fr-FR"/>
              </w:rPr>
              <w:t xml:space="preserve"> </w:t>
            </w:r>
            <w:r w:rsidRPr="006B3F1F">
              <w:rPr>
                <w:szCs w:val="22"/>
                <w:lang w:eastAsia="fr-FR"/>
              </w:rPr>
              <w:t>is required.</w:t>
            </w:r>
          </w:p>
        </w:tc>
      </w:tr>
      <w:tr w:rsidR="00E7753E" w:rsidRPr="000D086B" w14:paraId="62A904D4"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35503FB6" w14:textId="77777777" w:rsidR="00E7753E" w:rsidRPr="000D086B" w:rsidRDefault="00E7753E" w:rsidP="00285B05">
            <w:pPr>
              <w:pStyle w:val="EMEANormal"/>
              <w:rPr>
                <w:i/>
                <w:iCs/>
                <w:szCs w:val="22"/>
                <w:lang w:val="en-GB"/>
              </w:rPr>
            </w:pPr>
            <w:r w:rsidRPr="000D086B">
              <w:rPr>
                <w:i/>
                <w:iCs/>
                <w:szCs w:val="22"/>
              </w:rPr>
              <w:t>HIV CCR5 – antagonist</w:t>
            </w:r>
          </w:p>
        </w:tc>
      </w:tr>
      <w:tr w:rsidR="00E7753E" w:rsidRPr="000D086B" w14:paraId="2813C987" w14:textId="77777777" w:rsidTr="008F531F">
        <w:tc>
          <w:tcPr>
            <w:tcW w:w="2400" w:type="dxa"/>
            <w:tcBorders>
              <w:top w:val="single" w:sz="4" w:space="0" w:color="auto"/>
              <w:left w:val="single" w:sz="4" w:space="0" w:color="auto"/>
              <w:bottom w:val="single" w:sz="4" w:space="0" w:color="auto"/>
              <w:right w:val="single" w:sz="4" w:space="0" w:color="auto"/>
            </w:tcBorders>
          </w:tcPr>
          <w:p w14:paraId="092B1F72" w14:textId="77777777" w:rsidR="00E7753E" w:rsidRPr="000D086B" w:rsidRDefault="00E7753E" w:rsidP="00285B05">
            <w:pPr>
              <w:rPr>
                <w:sz w:val="22"/>
                <w:szCs w:val="22"/>
              </w:rPr>
            </w:pPr>
            <w:r w:rsidRPr="000D086B">
              <w:rPr>
                <w:sz w:val="22"/>
                <w:szCs w:val="22"/>
              </w:rPr>
              <w:t>Maraviroc</w:t>
            </w:r>
          </w:p>
          <w:p w14:paraId="56621781" w14:textId="77777777" w:rsidR="00E7753E" w:rsidRPr="000D086B" w:rsidRDefault="00E7753E" w:rsidP="00285B05">
            <w:pPr>
              <w:pStyle w:val="EMEANormal"/>
              <w:rPr>
                <w:bCs/>
                <w:iCs/>
                <w:szCs w:val="22"/>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0C2C8775" w14:textId="77777777" w:rsidR="00E7753E" w:rsidRPr="000D086B" w:rsidRDefault="00E7753E" w:rsidP="00285B05">
            <w:pPr>
              <w:pStyle w:val="EMEANormal"/>
              <w:rPr>
                <w:szCs w:val="22"/>
                <w:lang w:val="en-GB"/>
              </w:rPr>
            </w:pPr>
            <w:r w:rsidRPr="000D086B">
              <w:rPr>
                <w:szCs w:val="22"/>
                <w:lang w:val="en-GB"/>
              </w:rPr>
              <w:t>Maraviroc:</w:t>
            </w:r>
          </w:p>
          <w:p w14:paraId="235553F2" w14:textId="77777777" w:rsidR="00E7753E" w:rsidRPr="000D086B" w:rsidRDefault="00E7753E" w:rsidP="00285B05">
            <w:pPr>
              <w:pStyle w:val="EMEANormal"/>
              <w:rPr>
                <w:szCs w:val="22"/>
                <w:lang w:val="en-GB"/>
              </w:rPr>
            </w:pPr>
            <w:r w:rsidRPr="000D086B">
              <w:rPr>
                <w:szCs w:val="22"/>
                <w:lang w:val="en-GB"/>
              </w:rPr>
              <w:t xml:space="preserve">AUC: ↑ 295% </w:t>
            </w:r>
          </w:p>
          <w:p w14:paraId="1B82267C" w14:textId="77777777" w:rsidR="00E7753E" w:rsidRPr="000D086B" w:rsidRDefault="00E7753E" w:rsidP="00285B05">
            <w:pPr>
              <w:pStyle w:val="EMEANormal"/>
              <w:rPr>
                <w:szCs w:val="22"/>
                <w:lang w:val="en-GB"/>
              </w:rPr>
            </w:pPr>
            <w:r w:rsidRPr="000D086B">
              <w:rPr>
                <w:szCs w:val="22"/>
                <w:lang w:val="en-GB"/>
              </w:rPr>
              <w:t>C</w:t>
            </w:r>
            <w:r w:rsidRPr="000D086B">
              <w:rPr>
                <w:szCs w:val="22"/>
                <w:vertAlign w:val="subscript"/>
                <w:lang w:val="en-GB"/>
              </w:rPr>
              <w:t>max</w:t>
            </w:r>
            <w:r w:rsidRPr="000D086B">
              <w:rPr>
                <w:szCs w:val="22"/>
                <w:lang w:val="en-GB"/>
              </w:rPr>
              <w:t xml:space="preserve">: ↑ 97% </w:t>
            </w:r>
          </w:p>
          <w:p w14:paraId="6B0B2608" w14:textId="77777777" w:rsidR="00E7753E" w:rsidRPr="000D086B" w:rsidRDefault="00E7753E" w:rsidP="00285B05">
            <w:pPr>
              <w:pStyle w:val="EMEANormal"/>
              <w:rPr>
                <w:szCs w:val="22"/>
                <w:lang w:val="en-GB"/>
              </w:rPr>
            </w:pPr>
            <w:r w:rsidRPr="000D086B">
              <w:rPr>
                <w:szCs w:val="22"/>
                <w:lang w:val="en-GB"/>
              </w:rPr>
              <w:t>Due to CYP3A inhibition by lopinavir/ritonavir.</w:t>
            </w:r>
          </w:p>
        </w:tc>
        <w:tc>
          <w:tcPr>
            <w:tcW w:w="3432" w:type="dxa"/>
            <w:gridSpan w:val="2"/>
            <w:tcBorders>
              <w:top w:val="single" w:sz="4" w:space="0" w:color="auto"/>
              <w:left w:val="single" w:sz="4" w:space="0" w:color="auto"/>
              <w:bottom w:val="single" w:sz="4" w:space="0" w:color="auto"/>
              <w:right w:val="single" w:sz="4" w:space="0" w:color="auto"/>
            </w:tcBorders>
          </w:tcPr>
          <w:p w14:paraId="25BEE995" w14:textId="77777777" w:rsidR="00E7753E" w:rsidRPr="000D086B" w:rsidRDefault="00E7753E" w:rsidP="00002FFE">
            <w:pPr>
              <w:rPr>
                <w:sz w:val="22"/>
                <w:szCs w:val="22"/>
              </w:rPr>
            </w:pPr>
            <w:r w:rsidRPr="000D086B">
              <w:rPr>
                <w:sz w:val="22"/>
                <w:szCs w:val="22"/>
              </w:rPr>
              <w:t>The dose of maraviroc should be decreased to 150 mg twice daily during co</w:t>
            </w:r>
            <w:r w:rsidRPr="000D086B">
              <w:rPr>
                <w:sz w:val="22"/>
                <w:szCs w:val="22"/>
              </w:rPr>
              <w:noBreakHyphen/>
              <w:t xml:space="preserve">administration with Kaletra 400/100 mg twice daily.  </w:t>
            </w:r>
          </w:p>
        </w:tc>
      </w:tr>
      <w:tr w:rsidR="00E7753E" w:rsidRPr="000D086B" w14:paraId="68862B5E"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1A271610" w14:textId="77777777" w:rsidR="00E7753E" w:rsidRPr="000D086B" w:rsidRDefault="00E7753E" w:rsidP="00285B05">
            <w:pPr>
              <w:pStyle w:val="EMEANormal"/>
              <w:rPr>
                <w:i/>
                <w:szCs w:val="22"/>
                <w:lang w:val="en-GB"/>
              </w:rPr>
            </w:pPr>
            <w:r w:rsidRPr="000D086B">
              <w:rPr>
                <w:i/>
                <w:szCs w:val="22"/>
                <w:lang w:val="en-GB"/>
              </w:rPr>
              <w:t>Integrase inhibitor</w:t>
            </w:r>
          </w:p>
        </w:tc>
      </w:tr>
      <w:tr w:rsidR="00E7753E" w:rsidRPr="000D086B" w14:paraId="28D54728" w14:textId="77777777" w:rsidTr="008F531F">
        <w:tc>
          <w:tcPr>
            <w:tcW w:w="2400" w:type="dxa"/>
            <w:tcBorders>
              <w:top w:val="single" w:sz="4" w:space="0" w:color="auto"/>
              <w:left w:val="single" w:sz="4" w:space="0" w:color="auto"/>
              <w:bottom w:val="single" w:sz="4" w:space="0" w:color="auto"/>
              <w:right w:val="single" w:sz="4" w:space="0" w:color="auto"/>
            </w:tcBorders>
          </w:tcPr>
          <w:p w14:paraId="7E3AA0E4" w14:textId="77777777" w:rsidR="00E7753E" w:rsidRPr="000D086B" w:rsidRDefault="00E7753E" w:rsidP="00285B05">
            <w:pPr>
              <w:pStyle w:val="EMEANormal"/>
              <w:rPr>
                <w:bCs/>
                <w:iCs/>
                <w:szCs w:val="22"/>
                <w:lang w:val="en-GB"/>
              </w:rPr>
            </w:pPr>
            <w:r w:rsidRPr="000D086B">
              <w:rPr>
                <w:iCs/>
                <w:szCs w:val="22"/>
                <w:lang w:val="en-GB"/>
              </w:rPr>
              <w:t>Raltegravir</w:t>
            </w:r>
          </w:p>
        </w:tc>
        <w:tc>
          <w:tcPr>
            <w:tcW w:w="3240" w:type="dxa"/>
            <w:gridSpan w:val="2"/>
            <w:tcBorders>
              <w:top w:val="single" w:sz="4" w:space="0" w:color="auto"/>
              <w:left w:val="single" w:sz="4" w:space="0" w:color="auto"/>
              <w:bottom w:val="single" w:sz="4" w:space="0" w:color="auto"/>
              <w:right w:val="single" w:sz="4" w:space="0" w:color="auto"/>
            </w:tcBorders>
          </w:tcPr>
          <w:p w14:paraId="2A3B52AD" w14:textId="77777777" w:rsidR="00E7753E" w:rsidRPr="000D086B" w:rsidRDefault="00E7753E" w:rsidP="00285B05">
            <w:pPr>
              <w:pStyle w:val="EMEANormal"/>
              <w:rPr>
                <w:szCs w:val="22"/>
                <w:lang w:val="en-GB"/>
              </w:rPr>
            </w:pPr>
            <w:r w:rsidRPr="000D086B">
              <w:rPr>
                <w:szCs w:val="22"/>
                <w:lang w:val="en-GB"/>
              </w:rPr>
              <w:t xml:space="preserve">Raltegravir: </w:t>
            </w:r>
          </w:p>
          <w:p w14:paraId="40DF7676" w14:textId="77777777" w:rsidR="00E7753E" w:rsidRPr="000D086B" w:rsidRDefault="00E7753E" w:rsidP="00285B05">
            <w:pPr>
              <w:pStyle w:val="EMEANormal"/>
              <w:rPr>
                <w:szCs w:val="22"/>
                <w:lang w:val="en-GB"/>
              </w:rPr>
            </w:pPr>
            <w:r w:rsidRPr="000D086B">
              <w:rPr>
                <w:szCs w:val="22"/>
                <w:lang w:val="en-GB"/>
              </w:rPr>
              <w:t>AUC: ↔</w:t>
            </w:r>
          </w:p>
          <w:p w14:paraId="57D06EDF" w14:textId="77777777" w:rsidR="00E7753E" w:rsidRPr="000D086B" w:rsidRDefault="00E7753E" w:rsidP="00285B05">
            <w:pPr>
              <w:pStyle w:val="EMEANormal"/>
              <w:rPr>
                <w:szCs w:val="22"/>
                <w:lang w:val="en-GB"/>
              </w:rPr>
            </w:pPr>
            <w:r w:rsidRPr="000D086B">
              <w:rPr>
                <w:szCs w:val="22"/>
                <w:lang w:val="en-GB"/>
              </w:rPr>
              <w:t>C</w:t>
            </w:r>
            <w:r w:rsidRPr="000D086B">
              <w:rPr>
                <w:szCs w:val="22"/>
                <w:vertAlign w:val="subscript"/>
                <w:lang w:val="en-GB"/>
              </w:rPr>
              <w:t>max</w:t>
            </w:r>
            <w:r w:rsidRPr="000D086B">
              <w:rPr>
                <w:szCs w:val="22"/>
                <w:lang w:val="en-GB"/>
              </w:rPr>
              <w:t>: ↔</w:t>
            </w:r>
          </w:p>
          <w:p w14:paraId="723A5154" w14:textId="77777777" w:rsidR="00E7753E" w:rsidRPr="000D086B" w:rsidRDefault="00E7753E" w:rsidP="00285B05">
            <w:pPr>
              <w:pStyle w:val="EMEANormal"/>
              <w:rPr>
                <w:szCs w:val="22"/>
                <w:lang w:val="en-GB"/>
              </w:rPr>
            </w:pPr>
            <w:r w:rsidRPr="000D086B">
              <w:rPr>
                <w:szCs w:val="22"/>
                <w:lang w:val="en-GB"/>
              </w:rPr>
              <w:t>C</w:t>
            </w:r>
            <w:r w:rsidRPr="000D086B">
              <w:rPr>
                <w:szCs w:val="22"/>
                <w:vertAlign w:val="subscript"/>
                <w:lang w:val="en-GB"/>
              </w:rPr>
              <w:t>12</w:t>
            </w:r>
            <w:r w:rsidRPr="000D086B">
              <w:rPr>
                <w:szCs w:val="22"/>
                <w:lang w:val="en-GB"/>
              </w:rPr>
              <w:t>: ↓ 30%</w:t>
            </w:r>
          </w:p>
          <w:p w14:paraId="424EE812" w14:textId="77777777" w:rsidR="00E7753E" w:rsidRPr="000D086B" w:rsidRDefault="00E7753E" w:rsidP="00285B05">
            <w:pPr>
              <w:pStyle w:val="EMEANormal"/>
              <w:rPr>
                <w:szCs w:val="22"/>
                <w:lang w:val="en-GB"/>
              </w:rPr>
            </w:pPr>
            <w:r w:rsidRPr="000D086B">
              <w:rPr>
                <w:szCs w:val="22"/>
                <w:lang w:val="en-GB"/>
              </w:rPr>
              <w:t>Lopinavir: ↔</w:t>
            </w:r>
          </w:p>
        </w:tc>
        <w:tc>
          <w:tcPr>
            <w:tcW w:w="3432" w:type="dxa"/>
            <w:gridSpan w:val="2"/>
            <w:tcBorders>
              <w:top w:val="single" w:sz="4" w:space="0" w:color="auto"/>
              <w:left w:val="single" w:sz="4" w:space="0" w:color="auto"/>
              <w:bottom w:val="single" w:sz="4" w:space="0" w:color="auto"/>
              <w:right w:val="single" w:sz="4" w:space="0" w:color="auto"/>
            </w:tcBorders>
          </w:tcPr>
          <w:p w14:paraId="6829CB62" w14:textId="77777777" w:rsidR="00E7753E" w:rsidRPr="000D086B" w:rsidRDefault="00E7753E" w:rsidP="00285B05">
            <w:pPr>
              <w:pStyle w:val="EMEANormal"/>
              <w:spacing w:after="240"/>
              <w:rPr>
                <w:szCs w:val="22"/>
                <w:lang w:val="en-GB"/>
              </w:rPr>
            </w:pPr>
            <w:r w:rsidRPr="000D086B">
              <w:rPr>
                <w:szCs w:val="22"/>
                <w:lang w:val="en-GB"/>
              </w:rPr>
              <w:t xml:space="preserve">No dose adjustment </w:t>
            </w:r>
            <w:r w:rsidRPr="000D086B">
              <w:rPr>
                <w:bCs/>
                <w:iCs/>
                <w:szCs w:val="22"/>
                <w:lang w:val="en-GB"/>
              </w:rPr>
              <w:t>necessary</w:t>
            </w:r>
          </w:p>
          <w:p w14:paraId="266C6E6E" w14:textId="77777777" w:rsidR="00E7753E" w:rsidRPr="000D086B" w:rsidRDefault="00E7753E" w:rsidP="00285B05">
            <w:pPr>
              <w:pStyle w:val="EMEANormal"/>
              <w:rPr>
                <w:szCs w:val="22"/>
                <w:lang w:val="en-GB"/>
              </w:rPr>
            </w:pPr>
          </w:p>
        </w:tc>
      </w:tr>
      <w:tr w:rsidR="00E7753E" w:rsidRPr="00342F7C" w14:paraId="0F0B7209"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1917912A" w14:textId="77777777" w:rsidR="00E7753E" w:rsidRPr="00342F7C" w:rsidRDefault="00E7753E" w:rsidP="0089797D">
            <w:pPr>
              <w:pStyle w:val="EMEANormal"/>
              <w:keepNext/>
              <w:rPr>
                <w:i/>
                <w:iCs/>
                <w:lang w:val="en-GB"/>
              </w:rPr>
            </w:pPr>
            <w:r w:rsidRPr="00342F7C">
              <w:rPr>
                <w:i/>
                <w:iCs/>
                <w:lang w:val="en-GB"/>
              </w:rPr>
              <w:t>Co-administration with other HIV protease inhibitors (PIs)</w:t>
            </w:r>
          </w:p>
          <w:p w14:paraId="3828C49C" w14:textId="77777777" w:rsidR="00E7753E" w:rsidRPr="00342F7C" w:rsidRDefault="00E7753E" w:rsidP="0089797D">
            <w:pPr>
              <w:pStyle w:val="EMEANormal"/>
              <w:keepNext/>
              <w:rPr>
                <w:i/>
                <w:iCs/>
                <w:lang w:val="en-GB"/>
              </w:rPr>
            </w:pPr>
            <w:r w:rsidRPr="00342F7C">
              <w:rPr>
                <w:color w:val="000000"/>
                <w:lang w:val="en-GB" w:eastAsia="en-GB"/>
              </w:rPr>
              <w:t>According to current treatment guidelines, dual therapy with protease inhibitors is generally not recommended.</w:t>
            </w:r>
          </w:p>
        </w:tc>
      </w:tr>
      <w:tr w:rsidR="00E7753E" w:rsidRPr="00342F7C" w14:paraId="693640B8" w14:textId="77777777" w:rsidTr="008F531F">
        <w:trPr>
          <w:trHeight w:val="1781"/>
        </w:trPr>
        <w:tc>
          <w:tcPr>
            <w:tcW w:w="2400" w:type="dxa"/>
            <w:tcBorders>
              <w:top w:val="single" w:sz="4" w:space="0" w:color="auto"/>
              <w:left w:val="single" w:sz="4" w:space="0" w:color="auto"/>
              <w:bottom w:val="single" w:sz="4" w:space="0" w:color="auto"/>
              <w:right w:val="single" w:sz="4" w:space="0" w:color="auto"/>
            </w:tcBorders>
          </w:tcPr>
          <w:p w14:paraId="4522832F" w14:textId="77777777" w:rsidR="00E7753E" w:rsidRPr="00342F7C" w:rsidRDefault="00E7753E" w:rsidP="00E95E29">
            <w:pPr>
              <w:pStyle w:val="EMEANormal"/>
              <w:rPr>
                <w:lang w:val="en-GB"/>
              </w:rPr>
            </w:pPr>
            <w:r w:rsidRPr="00342F7C">
              <w:rPr>
                <w:lang w:val="en-GB"/>
              </w:rPr>
              <w:t xml:space="preserve">Fosamprenavir/ ritonavir (700/100 mg BID) </w:t>
            </w:r>
          </w:p>
          <w:p w14:paraId="580F7997" w14:textId="77777777" w:rsidR="00E7753E" w:rsidRPr="00342F7C" w:rsidRDefault="00E7753E" w:rsidP="00E95E29">
            <w:pPr>
              <w:pStyle w:val="EMEANormal"/>
              <w:rPr>
                <w:lang w:val="en-GB"/>
              </w:rPr>
            </w:pPr>
          </w:p>
          <w:p w14:paraId="64B875B0" w14:textId="77777777" w:rsidR="00E7753E" w:rsidRPr="00342F7C" w:rsidRDefault="00E7753E" w:rsidP="00E95E29">
            <w:pPr>
              <w:pStyle w:val="EMEANormal"/>
              <w:rPr>
                <w:bCs/>
                <w:iCs/>
                <w:lang w:val="en-GB"/>
              </w:rPr>
            </w:pPr>
            <w:r w:rsidRPr="00342F7C">
              <w:rPr>
                <w:bCs/>
                <w:iCs/>
                <w:lang w:val="en-GB"/>
              </w:rPr>
              <w:t>(L</w:t>
            </w:r>
            <w:r w:rsidRPr="00342F7C">
              <w:rPr>
                <w:lang w:val="en-GB"/>
              </w:rPr>
              <w:t xml:space="preserve">opinavir/ritonavir </w:t>
            </w:r>
            <w:r>
              <w:rPr>
                <w:bCs/>
                <w:iCs/>
                <w:lang w:val="en-GB"/>
              </w:rPr>
              <w:t>400/100 </w:t>
            </w:r>
            <w:r w:rsidRPr="00342F7C">
              <w:rPr>
                <w:bCs/>
                <w:iCs/>
                <w:lang w:val="en-GB"/>
              </w:rPr>
              <w:t>mg BID)</w:t>
            </w:r>
          </w:p>
          <w:p w14:paraId="1387C6FE" w14:textId="77777777" w:rsidR="00E7753E" w:rsidRPr="00342F7C" w:rsidRDefault="00E7753E" w:rsidP="00E95E29">
            <w:pPr>
              <w:pStyle w:val="EMEANormal"/>
              <w:rPr>
                <w:lang w:val="en-GB"/>
              </w:rPr>
            </w:pPr>
          </w:p>
          <w:p w14:paraId="5AE9C0E2" w14:textId="77777777" w:rsidR="00E7753E" w:rsidRPr="00342F7C" w:rsidRDefault="00E7753E" w:rsidP="00E95E29">
            <w:pPr>
              <w:pStyle w:val="EMEANormal"/>
              <w:rPr>
                <w:lang w:val="en-GB"/>
              </w:rPr>
            </w:pPr>
            <w:r w:rsidRPr="00342F7C">
              <w:rPr>
                <w:lang w:val="en-GB"/>
              </w:rPr>
              <w:t xml:space="preserve">or </w:t>
            </w:r>
          </w:p>
          <w:p w14:paraId="54998A4C" w14:textId="77777777" w:rsidR="00E7753E" w:rsidRPr="00342F7C" w:rsidRDefault="00E7753E" w:rsidP="00E95E29">
            <w:pPr>
              <w:pStyle w:val="EMEANormal"/>
              <w:rPr>
                <w:lang w:val="en-GB"/>
              </w:rPr>
            </w:pPr>
          </w:p>
          <w:p w14:paraId="215B6A8A" w14:textId="77777777" w:rsidR="00E7753E" w:rsidRPr="00342F7C" w:rsidRDefault="00E7753E" w:rsidP="00E95E29">
            <w:pPr>
              <w:pStyle w:val="EMEANormal"/>
              <w:rPr>
                <w:lang w:val="en-GB"/>
              </w:rPr>
            </w:pPr>
            <w:r>
              <w:rPr>
                <w:lang w:val="en-GB"/>
              </w:rPr>
              <w:t>Fosamprenavir (1400 m</w:t>
            </w:r>
            <w:r w:rsidRPr="00342F7C">
              <w:rPr>
                <w:lang w:val="en-GB"/>
              </w:rPr>
              <w:t>g BID)</w:t>
            </w:r>
          </w:p>
          <w:p w14:paraId="4B12FD4F" w14:textId="77777777" w:rsidR="00E7753E" w:rsidRPr="00342F7C" w:rsidRDefault="00E7753E" w:rsidP="00E95E29">
            <w:pPr>
              <w:pStyle w:val="EMEANormal"/>
              <w:rPr>
                <w:lang w:val="en-GB"/>
              </w:rPr>
            </w:pPr>
          </w:p>
          <w:p w14:paraId="328C9CFC" w14:textId="77777777" w:rsidR="00E7753E" w:rsidRPr="00342F7C" w:rsidRDefault="00E7753E" w:rsidP="00E95E29">
            <w:pPr>
              <w:pStyle w:val="EMEANormal"/>
              <w:rPr>
                <w:bCs/>
                <w:iCs/>
                <w:lang w:val="en-GB"/>
              </w:rPr>
            </w:pPr>
            <w:r w:rsidRPr="00342F7C">
              <w:rPr>
                <w:bCs/>
                <w:iCs/>
                <w:lang w:val="en-GB"/>
              </w:rPr>
              <w:t>(</w:t>
            </w:r>
            <w:r w:rsidRPr="00342F7C">
              <w:rPr>
                <w:lang w:val="en-GB"/>
              </w:rPr>
              <w:t xml:space="preserve">Lopinavir/ritonavir </w:t>
            </w:r>
            <w:r w:rsidRPr="00342F7C">
              <w:rPr>
                <w:bCs/>
                <w:iCs/>
                <w:lang w:val="en-GB"/>
              </w:rPr>
              <w:t>533/133 mg BID)</w:t>
            </w:r>
          </w:p>
          <w:p w14:paraId="576F4EDB" w14:textId="77777777" w:rsidR="00E7753E" w:rsidRPr="00342F7C" w:rsidRDefault="00E7753E" w:rsidP="00E95E29">
            <w:pPr>
              <w:pStyle w:val="EMEANormal"/>
              <w:rPr>
                <w:lang w:val="en-GB"/>
              </w:rPr>
            </w:pPr>
          </w:p>
          <w:p w14:paraId="64310332" w14:textId="77777777" w:rsidR="00E7753E" w:rsidRPr="00342F7C" w:rsidRDefault="00E7753E" w:rsidP="00E95E29">
            <w:pPr>
              <w:pStyle w:val="EMEANormal"/>
              <w:rPr>
                <w:i/>
                <w:iCs/>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4754749F" w14:textId="77777777" w:rsidR="00E7753E" w:rsidRPr="00342F7C" w:rsidRDefault="00E7753E" w:rsidP="00E95E29">
            <w:pPr>
              <w:pStyle w:val="EMEANormal"/>
              <w:rPr>
                <w:lang w:val="en-GB"/>
              </w:rPr>
            </w:pPr>
            <w:r w:rsidRPr="00342F7C">
              <w:rPr>
                <w:lang w:val="en-GB"/>
              </w:rPr>
              <w:t>Fosamprenavir:</w:t>
            </w:r>
          </w:p>
          <w:p w14:paraId="0E0AE157" w14:textId="77777777" w:rsidR="00E7753E" w:rsidRPr="00342F7C" w:rsidRDefault="00E7753E" w:rsidP="00E95E29">
            <w:pPr>
              <w:pStyle w:val="EMEANormal"/>
              <w:rPr>
                <w:lang w:val="en-GB"/>
              </w:rPr>
            </w:pPr>
            <w:r w:rsidRPr="00342F7C">
              <w:rPr>
                <w:lang w:val="en-GB"/>
              </w:rPr>
              <w:t xml:space="preserve">Amprenavir concentrations are significantly reduced. </w:t>
            </w:r>
          </w:p>
          <w:p w14:paraId="52737775" w14:textId="77777777" w:rsidR="00E7753E" w:rsidRPr="00342F7C" w:rsidRDefault="00E7753E" w:rsidP="00E95E29">
            <w:pPr>
              <w:pStyle w:val="EMEANormal"/>
              <w:rPr>
                <w:lang w:val="en-GB"/>
              </w:rPr>
            </w:pPr>
          </w:p>
          <w:p w14:paraId="32BAADD4" w14:textId="77777777" w:rsidR="00E7753E" w:rsidRPr="00342F7C" w:rsidRDefault="00E7753E" w:rsidP="00E95E29">
            <w:pPr>
              <w:pStyle w:val="EMEANormal"/>
              <w:rPr>
                <w:lang w:val="en-GB"/>
              </w:rPr>
            </w:pPr>
          </w:p>
          <w:p w14:paraId="3EAB6E30" w14:textId="77777777" w:rsidR="00E7753E" w:rsidRPr="00342F7C" w:rsidRDefault="00E7753E" w:rsidP="00E95E29">
            <w:pPr>
              <w:pStyle w:val="EMEANormal"/>
              <w:jc w:val="right"/>
              <w:rPr>
                <w:lang w:val="en-GB"/>
              </w:rPr>
            </w:pPr>
          </w:p>
        </w:tc>
        <w:tc>
          <w:tcPr>
            <w:tcW w:w="3432" w:type="dxa"/>
            <w:gridSpan w:val="2"/>
            <w:tcBorders>
              <w:top w:val="single" w:sz="4" w:space="0" w:color="auto"/>
              <w:left w:val="single" w:sz="4" w:space="0" w:color="auto"/>
              <w:bottom w:val="single" w:sz="4" w:space="0" w:color="auto"/>
              <w:right w:val="single" w:sz="4" w:space="0" w:color="auto"/>
            </w:tcBorders>
          </w:tcPr>
          <w:p w14:paraId="51AF0EEA" w14:textId="77777777" w:rsidR="00E7753E" w:rsidRPr="00342F7C" w:rsidRDefault="00E7753E" w:rsidP="0089797D">
            <w:pPr>
              <w:pStyle w:val="EMEANormal"/>
              <w:keepNext/>
              <w:rPr>
                <w:lang w:val="en-GB"/>
              </w:rPr>
            </w:pPr>
            <w:r w:rsidRPr="00342F7C">
              <w:rPr>
                <w:lang w:val="en-GB"/>
              </w:rPr>
              <w:t xml:space="preserve">Co-administration of increased doses of fosamprenavir (1400 mg BID) with </w:t>
            </w:r>
            <w:r w:rsidR="001546A9">
              <w:rPr>
                <w:lang w:val="en-GB"/>
              </w:rPr>
              <w:t>Kaletra</w:t>
            </w:r>
            <w:r w:rsidRPr="00342F7C">
              <w:rPr>
                <w:lang w:val="en-GB"/>
              </w:rPr>
              <w:t xml:space="preserve"> (533/133 mg BID) to protease inhibitor</w:t>
            </w:r>
            <w:r w:rsidRPr="00342F7C">
              <w:rPr>
                <w:lang w:val="en-GB"/>
              </w:rPr>
              <w:noBreakHyphen/>
              <w:t>experienced patients resulted in a higher incidence of gastrointestinal adverse events and elevations in triglycerides with the combination regimen without increases in virological efficacy, when compared with standard doses of fosamprenavir/ritonavir.  Concomitant administration of these medicinal products is not recommended.</w:t>
            </w:r>
          </w:p>
          <w:p w14:paraId="43DBFAED" w14:textId="77777777" w:rsidR="00E7753E" w:rsidRPr="00342F7C" w:rsidRDefault="00E7753E" w:rsidP="0089797D">
            <w:pPr>
              <w:pStyle w:val="EMEANormal"/>
              <w:keepNext/>
              <w:rPr>
                <w:lang w:val="en-GB"/>
              </w:rPr>
            </w:pPr>
            <w:r w:rsidRPr="00342F7C">
              <w:rPr>
                <w:lang w:val="en-GB"/>
              </w:rPr>
              <w:t>Kaletra must not be administered once daily in combination with amprenavir.</w:t>
            </w:r>
          </w:p>
        </w:tc>
      </w:tr>
      <w:tr w:rsidR="00E7753E" w:rsidRPr="00342F7C" w14:paraId="6575C863" w14:textId="77777777" w:rsidTr="008F531F">
        <w:tc>
          <w:tcPr>
            <w:tcW w:w="2400" w:type="dxa"/>
            <w:tcBorders>
              <w:top w:val="single" w:sz="4" w:space="0" w:color="auto"/>
              <w:left w:val="single" w:sz="4" w:space="0" w:color="auto"/>
              <w:bottom w:val="single" w:sz="4" w:space="0" w:color="auto"/>
              <w:right w:val="single" w:sz="4" w:space="0" w:color="auto"/>
            </w:tcBorders>
          </w:tcPr>
          <w:p w14:paraId="615DBEE3" w14:textId="77777777" w:rsidR="00E7753E" w:rsidRPr="00342F7C" w:rsidRDefault="00E7753E" w:rsidP="00F62C9B">
            <w:pPr>
              <w:pStyle w:val="EMEANormal"/>
              <w:keepNext/>
              <w:rPr>
                <w:lang w:val="en-GB"/>
              </w:rPr>
            </w:pPr>
            <w:r w:rsidRPr="00342F7C">
              <w:rPr>
                <w:lang w:val="en-GB"/>
              </w:rPr>
              <w:t>Indinavir, 600 mg BID</w:t>
            </w:r>
          </w:p>
          <w:p w14:paraId="647107D1" w14:textId="77777777" w:rsidR="00E7753E" w:rsidRPr="00342F7C" w:rsidRDefault="00E7753E" w:rsidP="00F62C9B">
            <w:pPr>
              <w:pStyle w:val="EMEANormal"/>
              <w:keepNext/>
              <w:rPr>
                <w:lang w:val="en-GB"/>
              </w:rPr>
            </w:pPr>
          </w:p>
          <w:p w14:paraId="5F45D8B5" w14:textId="77777777" w:rsidR="00E7753E" w:rsidRPr="00342F7C" w:rsidRDefault="00E7753E" w:rsidP="00F62C9B">
            <w:pPr>
              <w:pStyle w:val="EMEANormal"/>
              <w:keepNext/>
              <w:rPr>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1597744B" w14:textId="77777777" w:rsidR="00E7753E" w:rsidRPr="00342F7C" w:rsidRDefault="00E7753E" w:rsidP="00F62C9B">
            <w:pPr>
              <w:pStyle w:val="EMEANormal"/>
              <w:keepNext/>
              <w:rPr>
                <w:lang w:val="en-GB"/>
              </w:rPr>
            </w:pPr>
            <w:r w:rsidRPr="00342F7C">
              <w:rPr>
                <w:lang w:val="en-GB"/>
              </w:rPr>
              <w:t xml:space="preserve">Indinavir: </w:t>
            </w:r>
          </w:p>
          <w:p w14:paraId="6E55213B" w14:textId="77777777" w:rsidR="00E7753E" w:rsidRPr="00342F7C" w:rsidRDefault="00E7753E" w:rsidP="00F62C9B">
            <w:pPr>
              <w:pStyle w:val="EMEANormal"/>
              <w:keepNext/>
              <w:rPr>
                <w:lang w:val="en-GB"/>
              </w:rPr>
            </w:pPr>
            <w:r w:rsidRPr="00342F7C">
              <w:rPr>
                <w:lang w:val="en-GB"/>
              </w:rPr>
              <w:t>AUC: ↔</w:t>
            </w:r>
          </w:p>
          <w:p w14:paraId="52E8D948" w14:textId="77777777" w:rsidR="00E7753E" w:rsidRPr="00342F7C" w:rsidRDefault="00E7753E" w:rsidP="00F62C9B">
            <w:pPr>
              <w:pStyle w:val="EMEANormal"/>
              <w:keepNext/>
              <w:rPr>
                <w:lang w:val="en-GB"/>
              </w:rPr>
            </w:pPr>
            <w:r w:rsidRPr="00342F7C">
              <w:rPr>
                <w:lang w:val="en-GB"/>
              </w:rPr>
              <w:t>C</w:t>
            </w:r>
            <w:r w:rsidRPr="00342F7C">
              <w:rPr>
                <w:vertAlign w:val="subscript"/>
                <w:lang w:val="en-GB"/>
              </w:rPr>
              <w:t>min</w:t>
            </w:r>
            <w:r w:rsidRPr="00342F7C">
              <w:rPr>
                <w:lang w:val="en-GB"/>
              </w:rPr>
              <w:t xml:space="preserve">: </w:t>
            </w:r>
            <w:bookmarkStart w:id="1" w:name="OLE_LINK2"/>
            <w:bookmarkStart w:id="2" w:name="OLE_LINK3"/>
            <w:r w:rsidRPr="00342F7C">
              <w:rPr>
                <w:lang w:val="en-GB"/>
              </w:rPr>
              <w:t xml:space="preserve">↑ </w:t>
            </w:r>
            <w:bookmarkEnd w:id="1"/>
            <w:bookmarkEnd w:id="2"/>
            <w:r w:rsidRPr="00342F7C">
              <w:rPr>
                <w:lang w:val="en-GB"/>
              </w:rPr>
              <w:t>3.5-fold</w:t>
            </w:r>
          </w:p>
          <w:p w14:paraId="49E47AF1" w14:textId="77777777" w:rsidR="00E7753E" w:rsidRPr="00342F7C" w:rsidRDefault="00E7753E" w:rsidP="00F62C9B">
            <w:pPr>
              <w:pStyle w:val="EMEANormal"/>
              <w:keepNext/>
              <w:rPr>
                <w:lang w:val="en-GB"/>
              </w:rPr>
            </w:pPr>
            <w:r w:rsidRPr="00342F7C">
              <w:rPr>
                <w:lang w:val="en-GB"/>
              </w:rPr>
              <w:t>C</w:t>
            </w:r>
            <w:r w:rsidRPr="00342F7C">
              <w:rPr>
                <w:vertAlign w:val="subscript"/>
                <w:lang w:val="en-GB"/>
              </w:rPr>
              <w:t>max</w:t>
            </w:r>
            <w:r w:rsidRPr="00342F7C">
              <w:rPr>
                <w:lang w:val="en-GB"/>
              </w:rPr>
              <w:t>: ↓</w:t>
            </w:r>
          </w:p>
          <w:p w14:paraId="5D4D5CF2" w14:textId="77777777" w:rsidR="00E7753E" w:rsidRPr="00342F7C" w:rsidRDefault="00E7753E" w:rsidP="00F62C9B">
            <w:pPr>
              <w:pStyle w:val="EMEANormal"/>
              <w:keepNext/>
              <w:rPr>
                <w:lang w:val="en-GB"/>
              </w:rPr>
            </w:pPr>
            <w:r w:rsidRPr="00342F7C">
              <w:rPr>
                <w:lang w:val="en-GB"/>
              </w:rPr>
              <w:t>(relative to indinavir 800 mg TID alone)</w:t>
            </w:r>
          </w:p>
          <w:p w14:paraId="7BF3913E" w14:textId="77777777" w:rsidR="00E7753E" w:rsidRPr="00342F7C" w:rsidRDefault="00E7753E" w:rsidP="00F62C9B">
            <w:pPr>
              <w:pStyle w:val="EMEANormal"/>
              <w:keepNext/>
              <w:rPr>
                <w:szCs w:val="22"/>
                <w:lang w:val="en-GB"/>
              </w:rPr>
            </w:pPr>
            <w:r w:rsidRPr="00342F7C">
              <w:rPr>
                <w:lang w:val="en-GB"/>
              </w:rPr>
              <w:t xml:space="preserve">Lopinavir: </w:t>
            </w:r>
            <w:r w:rsidRPr="00342F7C">
              <w:rPr>
                <w:szCs w:val="22"/>
                <w:lang w:val="en-GB"/>
              </w:rPr>
              <w:t>↔</w:t>
            </w:r>
          </w:p>
          <w:p w14:paraId="4A17F5DA" w14:textId="77777777" w:rsidR="00E7753E" w:rsidRPr="00342F7C" w:rsidRDefault="00E7753E" w:rsidP="00F62C9B">
            <w:pPr>
              <w:pStyle w:val="EMEANormal"/>
              <w:keepNext/>
              <w:rPr>
                <w:lang w:val="en-GB"/>
              </w:rPr>
            </w:pPr>
            <w:r w:rsidRPr="00342F7C">
              <w:rPr>
                <w:szCs w:val="22"/>
                <w:lang w:val="en-GB"/>
              </w:rPr>
              <w:t>(relative to historical comparison)</w:t>
            </w:r>
          </w:p>
        </w:tc>
        <w:tc>
          <w:tcPr>
            <w:tcW w:w="3432" w:type="dxa"/>
            <w:gridSpan w:val="2"/>
            <w:tcBorders>
              <w:top w:val="single" w:sz="4" w:space="0" w:color="auto"/>
              <w:left w:val="single" w:sz="4" w:space="0" w:color="auto"/>
              <w:bottom w:val="single" w:sz="4" w:space="0" w:color="auto"/>
              <w:right w:val="single" w:sz="4" w:space="0" w:color="auto"/>
            </w:tcBorders>
          </w:tcPr>
          <w:p w14:paraId="143F8FA1" w14:textId="77777777" w:rsidR="00E7753E" w:rsidRPr="00342F7C" w:rsidRDefault="00E7753E" w:rsidP="00F62C9B">
            <w:pPr>
              <w:pStyle w:val="EMEANormal"/>
              <w:keepNext/>
              <w:rPr>
                <w:lang w:val="en-GB"/>
              </w:rPr>
            </w:pPr>
            <w:r w:rsidRPr="00342F7C">
              <w:rPr>
                <w:lang w:val="en-GB"/>
              </w:rPr>
              <w:t>The appropriate doses for this combination, with respect to efficacy and safety, have not been established.</w:t>
            </w:r>
          </w:p>
        </w:tc>
      </w:tr>
      <w:tr w:rsidR="00E7753E" w:rsidRPr="00342F7C" w14:paraId="1BFB82E6" w14:textId="77777777" w:rsidTr="008F531F">
        <w:tc>
          <w:tcPr>
            <w:tcW w:w="2400" w:type="dxa"/>
            <w:tcBorders>
              <w:top w:val="single" w:sz="4" w:space="0" w:color="auto"/>
              <w:left w:val="single" w:sz="4" w:space="0" w:color="auto"/>
              <w:bottom w:val="single" w:sz="4" w:space="0" w:color="auto"/>
              <w:right w:val="single" w:sz="4" w:space="0" w:color="auto"/>
            </w:tcBorders>
          </w:tcPr>
          <w:p w14:paraId="729560F1" w14:textId="77777777" w:rsidR="00E7753E" w:rsidRPr="00342F7C" w:rsidRDefault="00E7753E" w:rsidP="00E95E29">
            <w:pPr>
              <w:pStyle w:val="NormalWeb"/>
              <w:spacing w:before="0" w:beforeAutospacing="0" w:after="0" w:afterAutospacing="0"/>
              <w:rPr>
                <w:rFonts w:ascii="Times New Roman" w:hAnsi="Times New Roman" w:cs="Times New Roman" w:hint="default"/>
                <w:sz w:val="22"/>
                <w:szCs w:val="20"/>
                <w:lang w:val="en-GB"/>
              </w:rPr>
            </w:pPr>
            <w:r w:rsidRPr="00342F7C">
              <w:rPr>
                <w:rFonts w:ascii="Times New Roman" w:hAnsi="Times New Roman" w:cs="Times New Roman" w:hint="default"/>
                <w:sz w:val="22"/>
                <w:szCs w:val="20"/>
                <w:lang w:val="en-GB"/>
              </w:rPr>
              <w:t xml:space="preserve">Saquinavir </w:t>
            </w:r>
          </w:p>
          <w:p w14:paraId="67B4FBBA" w14:textId="77777777" w:rsidR="00E7753E" w:rsidRPr="00342F7C" w:rsidRDefault="00E7753E" w:rsidP="00E95E29">
            <w:pPr>
              <w:pStyle w:val="NormalWeb"/>
              <w:spacing w:before="0" w:beforeAutospacing="0" w:after="0" w:afterAutospacing="0"/>
              <w:rPr>
                <w:rFonts w:ascii="Times New Roman" w:hAnsi="Times New Roman" w:cs="Times New Roman" w:hint="default"/>
                <w:sz w:val="22"/>
                <w:lang w:val="en-GB"/>
              </w:rPr>
            </w:pPr>
            <w:r w:rsidRPr="00342F7C">
              <w:rPr>
                <w:rFonts w:ascii="Times New Roman" w:hAnsi="Times New Roman" w:cs="Times New Roman" w:hint="default"/>
                <w:sz w:val="22"/>
                <w:szCs w:val="20"/>
                <w:lang w:val="en-GB"/>
              </w:rPr>
              <w:t>1000 mg BID</w:t>
            </w:r>
          </w:p>
        </w:tc>
        <w:tc>
          <w:tcPr>
            <w:tcW w:w="3240" w:type="dxa"/>
            <w:gridSpan w:val="2"/>
            <w:tcBorders>
              <w:top w:val="single" w:sz="4" w:space="0" w:color="auto"/>
              <w:left w:val="single" w:sz="4" w:space="0" w:color="auto"/>
              <w:bottom w:val="single" w:sz="4" w:space="0" w:color="auto"/>
              <w:right w:val="single" w:sz="4" w:space="0" w:color="auto"/>
            </w:tcBorders>
          </w:tcPr>
          <w:p w14:paraId="252A0A47" w14:textId="77777777" w:rsidR="00E7753E" w:rsidRPr="00342F7C" w:rsidRDefault="00E7753E" w:rsidP="00E95E29">
            <w:pPr>
              <w:pStyle w:val="EMEANormal"/>
              <w:rPr>
                <w:lang w:val="en-GB"/>
              </w:rPr>
            </w:pPr>
            <w:r w:rsidRPr="00342F7C">
              <w:rPr>
                <w:szCs w:val="22"/>
                <w:lang w:val="en-GB"/>
              </w:rPr>
              <w:t xml:space="preserve">Saquinavir: </w:t>
            </w:r>
            <w:r w:rsidRPr="00342F7C">
              <w:rPr>
                <w:lang w:val="en-GB"/>
              </w:rPr>
              <w:t xml:space="preserve">↔ </w:t>
            </w:r>
          </w:p>
        </w:tc>
        <w:tc>
          <w:tcPr>
            <w:tcW w:w="3432" w:type="dxa"/>
            <w:gridSpan w:val="2"/>
            <w:tcBorders>
              <w:top w:val="single" w:sz="4" w:space="0" w:color="auto"/>
              <w:left w:val="single" w:sz="4" w:space="0" w:color="auto"/>
              <w:bottom w:val="single" w:sz="4" w:space="0" w:color="auto"/>
              <w:right w:val="single" w:sz="4" w:space="0" w:color="auto"/>
            </w:tcBorders>
          </w:tcPr>
          <w:p w14:paraId="58D91B5C" w14:textId="77777777" w:rsidR="00E7753E" w:rsidRPr="00342F7C" w:rsidRDefault="00E7753E" w:rsidP="00E95E29">
            <w:pPr>
              <w:pStyle w:val="NormalWeb"/>
              <w:rPr>
                <w:rFonts w:ascii="Times New Roman" w:hAnsi="Times New Roman" w:cs="Times New Roman" w:hint="default"/>
                <w:sz w:val="22"/>
                <w:lang w:val="en-GB"/>
              </w:rPr>
            </w:pPr>
            <w:r w:rsidRPr="00342F7C">
              <w:rPr>
                <w:rFonts w:ascii="Times New Roman" w:hAnsi="Times New Roman" w:cs="Times New Roman" w:hint="default"/>
                <w:sz w:val="22"/>
                <w:lang w:val="en-GB"/>
              </w:rPr>
              <w:t>No dose adjustment necessary.</w:t>
            </w:r>
          </w:p>
        </w:tc>
      </w:tr>
      <w:tr w:rsidR="00E7753E" w:rsidRPr="00342F7C" w14:paraId="45AA5DD5" w14:textId="77777777" w:rsidTr="008F531F">
        <w:tc>
          <w:tcPr>
            <w:tcW w:w="2400" w:type="dxa"/>
            <w:tcBorders>
              <w:top w:val="single" w:sz="4" w:space="0" w:color="auto"/>
              <w:left w:val="single" w:sz="4" w:space="0" w:color="auto"/>
              <w:bottom w:val="single" w:sz="4" w:space="0" w:color="auto"/>
              <w:right w:val="single" w:sz="4" w:space="0" w:color="auto"/>
            </w:tcBorders>
          </w:tcPr>
          <w:p w14:paraId="1AD9694E" w14:textId="77777777" w:rsidR="00E7753E" w:rsidRPr="00342F7C" w:rsidRDefault="00E7753E" w:rsidP="0011493C">
            <w:pPr>
              <w:pStyle w:val="NormalWeb"/>
              <w:spacing w:before="0" w:beforeAutospacing="0" w:after="0" w:afterAutospacing="0"/>
              <w:rPr>
                <w:rFonts w:ascii="Times New Roman" w:hAnsi="Times New Roman" w:cs="Times New Roman" w:hint="default"/>
                <w:sz w:val="22"/>
                <w:szCs w:val="20"/>
                <w:lang w:val="en-GB"/>
              </w:rPr>
            </w:pPr>
            <w:r w:rsidRPr="00342F7C">
              <w:rPr>
                <w:rFonts w:ascii="Times New Roman" w:hAnsi="Times New Roman" w:cs="Times New Roman" w:hint="default"/>
                <w:sz w:val="22"/>
                <w:szCs w:val="20"/>
                <w:lang w:val="en-GB"/>
              </w:rPr>
              <w:t>Tipranavir/ritonavir</w:t>
            </w:r>
          </w:p>
          <w:p w14:paraId="21A98E35" w14:textId="77777777" w:rsidR="00E7753E" w:rsidRPr="00342F7C" w:rsidRDefault="00E7753E" w:rsidP="0011493C">
            <w:pPr>
              <w:pStyle w:val="NormalWeb"/>
              <w:spacing w:before="0" w:beforeAutospacing="0" w:after="0" w:afterAutospacing="0"/>
              <w:rPr>
                <w:rFonts w:ascii="Times New Roman" w:hAnsi="Times New Roman" w:cs="Times New Roman" w:hint="default"/>
                <w:sz w:val="22"/>
                <w:szCs w:val="20"/>
                <w:lang w:val="en-GB"/>
              </w:rPr>
            </w:pPr>
            <w:r w:rsidRPr="00342F7C">
              <w:rPr>
                <w:rFonts w:ascii="Times New Roman" w:hAnsi="Times New Roman" w:cs="Times New Roman" w:hint="default"/>
                <w:sz w:val="22"/>
                <w:szCs w:val="20"/>
                <w:lang w:val="en-GB"/>
              </w:rPr>
              <w:t>(500/100 mg BID)</w:t>
            </w:r>
          </w:p>
        </w:tc>
        <w:tc>
          <w:tcPr>
            <w:tcW w:w="3240" w:type="dxa"/>
            <w:gridSpan w:val="2"/>
            <w:tcBorders>
              <w:top w:val="single" w:sz="4" w:space="0" w:color="auto"/>
              <w:left w:val="single" w:sz="4" w:space="0" w:color="auto"/>
              <w:bottom w:val="single" w:sz="4" w:space="0" w:color="auto"/>
              <w:right w:val="single" w:sz="4" w:space="0" w:color="auto"/>
            </w:tcBorders>
          </w:tcPr>
          <w:p w14:paraId="00C15BED" w14:textId="77777777" w:rsidR="00E7753E" w:rsidRPr="00342F7C" w:rsidRDefault="00E7753E" w:rsidP="0011493C">
            <w:pPr>
              <w:pStyle w:val="EMEANormal"/>
              <w:rPr>
                <w:szCs w:val="22"/>
                <w:lang w:val="en-GB"/>
              </w:rPr>
            </w:pPr>
            <w:r w:rsidRPr="00342F7C">
              <w:rPr>
                <w:szCs w:val="22"/>
                <w:lang w:val="en-GB"/>
              </w:rPr>
              <w:t>Lopinavir:</w:t>
            </w:r>
          </w:p>
          <w:p w14:paraId="14F05051" w14:textId="77777777" w:rsidR="00E7753E" w:rsidRPr="00342F7C" w:rsidRDefault="00E7753E" w:rsidP="0011493C">
            <w:pPr>
              <w:pStyle w:val="EMEANormal"/>
              <w:rPr>
                <w:lang w:val="en-GB"/>
              </w:rPr>
            </w:pPr>
            <w:r w:rsidRPr="00342F7C">
              <w:rPr>
                <w:lang w:val="en-GB"/>
              </w:rPr>
              <w:t>AUC: ↓ 55%</w:t>
            </w:r>
          </w:p>
          <w:p w14:paraId="6245F643" w14:textId="77777777" w:rsidR="00E7753E" w:rsidRPr="00342F7C" w:rsidRDefault="00E7753E" w:rsidP="0011493C">
            <w:pPr>
              <w:pStyle w:val="EMEANormal"/>
              <w:rPr>
                <w:lang w:val="en-GB"/>
              </w:rPr>
            </w:pPr>
            <w:r w:rsidRPr="00342F7C">
              <w:rPr>
                <w:lang w:val="en-GB"/>
              </w:rPr>
              <w:t>C</w:t>
            </w:r>
            <w:r w:rsidRPr="00342F7C">
              <w:rPr>
                <w:vertAlign w:val="subscript"/>
                <w:lang w:val="en-GB"/>
              </w:rPr>
              <w:t>min</w:t>
            </w:r>
            <w:r w:rsidRPr="00342F7C">
              <w:rPr>
                <w:lang w:val="en-GB"/>
              </w:rPr>
              <w:t>: ↓ 7</w:t>
            </w:r>
            <w:r>
              <w:rPr>
                <w:lang w:val="en-GB"/>
              </w:rPr>
              <w:t>0</w:t>
            </w:r>
            <w:r w:rsidRPr="00342F7C">
              <w:rPr>
                <w:lang w:val="en-GB"/>
              </w:rPr>
              <w:t>%</w:t>
            </w:r>
          </w:p>
          <w:p w14:paraId="31054E95" w14:textId="77777777" w:rsidR="00E7753E" w:rsidRPr="00342F7C" w:rsidRDefault="00E7753E" w:rsidP="0011493C">
            <w:pPr>
              <w:pStyle w:val="EMEANormal"/>
              <w:rPr>
                <w:szCs w:val="22"/>
                <w:lang w:val="en-GB"/>
              </w:rPr>
            </w:pPr>
            <w:r w:rsidRPr="00342F7C">
              <w:rPr>
                <w:lang w:val="en-GB"/>
              </w:rPr>
              <w:t>C</w:t>
            </w:r>
            <w:r w:rsidRPr="00342F7C">
              <w:rPr>
                <w:vertAlign w:val="subscript"/>
                <w:lang w:val="en-GB"/>
              </w:rPr>
              <w:t>max</w:t>
            </w:r>
            <w:r w:rsidRPr="00342F7C">
              <w:rPr>
                <w:lang w:val="en-GB"/>
              </w:rPr>
              <w:t xml:space="preserve">: ↓ </w:t>
            </w:r>
            <w:r>
              <w:rPr>
                <w:lang w:val="en-GB"/>
              </w:rPr>
              <w:t>4</w:t>
            </w:r>
            <w:r w:rsidRPr="00342F7C">
              <w:rPr>
                <w:lang w:val="en-GB"/>
              </w:rPr>
              <w:t>7%</w:t>
            </w:r>
          </w:p>
        </w:tc>
        <w:tc>
          <w:tcPr>
            <w:tcW w:w="3432" w:type="dxa"/>
            <w:gridSpan w:val="2"/>
            <w:tcBorders>
              <w:top w:val="single" w:sz="4" w:space="0" w:color="auto"/>
              <w:left w:val="single" w:sz="4" w:space="0" w:color="auto"/>
              <w:bottom w:val="single" w:sz="4" w:space="0" w:color="auto"/>
              <w:right w:val="single" w:sz="4" w:space="0" w:color="auto"/>
            </w:tcBorders>
          </w:tcPr>
          <w:p w14:paraId="33A46B05" w14:textId="77777777" w:rsidR="00E7753E" w:rsidRPr="00342F7C" w:rsidRDefault="00E7753E" w:rsidP="0011493C">
            <w:pPr>
              <w:pStyle w:val="NormalWeb"/>
              <w:rPr>
                <w:rFonts w:ascii="Times New Roman" w:hAnsi="Times New Roman" w:cs="Times New Roman" w:hint="default"/>
                <w:sz w:val="22"/>
                <w:lang w:val="en-GB"/>
              </w:rPr>
            </w:pPr>
            <w:r w:rsidRPr="00342F7C">
              <w:rPr>
                <w:rFonts w:ascii="Times New Roman" w:hAnsi="Times New Roman" w:cs="Times New Roman" w:hint="default"/>
                <w:sz w:val="22"/>
                <w:lang w:val="en-GB"/>
              </w:rPr>
              <w:t>Concomitant administration of these medicinal products is not recommended.</w:t>
            </w:r>
          </w:p>
        </w:tc>
      </w:tr>
      <w:tr w:rsidR="00E7753E" w:rsidRPr="00342F7C" w14:paraId="7AA13BEB"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33DE8501" w14:textId="77777777" w:rsidR="00E7753E" w:rsidRPr="00342F7C" w:rsidRDefault="00E7753E" w:rsidP="00E95E29">
            <w:pPr>
              <w:pStyle w:val="EMEANormal"/>
              <w:rPr>
                <w:i/>
                <w:iCs/>
                <w:lang w:val="en-GB"/>
              </w:rPr>
            </w:pPr>
            <w:r w:rsidRPr="00342F7C">
              <w:rPr>
                <w:i/>
                <w:iCs/>
                <w:lang w:val="en-GB"/>
              </w:rPr>
              <w:t>Acid reducing agents</w:t>
            </w:r>
          </w:p>
        </w:tc>
      </w:tr>
      <w:tr w:rsidR="00E7753E" w:rsidRPr="00342F7C" w14:paraId="5F829CC4" w14:textId="77777777" w:rsidTr="008F531F">
        <w:tc>
          <w:tcPr>
            <w:tcW w:w="2400" w:type="dxa"/>
            <w:tcBorders>
              <w:top w:val="single" w:sz="4" w:space="0" w:color="auto"/>
              <w:left w:val="single" w:sz="4" w:space="0" w:color="auto"/>
              <w:bottom w:val="single" w:sz="4" w:space="0" w:color="auto"/>
              <w:right w:val="single" w:sz="4" w:space="0" w:color="auto"/>
            </w:tcBorders>
          </w:tcPr>
          <w:p w14:paraId="1684AE4B" w14:textId="77777777" w:rsidR="00E7753E" w:rsidRPr="00342F7C" w:rsidRDefault="00E7753E" w:rsidP="00E95E29">
            <w:pPr>
              <w:pStyle w:val="EMEANormal"/>
              <w:rPr>
                <w:lang w:val="en-GB"/>
              </w:rPr>
            </w:pPr>
            <w:r w:rsidRPr="00342F7C">
              <w:rPr>
                <w:lang w:val="en-GB"/>
              </w:rPr>
              <w:t xml:space="preserve">Omeprazole (40 mg QD) </w:t>
            </w:r>
          </w:p>
          <w:p w14:paraId="7B1F39E6" w14:textId="77777777" w:rsidR="00E7753E" w:rsidRPr="00342F7C" w:rsidRDefault="00E7753E" w:rsidP="00E95E29">
            <w:pPr>
              <w:pStyle w:val="EMEANormal"/>
              <w:rPr>
                <w:lang w:val="en-GB"/>
              </w:rPr>
            </w:pPr>
            <w:r w:rsidRPr="00342F7C">
              <w:rPr>
                <w:lang w:val="en-GB"/>
              </w:rPr>
              <w:t xml:space="preserve"> </w:t>
            </w:r>
          </w:p>
        </w:tc>
        <w:tc>
          <w:tcPr>
            <w:tcW w:w="3240" w:type="dxa"/>
            <w:gridSpan w:val="2"/>
            <w:tcBorders>
              <w:top w:val="single" w:sz="4" w:space="0" w:color="auto"/>
              <w:left w:val="single" w:sz="4" w:space="0" w:color="auto"/>
              <w:bottom w:val="single" w:sz="4" w:space="0" w:color="auto"/>
              <w:right w:val="single" w:sz="4" w:space="0" w:color="auto"/>
            </w:tcBorders>
          </w:tcPr>
          <w:p w14:paraId="77FD37C5" w14:textId="77777777" w:rsidR="00E7753E" w:rsidRPr="00342F7C" w:rsidRDefault="00E7753E" w:rsidP="00E95E29">
            <w:pPr>
              <w:pStyle w:val="EMEANormal"/>
              <w:rPr>
                <w:lang w:val="en-GB"/>
              </w:rPr>
            </w:pPr>
            <w:r w:rsidRPr="00342F7C">
              <w:rPr>
                <w:lang w:val="en-GB"/>
              </w:rPr>
              <w:t xml:space="preserve">Omeprazole: </w:t>
            </w:r>
            <w:r w:rsidRPr="00342F7C">
              <w:rPr>
                <w:szCs w:val="22"/>
                <w:lang w:val="en-GB"/>
              </w:rPr>
              <w:t>↔</w:t>
            </w:r>
          </w:p>
          <w:p w14:paraId="48516D4A" w14:textId="77777777" w:rsidR="00E7753E" w:rsidRPr="00342F7C" w:rsidRDefault="00E7753E" w:rsidP="00E95E29">
            <w:pPr>
              <w:pStyle w:val="EMEANormal"/>
              <w:rPr>
                <w:lang w:val="en-GB"/>
              </w:rPr>
            </w:pPr>
          </w:p>
          <w:p w14:paraId="76DA78EF" w14:textId="77777777" w:rsidR="00E7753E" w:rsidRPr="00342F7C" w:rsidRDefault="00E7753E" w:rsidP="00E95E29">
            <w:pPr>
              <w:pStyle w:val="EMEANormal"/>
              <w:rPr>
                <w:lang w:val="en-GB"/>
              </w:rPr>
            </w:pPr>
            <w:r w:rsidRPr="00342F7C">
              <w:rPr>
                <w:lang w:val="en-GB"/>
              </w:rPr>
              <w:t xml:space="preserve">Lopinavir: </w:t>
            </w:r>
            <w:r w:rsidRPr="00342F7C">
              <w:rPr>
                <w:szCs w:val="22"/>
                <w:lang w:val="en-GB"/>
              </w:rPr>
              <w:t>↔</w:t>
            </w:r>
          </w:p>
        </w:tc>
        <w:tc>
          <w:tcPr>
            <w:tcW w:w="3432" w:type="dxa"/>
            <w:gridSpan w:val="2"/>
            <w:tcBorders>
              <w:top w:val="single" w:sz="4" w:space="0" w:color="auto"/>
              <w:left w:val="single" w:sz="4" w:space="0" w:color="auto"/>
              <w:bottom w:val="single" w:sz="4" w:space="0" w:color="auto"/>
              <w:right w:val="single" w:sz="4" w:space="0" w:color="auto"/>
            </w:tcBorders>
          </w:tcPr>
          <w:p w14:paraId="365E6CD9" w14:textId="77777777" w:rsidR="00E7753E" w:rsidRPr="00342F7C" w:rsidRDefault="00E7753E" w:rsidP="00E95E29">
            <w:pPr>
              <w:pStyle w:val="EMEANormal"/>
              <w:rPr>
                <w:lang w:val="en-GB"/>
              </w:rPr>
            </w:pPr>
            <w:r w:rsidRPr="00342F7C">
              <w:rPr>
                <w:lang w:val="en-GB"/>
              </w:rPr>
              <w:t xml:space="preserve">No dose adjustment </w:t>
            </w:r>
            <w:r w:rsidRPr="00342F7C">
              <w:rPr>
                <w:bCs/>
                <w:iCs/>
                <w:lang w:val="en-GB"/>
              </w:rPr>
              <w:t>necessary</w:t>
            </w:r>
          </w:p>
        </w:tc>
      </w:tr>
      <w:tr w:rsidR="00E7753E" w:rsidRPr="00342F7C" w14:paraId="2B475774" w14:textId="77777777" w:rsidTr="008F531F">
        <w:tc>
          <w:tcPr>
            <w:tcW w:w="2400" w:type="dxa"/>
            <w:tcBorders>
              <w:top w:val="single" w:sz="4" w:space="0" w:color="auto"/>
              <w:left w:val="single" w:sz="4" w:space="0" w:color="auto"/>
              <w:bottom w:val="single" w:sz="4" w:space="0" w:color="auto"/>
              <w:right w:val="single" w:sz="4" w:space="0" w:color="auto"/>
            </w:tcBorders>
          </w:tcPr>
          <w:p w14:paraId="30C50689" w14:textId="77777777" w:rsidR="00E7753E" w:rsidRPr="00342F7C" w:rsidRDefault="00E7753E" w:rsidP="00E95E29">
            <w:pPr>
              <w:pStyle w:val="EMEANormal"/>
              <w:rPr>
                <w:lang w:val="en-GB"/>
              </w:rPr>
            </w:pPr>
            <w:r w:rsidRPr="00342F7C">
              <w:rPr>
                <w:lang w:val="en-GB"/>
              </w:rPr>
              <w:t>Ranitidine (150 mg single dose)</w:t>
            </w:r>
          </w:p>
        </w:tc>
        <w:tc>
          <w:tcPr>
            <w:tcW w:w="3240" w:type="dxa"/>
            <w:gridSpan w:val="2"/>
            <w:tcBorders>
              <w:top w:val="single" w:sz="4" w:space="0" w:color="auto"/>
              <w:left w:val="single" w:sz="4" w:space="0" w:color="auto"/>
              <w:bottom w:val="single" w:sz="4" w:space="0" w:color="auto"/>
              <w:right w:val="single" w:sz="4" w:space="0" w:color="auto"/>
            </w:tcBorders>
          </w:tcPr>
          <w:p w14:paraId="11988EDD" w14:textId="77777777" w:rsidR="00E7753E" w:rsidRPr="00342F7C" w:rsidRDefault="00E7753E" w:rsidP="00E95E29">
            <w:pPr>
              <w:pStyle w:val="EMEANormal"/>
              <w:rPr>
                <w:lang w:val="en-GB"/>
              </w:rPr>
            </w:pPr>
            <w:r w:rsidRPr="00342F7C">
              <w:rPr>
                <w:lang w:val="en-GB"/>
              </w:rPr>
              <w:t xml:space="preserve">Ranitidine: </w:t>
            </w:r>
            <w:r w:rsidRPr="00342F7C">
              <w:rPr>
                <w:szCs w:val="22"/>
                <w:lang w:val="en-GB"/>
              </w:rPr>
              <w:t>↔</w:t>
            </w:r>
          </w:p>
        </w:tc>
        <w:tc>
          <w:tcPr>
            <w:tcW w:w="3432" w:type="dxa"/>
            <w:gridSpan w:val="2"/>
            <w:tcBorders>
              <w:top w:val="single" w:sz="4" w:space="0" w:color="auto"/>
              <w:left w:val="single" w:sz="4" w:space="0" w:color="auto"/>
              <w:bottom w:val="single" w:sz="4" w:space="0" w:color="auto"/>
              <w:right w:val="single" w:sz="4" w:space="0" w:color="auto"/>
            </w:tcBorders>
          </w:tcPr>
          <w:p w14:paraId="24AD66A4" w14:textId="77777777" w:rsidR="00E7753E" w:rsidRPr="00342F7C" w:rsidRDefault="00E7753E" w:rsidP="00E95E29">
            <w:pPr>
              <w:pStyle w:val="EMEANormal"/>
              <w:rPr>
                <w:bCs/>
                <w:iCs/>
                <w:lang w:val="en-GB"/>
              </w:rPr>
            </w:pPr>
            <w:r w:rsidRPr="00342F7C">
              <w:rPr>
                <w:lang w:val="en-GB"/>
              </w:rPr>
              <w:t>No dose adjustment necessary</w:t>
            </w:r>
          </w:p>
        </w:tc>
      </w:tr>
      <w:tr w:rsidR="00E7753E" w:rsidRPr="00342F7C" w14:paraId="7EE0E75D"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6AF2C79E" w14:textId="77777777" w:rsidR="00E7753E" w:rsidRPr="00342F7C" w:rsidRDefault="00E7753E" w:rsidP="003C2268">
            <w:pPr>
              <w:pStyle w:val="EMEANormal"/>
              <w:rPr>
                <w:lang w:val="en-GB"/>
              </w:rPr>
            </w:pPr>
            <w:r>
              <w:rPr>
                <w:i/>
                <w:iCs/>
                <w:lang w:val="en-GB"/>
              </w:rPr>
              <w:t>Alpha</w:t>
            </w:r>
            <w:r w:rsidRPr="00DA5877">
              <w:rPr>
                <w:i/>
                <w:iCs/>
                <w:sz w:val="24"/>
                <w:vertAlign w:val="subscript"/>
                <w:lang w:val="en-GB"/>
              </w:rPr>
              <w:t>1</w:t>
            </w:r>
            <w:r>
              <w:rPr>
                <w:i/>
                <w:iCs/>
                <w:lang w:val="en-GB"/>
              </w:rPr>
              <w:t xml:space="preserve"> adrenoreceptor antagonist</w:t>
            </w:r>
          </w:p>
        </w:tc>
      </w:tr>
      <w:tr w:rsidR="00E7753E" w:rsidRPr="00342F7C" w14:paraId="1AEC3EAB" w14:textId="77777777" w:rsidTr="003C1BB0">
        <w:trPr>
          <w:trHeight w:val="1517"/>
        </w:trPr>
        <w:tc>
          <w:tcPr>
            <w:tcW w:w="2400" w:type="dxa"/>
            <w:tcBorders>
              <w:top w:val="single" w:sz="4" w:space="0" w:color="auto"/>
              <w:left w:val="single" w:sz="4" w:space="0" w:color="auto"/>
              <w:bottom w:val="single" w:sz="4" w:space="0" w:color="auto"/>
              <w:right w:val="single" w:sz="4" w:space="0" w:color="auto"/>
            </w:tcBorders>
          </w:tcPr>
          <w:p w14:paraId="1518DB71" w14:textId="77777777" w:rsidR="00E7753E" w:rsidRPr="00342F7C" w:rsidRDefault="00E7753E" w:rsidP="003C2268">
            <w:pPr>
              <w:pStyle w:val="EMEANormal"/>
              <w:rPr>
                <w:lang w:val="en-GB"/>
              </w:rPr>
            </w:pPr>
            <w:r>
              <w:rPr>
                <w:lang w:val="en-GB"/>
              </w:rPr>
              <w:t xml:space="preserve">Alfuzosin </w:t>
            </w:r>
          </w:p>
        </w:tc>
        <w:tc>
          <w:tcPr>
            <w:tcW w:w="3240" w:type="dxa"/>
            <w:gridSpan w:val="2"/>
            <w:tcBorders>
              <w:top w:val="single" w:sz="4" w:space="0" w:color="auto"/>
              <w:left w:val="single" w:sz="4" w:space="0" w:color="auto"/>
              <w:bottom w:val="single" w:sz="4" w:space="0" w:color="auto"/>
              <w:right w:val="single" w:sz="4" w:space="0" w:color="auto"/>
            </w:tcBorders>
          </w:tcPr>
          <w:p w14:paraId="75A72CE1" w14:textId="77777777" w:rsidR="00E7753E" w:rsidRPr="00A95936" w:rsidRDefault="00E7753E" w:rsidP="005762AB">
            <w:pPr>
              <w:pStyle w:val="EMEANormal"/>
              <w:rPr>
                <w:lang w:val="en-GB"/>
              </w:rPr>
            </w:pPr>
            <w:r w:rsidRPr="00A95936">
              <w:rPr>
                <w:lang w:val="en-GB"/>
              </w:rPr>
              <w:t>Alfuzosin:</w:t>
            </w:r>
          </w:p>
          <w:p w14:paraId="2971A1BC" w14:textId="77777777" w:rsidR="00E7753E" w:rsidRPr="00342F7C" w:rsidRDefault="00E7753E" w:rsidP="003C2268">
            <w:pPr>
              <w:pStyle w:val="EMEANormal"/>
              <w:rPr>
                <w:lang w:val="en-GB"/>
              </w:rPr>
            </w:pPr>
            <w:r>
              <w:t>Due to CYP3A inhibition by lopinavir/ritonavir, concentrations of alfuzosin are expected to increase</w:t>
            </w:r>
            <w:r w:rsidRPr="00A95936">
              <w:t>.</w:t>
            </w:r>
          </w:p>
        </w:tc>
        <w:tc>
          <w:tcPr>
            <w:tcW w:w="3432" w:type="dxa"/>
            <w:gridSpan w:val="2"/>
            <w:tcBorders>
              <w:top w:val="single" w:sz="4" w:space="0" w:color="auto"/>
              <w:left w:val="single" w:sz="4" w:space="0" w:color="auto"/>
              <w:bottom w:val="single" w:sz="4" w:space="0" w:color="auto"/>
              <w:right w:val="single" w:sz="4" w:space="0" w:color="auto"/>
            </w:tcBorders>
          </w:tcPr>
          <w:p w14:paraId="075675A7" w14:textId="77777777" w:rsidR="00E7753E" w:rsidRPr="00DA5877" w:rsidRDefault="00E7753E" w:rsidP="003C2268">
            <w:pPr>
              <w:pStyle w:val="EMEANormal"/>
              <w:rPr>
                <w:szCs w:val="22"/>
              </w:rPr>
            </w:pPr>
            <w:r w:rsidRPr="00A95936">
              <w:rPr>
                <w:szCs w:val="22"/>
              </w:rPr>
              <w:t>Concomitant administration of Kaletra and alfuzosin is contra-indicated</w:t>
            </w:r>
            <w:r w:rsidRPr="00A95936">
              <w:rPr>
                <w:b/>
                <w:bCs/>
                <w:szCs w:val="22"/>
              </w:rPr>
              <w:t xml:space="preserve"> </w:t>
            </w:r>
            <w:r w:rsidRPr="00A95936">
              <w:rPr>
                <w:szCs w:val="22"/>
              </w:rPr>
              <w:t>(see section 4.3)</w:t>
            </w:r>
            <w:r>
              <w:rPr>
                <w:szCs w:val="22"/>
              </w:rPr>
              <w:t xml:space="preserve"> as alfuzosin-related toxicity, including hypotension, may be increased</w:t>
            </w:r>
            <w:r w:rsidRPr="00A95936">
              <w:rPr>
                <w:szCs w:val="22"/>
              </w:rPr>
              <w:t>.</w:t>
            </w:r>
          </w:p>
        </w:tc>
      </w:tr>
      <w:tr w:rsidR="00E7753E" w:rsidRPr="00342F7C" w14:paraId="7981BEC8"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742CE608" w14:textId="77777777" w:rsidR="00E7753E" w:rsidRPr="00342F7C" w:rsidRDefault="00E7753E" w:rsidP="008A55B1">
            <w:pPr>
              <w:pStyle w:val="EMEANormal"/>
              <w:rPr>
                <w:i/>
                <w:iCs/>
                <w:lang w:val="en-GB"/>
              </w:rPr>
            </w:pPr>
            <w:r w:rsidRPr="00342F7C">
              <w:rPr>
                <w:i/>
                <w:iCs/>
                <w:lang w:val="en-GB"/>
              </w:rPr>
              <w:t>Analgesics</w:t>
            </w:r>
          </w:p>
        </w:tc>
      </w:tr>
      <w:tr w:rsidR="00E7753E" w:rsidRPr="00342F7C" w14:paraId="21247FE9" w14:textId="77777777" w:rsidTr="008F531F">
        <w:tc>
          <w:tcPr>
            <w:tcW w:w="2400" w:type="dxa"/>
            <w:tcBorders>
              <w:top w:val="single" w:sz="4" w:space="0" w:color="auto"/>
              <w:left w:val="single" w:sz="4" w:space="0" w:color="auto"/>
              <w:bottom w:val="single" w:sz="4" w:space="0" w:color="auto"/>
              <w:right w:val="single" w:sz="4" w:space="0" w:color="auto"/>
            </w:tcBorders>
          </w:tcPr>
          <w:p w14:paraId="018104DB" w14:textId="77777777" w:rsidR="00E7753E" w:rsidRPr="00342F7C" w:rsidRDefault="00E7753E" w:rsidP="008A55B1">
            <w:pPr>
              <w:pStyle w:val="EMEANormal"/>
              <w:rPr>
                <w:lang w:val="en-GB"/>
              </w:rPr>
            </w:pPr>
            <w:r w:rsidRPr="00342F7C">
              <w:rPr>
                <w:lang w:val="en-GB"/>
              </w:rPr>
              <w:t>Fentanyl</w:t>
            </w:r>
          </w:p>
          <w:p w14:paraId="4DA40552" w14:textId="77777777" w:rsidR="00E7753E" w:rsidRPr="00342F7C" w:rsidRDefault="00E7753E" w:rsidP="008A55B1">
            <w:pPr>
              <w:pStyle w:val="EMEANormal"/>
              <w:rPr>
                <w:lang w:val="en-GB"/>
              </w:rPr>
            </w:pPr>
            <w:r w:rsidRPr="00342F7C">
              <w:rPr>
                <w:lang w:val="en-GB"/>
              </w:rPr>
              <w:t xml:space="preserve"> </w:t>
            </w:r>
          </w:p>
        </w:tc>
        <w:tc>
          <w:tcPr>
            <w:tcW w:w="3240" w:type="dxa"/>
            <w:gridSpan w:val="2"/>
            <w:tcBorders>
              <w:top w:val="single" w:sz="4" w:space="0" w:color="auto"/>
              <w:left w:val="single" w:sz="4" w:space="0" w:color="auto"/>
              <w:bottom w:val="single" w:sz="4" w:space="0" w:color="auto"/>
              <w:right w:val="single" w:sz="4" w:space="0" w:color="auto"/>
            </w:tcBorders>
          </w:tcPr>
          <w:p w14:paraId="286D0ABC" w14:textId="77777777" w:rsidR="00E7753E" w:rsidRPr="00342F7C" w:rsidRDefault="00E7753E" w:rsidP="008A55B1">
            <w:pPr>
              <w:pStyle w:val="EMEANormal"/>
              <w:rPr>
                <w:lang w:val="en-GB"/>
              </w:rPr>
            </w:pPr>
            <w:r w:rsidRPr="00342F7C">
              <w:rPr>
                <w:lang w:val="en-GB"/>
              </w:rPr>
              <w:t>Fentanyl:</w:t>
            </w:r>
          </w:p>
          <w:p w14:paraId="7A419B78" w14:textId="77777777" w:rsidR="00E7753E" w:rsidRPr="00342F7C" w:rsidRDefault="00E7753E" w:rsidP="008A55B1">
            <w:pPr>
              <w:pStyle w:val="EMEANormal"/>
              <w:rPr>
                <w:lang w:val="en-GB"/>
              </w:rPr>
            </w:pPr>
            <w:r w:rsidRPr="00342F7C">
              <w:rPr>
                <w:lang w:val="en-GB"/>
              </w:rPr>
              <w:t xml:space="preserve">Increased risk of side-effects (respiratory depression, sedation) due to higher plasma concentrations because of CYP3A4 inhibition by </w:t>
            </w:r>
            <w:r w:rsidR="001546A9">
              <w:rPr>
                <w:lang w:val="en-GB"/>
              </w:rPr>
              <w:t>lopinavir/ritonavir.</w:t>
            </w:r>
          </w:p>
        </w:tc>
        <w:tc>
          <w:tcPr>
            <w:tcW w:w="3432" w:type="dxa"/>
            <w:gridSpan w:val="2"/>
            <w:tcBorders>
              <w:top w:val="single" w:sz="4" w:space="0" w:color="auto"/>
              <w:left w:val="single" w:sz="4" w:space="0" w:color="auto"/>
              <w:bottom w:val="single" w:sz="4" w:space="0" w:color="auto"/>
              <w:right w:val="single" w:sz="4" w:space="0" w:color="auto"/>
            </w:tcBorders>
          </w:tcPr>
          <w:p w14:paraId="41F64E3E" w14:textId="77777777" w:rsidR="00E7753E" w:rsidRPr="00342F7C" w:rsidRDefault="00E7753E" w:rsidP="008A55B1">
            <w:pPr>
              <w:pStyle w:val="EMEANormal"/>
              <w:rPr>
                <w:lang w:val="en-GB"/>
              </w:rPr>
            </w:pPr>
            <w:r w:rsidRPr="00342F7C">
              <w:rPr>
                <w:lang w:val="en-GB"/>
              </w:rPr>
              <w:t>Careful monitoring of adverse effects (notably respiratory depression but also sedation) is recommended when fentanyl is concomitantly administered with Kaletra.</w:t>
            </w:r>
          </w:p>
        </w:tc>
      </w:tr>
      <w:tr w:rsidR="00C05E7A" w:rsidRPr="00342F7C" w14:paraId="468CE4CD"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104BC9E4" w14:textId="77777777" w:rsidR="00C05E7A" w:rsidRPr="00342F7C" w:rsidRDefault="00C05E7A" w:rsidP="00D11B95">
            <w:pPr>
              <w:pStyle w:val="EMEANormal"/>
              <w:keepNext/>
              <w:rPr>
                <w:bCs/>
                <w:iCs/>
                <w:lang w:val="en-GB"/>
              </w:rPr>
            </w:pPr>
            <w:r>
              <w:rPr>
                <w:i/>
                <w:iCs/>
                <w:lang w:val="en-GB"/>
              </w:rPr>
              <w:t>Antianginal</w:t>
            </w:r>
          </w:p>
        </w:tc>
      </w:tr>
      <w:tr w:rsidR="00C05E7A" w:rsidRPr="00342F7C" w14:paraId="4E1F16C2" w14:textId="77777777" w:rsidTr="008F531F">
        <w:tc>
          <w:tcPr>
            <w:tcW w:w="2400" w:type="dxa"/>
            <w:tcBorders>
              <w:top w:val="single" w:sz="4" w:space="0" w:color="auto"/>
              <w:left w:val="single" w:sz="4" w:space="0" w:color="auto"/>
              <w:bottom w:val="single" w:sz="4" w:space="0" w:color="auto"/>
              <w:right w:val="single" w:sz="4" w:space="0" w:color="auto"/>
            </w:tcBorders>
          </w:tcPr>
          <w:p w14:paraId="2632766C" w14:textId="77777777" w:rsidR="00C05E7A" w:rsidRPr="00342F7C" w:rsidRDefault="00C05E7A" w:rsidP="00D11B95">
            <w:pPr>
              <w:pStyle w:val="EMEANormal"/>
              <w:keepNext/>
              <w:rPr>
                <w:lang w:val="en-GB"/>
              </w:rPr>
            </w:pPr>
            <w:r>
              <w:rPr>
                <w:lang w:val="en-GB"/>
              </w:rPr>
              <w:t>Ranolazine</w:t>
            </w:r>
          </w:p>
        </w:tc>
        <w:tc>
          <w:tcPr>
            <w:tcW w:w="3240" w:type="dxa"/>
            <w:gridSpan w:val="2"/>
            <w:tcBorders>
              <w:top w:val="single" w:sz="4" w:space="0" w:color="auto"/>
              <w:left w:val="single" w:sz="4" w:space="0" w:color="auto"/>
              <w:bottom w:val="single" w:sz="4" w:space="0" w:color="auto"/>
              <w:right w:val="single" w:sz="4" w:space="0" w:color="auto"/>
            </w:tcBorders>
          </w:tcPr>
          <w:p w14:paraId="78F5E0ED" w14:textId="77777777" w:rsidR="00C05E7A" w:rsidRPr="00342F7C" w:rsidRDefault="00C05E7A" w:rsidP="00D11B95">
            <w:pPr>
              <w:pStyle w:val="EMEANormal"/>
              <w:keepNext/>
              <w:rPr>
                <w:lang w:val="en-GB"/>
              </w:rPr>
            </w:pPr>
            <w:r>
              <w:rPr>
                <w:lang w:val="en-GB"/>
              </w:rPr>
              <w:t>Due to CYP3A inhibition by lopinavir/ritonavir, concentrations of ranolazine are expected to increase.</w:t>
            </w:r>
          </w:p>
        </w:tc>
        <w:tc>
          <w:tcPr>
            <w:tcW w:w="3432" w:type="dxa"/>
            <w:gridSpan w:val="2"/>
            <w:tcBorders>
              <w:top w:val="single" w:sz="4" w:space="0" w:color="auto"/>
              <w:left w:val="single" w:sz="4" w:space="0" w:color="auto"/>
              <w:bottom w:val="single" w:sz="4" w:space="0" w:color="auto"/>
              <w:right w:val="single" w:sz="4" w:space="0" w:color="auto"/>
            </w:tcBorders>
          </w:tcPr>
          <w:p w14:paraId="0BC2E02F" w14:textId="77777777" w:rsidR="00C05E7A" w:rsidRPr="00342F7C" w:rsidRDefault="00C05E7A" w:rsidP="00BA10BA">
            <w:pPr>
              <w:pStyle w:val="EMEANormal"/>
              <w:rPr>
                <w:lang w:val="en-GB"/>
              </w:rPr>
            </w:pPr>
            <w:r>
              <w:rPr>
                <w:lang w:val="en-GB"/>
              </w:rPr>
              <w:t xml:space="preserve">The concomitant administration </w:t>
            </w:r>
            <w:r w:rsidR="00BA10BA">
              <w:rPr>
                <w:lang w:val="en-GB"/>
              </w:rPr>
              <w:t>of Kaletra and</w:t>
            </w:r>
            <w:r>
              <w:rPr>
                <w:lang w:val="en-GB"/>
              </w:rPr>
              <w:t xml:space="preserve"> ranolazine is contraindicated (see section 4.3).</w:t>
            </w:r>
          </w:p>
        </w:tc>
      </w:tr>
      <w:tr w:rsidR="00E7753E" w:rsidRPr="00342F7C" w14:paraId="65699DF3"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19B8E659" w14:textId="77777777" w:rsidR="00E7753E" w:rsidRPr="00342F7C" w:rsidRDefault="00E7753E" w:rsidP="00E95E29">
            <w:pPr>
              <w:pStyle w:val="EMEANormal"/>
              <w:rPr>
                <w:bCs/>
                <w:iCs/>
                <w:lang w:val="en-GB"/>
              </w:rPr>
            </w:pPr>
            <w:r w:rsidRPr="00342F7C">
              <w:rPr>
                <w:i/>
                <w:iCs/>
                <w:lang w:val="en-GB"/>
              </w:rPr>
              <w:t>Antiarrhythmics</w:t>
            </w:r>
          </w:p>
        </w:tc>
      </w:tr>
      <w:tr w:rsidR="00180DDD" w:rsidRPr="00342F7C" w14:paraId="508283F3" w14:textId="77777777" w:rsidTr="008F531F">
        <w:tc>
          <w:tcPr>
            <w:tcW w:w="2400" w:type="dxa"/>
            <w:tcBorders>
              <w:top w:val="single" w:sz="4" w:space="0" w:color="auto"/>
              <w:left w:val="single" w:sz="4" w:space="0" w:color="auto"/>
              <w:bottom w:val="single" w:sz="4" w:space="0" w:color="auto"/>
              <w:right w:val="single" w:sz="4" w:space="0" w:color="auto"/>
            </w:tcBorders>
          </w:tcPr>
          <w:p w14:paraId="1FDD6745" w14:textId="77777777" w:rsidR="00180DDD" w:rsidRPr="00342F7C" w:rsidRDefault="00180DDD" w:rsidP="00E95E29">
            <w:pPr>
              <w:pStyle w:val="EMEANormal"/>
              <w:rPr>
                <w:lang w:val="en-GB"/>
              </w:rPr>
            </w:pPr>
            <w:r>
              <w:rPr>
                <w:lang w:val="en-GB"/>
              </w:rPr>
              <w:t>Amiodarone, Dronedarone</w:t>
            </w:r>
          </w:p>
        </w:tc>
        <w:tc>
          <w:tcPr>
            <w:tcW w:w="3240" w:type="dxa"/>
            <w:gridSpan w:val="2"/>
            <w:tcBorders>
              <w:top w:val="single" w:sz="4" w:space="0" w:color="auto"/>
              <w:left w:val="single" w:sz="4" w:space="0" w:color="auto"/>
              <w:bottom w:val="single" w:sz="4" w:space="0" w:color="auto"/>
              <w:right w:val="single" w:sz="4" w:space="0" w:color="auto"/>
            </w:tcBorders>
          </w:tcPr>
          <w:p w14:paraId="0BCF7C70" w14:textId="77777777" w:rsidR="00180DDD" w:rsidRPr="00342F7C" w:rsidRDefault="00180DDD" w:rsidP="00E95E29">
            <w:pPr>
              <w:pStyle w:val="EMEANormal"/>
              <w:rPr>
                <w:lang w:val="en-GB"/>
              </w:rPr>
            </w:pPr>
            <w:r>
              <w:rPr>
                <w:lang w:val="en-GB"/>
              </w:rPr>
              <w:t xml:space="preserve">Amiodarone, Dronedarone: Concentrations may be increased due to CYP3A4 inhibition by </w:t>
            </w:r>
            <w:r w:rsidR="001546A9">
              <w:rPr>
                <w:lang w:val="en-GB"/>
              </w:rPr>
              <w:t>lopinavir/ritonavir</w:t>
            </w:r>
            <w:r>
              <w:rPr>
                <w:lang w:val="en-GB"/>
              </w:rPr>
              <w:t>.</w:t>
            </w:r>
          </w:p>
        </w:tc>
        <w:tc>
          <w:tcPr>
            <w:tcW w:w="3432" w:type="dxa"/>
            <w:gridSpan w:val="2"/>
            <w:tcBorders>
              <w:top w:val="single" w:sz="4" w:space="0" w:color="auto"/>
              <w:left w:val="single" w:sz="4" w:space="0" w:color="auto"/>
              <w:bottom w:val="single" w:sz="4" w:space="0" w:color="auto"/>
              <w:right w:val="single" w:sz="4" w:space="0" w:color="auto"/>
            </w:tcBorders>
          </w:tcPr>
          <w:p w14:paraId="31E59B45" w14:textId="77777777" w:rsidR="00180DDD" w:rsidRPr="00342F7C" w:rsidRDefault="00180DDD" w:rsidP="00E95E29">
            <w:pPr>
              <w:pStyle w:val="EMEANormal"/>
              <w:rPr>
                <w:lang w:val="en-GB"/>
              </w:rPr>
            </w:pPr>
            <w:r>
              <w:rPr>
                <w:lang w:val="en-GB"/>
              </w:rPr>
              <w:t>Concomitant administration of Kaletra and amiodarone or dronedarone is contraindicated (see section 4.3) as the risk of arrhythmias or other serious adverse reactions may be increased.</w:t>
            </w:r>
          </w:p>
        </w:tc>
      </w:tr>
      <w:tr w:rsidR="00E7753E" w:rsidRPr="00342F7C" w14:paraId="1F1DAAA2" w14:textId="77777777" w:rsidTr="008F531F">
        <w:tc>
          <w:tcPr>
            <w:tcW w:w="2400" w:type="dxa"/>
            <w:tcBorders>
              <w:top w:val="single" w:sz="4" w:space="0" w:color="auto"/>
              <w:left w:val="single" w:sz="4" w:space="0" w:color="auto"/>
              <w:bottom w:val="single" w:sz="4" w:space="0" w:color="auto"/>
              <w:right w:val="single" w:sz="4" w:space="0" w:color="auto"/>
            </w:tcBorders>
          </w:tcPr>
          <w:p w14:paraId="3A0CF1F8" w14:textId="77777777" w:rsidR="00E7753E" w:rsidRPr="00342F7C" w:rsidRDefault="00E7753E" w:rsidP="00F62C9B">
            <w:pPr>
              <w:pStyle w:val="EMEANormal"/>
              <w:keepNext/>
              <w:rPr>
                <w:lang w:val="en-GB"/>
              </w:rPr>
            </w:pPr>
            <w:r w:rsidRPr="00342F7C">
              <w:rPr>
                <w:lang w:val="en-GB"/>
              </w:rPr>
              <w:t>Digoxin</w:t>
            </w:r>
          </w:p>
          <w:p w14:paraId="1DAB9821" w14:textId="77777777" w:rsidR="00E7753E" w:rsidRPr="00342F7C" w:rsidRDefault="00E7753E" w:rsidP="00F62C9B">
            <w:pPr>
              <w:pStyle w:val="EMEANormal"/>
              <w:keepNext/>
              <w:rPr>
                <w:lang w:val="en-GB"/>
              </w:rPr>
            </w:pPr>
          </w:p>
          <w:p w14:paraId="5AF7E614" w14:textId="77777777" w:rsidR="00E7753E" w:rsidRPr="00342F7C" w:rsidRDefault="00E7753E" w:rsidP="00F62C9B">
            <w:pPr>
              <w:pStyle w:val="EMEANormal"/>
              <w:keepNext/>
              <w:rPr>
                <w:i/>
                <w:iCs/>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73428107" w14:textId="77777777" w:rsidR="00E7753E" w:rsidRPr="00342F7C" w:rsidRDefault="00E7753E" w:rsidP="00F62C9B">
            <w:pPr>
              <w:pStyle w:val="EMEANormal"/>
              <w:keepNext/>
              <w:rPr>
                <w:lang w:val="en-GB"/>
              </w:rPr>
            </w:pPr>
            <w:r w:rsidRPr="00342F7C">
              <w:rPr>
                <w:lang w:val="en-GB"/>
              </w:rPr>
              <w:t>Digoxin:</w:t>
            </w:r>
          </w:p>
          <w:p w14:paraId="595CDBBC" w14:textId="77777777" w:rsidR="00E7753E" w:rsidRPr="00342F7C" w:rsidRDefault="00E7753E" w:rsidP="00F62C9B">
            <w:pPr>
              <w:pStyle w:val="EMEANormal"/>
              <w:keepNext/>
              <w:rPr>
                <w:lang w:val="en-GB"/>
              </w:rPr>
            </w:pPr>
            <w:r w:rsidRPr="00342F7C">
              <w:rPr>
                <w:lang w:val="en-GB"/>
              </w:rPr>
              <w:t xml:space="preserve">Plasma concentrations may be increased due to P-glycoprotein inhibition by </w:t>
            </w:r>
            <w:r w:rsidR="001546A9">
              <w:rPr>
                <w:lang w:val="en-GB"/>
              </w:rPr>
              <w:t>lopinavir/ritonavir</w:t>
            </w:r>
            <w:r w:rsidRPr="00342F7C">
              <w:rPr>
                <w:lang w:val="en-GB"/>
              </w:rPr>
              <w:t>.  The increased digoxin level may lessen over time as P</w:t>
            </w:r>
            <w:r w:rsidR="00EE26C0">
              <w:rPr>
                <w:lang w:val="en-GB"/>
              </w:rPr>
              <w:t>-</w:t>
            </w:r>
            <w:r w:rsidRPr="00342F7C">
              <w:rPr>
                <w:lang w:val="en-GB"/>
              </w:rPr>
              <w:t>gp induction develops.</w:t>
            </w:r>
          </w:p>
          <w:p w14:paraId="5A668E3E" w14:textId="77777777" w:rsidR="00E7753E" w:rsidRPr="00342F7C" w:rsidRDefault="00E7753E" w:rsidP="00F62C9B">
            <w:pPr>
              <w:pStyle w:val="EMEANormal"/>
              <w:keepNext/>
              <w:rPr>
                <w:lang w:val="en-GB"/>
              </w:rPr>
            </w:pPr>
          </w:p>
          <w:p w14:paraId="2B6BBD49" w14:textId="77777777" w:rsidR="00E7753E" w:rsidRPr="00342F7C" w:rsidRDefault="00E7753E" w:rsidP="00F62C9B">
            <w:pPr>
              <w:pStyle w:val="EMEANormal"/>
              <w:keepNext/>
              <w:rPr>
                <w:lang w:val="en-GB"/>
              </w:rPr>
            </w:pPr>
          </w:p>
        </w:tc>
        <w:tc>
          <w:tcPr>
            <w:tcW w:w="3432" w:type="dxa"/>
            <w:gridSpan w:val="2"/>
            <w:tcBorders>
              <w:top w:val="single" w:sz="4" w:space="0" w:color="auto"/>
              <w:left w:val="single" w:sz="4" w:space="0" w:color="auto"/>
              <w:bottom w:val="single" w:sz="4" w:space="0" w:color="auto"/>
              <w:right w:val="single" w:sz="4" w:space="0" w:color="auto"/>
            </w:tcBorders>
          </w:tcPr>
          <w:p w14:paraId="5F496E69" w14:textId="77777777" w:rsidR="00E7753E" w:rsidRPr="00342F7C" w:rsidRDefault="00E7753E" w:rsidP="00F62C9B">
            <w:pPr>
              <w:pStyle w:val="EMEANormal"/>
              <w:keepNext/>
              <w:rPr>
                <w:lang w:val="en-GB"/>
              </w:rPr>
            </w:pPr>
            <w:r w:rsidRPr="00342F7C">
              <w:rPr>
                <w:lang w:val="en-GB"/>
              </w:rPr>
              <w:t>Caution is warranted and therapeutic drug monitoring of digoxin concentrations, if available, is recommended in case of co</w:t>
            </w:r>
            <w:r w:rsidRPr="00342F7C">
              <w:rPr>
                <w:lang w:val="en-GB"/>
              </w:rPr>
              <w:noBreakHyphen/>
              <w:t>administration of Kaletra and digoxin.  Particular caution should be used when prescribing Kaletra in patients taking digoxin as the acute inhibitory effect of ritonavir on P</w:t>
            </w:r>
            <w:r w:rsidR="00EE26C0">
              <w:rPr>
                <w:lang w:val="en-GB"/>
              </w:rPr>
              <w:noBreakHyphen/>
            </w:r>
            <w:r w:rsidRPr="00342F7C">
              <w:rPr>
                <w:lang w:val="en-GB"/>
              </w:rPr>
              <w:t>gp is expected to significantly increase digoxin levels.  Initiation of digoxin in patients already taking Kaletra is likely to result in lower than expected increases of digoxin concentrations.</w:t>
            </w:r>
          </w:p>
        </w:tc>
      </w:tr>
      <w:tr w:rsidR="00E7753E" w:rsidRPr="00342F7C" w14:paraId="2B2C820A" w14:textId="77777777" w:rsidTr="008F531F">
        <w:tc>
          <w:tcPr>
            <w:tcW w:w="2400" w:type="dxa"/>
            <w:tcBorders>
              <w:top w:val="single" w:sz="4" w:space="0" w:color="auto"/>
              <w:left w:val="single" w:sz="4" w:space="0" w:color="auto"/>
              <w:bottom w:val="single" w:sz="4" w:space="0" w:color="auto"/>
              <w:right w:val="single" w:sz="4" w:space="0" w:color="auto"/>
            </w:tcBorders>
          </w:tcPr>
          <w:p w14:paraId="5027BF53" w14:textId="77777777" w:rsidR="00E7753E" w:rsidRPr="00342F7C" w:rsidRDefault="00E7753E" w:rsidP="00E95E29">
            <w:pPr>
              <w:pStyle w:val="EMEANormal"/>
              <w:rPr>
                <w:lang w:val="en-GB"/>
              </w:rPr>
            </w:pPr>
            <w:r w:rsidRPr="00342F7C">
              <w:rPr>
                <w:lang w:val="en-GB"/>
              </w:rPr>
              <w:t xml:space="preserve">Bepridil, Systemic Lidocaine, and Quinidine </w:t>
            </w:r>
          </w:p>
        </w:tc>
        <w:tc>
          <w:tcPr>
            <w:tcW w:w="3240" w:type="dxa"/>
            <w:gridSpan w:val="2"/>
            <w:tcBorders>
              <w:top w:val="single" w:sz="4" w:space="0" w:color="auto"/>
              <w:left w:val="single" w:sz="4" w:space="0" w:color="auto"/>
              <w:bottom w:val="single" w:sz="4" w:space="0" w:color="auto"/>
              <w:right w:val="single" w:sz="4" w:space="0" w:color="auto"/>
            </w:tcBorders>
          </w:tcPr>
          <w:p w14:paraId="1FE3AF04" w14:textId="77777777" w:rsidR="00E7753E" w:rsidRPr="00342F7C" w:rsidRDefault="00E7753E" w:rsidP="00E95E29">
            <w:pPr>
              <w:pStyle w:val="EMEANormal"/>
              <w:rPr>
                <w:lang w:val="en-GB"/>
              </w:rPr>
            </w:pPr>
            <w:r w:rsidRPr="00342F7C">
              <w:rPr>
                <w:lang w:val="en-GB"/>
              </w:rPr>
              <w:t xml:space="preserve">Bepridil, Systemic Lidocaine, Quinidine: </w:t>
            </w:r>
          </w:p>
          <w:p w14:paraId="7CBDFA73" w14:textId="77777777" w:rsidR="00E7753E" w:rsidRPr="00342F7C" w:rsidRDefault="00E7753E" w:rsidP="00E95E29">
            <w:pPr>
              <w:pStyle w:val="EMEANormal"/>
              <w:rPr>
                <w:lang w:val="en-GB"/>
              </w:rPr>
            </w:pPr>
            <w:r w:rsidRPr="00342F7C">
              <w:rPr>
                <w:lang w:val="en-GB"/>
              </w:rPr>
              <w:t xml:space="preserve">Concentrations may be increased when co-administered with </w:t>
            </w:r>
            <w:r w:rsidR="001546A9">
              <w:rPr>
                <w:lang w:val="en-GB"/>
              </w:rPr>
              <w:t>lopinavir/ritonavir</w:t>
            </w:r>
            <w:r w:rsidRPr="00342F7C">
              <w:rPr>
                <w:lang w:val="en-GB"/>
              </w:rPr>
              <w:t xml:space="preserve">. </w:t>
            </w:r>
          </w:p>
        </w:tc>
        <w:tc>
          <w:tcPr>
            <w:tcW w:w="3432" w:type="dxa"/>
            <w:gridSpan w:val="2"/>
            <w:tcBorders>
              <w:top w:val="single" w:sz="4" w:space="0" w:color="auto"/>
              <w:left w:val="single" w:sz="4" w:space="0" w:color="auto"/>
              <w:bottom w:val="single" w:sz="4" w:space="0" w:color="auto"/>
              <w:right w:val="single" w:sz="4" w:space="0" w:color="auto"/>
            </w:tcBorders>
          </w:tcPr>
          <w:p w14:paraId="1F3E115B" w14:textId="77777777" w:rsidR="00E7753E" w:rsidRPr="00342F7C" w:rsidRDefault="00E7753E" w:rsidP="00E95E29">
            <w:pPr>
              <w:pStyle w:val="EMEANormal"/>
              <w:rPr>
                <w:bCs/>
                <w:iCs/>
                <w:lang w:val="en-GB"/>
              </w:rPr>
            </w:pPr>
            <w:r w:rsidRPr="00342F7C">
              <w:rPr>
                <w:lang w:val="en-GB"/>
              </w:rPr>
              <w:t>Caution is warranted and therapeutic drug concentration monitoring is recommended when available.</w:t>
            </w:r>
          </w:p>
        </w:tc>
      </w:tr>
      <w:tr w:rsidR="00E7753E" w:rsidRPr="00342F7C" w14:paraId="4B9AB2A0"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65857307" w14:textId="77777777" w:rsidR="00E7753E" w:rsidRPr="00342F7C" w:rsidRDefault="00E7753E" w:rsidP="00E95E29">
            <w:pPr>
              <w:pStyle w:val="EMEANormal"/>
              <w:rPr>
                <w:i/>
                <w:iCs/>
                <w:lang w:val="en-GB"/>
              </w:rPr>
            </w:pPr>
            <w:r w:rsidRPr="00342F7C">
              <w:rPr>
                <w:i/>
                <w:iCs/>
                <w:lang w:val="en-GB"/>
              </w:rPr>
              <w:t>Antibiotics</w:t>
            </w:r>
          </w:p>
        </w:tc>
      </w:tr>
      <w:tr w:rsidR="00E7753E" w:rsidRPr="00342F7C" w14:paraId="0E6421A2" w14:textId="77777777" w:rsidTr="008F531F">
        <w:tc>
          <w:tcPr>
            <w:tcW w:w="2400" w:type="dxa"/>
            <w:tcBorders>
              <w:top w:val="single" w:sz="4" w:space="0" w:color="auto"/>
              <w:left w:val="single" w:sz="4" w:space="0" w:color="auto"/>
              <w:bottom w:val="single" w:sz="4" w:space="0" w:color="auto"/>
              <w:right w:val="single" w:sz="4" w:space="0" w:color="auto"/>
            </w:tcBorders>
          </w:tcPr>
          <w:p w14:paraId="08C39139" w14:textId="77777777" w:rsidR="00E7753E" w:rsidRPr="00342F7C" w:rsidRDefault="00E7753E" w:rsidP="00E95E29">
            <w:pPr>
              <w:pStyle w:val="EMEANormal"/>
              <w:rPr>
                <w:lang w:val="en-GB"/>
              </w:rPr>
            </w:pPr>
            <w:r w:rsidRPr="00342F7C">
              <w:rPr>
                <w:bCs/>
                <w:iCs/>
                <w:lang w:val="en-GB"/>
              </w:rPr>
              <w:t>Clarithromycin</w:t>
            </w:r>
          </w:p>
        </w:tc>
        <w:tc>
          <w:tcPr>
            <w:tcW w:w="3240" w:type="dxa"/>
            <w:gridSpan w:val="2"/>
            <w:tcBorders>
              <w:top w:val="single" w:sz="4" w:space="0" w:color="auto"/>
              <w:left w:val="single" w:sz="4" w:space="0" w:color="auto"/>
              <w:bottom w:val="single" w:sz="4" w:space="0" w:color="auto"/>
              <w:right w:val="single" w:sz="4" w:space="0" w:color="auto"/>
            </w:tcBorders>
          </w:tcPr>
          <w:p w14:paraId="51A6FD2A" w14:textId="77777777" w:rsidR="00E7753E" w:rsidRPr="00342F7C" w:rsidRDefault="00E7753E" w:rsidP="00E95E29">
            <w:pPr>
              <w:pStyle w:val="EMEANormal"/>
              <w:rPr>
                <w:i/>
                <w:lang w:val="en-GB"/>
              </w:rPr>
            </w:pPr>
            <w:r w:rsidRPr="00342F7C">
              <w:rPr>
                <w:bCs/>
                <w:iCs/>
                <w:lang w:val="en-GB"/>
              </w:rPr>
              <w:t>Clarithromycin:</w:t>
            </w:r>
            <w:r w:rsidRPr="00342F7C">
              <w:rPr>
                <w:i/>
                <w:lang w:val="en-GB"/>
              </w:rPr>
              <w:t xml:space="preserve"> </w:t>
            </w:r>
          </w:p>
          <w:p w14:paraId="0E4B1CB6" w14:textId="77777777" w:rsidR="00E7753E" w:rsidRPr="00342F7C" w:rsidRDefault="00E7753E" w:rsidP="00E95E29">
            <w:pPr>
              <w:pStyle w:val="EMEANormal"/>
              <w:rPr>
                <w:lang w:val="en-GB"/>
              </w:rPr>
            </w:pPr>
            <w:r w:rsidRPr="00342F7C">
              <w:rPr>
                <w:lang w:val="en-GB"/>
              </w:rPr>
              <w:t xml:space="preserve">Moderate increases in clarithromycin AUC are expected due to CYP3A inhibition by </w:t>
            </w:r>
            <w:r w:rsidR="001546A9">
              <w:rPr>
                <w:lang w:val="en-GB"/>
              </w:rPr>
              <w:t>lopinavir/ritonavir</w:t>
            </w:r>
            <w:r w:rsidRPr="00342F7C">
              <w:rPr>
                <w:lang w:val="en-GB"/>
              </w:rPr>
              <w:t xml:space="preserve">. </w:t>
            </w:r>
          </w:p>
          <w:p w14:paraId="72992D88" w14:textId="77777777" w:rsidR="00E7753E" w:rsidRPr="00342F7C" w:rsidRDefault="00E7753E" w:rsidP="00E95E29">
            <w:pPr>
              <w:pStyle w:val="EMEANormal"/>
              <w:rPr>
                <w:lang w:val="en-GB"/>
              </w:rPr>
            </w:pPr>
          </w:p>
        </w:tc>
        <w:tc>
          <w:tcPr>
            <w:tcW w:w="3432" w:type="dxa"/>
            <w:gridSpan w:val="2"/>
            <w:tcBorders>
              <w:top w:val="single" w:sz="4" w:space="0" w:color="auto"/>
              <w:left w:val="single" w:sz="4" w:space="0" w:color="auto"/>
              <w:bottom w:val="single" w:sz="4" w:space="0" w:color="auto"/>
              <w:right w:val="single" w:sz="4" w:space="0" w:color="auto"/>
            </w:tcBorders>
          </w:tcPr>
          <w:p w14:paraId="7974BC2E" w14:textId="77777777" w:rsidR="00E7753E" w:rsidRPr="00342F7C" w:rsidRDefault="00E7753E" w:rsidP="00E95E29">
            <w:pPr>
              <w:pStyle w:val="EMEANormal"/>
              <w:rPr>
                <w:lang w:val="en-GB"/>
              </w:rPr>
            </w:pPr>
            <w:r w:rsidRPr="00342F7C">
              <w:rPr>
                <w:lang w:val="en-GB"/>
              </w:rPr>
              <w:t>For patients with renal impairment (CrCL &lt; 30 ml/min) dose reduction of clarithromycin should be considered (see section 4.4).  Caution should be exercised in administering clarithromycin with Kaletra to patients with impaired hepatic or renal function.</w:t>
            </w:r>
          </w:p>
        </w:tc>
      </w:tr>
      <w:tr w:rsidR="00E7753E" w:rsidRPr="00342F7C" w14:paraId="4B1834C7"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326AED23" w14:textId="0F405306" w:rsidR="00E7753E" w:rsidRPr="00342F7C" w:rsidRDefault="00E7753E" w:rsidP="00D11B95">
            <w:pPr>
              <w:pStyle w:val="EMEANormal"/>
              <w:rPr>
                <w:i/>
                <w:iCs/>
                <w:lang w:val="en-GB"/>
              </w:rPr>
            </w:pPr>
            <w:r w:rsidRPr="00342F7C">
              <w:rPr>
                <w:i/>
                <w:iCs/>
                <w:lang w:val="en-GB"/>
              </w:rPr>
              <w:t>Anticancer agents</w:t>
            </w:r>
            <w:r w:rsidR="008915C6">
              <w:rPr>
                <w:i/>
                <w:iCs/>
                <w:lang w:val="en-GB"/>
              </w:rPr>
              <w:t xml:space="preserve"> </w:t>
            </w:r>
            <w:r w:rsidR="008915C6" w:rsidRPr="003E4843">
              <w:rPr>
                <w:i/>
                <w:iCs/>
                <w:lang w:val="en-GB"/>
              </w:rPr>
              <w:t>and kinase inhibitors</w:t>
            </w:r>
          </w:p>
        </w:tc>
      </w:tr>
      <w:tr w:rsidR="006E1FDC" w:rsidRPr="00342F7C" w14:paraId="10C91293" w14:textId="77777777" w:rsidTr="008F531F">
        <w:tc>
          <w:tcPr>
            <w:tcW w:w="2400" w:type="dxa"/>
            <w:tcBorders>
              <w:top w:val="single" w:sz="4" w:space="0" w:color="auto"/>
              <w:left w:val="single" w:sz="4" w:space="0" w:color="auto"/>
              <w:bottom w:val="single" w:sz="4" w:space="0" w:color="auto"/>
              <w:right w:val="single" w:sz="4" w:space="0" w:color="auto"/>
            </w:tcBorders>
          </w:tcPr>
          <w:p w14:paraId="7AAD80B2" w14:textId="77777777" w:rsidR="006E1FDC" w:rsidRDefault="006E1FDC" w:rsidP="00D11B95">
            <w:pPr>
              <w:pStyle w:val="EMEANormal"/>
              <w:rPr>
                <w:lang w:val="en-GB"/>
              </w:rPr>
            </w:pPr>
            <w:r>
              <w:rPr>
                <w:lang w:val="en-GB"/>
              </w:rPr>
              <w:t>Abemaciclib</w:t>
            </w:r>
          </w:p>
        </w:tc>
        <w:tc>
          <w:tcPr>
            <w:tcW w:w="3240" w:type="dxa"/>
            <w:gridSpan w:val="2"/>
            <w:tcBorders>
              <w:top w:val="single" w:sz="4" w:space="0" w:color="auto"/>
              <w:left w:val="single" w:sz="4" w:space="0" w:color="auto"/>
              <w:bottom w:val="single" w:sz="4" w:space="0" w:color="auto"/>
              <w:right w:val="single" w:sz="4" w:space="0" w:color="auto"/>
            </w:tcBorders>
          </w:tcPr>
          <w:p w14:paraId="6D2F14A9" w14:textId="77777777" w:rsidR="006E1FDC" w:rsidRDefault="006E1FDC" w:rsidP="00463201">
            <w:pPr>
              <w:pStyle w:val="EMEANormal"/>
            </w:pPr>
            <w:r>
              <w:t>Serum concentrations may be increased due to CYP3A inhibition by ritonavir</w:t>
            </w:r>
            <w:r w:rsidR="001D4340">
              <w:t>.</w:t>
            </w:r>
          </w:p>
        </w:tc>
        <w:tc>
          <w:tcPr>
            <w:tcW w:w="3432" w:type="dxa"/>
            <w:gridSpan w:val="2"/>
            <w:tcBorders>
              <w:top w:val="single" w:sz="4" w:space="0" w:color="auto"/>
              <w:left w:val="single" w:sz="4" w:space="0" w:color="auto"/>
              <w:bottom w:val="single" w:sz="4" w:space="0" w:color="auto"/>
              <w:right w:val="single" w:sz="4" w:space="0" w:color="auto"/>
            </w:tcBorders>
          </w:tcPr>
          <w:p w14:paraId="42389C18" w14:textId="77777777" w:rsidR="006E1FDC" w:rsidRDefault="00907733" w:rsidP="009E75CD">
            <w:pPr>
              <w:pStyle w:val="EMEANormal"/>
              <w:rPr>
                <w:lang w:val="en-GB"/>
              </w:rPr>
            </w:pPr>
            <w:r>
              <w:rPr>
                <w:lang w:val="en-GB"/>
              </w:rPr>
              <w:t>Co</w:t>
            </w:r>
            <w:r>
              <w:rPr>
                <w:lang w:val="en-GB"/>
              </w:rPr>
              <w:noBreakHyphen/>
              <w:t xml:space="preserve">administration of </w:t>
            </w:r>
            <w:r w:rsidR="006E1FDC">
              <w:rPr>
                <w:lang w:val="en-GB"/>
              </w:rPr>
              <w:t xml:space="preserve">abemaciclib </w:t>
            </w:r>
            <w:r w:rsidR="009E75CD">
              <w:rPr>
                <w:lang w:val="en-GB"/>
              </w:rPr>
              <w:t>and</w:t>
            </w:r>
            <w:r w:rsidR="006E1FDC">
              <w:rPr>
                <w:lang w:val="en-GB"/>
              </w:rPr>
              <w:t xml:space="preserve"> Kaletra</w:t>
            </w:r>
            <w:r>
              <w:rPr>
                <w:lang w:val="en-GB"/>
              </w:rPr>
              <w:t xml:space="preserve"> should be avoided.  If this co</w:t>
            </w:r>
            <w:r>
              <w:rPr>
                <w:lang w:val="en-GB"/>
              </w:rPr>
              <w:noBreakHyphen/>
              <w:t xml:space="preserve">administration is judged unavoidable, </w:t>
            </w:r>
            <w:r w:rsidR="00463201">
              <w:rPr>
                <w:lang w:val="en-GB"/>
              </w:rPr>
              <w:t>r</w:t>
            </w:r>
            <w:r w:rsidR="006E1FDC">
              <w:rPr>
                <w:lang w:val="en-GB"/>
              </w:rPr>
              <w:t>efer to the abemaciclib SmPC for dosage adjustment recommendations.  Monitor for ADRs related to abemaciclib.</w:t>
            </w:r>
          </w:p>
        </w:tc>
      </w:tr>
      <w:tr w:rsidR="00E175A9" w:rsidRPr="00342F7C" w14:paraId="0F91BC85" w14:textId="77777777" w:rsidTr="008F531F">
        <w:tc>
          <w:tcPr>
            <w:tcW w:w="2400" w:type="dxa"/>
            <w:tcBorders>
              <w:top w:val="single" w:sz="4" w:space="0" w:color="auto"/>
              <w:left w:val="single" w:sz="4" w:space="0" w:color="auto"/>
              <w:bottom w:val="single" w:sz="4" w:space="0" w:color="auto"/>
              <w:right w:val="single" w:sz="4" w:space="0" w:color="auto"/>
            </w:tcBorders>
          </w:tcPr>
          <w:p w14:paraId="0CDA3A51" w14:textId="77777777" w:rsidR="00E175A9" w:rsidRDefault="00E175A9" w:rsidP="005F7244">
            <w:pPr>
              <w:pStyle w:val="EMEANormal"/>
              <w:keepNext/>
              <w:rPr>
                <w:lang w:val="en-GB"/>
              </w:rPr>
            </w:pPr>
            <w:r>
              <w:rPr>
                <w:lang w:val="en-GB"/>
              </w:rPr>
              <w:t>Apalutamide</w:t>
            </w:r>
          </w:p>
        </w:tc>
        <w:tc>
          <w:tcPr>
            <w:tcW w:w="3240" w:type="dxa"/>
            <w:gridSpan w:val="2"/>
            <w:tcBorders>
              <w:top w:val="single" w:sz="4" w:space="0" w:color="auto"/>
              <w:left w:val="single" w:sz="4" w:space="0" w:color="auto"/>
              <w:bottom w:val="single" w:sz="4" w:space="0" w:color="auto"/>
              <w:right w:val="single" w:sz="4" w:space="0" w:color="auto"/>
            </w:tcBorders>
          </w:tcPr>
          <w:p w14:paraId="2AFBEFA6" w14:textId="77777777" w:rsidR="00E175A9" w:rsidRDefault="00E175A9" w:rsidP="0036525B">
            <w:pPr>
              <w:pStyle w:val="EMEANormal"/>
            </w:pPr>
            <w:r>
              <w:t>Apalutamide is a moderate to strong CYP3A4 inducer and this may lead to a decreased exposure of lopinavir/ritonavir.</w:t>
            </w:r>
          </w:p>
          <w:p w14:paraId="1E256BF4" w14:textId="77777777" w:rsidR="00E175A9" w:rsidRDefault="00E175A9" w:rsidP="0036525B">
            <w:pPr>
              <w:pStyle w:val="EMEANormal"/>
            </w:pPr>
          </w:p>
          <w:p w14:paraId="1CAB2F68" w14:textId="77777777" w:rsidR="00E175A9" w:rsidRDefault="00E175A9" w:rsidP="005F7244">
            <w:pPr>
              <w:pStyle w:val="EMEANormal"/>
              <w:keepNext/>
            </w:pPr>
            <w:r>
              <w:t>Serum concentrations of apalutamide may be increased due to CYP3A inhibition by lopinavir/ritonavir.</w:t>
            </w:r>
          </w:p>
        </w:tc>
        <w:tc>
          <w:tcPr>
            <w:tcW w:w="3432" w:type="dxa"/>
            <w:gridSpan w:val="2"/>
            <w:tcBorders>
              <w:top w:val="single" w:sz="4" w:space="0" w:color="auto"/>
              <w:left w:val="single" w:sz="4" w:space="0" w:color="auto"/>
              <w:bottom w:val="single" w:sz="4" w:space="0" w:color="auto"/>
              <w:right w:val="single" w:sz="4" w:space="0" w:color="auto"/>
            </w:tcBorders>
          </w:tcPr>
          <w:p w14:paraId="6E46725C" w14:textId="77777777" w:rsidR="00E175A9" w:rsidRDefault="00E175A9" w:rsidP="0036525B">
            <w:pPr>
              <w:pStyle w:val="EMEANormal"/>
              <w:rPr>
                <w:lang w:val="en-GB"/>
              </w:rPr>
            </w:pPr>
            <w:r>
              <w:rPr>
                <w:lang w:val="en-GB"/>
              </w:rPr>
              <w:t xml:space="preserve">Decreased exposure of Kaletra may result in potential loss of virological response.  </w:t>
            </w:r>
          </w:p>
          <w:p w14:paraId="1F9E1B80" w14:textId="77777777" w:rsidR="00E175A9" w:rsidRDefault="00E175A9" w:rsidP="000818DA">
            <w:pPr>
              <w:pStyle w:val="EMEANormal"/>
              <w:keepNext/>
              <w:rPr>
                <w:lang w:val="en-GB"/>
              </w:rPr>
            </w:pPr>
            <w:r>
              <w:rPr>
                <w:lang w:val="en-GB"/>
              </w:rPr>
              <w:t xml:space="preserve">In addition, co-administration of apalutamide and Kaletra may lead to serious adverse events including seizure due to higher apalutamide levels.  Concomitant use of Kaletra with apalutamide is </w:t>
            </w:r>
            <w:r w:rsidR="000818DA">
              <w:rPr>
                <w:lang w:val="en-GB"/>
              </w:rPr>
              <w:t>not recommended</w:t>
            </w:r>
            <w:r>
              <w:rPr>
                <w:lang w:val="en-GB"/>
              </w:rPr>
              <w:t>.</w:t>
            </w:r>
          </w:p>
        </w:tc>
      </w:tr>
      <w:tr w:rsidR="00BE1421" w:rsidRPr="00342F7C" w14:paraId="2014C0AB" w14:textId="77777777" w:rsidTr="008F531F">
        <w:tc>
          <w:tcPr>
            <w:tcW w:w="2400" w:type="dxa"/>
            <w:tcBorders>
              <w:top w:val="single" w:sz="4" w:space="0" w:color="auto"/>
              <w:left w:val="single" w:sz="4" w:space="0" w:color="auto"/>
              <w:bottom w:val="single" w:sz="4" w:space="0" w:color="auto"/>
              <w:right w:val="single" w:sz="4" w:space="0" w:color="auto"/>
            </w:tcBorders>
          </w:tcPr>
          <w:p w14:paraId="64F9E493" w14:textId="77777777" w:rsidR="00BE1421" w:rsidRDefault="00BE1421" w:rsidP="005F7244">
            <w:pPr>
              <w:pStyle w:val="EMEANormal"/>
              <w:keepNext/>
              <w:rPr>
                <w:lang w:val="en-GB"/>
              </w:rPr>
            </w:pPr>
            <w:r>
              <w:rPr>
                <w:lang w:val="en-GB"/>
              </w:rPr>
              <w:t>Afatinib</w:t>
            </w:r>
          </w:p>
          <w:p w14:paraId="61C2C653" w14:textId="77777777" w:rsidR="00BE1421" w:rsidRDefault="00BE1421" w:rsidP="005F7244">
            <w:pPr>
              <w:pStyle w:val="EMEANormal"/>
              <w:keepNext/>
              <w:rPr>
                <w:lang w:val="en-GB"/>
              </w:rPr>
            </w:pPr>
          </w:p>
          <w:p w14:paraId="083F3FB6" w14:textId="77777777" w:rsidR="00BE1421" w:rsidRPr="00342F7C" w:rsidRDefault="00BE1421" w:rsidP="005F7244">
            <w:pPr>
              <w:pStyle w:val="EMEANormal"/>
              <w:keepNext/>
              <w:rPr>
                <w:lang w:val="en-GB"/>
              </w:rPr>
            </w:pPr>
            <w:r>
              <w:rPr>
                <w:lang w:val="en-GB"/>
              </w:rPr>
              <w:t>(Ritonavir 200 mg twice daily)</w:t>
            </w:r>
          </w:p>
        </w:tc>
        <w:tc>
          <w:tcPr>
            <w:tcW w:w="3240" w:type="dxa"/>
            <w:gridSpan w:val="2"/>
            <w:tcBorders>
              <w:top w:val="single" w:sz="4" w:space="0" w:color="auto"/>
              <w:left w:val="single" w:sz="4" w:space="0" w:color="auto"/>
              <w:bottom w:val="single" w:sz="4" w:space="0" w:color="auto"/>
              <w:right w:val="single" w:sz="4" w:space="0" w:color="auto"/>
            </w:tcBorders>
          </w:tcPr>
          <w:p w14:paraId="7D7BEF9F" w14:textId="77777777" w:rsidR="00BE1421" w:rsidRDefault="00BE1421" w:rsidP="005F7244">
            <w:pPr>
              <w:pStyle w:val="EMEANormal"/>
              <w:keepNext/>
            </w:pPr>
            <w:r>
              <w:t>Afatinib:</w:t>
            </w:r>
          </w:p>
          <w:p w14:paraId="16A4A40B" w14:textId="77777777" w:rsidR="00BE1421" w:rsidRPr="00FF64FE" w:rsidRDefault="00BE1421" w:rsidP="005F7244">
            <w:pPr>
              <w:pStyle w:val="EMEANormal"/>
              <w:keepNext/>
            </w:pPr>
            <w:r w:rsidRPr="00FF64FE">
              <w:t xml:space="preserve">AUC: </w:t>
            </w:r>
            <w:r w:rsidRPr="00FF64FE">
              <w:rPr>
                <w:lang w:val="en-GB"/>
              </w:rPr>
              <w:t xml:space="preserve">↑ </w:t>
            </w:r>
          </w:p>
          <w:p w14:paraId="45360872" w14:textId="77777777" w:rsidR="00BE1421" w:rsidRDefault="00BE1421" w:rsidP="005F7244">
            <w:pPr>
              <w:pStyle w:val="EMEANormal"/>
              <w:keepNext/>
              <w:rPr>
                <w:lang w:val="en-GB"/>
              </w:rPr>
            </w:pPr>
            <w:r w:rsidRPr="00FF64FE">
              <w:t>C</w:t>
            </w:r>
            <w:r w:rsidRPr="00FF64FE">
              <w:rPr>
                <w:vertAlign w:val="subscript"/>
              </w:rPr>
              <w:t>max</w:t>
            </w:r>
            <w:r w:rsidRPr="00FF64FE">
              <w:t xml:space="preserve">: </w:t>
            </w:r>
            <w:r w:rsidRPr="00FF64FE">
              <w:rPr>
                <w:lang w:val="en-GB"/>
              </w:rPr>
              <w:t>↑</w:t>
            </w:r>
          </w:p>
          <w:p w14:paraId="44EEDE12" w14:textId="77777777" w:rsidR="00BE1421" w:rsidRDefault="00BE1421" w:rsidP="005F7244">
            <w:pPr>
              <w:pStyle w:val="EMEANormal"/>
              <w:keepNext/>
              <w:rPr>
                <w:lang w:val="en-GB"/>
              </w:rPr>
            </w:pPr>
          </w:p>
          <w:p w14:paraId="1ACA3E85" w14:textId="77777777" w:rsidR="00BE1421" w:rsidRDefault="00BE1421" w:rsidP="005F7244">
            <w:pPr>
              <w:pStyle w:val="EMEANormal"/>
              <w:keepNext/>
              <w:rPr>
                <w:lang w:val="en-GB"/>
              </w:rPr>
            </w:pPr>
            <w:r>
              <w:rPr>
                <w:lang w:val="en-GB"/>
              </w:rPr>
              <w:t>The extent of increase depends on the timing of ritonavir administration.</w:t>
            </w:r>
          </w:p>
          <w:p w14:paraId="5BCD2FF5" w14:textId="77777777" w:rsidR="00BE1421" w:rsidRDefault="00BE1421" w:rsidP="005F7244">
            <w:pPr>
              <w:pStyle w:val="EMEANormal"/>
              <w:keepNext/>
              <w:rPr>
                <w:lang w:val="en-GB"/>
              </w:rPr>
            </w:pPr>
          </w:p>
          <w:p w14:paraId="69B5BA52" w14:textId="77777777" w:rsidR="00BE1421" w:rsidRPr="00342F7C" w:rsidRDefault="00BE1421" w:rsidP="005F7244">
            <w:pPr>
              <w:pStyle w:val="EMEANormal"/>
              <w:keepNext/>
              <w:rPr>
                <w:lang w:val="en-GB"/>
              </w:rPr>
            </w:pPr>
            <w:r>
              <w:rPr>
                <w:lang w:val="en-GB"/>
              </w:rPr>
              <w:t xml:space="preserve">Due to BCRP (breast cancer </w:t>
            </w:r>
            <w:r w:rsidRPr="009F191D">
              <w:rPr>
                <w:szCs w:val="22"/>
              </w:rPr>
              <w:t>resistance protein/ABCG2)</w:t>
            </w:r>
            <w:r>
              <w:rPr>
                <w:lang w:val="en-GB"/>
              </w:rPr>
              <w:t xml:space="preserve"> and acute P-gp inhibition by lopinavir/ritonavir.</w:t>
            </w:r>
          </w:p>
        </w:tc>
        <w:tc>
          <w:tcPr>
            <w:tcW w:w="3432" w:type="dxa"/>
            <w:gridSpan w:val="2"/>
            <w:tcBorders>
              <w:top w:val="single" w:sz="4" w:space="0" w:color="auto"/>
              <w:left w:val="single" w:sz="4" w:space="0" w:color="auto"/>
              <w:bottom w:val="single" w:sz="4" w:space="0" w:color="auto"/>
              <w:right w:val="single" w:sz="4" w:space="0" w:color="auto"/>
            </w:tcBorders>
          </w:tcPr>
          <w:p w14:paraId="7BB9C057" w14:textId="77777777" w:rsidR="00BE1421" w:rsidRPr="00342F7C" w:rsidRDefault="00BE1421" w:rsidP="005F7244">
            <w:pPr>
              <w:pStyle w:val="EMEANormal"/>
              <w:keepNext/>
              <w:rPr>
                <w:lang w:val="en-GB"/>
              </w:rPr>
            </w:pPr>
            <w:r>
              <w:rPr>
                <w:lang w:val="en-GB"/>
              </w:rPr>
              <w:t>Caution should be exercised in administering afatinib with Kaletra.  Refer to the afatinib SmPC for dosage adjustment recommendations.  Monitor for ADRs related to afatinib.</w:t>
            </w:r>
          </w:p>
        </w:tc>
      </w:tr>
      <w:tr w:rsidR="00BE1421" w:rsidRPr="00342F7C" w14:paraId="128506F5" w14:textId="77777777" w:rsidTr="008F531F">
        <w:tc>
          <w:tcPr>
            <w:tcW w:w="2400" w:type="dxa"/>
            <w:tcBorders>
              <w:top w:val="single" w:sz="4" w:space="0" w:color="auto"/>
              <w:left w:val="single" w:sz="4" w:space="0" w:color="auto"/>
              <w:bottom w:val="single" w:sz="4" w:space="0" w:color="auto"/>
              <w:right w:val="single" w:sz="4" w:space="0" w:color="auto"/>
            </w:tcBorders>
          </w:tcPr>
          <w:p w14:paraId="57302BB9" w14:textId="77777777" w:rsidR="00BE1421" w:rsidRPr="00342F7C" w:rsidRDefault="00BE1421" w:rsidP="00D11B95">
            <w:pPr>
              <w:pStyle w:val="EMEANormal"/>
              <w:keepNext/>
              <w:rPr>
                <w:lang w:val="en-GB"/>
              </w:rPr>
            </w:pPr>
            <w:r>
              <w:rPr>
                <w:lang w:val="en-GB"/>
              </w:rPr>
              <w:t>Ceritinib</w:t>
            </w:r>
          </w:p>
        </w:tc>
        <w:tc>
          <w:tcPr>
            <w:tcW w:w="3240" w:type="dxa"/>
            <w:gridSpan w:val="2"/>
            <w:tcBorders>
              <w:top w:val="single" w:sz="4" w:space="0" w:color="auto"/>
              <w:left w:val="single" w:sz="4" w:space="0" w:color="auto"/>
              <w:bottom w:val="single" w:sz="4" w:space="0" w:color="auto"/>
              <w:right w:val="single" w:sz="4" w:space="0" w:color="auto"/>
            </w:tcBorders>
          </w:tcPr>
          <w:p w14:paraId="6E0A3C9C" w14:textId="77777777" w:rsidR="00BE1421" w:rsidRPr="00342F7C" w:rsidRDefault="00BE1421" w:rsidP="00D11B95">
            <w:pPr>
              <w:pStyle w:val="EMEANormal"/>
              <w:keepNext/>
              <w:rPr>
                <w:lang w:val="en-GB"/>
              </w:rPr>
            </w:pPr>
            <w:r>
              <w:rPr>
                <w:lang w:val="en-GB"/>
              </w:rPr>
              <w:t>Serum concentrations may be increased due to CYP3A and P</w:t>
            </w:r>
            <w:r>
              <w:rPr>
                <w:lang w:val="en-GB"/>
              </w:rPr>
              <w:noBreakHyphen/>
              <w:t>gp inhibition by lopinavir/ritonavir.</w:t>
            </w:r>
          </w:p>
        </w:tc>
        <w:tc>
          <w:tcPr>
            <w:tcW w:w="3432" w:type="dxa"/>
            <w:gridSpan w:val="2"/>
            <w:tcBorders>
              <w:top w:val="single" w:sz="4" w:space="0" w:color="auto"/>
              <w:left w:val="single" w:sz="4" w:space="0" w:color="auto"/>
              <w:bottom w:val="single" w:sz="4" w:space="0" w:color="auto"/>
              <w:right w:val="single" w:sz="4" w:space="0" w:color="auto"/>
            </w:tcBorders>
          </w:tcPr>
          <w:p w14:paraId="19C415CD" w14:textId="77777777" w:rsidR="00BE1421" w:rsidRPr="00342F7C" w:rsidRDefault="00BE1421" w:rsidP="00D11B95">
            <w:pPr>
              <w:pStyle w:val="EMEANormal"/>
              <w:keepNext/>
              <w:rPr>
                <w:lang w:val="en-GB"/>
              </w:rPr>
            </w:pPr>
            <w:r>
              <w:rPr>
                <w:lang w:val="en-GB"/>
              </w:rPr>
              <w:t>Caution should be exercised in administering ceritinib with Kaletra.  Refer to the ceritinib SmPC for dosage adjustment recommendations.  Monitor for ADRs related to ceritinib.</w:t>
            </w:r>
          </w:p>
        </w:tc>
      </w:tr>
      <w:tr w:rsidR="00BE1421" w:rsidRPr="00342F7C" w14:paraId="7D19AF9E" w14:textId="77777777" w:rsidTr="008F531F">
        <w:tc>
          <w:tcPr>
            <w:tcW w:w="2400" w:type="dxa"/>
            <w:tcBorders>
              <w:top w:val="single" w:sz="4" w:space="0" w:color="auto"/>
              <w:left w:val="single" w:sz="4" w:space="0" w:color="auto"/>
              <w:bottom w:val="single" w:sz="4" w:space="0" w:color="auto"/>
              <w:right w:val="single" w:sz="4" w:space="0" w:color="auto"/>
            </w:tcBorders>
          </w:tcPr>
          <w:p w14:paraId="1468A24C" w14:textId="77777777" w:rsidR="00BE1421" w:rsidRPr="00342F7C" w:rsidRDefault="00BE1421" w:rsidP="007574EF">
            <w:pPr>
              <w:pStyle w:val="EMEANormal"/>
              <w:rPr>
                <w:lang w:val="en-GB"/>
              </w:rPr>
            </w:pPr>
            <w:r w:rsidRPr="00342F7C">
              <w:rPr>
                <w:lang w:val="en-GB"/>
              </w:rPr>
              <w:t xml:space="preserve">Most tyrosine kinase inhibitors such as dasatinib and nilotinib, </w:t>
            </w:r>
            <w:r>
              <w:rPr>
                <w:lang w:val="en-GB"/>
              </w:rPr>
              <w:t>v</w:t>
            </w:r>
            <w:r w:rsidRPr="00342F7C">
              <w:rPr>
                <w:lang w:val="en-GB"/>
              </w:rPr>
              <w:t xml:space="preserve">incristine, </w:t>
            </w:r>
            <w:r>
              <w:rPr>
                <w:lang w:val="en-GB"/>
              </w:rPr>
              <w:t>v</w:t>
            </w:r>
            <w:r w:rsidRPr="00342F7C">
              <w:rPr>
                <w:lang w:val="en-GB"/>
              </w:rPr>
              <w:t>inblastine</w:t>
            </w:r>
          </w:p>
        </w:tc>
        <w:tc>
          <w:tcPr>
            <w:tcW w:w="3240" w:type="dxa"/>
            <w:gridSpan w:val="2"/>
            <w:tcBorders>
              <w:top w:val="single" w:sz="4" w:space="0" w:color="auto"/>
              <w:left w:val="single" w:sz="4" w:space="0" w:color="auto"/>
              <w:bottom w:val="single" w:sz="4" w:space="0" w:color="auto"/>
              <w:right w:val="single" w:sz="4" w:space="0" w:color="auto"/>
            </w:tcBorders>
          </w:tcPr>
          <w:p w14:paraId="0D27076B" w14:textId="77777777" w:rsidR="00BE1421" w:rsidRPr="00342F7C" w:rsidRDefault="00BE1421" w:rsidP="008A55B1">
            <w:pPr>
              <w:pStyle w:val="EMEANormal"/>
              <w:rPr>
                <w:lang w:val="en-GB"/>
              </w:rPr>
            </w:pPr>
            <w:r w:rsidRPr="00342F7C">
              <w:rPr>
                <w:lang w:val="en-GB"/>
              </w:rPr>
              <w:t>Most tyrosine kinase inhibitors such as dasatinib and nilotinib, also vincristine and vinblastine:</w:t>
            </w:r>
          </w:p>
          <w:p w14:paraId="2D544420" w14:textId="77777777" w:rsidR="00BE1421" w:rsidRPr="00342F7C" w:rsidRDefault="00BE1421" w:rsidP="008A55B1">
            <w:pPr>
              <w:pStyle w:val="EMEANormal"/>
              <w:rPr>
                <w:lang w:val="en-GB"/>
              </w:rPr>
            </w:pPr>
            <w:r w:rsidRPr="00342F7C">
              <w:rPr>
                <w:lang w:val="en-GB"/>
              </w:rPr>
              <w:t xml:space="preserve">Risk of increased adverse events due to higher serum concentrations because of CYP3A4 inhibition by </w:t>
            </w:r>
            <w:r>
              <w:rPr>
                <w:lang w:val="en-GB"/>
              </w:rPr>
              <w:t>lopinavir/ritonavir</w:t>
            </w:r>
            <w:r w:rsidRPr="00342F7C">
              <w:rPr>
                <w:lang w:val="en-GB"/>
              </w:rPr>
              <w:t>.</w:t>
            </w:r>
          </w:p>
        </w:tc>
        <w:tc>
          <w:tcPr>
            <w:tcW w:w="3432" w:type="dxa"/>
            <w:gridSpan w:val="2"/>
            <w:tcBorders>
              <w:top w:val="single" w:sz="4" w:space="0" w:color="auto"/>
              <w:left w:val="single" w:sz="4" w:space="0" w:color="auto"/>
              <w:bottom w:val="single" w:sz="4" w:space="0" w:color="auto"/>
              <w:right w:val="single" w:sz="4" w:space="0" w:color="auto"/>
            </w:tcBorders>
          </w:tcPr>
          <w:p w14:paraId="14C65891" w14:textId="77777777" w:rsidR="00BE1421" w:rsidRPr="00342F7C" w:rsidRDefault="00BE1421" w:rsidP="008A55B1">
            <w:pPr>
              <w:pStyle w:val="EMEANormal"/>
              <w:rPr>
                <w:lang w:val="en-GB"/>
              </w:rPr>
            </w:pPr>
            <w:r w:rsidRPr="00342F7C">
              <w:rPr>
                <w:lang w:val="en-GB"/>
              </w:rPr>
              <w:t>Careful monitoring of the tolerance of these anticancer agents.</w:t>
            </w:r>
          </w:p>
          <w:p w14:paraId="18407D75" w14:textId="77777777" w:rsidR="00BE1421" w:rsidRPr="00342F7C" w:rsidRDefault="00BE1421" w:rsidP="008A55B1">
            <w:pPr>
              <w:pStyle w:val="EMEANormal"/>
              <w:rPr>
                <w:lang w:val="en-GB"/>
              </w:rPr>
            </w:pPr>
          </w:p>
        </w:tc>
      </w:tr>
      <w:tr w:rsidR="00BE1421" w:rsidRPr="00342F7C" w14:paraId="65BC7303" w14:textId="77777777" w:rsidTr="008F531F">
        <w:tc>
          <w:tcPr>
            <w:tcW w:w="2400" w:type="dxa"/>
            <w:tcBorders>
              <w:top w:val="single" w:sz="4" w:space="0" w:color="auto"/>
              <w:left w:val="single" w:sz="4" w:space="0" w:color="auto"/>
              <w:bottom w:val="single" w:sz="4" w:space="0" w:color="auto"/>
              <w:right w:val="single" w:sz="4" w:space="0" w:color="auto"/>
            </w:tcBorders>
          </w:tcPr>
          <w:p w14:paraId="5D73307D" w14:textId="77777777" w:rsidR="00BE1421" w:rsidRDefault="00BE1421" w:rsidP="007574EF">
            <w:pPr>
              <w:pStyle w:val="EMEANormal"/>
              <w:rPr>
                <w:lang w:val="en-GB"/>
              </w:rPr>
            </w:pPr>
            <w:r>
              <w:rPr>
                <w:lang w:val="en-GB"/>
              </w:rPr>
              <w:t>Encorafenib</w:t>
            </w:r>
          </w:p>
        </w:tc>
        <w:tc>
          <w:tcPr>
            <w:tcW w:w="3240" w:type="dxa"/>
            <w:gridSpan w:val="2"/>
            <w:tcBorders>
              <w:top w:val="single" w:sz="4" w:space="0" w:color="auto"/>
              <w:left w:val="single" w:sz="4" w:space="0" w:color="auto"/>
              <w:bottom w:val="single" w:sz="4" w:space="0" w:color="auto"/>
              <w:right w:val="single" w:sz="4" w:space="0" w:color="auto"/>
            </w:tcBorders>
          </w:tcPr>
          <w:p w14:paraId="2718216D" w14:textId="77777777" w:rsidR="00BE1421" w:rsidRDefault="00BE1421" w:rsidP="008A55B1">
            <w:pPr>
              <w:pStyle w:val="EMEANormal"/>
              <w:rPr>
                <w:lang w:val="en-GB"/>
              </w:rPr>
            </w:pPr>
            <w:r>
              <w:rPr>
                <w:lang w:val="en-GB"/>
              </w:rPr>
              <w:t>Serum concentrations may be increased due to CYP3A inhibition by lopinavir/ritonavir.</w:t>
            </w:r>
          </w:p>
        </w:tc>
        <w:tc>
          <w:tcPr>
            <w:tcW w:w="3432" w:type="dxa"/>
            <w:gridSpan w:val="2"/>
            <w:tcBorders>
              <w:top w:val="single" w:sz="4" w:space="0" w:color="auto"/>
              <w:left w:val="single" w:sz="4" w:space="0" w:color="auto"/>
              <w:bottom w:val="single" w:sz="4" w:space="0" w:color="auto"/>
              <w:right w:val="single" w:sz="4" w:space="0" w:color="auto"/>
            </w:tcBorders>
          </w:tcPr>
          <w:p w14:paraId="63C7094B" w14:textId="77777777" w:rsidR="00BE1421" w:rsidRDefault="00034DEB" w:rsidP="008A55B1">
            <w:pPr>
              <w:pStyle w:val="EMEANormal"/>
              <w:rPr>
                <w:lang w:val="en-GB"/>
              </w:rPr>
            </w:pPr>
            <w:r>
              <w:rPr>
                <w:lang w:val="en-GB"/>
              </w:rPr>
              <w:t xml:space="preserve">Co-administration of encorafenib with Kaletra may increase encorafenib exposure which may increase the risk of toxicity, including the risk of serious adverse events such as QT interval prolongation.  </w:t>
            </w:r>
            <w:r w:rsidRPr="007B1EDD">
              <w:t>Co</w:t>
            </w:r>
            <w:r w:rsidRPr="007B1EDD">
              <w:noBreakHyphen/>
              <w:t xml:space="preserve">administration of encorafenib and </w:t>
            </w:r>
            <w:r>
              <w:t xml:space="preserve">Kaletra </w:t>
            </w:r>
            <w:r w:rsidRPr="007B1EDD">
              <w:t xml:space="preserve">should be avoided.  If the benefit is considered to outweigh the risk and </w:t>
            </w:r>
            <w:r>
              <w:t>Kaletra</w:t>
            </w:r>
            <w:r w:rsidRPr="007B1EDD">
              <w:t xml:space="preserve"> must be used,</w:t>
            </w:r>
            <w:r w:rsidR="00950960">
              <w:t xml:space="preserve"> patients should be carefully monitored for safety</w:t>
            </w:r>
            <w:r w:rsidRPr="007B1EDD">
              <w:t>.</w:t>
            </w:r>
          </w:p>
        </w:tc>
      </w:tr>
      <w:tr w:rsidR="008915C6" w:rsidRPr="00342F7C" w14:paraId="2314C993" w14:textId="77777777" w:rsidTr="008F531F">
        <w:tc>
          <w:tcPr>
            <w:tcW w:w="2400" w:type="dxa"/>
            <w:tcBorders>
              <w:top w:val="single" w:sz="4" w:space="0" w:color="auto"/>
              <w:left w:val="single" w:sz="4" w:space="0" w:color="auto"/>
              <w:bottom w:val="single" w:sz="4" w:space="0" w:color="auto"/>
              <w:right w:val="single" w:sz="4" w:space="0" w:color="auto"/>
            </w:tcBorders>
          </w:tcPr>
          <w:p w14:paraId="3A1F4C86" w14:textId="0AEECE6D" w:rsidR="008915C6" w:rsidRDefault="008915C6" w:rsidP="008915C6">
            <w:pPr>
              <w:pStyle w:val="EMEANormal"/>
              <w:rPr>
                <w:lang w:val="en-GB"/>
              </w:rPr>
            </w:pPr>
            <w:r w:rsidRPr="0022767B">
              <w:rPr>
                <w:szCs w:val="22"/>
                <w:lang w:val="en-GB"/>
              </w:rPr>
              <w:t>Fostamatinib</w:t>
            </w:r>
          </w:p>
        </w:tc>
        <w:tc>
          <w:tcPr>
            <w:tcW w:w="3240" w:type="dxa"/>
            <w:gridSpan w:val="2"/>
            <w:tcBorders>
              <w:top w:val="single" w:sz="4" w:space="0" w:color="auto"/>
              <w:left w:val="single" w:sz="4" w:space="0" w:color="auto"/>
              <w:bottom w:val="single" w:sz="4" w:space="0" w:color="auto"/>
              <w:right w:val="single" w:sz="4" w:space="0" w:color="auto"/>
            </w:tcBorders>
          </w:tcPr>
          <w:p w14:paraId="5DC795FB" w14:textId="0671DB2E" w:rsidR="008915C6" w:rsidRDefault="008915C6" w:rsidP="008915C6">
            <w:pPr>
              <w:pStyle w:val="EMEANormal"/>
              <w:rPr>
                <w:lang w:val="en-GB"/>
              </w:rPr>
            </w:pPr>
            <w:r w:rsidRPr="0022767B">
              <w:rPr>
                <w:szCs w:val="22"/>
              </w:rPr>
              <w:t>Increase in fostamatinib metabolite R406 exposure.</w:t>
            </w:r>
          </w:p>
        </w:tc>
        <w:tc>
          <w:tcPr>
            <w:tcW w:w="3432" w:type="dxa"/>
            <w:gridSpan w:val="2"/>
            <w:tcBorders>
              <w:top w:val="single" w:sz="4" w:space="0" w:color="auto"/>
              <w:left w:val="single" w:sz="4" w:space="0" w:color="auto"/>
              <w:bottom w:val="single" w:sz="4" w:space="0" w:color="auto"/>
              <w:right w:val="single" w:sz="4" w:space="0" w:color="auto"/>
            </w:tcBorders>
          </w:tcPr>
          <w:p w14:paraId="4CD1AE33" w14:textId="5ECD377A" w:rsidR="008915C6" w:rsidRDefault="008915C6" w:rsidP="008915C6">
            <w:pPr>
              <w:pStyle w:val="EMEANormal"/>
              <w:rPr>
                <w:lang w:val="en-GB"/>
              </w:rPr>
            </w:pPr>
            <w:r w:rsidRPr="0022767B">
              <w:rPr>
                <w:szCs w:val="22"/>
              </w:rPr>
              <w:t xml:space="preserve">Co-administration of fostamatinib with Kaletra may increase fostamatinib metabolite R406 exposure resulting in dose-related adverse events such as hepatotoxicity, neutropenia, hypertension, or diarrhoea. </w:t>
            </w:r>
            <w:r>
              <w:rPr>
                <w:szCs w:val="22"/>
              </w:rPr>
              <w:t xml:space="preserve"> </w:t>
            </w:r>
            <w:r w:rsidRPr="0022767B">
              <w:rPr>
                <w:szCs w:val="22"/>
              </w:rPr>
              <w:t>Refer to the fostamatinib SmPC for dose reduction recommendations if such events occur.</w:t>
            </w:r>
          </w:p>
        </w:tc>
      </w:tr>
      <w:tr w:rsidR="00BE1421" w:rsidRPr="00342F7C" w14:paraId="0229C593" w14:textId="77777777" w:rsidTr="008F531F">
        <w:tc>
          <w:tcPr>
            <w:tcW w:w="2400" w:type="dxa"/>
            <w:tcBorders>
              <w:top w:val="single" w:sz="4" w:space="0" w:color="auto"/>
              <w:left w:val="single" w:sz="4" w:space="0" w:color="auto"/>
              <w:bottom w:val="single" w:sz="4" w:space="0" w:color="auto"/>
              <w:right w:val="single" w:sz="4" w:space="0" w:color="auto"/>
            </w:tcBorders>
          </w:tcPr>
          <w:p w14:paraId="09952218" w14:textId="77777777" w:rsidR="00BE1421" w:rsidRPr="00342F7C" w:rsidRDefault="00BE1421" w:rsidP="007574EF">
            <w:pPr>
              <w:pStyle w:val="EMEANormal"/>
              <w:rPr>
                <w:lang w:val="en-GB"/>
              </w:rPr>
            </w:pPr>
            <w:r>
              <w:rPr>
                <w:lang w:val="en-GB"/>
              </w:rPr>
              <w:t>Ibrutinib</w:t>
            </w:r>
          </w:p>
        </w:tc>
        <w:tc>
          <w:tcPr>
            <w:tcW w:w="3240" w:type="dxa"/>
            <w:gridSpan w:val="2"/>
            <w:tcBorders>
              <w:top w:val="single" w:sz="4" w:space="0" w:color="auto"/>
              <w:left w:val="single" w:sz="4" w:space="0" w:color="auto"/>
              <w:bottom w:val="single" w:sz="4" w:space="0" w:color="auto"/>
              <w:right w:val="single" w:sz="4" w:space="0" w:color="auto"/>
            </w:tcBorders>
          </w:tcPr>
          <w:p w14:paraId="3949AAB1" w14:textId="77777777" w:rsidR="00BE1421" w:rsidRPr="00342F7C" w:rsidRDefault="00BE1421" w:rsidP="008A55B1">
            <w:pPr>
              <w:pStyle w:val="EMEANormal"/>
              <w:rPr>
                <w:lang w:val="en-GB"/>
              </w:rPr>
            </w:pPr>
            <w:r>
              <w:rPr>
                <w:lang w:val="en-GB"/>
              </w:rPr>
              <w:t>Serum concentrations may be increased due to CYP3A inhibition by lopinavir/ritonavir.</w:t>
            </w:r>
          </w:p>
        </w:tc>
        <w:tc>
          <w:tcPr>
            <w:tcW w:w="3432" w:type="dxa"/>
            <w:gridSpan w:val="2"/>
            <w:tcBorders>
              <w:top w:val="single" w:sz="4" w:space="0" w:color="auto"/>
              <w:left w:val="single" w:sz="4" w:space="0" w:color="auto"/>
              <w:bottom w:val="single" w:sz="4" w:space="0" w:color="auto"/>
              <w:right w:val="single" w:sz="4" w:space="0" w:color="auto"/>
            </w:tcBorders>
          </w:tcPr>
          <w:p w14:paraId="5A261613" w14:textId="77777777" w:rsidR="00BE1421" w:rsidRPr="00342F7C" w:rsidRDefault="00BE1421" w:rsidP="008A55B1">
            <w:pPr>
              <w:pStyle w:val="EMEANormal"/>
              <w:rPr>
                <w:lang w:val="en-GB"/>
              </w:rPr>
            </w:pPr>
            <w:r>
              <w:rPr>
                <w:lang w:val="en-GB"/>
              </w:rPr>
              <w:t>Co-administration of ibrutinib and Kaletra may increase ibrutinib exposure which may increase the risk of toxicity including risk of tumor lysis syndrome. Co</w:t>
            </w:r>
            <w:r>
              <w:rPr>
                <w:lang w:val="en-GB"/>
              </w:rPr>
              <w:noBreakHyphen/>
              <w:t>administration of ibrutinib and Kaletra should be avoided.  If the benefit is considered to outweigh the risk and Kaletra must be used, reduce the ibrutinib dose to 140 mg and monitor patient closely for toxicity.</w:t>
            </w:r>
          </w:p>
        </w:tc>
      </w:tr>
      <w:tr w:rsidR="00BE1421" w:rsidRPr="00342F7C" w14:paraId="275664B2" w14:textId="77777777" w:rsidTr="008F531F">
        <w:tc>
          <w:tcPr>
            <w:tcW w:w="2400" w:type="dxa"/>
            <w:tcBorders>
              <w:top w:val="single" w:sz="4" w:space="0" w:color="auto"/>
              <w:left w:val="single" w:sz="4" w:space="0" w:color="auto"/>
              <w:bottom w:val="single" w:sz="4" w:space="0" w:color="auto"/>
              <w:right w:val="single" w:sz="4" w:space="0" w:color="auto"/>
            </w:tcBorders>
          </w:tcPr>
          <w:p w14:paraId="178D56BF" w14:textId="77777777" w:rsidR="00BE1421" w:rsidRDefault="00BE1421" w:rsidP="007574EF">
            <w:pPr>
              <w:pStyle w:val="EMEANormal"/>
              <w:rPr>
                <w:lang w:val="en-GB"/>
              </w:rPr>
            </w:pPr>
            <w:r>
              <w:rPr>
                <w:lang w:val="en-GB"/>
              </w:rPr>
              <w:t>Neratinib</w:t>
            </w:r>
          </w:p>
        </w:tc>
        <w:tc>
          <w:tcPr>
            <w:tcW w:w="3240" w:type="dxa"/>
            <w:gridSpan w:val="2"/>
            <w:tcBorders>
              <w:top w:val="single" w:sz="4" w:space="0" w:color="auto"/>
              <w:left w:val="single" w:sz="4" w:space="0" w:color="auto"/>
              <w:bottom w:val="single" w:sz="4" w:space="0" w:color="auto"/>
              <w:right w:val="single" w:sz="4" w:space="0" w:color="auto"/>
            </w:tcBorders>
          </w:tcPr>
          <w:p w14:paraId="244595AA" w14:textId="77777777" w:rsidR="00BE1421" w:rsidRDefault="00BE1421" w:rsidP="00C66B73">
            <w:pPr>
              <w:pStyle w:val="EMEANormal"/>
              <w:rPr>
                <w:lang w:val="en-GB"/>
              </w:rPr>
            </w:pPr>
            <w:r>
              <w:rPr>
                <w:lang w:val="en-GB"/>
              </w:rPr>
              <w:t>Serum concentrations may be increased due to CYP3A inhibition by ritonavir.</w:t>
            </w:r>
          </w:p>
        </w:tc>
        <w:tc>
          <w:tcPr>
            <w:tcW w:w="3432" w:type="dxa"/>
            <w:gridSpan w:val="2"/>
            <w:tcBorders>
              <w:top w:val="single" w:sz="4" w:space="0" w:color="auto"/>
              <w:left w:val="single" w:sz="4" w:space="0" w:color="auto"/>
              <w:bottom w:val="single" w:sz="4" w:space="0" w:color="auto"/>
              <w:right w:val="single" w:sz="4" w:space="0" w:color="auto"/>
            </w:tcBorders>
          </w:tcPr>
          <w:p w14:paraId="1C8B4EB0" w14:textId="77777777" w:rsidR="00BE1421" w:rsidRDefault="00BE1421" w:rsidP="008A55B1">
            <w:pPr>
              <w:pStyle w:val="EMEANormal"/>
              <w:rPr>
                <w:lang w:val="en-GB"/>
              </w:rPr>
            </w:pPr>
            <w:r>
              <w:rPr>
                <w:lang w:val="en-GB"/>
              </w:rPr>
              <w:t>Concomitant use of neratinib with Kaletra is contraindicated due to serious and/or life</w:t>
            </w:r>
            <w:r>
              <w:rPr>
                <w:lang w:val="en-GB"/>
              </w:rPr>
              <w:noBreakHyphen/>
              <w:t>threatening potential reactions including hepatotoxicity (see section 4.3).</w:t>
            </w:r>
          </w:p>
        </w:tc>
      </w:tr>
      <w:tr w:rsidR="00BE1421" w:rsidRPr="00342F7C" w14:paraId="2AE029DE" w14:textId="77777777" w:rsidTr="008F531F">
        <w:tc>
          <w:tcPr>
            <w:tcW w:w="2400" w:type="dxa"/>
            <w:tcBorders>
              <w:top w:val="single" w:sz="4" w:space="0" w:color="auto"/>
              <w:left w:val="single" w:sz="4" w:space="0" w:color="auto"/>
              <w:bottom w:val="single" w:sz="4" w:space="0" w:color="auto"/>
              <w:right w:val="single" w:sz="4" w:space="0" w:color="auto"/>
            </w:tcBorders>
          </w:tcPr>
          <w:p w14:paraId="3861C154" w14:textId="77777777" w:rsidR="00BE1421" w:rsidRPr="00342F7C" w:rsidRDefault="00BE1421" w:rsidP="005F7244">
            <w:pPr>
              <w:pStyle w:val="EMEANormal"/>
              <w:keepNext/>
              <w:rPr>
                <w:lang w:val="en-GB"/>
              </w:rPr>
            </w:pPr>
            <w:r>
              <w:rPr>
                <w:lang w:val="en-GB"/>
              </w:rPr>
              <w:t>Venetoclax</w:t>
            </w:r>
          </w:p>
        </w:tc>
        <w:tc>
          <w:tcPr>
            <w:tcW w:w="3240" w:type="dxa"/>
            <w:gridSpan w:val="2"/>
            <w:tcBorders>
              <w:top w:val="single" w:sz="4" w:space="0" w:color="auto"/>
              <w:left w:val="single" w:sz="4" w:space="0" w:color="auto"/>
              <w:bottom w:val="single" w:sz="4" w:space="0" w:color="auto"/>
              <w:right w:val="single" w:sz="4" w:space="0" w:color="auto"/>
            </w:tcBorders>
          </w:tcPr>
          <w:p w14:paraId="194283FE" w14:textId="77777777" w:rsidR="00BE1421" w:rsidRPr="00342F7C" w:rsidRDefault="00BE1421" w:rsidP="005F7244">
            <w:pPr>
              <w:pStyle w:val="EMEANormal"/>
              <w:keepNext/>
              <w:rPr>
                <w:lang w:val="en-GB"/>
              </w:rPr>
            </w:pPr>
            <w:r>
              <w:rPr>
                <w:lang w:val="en-GB"/>
              </w:rPr>
              <w:t>Due to CYP3A inhibition by lopinavir/ritonavir.</w:t>
            </w:r>
          </w:p>
        </w:tc>
        <w:tc>
          <w:tcPr>
            <w:tcW w:w="3432" w:type="dxa"/>
            <w:gridSpan w:val="2"/>
            <w:tcBorders>
              <w:top w:val="single" w:sz="4" w:space="0" w:color="auto"/>
              <w:left w:val="single" w:sz="4" w:space="0" w:color="auto"/>
              <w:bottom w:val="single" w:sz="4" w:space="0" w:color="auto"/>
              <w:right w:val="single" w:sz="4" w:space="0" w:color="auto"/>
            </w:tcBorders>
          </w:tcPr>
          <w:p w14:paraId="27CE5DE6" w14:textId="77777777" w:rsidR="00BE1421" w:rsidRDefault="00BE1421" w:rsidP="005F7244">
            <w:pPr>
              <w:pStyle w:val="EMEANormal"/>
              <w:keepNext/>
              <w:rPr>
                <w:lang w:val="en-GB"/>
              </w:rPr>
            </w:pPr>
            <w:r>
              <w:rPr>
                <w:lang w:val="en-GB"/>
              </w:rPr>
              <w:t>Serum concentrations may be increased due to CYP3A inhibition by lopinavir/ritonavir, resulting in increased risk of tumor lysis syndrome at the dose initiation and during the ramp-up phase (see section 4.3 and refer to the venetoclax SmPC).</w:t>
            </w:r>
          </w:p>
          <w:p w14:paraId="32F503FE" w14:textId="77777777" w:rsidR="00BE1421" w:rsidRDefault="00BE1421" w:rsidP="005F7244">
            <w:pPr>
              <w:pStyle w:val="EMEANormal"/>
              <w:keepNext/>
              <w:rPr>
                <w:lang w:val="en-GB"/>
              </w:rPr>
            </w:pPr>
          </w:p>
          <w:p w14:paraId="7CA6ED07" w14:textId="77777777" w:rsidR="00BE1421" w:rsidRPr="00342F7C" w:rsidRDefault="00BE1421" w:rsidP="005F7244">
            <w:pPr>
              <w:pStyle w:val="EMEANormal"/>
              <w:keepNext/>
              <w:rPr>
                <w:lang w:val="en-GB"/>
              </w:rPr>
            </w:pPr>
            <w:r w:rsidRPr="00610E32">
              <w:rPr>
                <w:szCs w:val="22"/>
              </w:rPr>
              <w:t>For patients who have completed the ramp-up phase and are on a steady daily dose of venetoclax, reduce the ven</w:t>
            </w:r>
            <w:r>
              <w:rPr>
                <w:szCs w:val="22"/>
              </w:rPr>
              <w:t>e</w:t>
            </w:r>
            <w:r w:rsidRPr="00610E32">
              <w:rPr>
                <w:szCs w:val="22"/>
              </w:rPr>
              <w:t>toclax dose by at least 75% when used with strong CYP3A inhibitors (refer to the venetoclax SmPC for dosing instructions).</w:t>
            </w:r>
            <w:r>
              <w:rPr>
                <w:szCs w:val="22"/>
              </w:rPr>
              <w:t xml:space="preserve">  Patients should be closely monitored for signs related to venetoclax toxicities.</w:t>
            </w:r>
          </w:p>
        </w:tc>
      </w:tr>
      <w:tr w:rsidR="00BE1421" w:rsidRPr="00342F7C" w14:paraId="1157B292"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74B2FB18" w14:textId="77777777" w:rsidR="00BE1421" w:rsidRPr="00342F7C" w:rsidRDefault="00BE1421" w:rsidP="00F62C9B">
            <w:pPr>
              <w:pStyle w:val="EMEANormal"/>
              <w:keepNext/>
              <w:rPr>
                <w:i/>
                <w:iCs/>
                <w:lang w:val="en-GB"/>
              </w:rPr>
            </w:pPr>
            <w:r w:rsidRPr="00342F7C">
              <w:rPr>
                <w:i/>
                <w:iCs/>
                <w:lang w:val="en-GB"/>
              </w:rPr>
              <w:t>Anticoagulants</w:t>
            </w:r>
          </w:p>
        </w:tc>
      </w:tr>
      <w:tr w:rsidR="00BE1421" w:rsidRPr="00342F7C" w14:paraId="15BCF779" w14:textId="77777777" w:rsidTr="008F531F">
        <w:tc>
          <w:tcPr>
            <w:tcW w:w="2400" w:type="dxa"/>
            <w:tcBorders>
              <w:top w:val="single" w:sz="4" w:space="0" w:color="auto"/>
              <w:left w:val="single" w:sz="4" w:space="0" w:color="auto"/>
              <w:bottom w:val="single" w:sz="4" w:space="0" w:color="auto"/>
              <w:right w:val="single" w:sz="4" w:space="0" w:color="auto"/>
            </w:tcBorders>
          </w:tcPr>
          <w:p w14:paraId="6C6A3F69" w14:textId="77777777" w:rsidR="00BE1421" w:rsidRPr="00342F7C" w:rsidRDefault="00BE1421" w:rsidP="00F62C9B">
            <w:pPr>
              <w:pStyle w:val="EMEANormal"/>
              <w:keepNext/>
              <w:rPr>
                <w:lang w:val="en-GB"/>
              </w:rPr>
            </w:pPr>
            <w:r w:rsidRPr="00342F7C">
              <w:rPr>
                <w:lang w:val="en-GB"/>
              </w:rPr>
              <w:t>Warfarin</w:t>
            </w:r>
          </w:p>
          <w:p w14:paraId="430F9E13" w14:textId="77777777" w:rsidR="00BE1421" w:rsidRPr="00342F7C" w:rsidRDefault="00BE1421" w:rsidP="00F62C9B">
            <w:pPr>
              <w:pStyle w:val="EMEANormal"/>
              <w:keepNext/>
              <w:rPr>
                <w:lang w:val="en-GB"/>
              </w:rPr>
            </w:pPr>
          </w:p>
          <w:p w14:paraId="49300D5A" w14:textId="77777777" w:rsidR="00BE1421" w:rsidRPr="00342F7C" w:rsidRDefault="00BE1421" w:rsidP="00F62C9B">
            <w:pPr>
              <w:pStyle w:val="EMEANormal"/>
              <w:keepNext/>
              <w:rPr>
                <w:lang w:val="en-GB"/>
              </w:rPr>
            </w:pPr>
          </w:p>
          <w:p w14:paraId="537D165A" w14:textId="77777777" w:rsidR="00BE1421" w:rsidRPr="00342F7C" w:rsidRDefault="00BE1421" w:rsidP="00F62C9B">
            <w:pPr>
              <w:pStyle w:val="EMEANormal"/>
              <w:keepNext/>
              <w:rPr>
                <w:i/>
                <w:iCs/>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00CF60AD" w14:textId="77777777" w:rsidR="00BE1421" w:rsidRPr="00342F7C" w:rsidRDefault="00BE1421" w:rsidP="00F62C9B">
            <w:pPr>
              <w:pStyle w:val="EMEANormal"/>
              <w:keepNext/>
              <w:rPr>
                <w:lang w:val="en-GB"/>
              </w:rPr>
            </w:pPr>
            <w:r w:rsidRPr="00342F7C">
              <w:rPr>
                <w:lang w:val="en-GB"/>
              </w:rPr>
              <w:t>Warfarin:</w:t>
            </w:r>
          </w:p>
          <w:p w14:paraId="2EBC887E" w14:textId="77777777" w:rsidR="00BE1421" w:rsidRPr="00342F7C" w:rsidRDefault="00BE1421" w:rsidP="00F62C9B">
            <w:pPr>
              <w:pStyle w:val="EMEANormal"/>
              <w:keepNext/>
              <w:rPr>
                <w:lang w:val="en-GB"/>
              </w:rPr>
            </w:pPr>
            <w:r w:rsidRPr="00342F7C">
              <w:rPr>
                <w:lang w:val="en-GB"/>
              </w:rPr>
              <w:t xml:space="preserve">Concentrations may be affected when co-administered with </w:t>
            </w:r>
            <w:r>
              <w:rPr>
                <w:lang w:val="en-GB"/>
              </w:rPr>
              <w:t>lopinavir/ritonavir</w:t>
            </w:r>
            <w:r w:rsidRPr="00342F7C" w:rsidDel="001546A9">
              <w:rPr>
                <w:lang w:val="en-GB"/>
              </w:rPr>
              <w:t xml:space="preserve"> </w:t>
            </w:r>
            <w:r w:rsidRPr="00342F7C">
              <w:rPr>
                <w:lang w:val="en-GB"/>
              </w:rPr>
              <w:t xml:space="preserve">due to CYP2C9 induction.  </w:t>
            </w:r>
          </w:p>
        </w:tc>
        <w:tc>
          <w:tcPr>
            <w:tcW w:w="3432" w:type="dxa"/>
            <w:gridSpan w:val="2"/>
            <w:tcBorders>
              <w:top w:val="single" w:sz="4" w:space="0" w:color="auto"/>
              <w:left w:val="single" w:sz="4" w:space="0" w:color="auto"/>
              <w:bottom w:val="single" w:sz="4" w:space="0" w:color="auto"/>
              <w:right w:val="single" w:sz="4" w:space="0" w:color="auto"/>
            </w:tcBorders>
          </w:tcPr>
          <w:p w14:paraId="11CD13BB" w14:textId="77777777" w:rsidR="00BE1421" w:rsidRPr="00342F7C" w:rsidRDefault="00BE1421" w:rsidP="00F62C9B">
            <w:pPr>
              <w:pStyle w:val="EMEANormal"/>
              <w:keepNext/>
              <w:rPr>
                <w:lang w:val="en-GB"/>
              </w:rPr>
            </w:pPr>
            <w:r w:rsidRPr="00342F7C">
              <w:rPr>
                <w:lang w:val="en-GB"/>
              </w:rPr>
              <w:t>It is recommended that INR (international normalised ratio) be monitored.</w:t>
            </w:r>
          </w:p>
          <w:p w14:paraId="037AB6A1" w14:textId="77777777" w:rsidR="00BE1421" w:rsidRPr="00342F7C" w:rsidRDefault="00BE1421" w:rsidP="00F62C9B">
            <w:pPr>
              <w:pStyle w:val="EMEANormal"/>
              <w:keepNext/>
              <w:rPr>
                <w:lang w:val="en-GB"/>
              </w:rPr>
            </w:pPr>
          </w:p>
        </w:tc>
      </w:tr>
      <w:tr w:rsidR="00BE1421" w:rsidRPr="00FF64FE" w14:paraId="4E7215E9" w14:textId="77777777" w:rsidTr="008F531F">
        <w:tc>
          <w:tcPr>
            <w:tcW w:w="2400" w:type="dxa"/>
            <w:tcBorders>
              <w:top w:val="single" w:sz="4" w:space="0" w:color="auto"/>
              <w:left w:val="single" w:sz="4" w:space="0" w:color="auto"/>
              <w:bottom w:val="single" w:sz="4" w:space="0" w:color="auto"/>
              <w:right w:val="single" w:sz="4" w:space="0" w:color="auto"/>
            </w:tcBorders>
          </w:tcPr>
          <w:p w14:paraId="0D6EA8E6" w14:textId="77777777" w:rsidR="00BE1421" w:rsidRDefault="00BE1421" w:rsidP="00285B05">
            <w:pPr>
              <w:pStyle w:val="EMEANormal"/>
              <w:rPr>
                <w:rFonts w:cs="Arial"/>
              </w:rPr>
            </w:pPr>
            <w:r w:rsidRPr="00FF64FE">
              <w:rPr>
                <w:rFonts w:cs="Arial"/>
              </w:rPr>
              <w:t>Rivaroxaban</w:t>
            </w:r>
          </w:p>
          <w:p w14:paraId="695249C5" w14:textId="77777777" w:rsidR="00BE1421" w:rsidRDefault="00BE1421" w:rsidP="00285B05">
            <w:pPr>
              <w:pStyle w:val="EMEANormal"/>
              <w:rPr>
                <w:rFonts w:cs="Arial"/>
              </w:rPr>
            </w:pPr>
          </w:p>
          <w:p w14:paraId="14E4F455" w14:textId="77777777" w:rsidR="00BE1421" w:rsidRPr="00FF64FE" w:rsidRDefault="00BE1421" w:rsidP="00002FFE">
            <w:pPr>
              <w:pStyle w:val="EMEANormal"/>
              <w:rPr>
                <w:lang w:val="en-GB"/>
              </w:rPr>
            </w:pPr>
            <w:r>
              <w:rPr>
                <w:rFonts w:cs="Arial"/>
              </w:rPr>
              <w:t>(Ritonavir 600 mg twice daily)</w:t>
            </w:r>
          </w:p>
        </w:tc>
        <w:tc>
          <w:tcPr>
            <w:tcW w:w="3240" w:type="dxa"/>
            <w:gridSpan w:val="2"/>
            <w:tcBorders>
              <w:top w:val="single" w:sz="4" w:space="0" w:color="auto"/>
              <w:left w:val="single" w:sz="4" w:space="0" w:color="auto"/>
              <w:bottom w:val="single" w:sz="4" w:space="0" w:color="auto"/>
              <w:right w:val="single" w:sz="4" w:space="0" w:color="auto"/>
            </w:tcBorders>
          </w:tcPr>
          <w:p w14:paraId="2E7E0FEF" w14:textId="77777777" w:rsidR="00BE1421" w:rsidRPr="00FF64FE" w:rsidRDefault="00BE1421" w:rsidP="00285B05">
            <w:pPr>
              <w:pStyle w:val="EMEANormal"/>
            </w:pPr>
            <w:r w:rsidRPr="00FF64FE">
              <w:t xml:space="preserve">Rivaroxaban:  </w:t>
            </w:r>
          </w:p>
          <w:p w14:paraId="3536205D" w14:textId="77777777" w:rsidR="00BE1421" w:rsidRPr="00FF64FE" w:rsidRDefault="00BE1421" w:rsidP="00285B05">
            <w:pPr>
              <w:pStyle w:val="EMEANormal"/>
            </w:pPr>
            <w:r w:rsidRPr="00FF64FE">
              <w:t xml:space="preserve">AUC: </w:t>
            </w:r>
            <w:r w:rsidRPr="00FF64FE">
              <w:rPr>
                <w:lang w:val="en-GB"/>
              </w:rPr>
              <w:t xml:space="preserve">↑ </w:t>
            </w:r>
            <w:r w:rsidRPr="00FF64FE">
              <w:t>15</w:t>
            </w:r>
            <w:r>
              <w:t>3</w:t>
            </w:r>
            <w:r w:rsidRPr="00FF64FE">
              <w:t xml:space="preserve">% </w:t>
            </w:r>
          </w:p>
          <w:p w14:paraId="78844FC5" w14:textId="77777777" w:rsidR="00BE1421" w:rsidRDefault="00BE1421" w:rsidP="00285B05">
            <w:pPr>
              <w:pStyle w:val="EMEANormal"/>
            </w:pPr>
            <w:r w:rsidRPr="00FF64FE">
              <w:t>C</w:t>
            </w:r>
            <w:r w:rsidRPr="00FF64FE">
              <w:rPr>
                <w:vertAlign w:val="subscript"/>
              </w:rPr>
              <w:t>max</w:t>
            </w:r>
            <w:r w:rsidRPr="00FF64FE">
              <w:t xml:space="preserve">: </w:t>
            </w:r>
            <w:r w:rsidRPr="00FF64FE">
              <w:rPr>
                <w:lang w:val="en-GB"/>
              </w:rPr>
              <w:t xml:space="preserve">↑ </w:t>
            </w:r>
            <w:r>
              <w:rPr>
                <w:lang w:val="en-GB"/>
              </w:rPr>
              <w:t>55</w:t>
            </w:r>
            <w:r w:rsidRPr="00FF64FE">
              <w:t>%</w:t>
            </w:r>
          </w:p>
          <w:p w14:paraId="06F53D6B" w14:textId="77777777" w:rsidR="00BE1421" w:rsidRPr="00FF64FE" w:rsidRDefault="00BE1421" w:rsidP="00285B05">
            <w:pPr>
              <w:pStyle w:val="EMEANormal"/>
              <w:rPr>
                <w:lang w:val="en-GB"/>
              </w:rPr>
            </w:pPr>
            <w:r>
              <w:t>Due to CYP3A and P</w:t>
            </w:r>
            <w:r>
              <w:noBreakHyphen/>
              <w:t>gp inhibition by lopinavir/ritonavir.</w:t>
            </w:r>
          </w:p>
        </w:tc>
        <w:tc>
          <w:tcPr>
            <w:tcW w:w="3432" w:type="dxa"/>
            <w:gridSpan w:val="2"/>
            <w:tcBorders>
              <w:top w:val="single" w:sz="4" w:space="0" w:color="auto"/>
              <w:left w:val="single" w:sz="4" w:space="0" w:color="auto"/>
              <w:bottom w:val="single" w:sz="4" w:space="0" w:color="auto"/>
              <w:right w:val="single" w:sz="4" w:space="0" w:color="auto"/>
            </w:tcBorders>
          </w:tcPr>
          <w:p w14:paraId="0941E74C" w14:textId="77777777" w:rsidR="00BE1421" w:rsidRDefault="00BE1421" w:rsidP="00285B05">
            <w:pPr>
              <w:pStyle w:val="EMEANormal"/>
              <w:rPr>
                <w:lang w:val="en-GB"/>
              </w:rPr>
            </w:pPr>
            <w:r w:rsidRPr="00FF64FE">
              <w:rPr>
                <w:lang w:val="en-GB"/>
              </w:rPr>
              <w:t>Co</w:t>
            </w:r>
            <w:r>
              <w:rPr>
                <w:lang w:val="en-GB"/>
              </w:rPr>
              <w:noBreakHyphen/>
            </w:r>
            <w:r w:rsidRPr="00FF64FE">
              <w:rPr>
                <w:lang w:val="en-GB"/>
              </w:rPr>
              <w:t>admin</w:t>
            </w:r>
            <w:r>
              <w:rPr>
                <w:lang w:val="en-GB"/>
              </w:rPr>
              <w:t>i</w:t>
            </w:r>
            <w:r w:rsidRPr="00FF64FE">
              <w:rPr>
                <w:lang w:val="en-GB"/>
              </w:rPr>
              <w:t>stration of rivaroxaban and Kaletra may increase rivaroxaban exposure which may increase the risk of bleeding.</w:t>
            </w:r>
          </w:p>
          <w:p w14:paraId="405315A4" w14:textId="77777777" w:rsidR="00BE1421" w:rsidRPr="00FF64FE" w:rsidRDefault="00BE1421" w:rsidP="00285B05">
            <w:pPr>
              <w:pStyle w:val="EMEANormal"/>
            </w:pPr>
            <w:r>
              <w:rPr>
                <w:lang w:val="en-GB"/>
              </w:rPr>
              <w:t>The use of rivaroxaban is not recommended in patients receiving concomitant treatment with Kaletra (see section 4.4).</w:t>
            </w:r>
          </w:p>
        </w:tc>
      </w:tr>
      <w:tr w:rsidR="00BE1421" w:rsidRPr="00FF64FE" w14:paraId="30F341F4" w14:textId="77777777" w:rsidTr="008F531F">
        <w:tc>
          <w:tcPr>
            <w:tcW w:w="2400" w:type="dxa"/>
            <w:tcBorders>
              <w:top w:val="single" w:sz="4" w:space="0" w:color="auto"/>
              <w:left w:val="single" w:sz="4" w:space="0" w:color="auto"/>
              <w:bottom w:val="single" w:sz="4" w:space="0" w:color="auto"/>
              <w:right w:val="single" w:sz="4" w:space="0" w:color="auto"/>
            </w:tcBorders>
          </w:tcPr>
          <w:p w14:paraId="09BF639D" w14:textId="77777777" w:rsidR="00BE1421" w:rsidRPr="00FF64FE" w:rsidRDefault="00BE1421" w:rsidP="005A4A77">
            <w:pPr>
              <w:pStyle w:val="EMEANormal"/>
              <w:rPr>
                <w:rFonts w:cs="Arial"/>
              </w:rPr>
            </w:pPr>
            <w:r>
              <w:rPr>
                <w:rFonts w:cs="Arial"/>
              </w:rPr>
              <w:t>Vorapaxar</w:t>
            </w:r>
          </w:p>
        </w:tc>
        <w:tc>
          <w:tcPr>
            <w:tcW w:w="3240" w:type="dxa"/>
            <w:gridSpan w:val="2"/>
            <w:tcBorders>
              <w:top w:val="single" w:sz="4" w:space="0" w:color="auto"/>
              <w:left w:val="single" w:sz="4" w:space="0" w:color="auto"/>
              <w:bottom w:val="single" w:sz="4" w:space="0" w:color="auto"/>
              <w:right w:val="single" w:sz="4" w:space="0" w:color="auto"/>
            </w:tcBorders>
          </w:tcPr>
          <w:p w14:paraId="0E5D3AF5" w14:textId="77777777" w:rsidR="00BE1421" w:rsidRPr="00FF64FE" w:rsidRDefault="00BE1421" w:rsidP="005A4A77">
            <w:pPr>
              <w:pStyle w:val="EMEANormal"/>
            </w:pPr>
            <w:r>
              <w:t xml:space="preserve">Serum concentrations may be increased due to CYP3A inhibition by </w:t>
            </w:r>
            <w:r>
              <w:rPr>
                <w:lang w:val="en-GB"/>
              </w:rPr>
              <w:t>lopinavir/ritonavir</w:t>
            </w:r>
            <w:r>
              <w:t>.</w:t>
            </w:r>
          </w:p>
        </w:tc>
        <w:tc>
          <w:tcPr>
            <w:tcW w:w="3432" w:type="dxa"/>
            <w:gridSpan w:val="2"/>
            <w:tcBorders>
              <w:top w:val="single" w:sz="4" w:space="0" w:color="auto"/>
              <w:left w:val="single" w:sz="4" w:space="0" w:color="auto"/>
              <w:bottom w:val="single" w:sz="4" w:space="0" w:color="auto"/>
              <w:right w:val="single" w:sz="4" w:space="0" w:color="auto"/>
            </w:tcBorders>
          </w:tcPr>
          <w:p w14:paraId="29AB6FF8" w14:textId="77777777" w:rsidR="00BE1421" w:rsidRPr="00FF64FE" w:rsidRDefault="00BE1421" w:rsidP="005A4A77">
            <w:pPr>
              <w:pStyle w:val="EMEANormal"/>
              <w:rPr>
                <w:lang w:val="en-GB"/>
              </w:rPr>
            </w:pPr>
            <w:r>
              <w:rPr>
                <w:lang w:val="en-GB"/>
              </w:rPr>
              <w:t>The co</w:t>
            </w:r>
            <w:r>
              <w:rPr>
                <w:lang w:val="en-GB"/>
              </w:rPr>
              <w:noBreakHyphen/>
              <w:t>administration of vorapaxar with Kaletra is not recommended (see section 4.4 and refer to the vorapaxar SmPC).</w:t>
            </w:r>
          </w:p>
        </w:tc>
      </w:tr>
      <w:tr w:rsidR="00BE1421" w:rsidRPr="00342F7C" w14:paraId="565F7024"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7F3604B4" w14:textId="77777777" w:rsidR="00BE1421" w:rsidRPr="00342F7C" w:rsidRDefault="00BE1421" w:rsidP="0089797D">
            <w:pPr>
              <w:pStyle w:val="EMEANormal"/>
              <w:keepNext/>
              <w:rPr>
                <w:lang w:val="en-GB"/>
              </w:rPr>
            </w:pPr>
            <w:r w:rsidRPr="00342F7C">
              <w:rPr>
                <w:i/>
                <w:iCs/>
                <w:lang w:val="en-GB"/>
              </w:rPr>
              <w:t>Anticonvulsants</w:t>
            </w:r>
          </w:p>
        </w:tc>
      </w:tr>
      <w:tr w:rsidR="00BE1421" w:rsidRPr="00342F7C" w14:paraId="544A6438" w14:textId="77777777" w:rsidTr="008F531F">
        <w:tc>
          <w:tcPr>
            <w:tcW w:w="2400" w:type="dxa"/>
            <w:tcBorders>
              <w:top w:val="single" w:sz="4" w:space="0" w:color="auto"/>
              <w:left w:val="single" w:sz="4" w:space="0" w:color="auto"/>
              <w:bottom w:val="single" w:sz="4" w:space="0" w:color="auto"/>
              <w:right w:val="single" w:sz="4" w:space="0" w:color="auto"/>
            </w:tcBorders>
          </w:tcPr>
          <w:p w14:paraId="265DED92" w14:textId="77777777" w:rsidR="00BE1421" w:rsidRPr="00342F7C" w:rsidRDefault="00BE1421" w:rsidP="00D11B95">
            <w:pPr>
              <w:pStyle w:val="EMEANormal"/>
              <w:keepNext/>
              <w:rPr>
                <w:lang w:val="en-GB"/>
              </w:rPr>
            </w:pPr>
            <w:r w:rsidRPr="00342F7C">
              <w:rPr>
                <w:lang w:val="en-GB"/>
              </w:rPr>
              <w:t>Phenytoin</w:t>
            </w:r>
          </w:p>
          <w:p w14:paraId="7C6FC15E" w14:textId="77777777" w:rsidR="00BE1421" w:rsidRPr="00342F7C" w:rsidRDefault="00BE1421" w:rsidP="00D11B95">
            <w:pPr>
              <w:pStyle w:val="EMEANormal"/>
              <w:keepNext/>
              <w:rPr>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665A305A" w14:textId="77777777" w:rsidR="00BE1421" w:rsidRPr="00342F7C" w:rsidRDefault="00BE1421" w:rsidP="00D11B95">
            <w:pPr>
              <w:pStyle w:val="EMEANormal"/>
              <w:keepNext/>
              <w:rPr>
                <w:lang w:val="en-GB"/>
              </w:rPr>
            </w:pPr>
            <w:r w:rsidRPr="00342F7C">
              <w:rPr>
                <w:lang w:val="en-GB"/>
              </w:rPr>
              <w:t>Phenytoin:</w:t>
            </w:r>
          </w:p>
          <w:p w14:paraId="2CFDDA9E" w14:textId="77777777" w:rsidR="00BE1421" w:rsidRPr="00342F7C" w:rsidRDefault="00BE1421" w:rsidP="00D11B95">
            <w:pPr>
              <w:pStyle w:val="EMEANormal"/>
              <w:keepNext/>
              <w:rPr>
                <w:lang w:val="en-GB"/>
              </w:rPr>
            </w:pPr>
            <w:r w:rsidRPr="00342F7C">
              <w:rPr>
                <w:lang w:val="en-GB"/>
              </w:rPr>
              <w:t xml:space="preserve">Steady-state concentrations was moderately decreased due to CYP2C9 and CYP2C19 induction by </w:t>
            </w:r>
            <w:r>
              <w:rPr>
                <w:lang w:val="en-GB"/>
              </w:rPr>
              <w:t>lopinavir/ritonavir</w:t>
            </w:r>
            <w:r w:rsidRPr="00342F7C">
              <w:rPr>
                <w:lang w:val="en-GB"/>
              </w:rPr>
              <w:t>.</w:t>
            </w:r>
          </w:p>
          <w:p w14:paraId="21B8A4C9" w14:textId="77777777" w:rsidR="00BE1421" w:rsidRPr="00342F7C" w:rsidRDefault="00BE1421" w:rsidP="00D11B95">
            <w:pPr>
              <w:pStyle w:val="EMEANormal"/>
              <w:keepNext/>
              <w:rPr>
                <w:lang w:val="en-GB"/>
              </w:rPr>
            </w:pPr>
          </w:p>
          <w:p w14:paraId="43966E23" w14:textId="77777777" w:rsidR="00BE1421" w:rsidRPr="00342F7C" w:rsidRDefault="00BE1421" w:rsidP="00D11B95">
            <w:pPr>
              <w:pStyle w:val="EMEANormal"/>
              <w:keepNext/>
              <w:rPr>
                <w:lang w:val="en-GB"/>
              </w:rPr>
            </w:pPr>
            <w:r w:rsidRPr="00342F7C">
              <w:rPr>
                <w:lang w:val="en-GB"/>
              </w:rPr>
              <w:t xml:space="preserve">Lopinavir:  </w:t>
            </w:r>
          </w:p>
          <w:p w14:paraId="7D0C1A9D" w14:textId="77777777" w:rsidR="00BE1421" w:rsidRPr="00342F7C" w:rsidRDefault="00BE1421" w:rsidP="00D11B95">
            <w:pPr>
              <w:pStyle w:val="EMEANormal"/>
              <w:keepNext/>
              <w:rPr>
                <w:lang w:val="en-GB"/>
              </w:rPr>
            </w:pPr>
            <w:r w:rsidRPr="00342F7C">
              <w:rPr>
                <w:lang w:val="en-GB"/>
              </w:rPr>
              <w:t xml:space="preserve">Concentrations are decreased due to CYP3A induction by phenytoin.  </w:t>
            </w:r>
          </w:p>
          <w:p w14:paraId="5465FA6F" w14:textId="77777777" w:rsidR="00BE1421" w:rsidRPr="00342F7C" w:rsidRDefault="00BE1421" w:rsidP="00D11B95">
            <w:pPr>
              <w:pStyle w:val="EMEANormal"/>
              <w:keepNext/>
              <w:rPr>
                <w:lang w:val="en-GB"/>
              </w:rPr>
            </w:pPr>
          </w:p>
        </w:tc>
        <w:tc>
          <w:tcPr>
            <w:tcW w:w="3432" w:type="dxa"/>
            <w:gridSpan w:val="2"/>
            <w:tcBorders>
              <w:top w:val="single" w:sz="4" w:space="0" w:color="auto"/>
              <w:left w:val="single" w:sz="4" w:space="0" w:color="auto"/>
              <w:bottom w:val="single" w:sz="4" w:space="0" w:color="auto"/>
              <w:right w:val="single" w:sz="4" w:space="0" w:color="auto"/>
            </w:tcBorders>
          </w:tcPr>
          <w:p w14:paraId="674568D6" w14:textId="77777777" w:rsidR="00BE1421" w:rsidRPr="00342F7C" w:rsidRDefault="00BE1421" w:rsidP="0089797D">
            <w:pPr>
              <w:pStyle w:val="EMEANormal"/>
              <w:keepNext/>
              <w:rPr>
                <w:lang w:val="en-GB"/>
              </w:rPr>
            </w:pPr>
            <w:r w:rsidRPr="00342F7C">
              <w:rPr>
                <w:lang w:val="en-GB"/>
              </w:rPr>
              <w:t>Caution should be exercised in administering phenytoin with Kaletra.</w:t>
            </w:r>
          </w:p>
          <w:p w14:paraId="6CD3C4E3" w14:textId="77777777" w:rsidR="00BE1421" w:rsidRPr="00342F7C" w:rsidRDefault="00BE1421" w:rsidP="0089797D">
            <w:pPr>
              <w:pStyle w:val="EMEANormal"/>
              <w:keepNext/>
              <w:rPr>
                <w:lang w:val="en-GB"/>
              </w:rPr>
            </w:pPr>
            <w:r w:rsidRPr="00342F7C">
              <w:rPr>
                <w:lang w:val="en-GB"/>
              </w:rPr>
              <w:t>Phenytoin levels should be monitored when co</w:t>
            </w:r>
            <w:r w:rsidRPr="00342F7C">
              <w:rPr>
                <w:lang w:val="en-GB"/>
              </w:rPr>
              <w:noBreakHyphen/>
              <w:t xml:space="preserve">administering with </w:t>
            </w:r>
            <w:r>
              <w:rPr>
                <w:lang w:val="en-GB"/>
              </w:rPr>
              <w:t>Kaletra</w:t>
            </w:r>
            <w:r w:rsidRPr="00342F7C">
              <w:rPr>
                <w:lang w:val="en-GB"/>
              </w:rPr>
              <w:t>.</w:t>
            </w:r>
          </w:p>
          <w:p w14:paraId="13352EEE" w14:textId="77777777" w:rsidR="00BE1421" w:rsidRPr="00342F7C" w:rsidRDefault="00BE1421" w:rsidP="0089797D">
            <w:pPr>
              <w:pStyle w:val="EMEANormal"/>
              <w:keepNext/>
              <w:rPr>
                <w:lang w:val="en-GB"/>
              </w:rPr>
            </w:pPr>
            <w:r w:rsidRPr="00342F7C">
              <w:rPr>
                <w:lang w:val="en-GB"/>
              </w:rPr>
              <w:t>When co-administered with phenytoin, an increase of Kaletra dosage may be envisaged.  Dose adjustment has not been evaluated in clinical practice.</w:t>
            </w:r>
          </w:p>
          <w:p w14:paraId="7A561AAD" w14:textId="77777777" w:rsidR="00BE1421" w:rsidRPr="00342F7C" w:rsidRDefault="00BE1421" w:rsidP="0089797D">
            <w:pPr>
              <w:pStyle w:val="EMEANormal"/>
              <w:keepNext/>
              <w:rPr>
                <w:lang w:val="en-GB"/>
              </w:rPr>
            </w:pPr>
            <w:r w:rsidRPr="00342F7C">
              <w:rPr>
                <w:lang w:val="en-GB"/>
              </w:rPr>
              <w:t>Kaletra must not be administered once daily in combination with phenytoin.</w:t>
            </w:r>
          </w:p>
        </w:tc>
      </w:tr>
      <w:tr w:rsidR="00BE1421" w:rsidRPr="00342F7C" w14:paraId="3ED11EFD" w14:textId="77777777" w:rsidTr="008F531F">
        <w:tc>
          <w:tcPr>
            <w:tcW w:w="2400" w:type="dxa"/>
            <w:tcBorders>
              <w:top w:val="single" w:sz="4" w:space="0" w:color="auto"/>
              <w:left w:val="single" w:sz="4" w:space="0" w:color="auto"/>
              <w:bottom w:val="single" w:sz="4" w:space="0" w:color="auto"/>
              <w:right w:val="single" w:sz="4" w:space="0" w:color="auto"/>
            </w:tcBorders>
          </w:tcPr>
          <w:p w14:paraId="44F39E79" w14:textId="77777777" w:rsidR="00BE1421" w:rsidRPr="00342F7C" w:rsidRDefault="00BE1421" w:rsidP="005F7244">
            <w:pPr>
              <w:pStyle w:val="EMEANormal"/>
              <w:keepNext/>
              <w:rPr>
                <w:lang w:val="en-GB"/>
              </w:rPr>
            </w:pPr>
            <w:r w:rsidRPr="00342F7C">
              <w:rPr>
                <w:lang w:val="en-GB"/>
              </w:rPr>
              <w:t xml:space="preserve">Carbamazepine and Phenobarbital </w:t>
            </w:r>
          </w:p>
        </w:tc>
        <w:tc>
          <w:tcPr>
            <w:tcW w:w="3240" w:type="dxa"/>
            <w:gridSpan w:val="2"/>
            <w:tcBorders>
              <w:top w:val="single" w:sz="4" w:space="0" w:color="auto"/>
              <w:left w:val="single" w:sz="4" w:space="0" w:color="auto"/>
              <w:bottom w:val="single" w:sz="4" w:space="0" w:color="auto"/>
              <w:right w:val="single" w:sz="4" w:space="0" w:color="auto"/>
            </w:tcBorders>
          </w:tcPr>
          <w:p w14:paraId="51135189" w14:textId="77777777" w:rsidR="00BE1421" w:rsidRPr="00342F7C" w:rsidRDefault="00BE1421" w:rsidP="005F7244">
            <w:pPr>
              <w:pStyle w:val="EMEANormal"/>
              <w:keepNext/>
              <w:rPr>
                <w:lang w:val="en-GB"/>
              </w:rPr>
            </w:pPr>
            <w:r w:rsidRPr="00342F7C">
              <w:rPr>
                <w:lang w:val="en-GB"/>
              </w:rPr>
              <w:t>Carbamazepine:</w:t>
            </w:r>
          </w:p>
          <w:p w14:paraId="6D2BDCD8" w14:textId="77777777" w:rsidR="00BE1421" w:rsidRPr="00342F7C" w:rsidRDefault="00BE1421" w:rsidP="005F7244">
            <w:pPr>
              <w:pStyle w:val="EMEANormal"/>
              <w:keepNext/>
              <w:rPr>
                <w:lang w:val="en-GB"/>
              </w:rPr>
            </w:pPr>
            <w:r w:rsidRPr="00342F7C">
              <w:rPr>
                <w:lang w:val="en-GB"/>
              </w:rPr>
              <w:t xml:space="preserve">Serum concentrations may be increased due to CYP3A inhibition by </w:t>
            </w:r>
            <w:r>
              <w:rPr>
                <w:lang w:val="en-GB"/>
              </w:rPr>
              <w:t>lopinavir/ritonavir</w:t>
            </w:r>
            <w:r w:rsidRPr="00342F7C">
              <w:rPr>
                <w:lang w:val="en-GB"/>
              </w:rPr>
              <w:t>.</w:t>
            </w:r>
          </w:p>
          <w:p w14:paraId="46C42FC6" w14:textId="77777777" w:rsidR="00BE1421" w:rsidRPr="00342F7C" w:rsidRDefault="00BE1421" w:rsidP="005F7244">
            <w:pPr>
              <w:pStyle w:val="EMEANormal"/>
              <w:keepNext/>
              <w:rPr>
                <w:lang w:val="en-GB"/>
              </w:rPr>
            </w:pPr>
          </w:p>
          <w:p w14:paraId="6F698895" w14:textId="77777777" w:rsidR="00BE1421" w:rsidRPr="00342F7C" w:rsidRDefault="00BE1421" w:rsidP="005F7244">
            <w:pPr>
              <w:pStyle w:val="EMEANormal"/>
              <w:keepNext/>
              <w:rPr>
                <w:lang w:val="en-GB"/>
              </w:rPr>
            </w:pPr>
            <w:r w:rsidRPr="00342F7C">
              <w:rPr>
                <w:lang w:val="en-GB"/>
              </w:rPr>
              <w:t>Lopinavir:</w:t>
            </w:r>
          </w:p>
          <w:p w14:paraId="3EA9AB2C" w14:textId="77777777" w:rsidR="00BE1421" w:rsidRPr="00342F7C" w:rsidRDefault="00BE1421" w:rsidP="005F7244">
            <w:pPr>
              <w:pStyle w:val="EMEANormal"/>
              <w:keepNext/>
              <w:rPr>
                <w:lang w:val="en-GB"/>
              </w:rPr>
            </w:pPr>
            <w:r w:rsidRPr="00342F7C">
              <w:rPr>
                <w:lang w:val="en-GB"/>
              </w:rPr>
              <w:t xml:space="preserve">Concentrations may be decreased due to CYP3A induction by carbamazepine and phenobarbital.  </w:t>
            </w:r>
          </w:p>
          <w:p w14:paraId="0E189852" w14:textId="77777777" w:rsidR="00BE1421" w:rsidRPr="00342F7C" w:rsidRDefault="00BE1421" w:rsidP="005F7244">
            <w:pPr>
              <w:pStyle w:val="EMEANormal"/>
              <w:keepNext/>
              <w:rPr>
                <w:lang w:val="en-GB"/>
              </w:rPr>
            </w:pPr>
          </w:p>
        </w:tc>
        <w:tc>
          <w:tcPr>
            <w:tcW w:w="3432" w:type="dxa"/>
            <w:gridSpan w:val="2"/>
            <w:tcBorders>
              <w:top w:val="single" w:sz="4" w:space="0" w:color="auto"/>
              <w:left w:val="single" w:sz="4" w:space="0" w:color="auto"/>
              <w:bottom w:val="single" w:sz="4" w:space="0" w:color="auto"/>
              <w:right w:val="single" w:sz="4" w:space="0" w:color="auto"/>
            </w:tcBorders>
          </w:tcPr>
          <w:p w14:paraId="60983364" w14:textId="77777777" w:rsidR="00BE1421" w:rsidRPr="00342F7C" w:rsidRDefault="00BE1421" w:rsidP="005F7244">
            <w:pPr>
              <w:pStyle w:val="EMEANormal"/>
              <w:keepNext/>
              <w:rPr>
                <w:lang w:val="en-GB"/>
              </w:rPr>
            </w:pPr>
            <w:r w:rsidRPr="00342F7C">
              <w:rPr>
                <w:lang w:val="en-GB"/>
              </w:rPr>
              <w:t>Caution should be exercised in administering carbamazepine or phenobarbital with Kaletra.</w:t>
            </w:r>
          </w:p>
          <w:p w14:paraId="49F8669C" w14:textId="77777777" w:rsidR="00BE1421" w:rsidRPr="00342F7C" w:rsidRDefault="00BE1421" w:rsidP="005F7244">
            <w:pPr>
              <w:pStyle w:val="EMEANormal"/>
              <w:keepNext/>
              <w:rPr>
                <w:lang w:val="en-GB"/>
              </w:rPr>
            </w:pPr>
            <w:r w:rsidRPr="00342F7C">
              <w:rPr>
                <w:lang w:val="en-GB"/>
              </w:rPr>
              <w:t>Carbamazepine and phenobarbital levels should be monitored when co</w:t>
            </w:r>
            <w:r w:rsidRPr="00342F7C">
              <w:rPr>
                <w:lang w:val="en-GB"/>
              </w:rPr>
              <w:noBreakHyphen/>
              <w:t xml:space="preserve">administering with </w:t>
            </w:r>
            <w:r>
              <w:rPr>
                <w:lang w:val="en-GB"/>
              </w:rPr>
              <w:t>Kaletra</w:t>
            </w:r>
            <w:r w:rsidRPr="00342F7C">
              <w:rPr>
                <w:lang w:val="en-GB"/>
              </w:rPr>
              <w:t>.</w:t>
            </w:r>
          </w:p>
          <w:p w14:paraId="59853BFF" w14:textId="77777777" w:rsidR="00BE1421" w:rsidRPr="00342F7C" w:rsidRDefault="00BE1421" w:rsidP="005F7244">
            <w:pPr>
              <w:pStyle w:val="EMEANormal"/>
              <w:keepNext/>
              <w:rPr>
                <w:lang w:val="en-GB"/>
              </w:rPr>
            </w:pPr>
            <w:r w:rsidRPr="00342F7C">
              <w:rPr>
                <w:lang w:val="en-GB"/>
              </w:rPr>
              <w:t>When co-administered with carbamazepine or phenobarbital, an increase of Kaletra dosage may be envisaged.  Dose adjustment has not been evaluated in clinical practice.</w:t>
            </w:r>
          </w:p>
          <w:p w14:paraId="675B90DB" w14:textId="77777777" w:rsidR="00BE1421" w:rsidRPr="00342F7C" w:rsidRDefault="00BE1421" w:rsidP="00AF494C">
            <w:pPr>
              <w:pStyle w:val="EMEANormal"/>
              <w:keepNext/>
              <w:rPr>
                <w:lang w:val="en-GB"/>
              </w:rPr>
            </w:pPr>
            <w:r w:rsidRPr="00342F7C">
              <w:rPr>
                <w:lang w:val="en-GB"/>
              </w:rPr>
              <w:t>Kaletra must not be administered once daily in combination with ca</w:t>
            </w:r>
            <w:r>
              <w:rPr>
                <w:lang w:val="en-GB"/>
              </w:rPr>
              <w:t>r</w:t>
            </w:r>
            <w:r w:rsidRPr="00342F7C">
              <w:rPr>
                <w:lang w:val="en-GB"/>
              </w:rPr>
              <w:t>bamazepine and phenobarbital.</w:t>
            </w:r>
          </w:p>
        </w:tc>
      </w:tr>
      <w:tr w:rsidR="00BE1421" w:rsidRPr="00342F7C" w14:paraId="151C5442" w14:textId="77777777" w:rsidTr="008F531F">
        <w:tc>
          <w:tcPr>
            <w:tcW w:w="2400" w:type="dxa"/>
            <w:tcBorders>
              <w:top w:val="single" w:sz="4" w:space="0" w:color="auto"/>
              <w:left w:val="single" w:sz="4" w:space="0" w:color="auto"/>
              <w:bottom w:val="single" w:sz="4" w:space="0" w:color="auto"/>
              <w:right w:val="single" w:sz="4" w:space="0" w:color="auto"/>
            </w:tcBorders>
          </w:tcPr>
          <w:p w14:paraId="779EAC4B" w14:textId="77777777" w:rsidR="00BE1421" w:rsidRPr="00342F7C" w:rsidRDefault="00BE1421" w:rsidP="00D11B95">
            <w:pPr>
              <w:pStyle w:val="EMEANormal"/>
              <w:rPr>
                <w:lang w:val="en-GB"/>
              </w:rPr>
            </w:pPr>
            <w:r>
              <w:rPr>
                <w:lang w:val="en-GB"/>
              </w:rPr>
              <w:t>Lamotrigine and Valproate</w:t>
            </w:r>
          </w:p>
        </w:tc>
        <w:tc>
          <w:tcPr>
            <w:tcW w:w="3240" w:type="dxa"/>
            <w:gridSpan w:val="2"/>
            <w:tcBorders>
              <w:top w:val="single" w:sz="4" w:space="0" w:color="auto"/>
              <w:left w:val="single" w:sz="4" w:space="0" w:color="auto"/>
              <w:bottom w:val="single" w:sz="4" w:space="0" w:color="auto"/>
              <w:right w:val="single" w:sz="4" w:space="0" w:color="auto"/>
            </w:tcBorders>
          </w:tcPr>
          <w:p w14:paraId="1D44B807" w14:textId="77777777" w:rsidR="00BE1421" w:rsidRDefault="00BE1421" w:rsidP="00D11B95">
            <w:pPr>
              <w:pStyle w:val="EMEANormal"/>
              <w:rPr>
                <w:lang w:val="en-GB"/>
              </w:rPr>
            </w:pPr>
            <w:r>
              <w:rPr>
                <w:lang w:val="en-GB"/>
              </w:rPr>
              <w:t xml:space="preserve">Lamotrigine: </w:t>
            </w:r>
          </w:p>
          <w:p w14:paraId="7054A4E7" w14:textId="77777777" w:rsidR="00BE1421" w:rsidRPr="000D086B" w:rsidRDefault="00BE1421" w:rsidP="00D11B95">
            <w:pPr>
              <w:pStyle w:val="EMEANormal"/>
            </w:pPr>
            <w:r w:rsidRPr="000D086B">
              <w:t>AUC: ↓ 50%</w:t>
            </w:r>
          </w:p>
          <w:p w14:paraId="7A47333E" w14:textId="77777777" w:rsidR="00BE1421" w:rsidRPr="000D086B" w:rsidRDefault="00BE1421" w:rsidP="00D11B95">
            <w:pPr>
              <w:pStyle w:val="EMEANormal"/>
              <w:rPr>
                <w:lang w:eastAsia="en-GB"/>
              </w:rPr>
            </w:pPr>
            <w:r w:rsidRPr="000D086B">
              <w:rPr>
                <w:lang w:eastAsia="en-GB"/>
              </w:rPr>
              <w:t>C</w:t>
            </w:r>
            <w:r w:rsidRPr="000D086B">
              <w:rPr>
                <w:vertAlign w:val="subscript"/>
                <w:lang w:eastAsia="en-GB"/>
              </w:rPr>
              <w:t>max</w:t>
            </w:r>
            <w:r w:rsidRPr="000D086B">
              <w:rPr>
                <w:szCs w:val="22"/>
              </w:rPr>
              <w:t>:</w:t>
            </w:r>
            <w:r w:rsidRPr="000D086B">
              <w:rPr>
                <w:lang w:eastAsia="en-GB"/>
              </w:rPr>
              <w:t xml:space="preserve"> ↓ 46%</w:t>
            </w:r>
          </w:p>
          <w:p w14:paraId="1885BF25" w14:textId="77777777" w:rsidR="00BE1421" w:rsidRPr="000D086B" w:rsidRDefault="00BE1421" w:rsidP="00D11B95">
            <w:pPr>
              <w:pStyle w:val="EMEANormal"/>
              <w:rPr>
                <w:lang w:eastAsia="en-GB"/>
              </w:rPr>
            </w:pPr>
            <w:r w:rsidRPr="000D086B">
              <w:rPr>
                <w:lang w:eastAsia="en-GB"/>
              </w:rPr>
              <w:t>C</w:t>
            </w:r>
            <w:r w:rsidRPr="000D086B">
              <w:rPr>
                <w:vertAlign w:val="subscript"/>
                <w:lang w:eastAsia="en-GB"/>
              </w:rPr>
              <w:t>min</w:t>
            </w:r>
            <w:r w:rsidRPr="000D086B">
              <w:rPr>
                <w:szCs w:val="22"/>
              </w:rPr>
              <w:t>:</w:t>
            </w:r>
            <w:r w:rsidRPr="000D086B">
              <w:rPr>
                <w:lang w:eastAsia="en-GB"/>
              </w:rPr>
              <w:t xml:space="preserve"> ↓ 56%</w:t>
            </w:r>
          </w:p>
          <w:p w14:paraId="5E02BE63" w14:textId="77777777" w:rsidR="00BE1421" w:rsidRPr="000D086B" w:rsidRDefault="00BE1421" w:rsidP="00D11B95">
            <w:pPr>
              <w:pStyle w:val="EMEANormal"/>
              <w:rPr>
                <w:lang w:eastAsia="en-GB"/>
              </w:rPr>
            </w:pPr>
          </w:p>
          <w:p w14:paraId="2A4ED4E7" w14:textId="77777777" w:rsidR="00BE1421" w:rsidRPr="000D086B" w:rsidRDefault="00BE1421" w:rsidP="00D11B95">
            <w:pPr>
              <w:pStyle w:val="EMEANormal"/>
              <w:rPr>
                <w:lang w:val="en-GB"/>
              </w:rPr>
            </w:pPr>
            <w:r w:rsidRPr="000D086B">
              <w:rPr>
                <w:lang w:eastAsia="en-GB"/>
              </w:rPr>
              <w:t>Due to induction of lamotrigine glucuronidation</w:t>
            </w:r>
          </w:p>
          <w:p w14:paraId="2D4A5BD7" w14:textId="77777777" w:rsidR="00BE1421" w:rsidRDefault="00BE1421" w:rsidP="00D11B95">
            <w:pPr>
              <w:pStyle w:val="EMEANormal"/>
              <w:rPr>
                <w:lang w:val="en-GB"/>
              </w:rPr>
            </w:pPr>
          </w:p>
          <w:p w14:paraId="18B20A3E" w14:textId="77777777" w:rsidR="00BE1421" w:rsidRPr="00342F7C" w:rsidRDefault="00BE1421" w:rsidP="00D11B95">
            <w:pPr>
              <w:pStyle w:val="EMEANormal"/>
              <w:rPr>
                <w:lang w:val="en-GB"/>
              </w:rPr>
            </w:pPr>
            <w:r>
              <w:rPr>
                <w:lang w:val="en-GB"/>
              </w:rPr>
              <w:t xml:space="preserve">Valproate: </w:t>
            </w:r>
            <w:r w:rsidRPr="00342F7C">
              <w:rPr>
                <w:lang w:val="en-GB"/>
              </w:rPr>
              <w:t>↓</w:t>
            </w:r>
          </w:p>
        </w:tc>
        <w:tc>
          <w:tcPr>
            <w:tcW w:w="3432" w:type="dxa"/>
            <w:gridSpan w:val="2"/>
            <w:tcBorders>
              <w:top w:val="single" w:sz="4" w:space="0" w:color="auto"/>
              <w:left w:val="single" w:sz="4" w:space="0" w:color="auto"/>
              <w:bottom w:val="single" w:sz="4" w:space="0" w:color="auto"/>
              <w:right w:val="single" w:sz="4" w:space="0" w:color="auto"/>
            </w:tcBorders>
          </w:tcPr>
          <w:p w14:paraId="013FBCC7" w14:textId="77777777" w:rsidR="00BE1421" w:rsidRPr="000D086B" w:rsidRDefault="00BE1421" w:rsidP="00D11B95">
            <w:pPr>
              <w:pStyle w:val="EMEANormal"/>
              <w:rPr>
                <w:lang w:val="en-GB"/>
              </w:rPr>
            </w:pPr>
            <w:r w:rsidRPr="000D086B">
              <w:rPr>
                <w:lang w:val="en-GB"/>
              </w:rPr>
              <w:t>Patients should be monitored closely for a decreased VPA effect when Kaletra and valproic acid or valproate are given concomitantly.</w:t>
            </w:r>
          </w:p>
          <w:p w14:paraId="0539C004" w14:textId="77777777" w:rsidR="00BE1421" w:rsidRDefault="00BE1421" w:rsidP="00D11B95">
            <w:pPr>
              <w:pStyle w:val="EMEANormal"/>
              <w:rPr>
                <w:u w:val="single"/>
                <w:lang w:val="en-GB"/>
              </w:rPr>
            </w:pPr>
          </w:p>
          <w:p w14:paraId="138802E5" w14:textId="77777777" w:rsidR="00BE1421" w:rsidRDefault="00BE1421" w:rsidP="00D11B95">
            <w:pPr>
              <w:pStyle w:val="EMEANormal"/>
              <w:rPr>
                <w:lang w:val="en-GB"/>
              </w:rPr>
            </w:pPr>
            <w:r w:rsidRPr="00B2319F">
              <w:rPr>
                <w:u w:val="single"/>
                <w:lang w:val="en-GB"/>
              </w:rPr>
              <w:t>In patients starting or stopping Kaletra while currently taking maintenance dose of lamotrigine</w:t>
            </w:r>
            <w:r>
              <w:rPr>
                <w:lang w:val="en-GB"/>
              </w:rPr>
              <w:t>:</w:t>
            </w:r>
            <w:r w:rsidRPr="00342F7C">
              <w:rPr>
                <w:lang w:val="en-GB"/>
              </w:rPr>
              <w:t xml:space="preserve"> </w:t>
            </w:r>
          </w:p>
          <w:p w14:paraId="63E3B4F5" w14:textId="77777777" w:rsidR="00BE1421" w:rsidRDefault="00BE1421" w:rsidP="00D11B95">
            <w:pPr>
              <w:pStyle w:val="EMEANormal"/>
              <w:rPr>
                <w:lang w:val="en-GB"/>
              </w:rPr>
            </w:pPr>
            <w:r>
              <w:rPr>
                <w:lang w:val="en-GB"/>
              </w:rPr>
              <w:t>lamotrigine dose may need to be increased if Kaletra is added, or decreased if Kaletra is discontinued; therefore plasma lamotrigine monitoring should be conducted, particularly before and during 2 weeks after starting or stopping Kaletra, in order to see if lamotrigine dose adjustment is needed.</w:t>
            </w:r>
          </w:p>
          <w:p w14:paraId="31A20A8E" w14:textId="77777777" w:rsidR="00BE1421" w:rsidRDefault="00BE1421" w:rsidP="00D11B95">
            <w:pPr>
              <w:pStyle w:val="EMEANormal"/>
              <w:rPr>
                <w:lang w:val="en-GB"/>
              </w:rPr>
            </w:pPr>
            <w:r w:rsidRPr="00B2319F">
              <w:rPr>
                <w:u w:val="single"/>
                <w:lang w:val="en-GB"/>
              </w:rPr>
              <w:t>In patients currently taking Kaletra and</w:t>
            </w:r>
            <w:r>
              <w:rPr>
                <w:u w:val="single"/>
                <w:lang w:val="en-GB"/>
              </w:rPr>
              <w:t xml:space="preserve"> </w:t>
            </w:r>
            <w:r w:rsidRPr="00B2319F">
              <w:rPr>
                <w:u w:val="single"/>
                <w:lang w:val="en-GB"/>
              </w:rPr>
              <w:t>starting lamotrigine</w:t>
            </w:r>
            <w:r>
              <w:rPr>
                <w:lang w:val="en-GB"/>
              </w:rPr>
              <w:t>: no dose adjustments to the recommended dose escalation of lamotrigine should be necessary.</w:t>
            </w:r>
          </w:p>
          <w:p w14:paraId="307BB6B0" w14:textId="77777777" w:rsidR="00BE1421" w:rsidRPr="00342F7C" w:rsidRDefault="00BE1421" w:rsidP="00D11B95">
            <w:pPr>
              <w:pStyle w:val="EMEANormal"/>
              <w:rPr>
                <w:lang w:val="en-GB"/>
              </w:rPr>
            </w:pPr>
          </w:p>
        </w:tc>
      </w:tr>
      <w:tr w:rsidR="00BE1421" w:rsidRPr="00342F7C" w14:paraId="776EF241" w14:textId="77777777" w:rsidTr="008F531F">
        <w:trPr>
          <w:trHeight w:val="172"/>
        </w:trPr>
        <w:tc>
          <w:tcPr>
            <w:tcW w:w="9072" w:type="dxa"/>
            <w:gridSpan w:val="5"/>
            <w:tcBorders>
              <w:top w:val="single" w:sz="4" w:space="0" w:color="auto"/>
              <w:left w:val="single" w:sz="4" w:space="0" w:color="auto"/>
              <w:bottom w:val="single" w:sz="4" w:space="0" w:color="auto"/>
              <w:right w:val="single" w:sz="4" w:space="0" w:color="auto"/>
            </w:tcBorders>
          </w:tcPr>
          <w:p w14:paraId="7AD9250A" w14:textId="77777777" w:rsidR="00BE1421" w:rsidRPr="00342F7C" w:rsidRDefault="00BE1421" w:rsidP="00D11B95">
            <w:pPr>
              <w:keepNext/>
              <w:rPr>
                <w:sz w:val="22"/>
              </w:rPr>
            </w:pPr>
            <w:r w:rsidRPr="00342F7C">
              <w:rPr>
                <w:i/>
                <w:iCs/>
                <w:sz w:val="22"/>
              </w:rPr>
              <w:t>Antidepressants and Anxiolytics</w:t>
            </w:r>
          </w:p>
        </w:tc>
      </w:tr>
      <w:tr w:rsidR="00BE1421" w:rsidRPr="00342F7C" w14:paraId="2D5FB1C6" w14:textId="77777777" w:rsidTr="008F531F">
        <w:tc>
          <w:tcPr>
            <w:tcW w:w="2400" w:type="dxa"/>
            <w:tcBorders>
              <w:top w:val="single" w:sz="4" w:space="0" w:color="auto"/>
              <w:left w:val="single" w:sz="4" w:space="0" w:color="auto"/>
              <w:bottom w:val="single" w:sz="4" w:space="0" w:color="auto"/>
              <w:right w:val="single" w:sz="4" w:space="0" w:color="auto"/>
            </w:tcBorders>
          </w:tcPr>
          <w:p w14:paraId="7650B11B" w14:textId="77777777" w:rsidR="00BE1421" w:rsidRPr="00342F7C" w:rsidRDefault="00BE1421" w:rsidP="00D11B95">
            <w:pPr>
              <w:pStyle w:val="EMEANormal"/>
              <w:keepNext/>
              <w:rPr>
                <w:lang w:val="en-GB"/>
              </w:rPr>
            </w:pPr>
            <w:r w:rsidRPr="00342F7C">
              <w:rPr>
                <w:lang w:val="en-GB"/>
              </w:rPr>
              <w:t>Trazodone single dose</w:t>
            </w:r>
          </w:p>
          <w:p w14:paraId="10A73EA4" w14:textId="77777777" w:rsidR="00BE1421" w:rsidRPr="00342F7C" w:rsidRDefault="00BE1421" w:rsidP="00D11B95">
            <w:pPr>
              <w:pStyle w:val="EMEANormal"/>
              <w:keepNext/>
              <w:rPr>
                <w:lang w:val="en-GB"/>
              </w:rPr>
            </w:pPr>
          </w:p>
          <w:p w14:paraId="7B1AC75B" w14:textId="77777777" w:rsidR="00BE1421" w:rsidRPr="00342F7C" w:rsidRDefault="00BE1421" w:rsidP="00D11B95">
            <w:pPr>
              <w:pStyle w:val="EMEANormal"/>
              <w:keepNext/>
              <w:rPr>
                <w:lang w:val="en-GB"/>
              </w:rPr>
            </w:pPr>
            <w:r w:rsidRPr="00342F7C">
              <w:rPr>
                <w:lang w:val="en-GB"/>
              </w:rPr>
              <w:t>(Ritonavir, 200 mg BID)</w:t>
            </w:r>
          </w:p>
          <w:p w14:paraId="4D5EED96" w14:textId="77777777" w:rsidR="00BE1421" w:rsidRPr="00342F7C" w:rsidRDefault="00BE1421" w:rsidP="00D11B95">
            <w:pPr>
              <w:pStyle w:val="EMEANormal"/>
              <w:keepNext/>
              <w:rPr>
                <w:i/>
                <w:iCs/>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4DCD7353" w14:textId="77777777" w:rsidR="00BE1421" w:rsidRPr="00342F7C" w:rsidRDefault="00BE1421" w:rsidP="00D11B95">
            <w:pPr>
              <w:pStyle w:val="EMEANormal"/>
              <w:keepNext/>
              <w:rPr>
                <w:szCs w:val="22"/>
                <w:lang w:val="en-GB"/>
              </w:rPr>
            </w:pPr>
            <w:r w:rsidRPr="00342F7C">
              <w:rPr>
                <w:szCs w:val="22"/>
                <w:lang w:val="en-GB"/>
              </w:rPr>
              <w:t>Trazodone:</w:t>
            </w:r>
          </w:p>
          <w:p w14:paraId="5DCE1D34" w14:textId="77777777" w:rsidR="00BE1421" w:rsidRPr="00342F7C" w:rsidRDefault="00BE1421" w:rsidP="00D11B95">
            <w:pPr>
              <w:pStyle w:val="EMEANormal"/>
              <w:keepNext/>
              <w:rPr>
                <w:lang w:val="en-GB"/>
              </w:rPr>
            </w:pPr>
            <w:r w:rsidRPr="00342F7C">
              <w:rPr>
                <w:szCs w:val="22"/>
                <w:lang w:val="en-GB"/>
              </w:rPr>
              <w:t xml:space="preserve">AUC: </w:t>
            </w:r>
            <w:r w:rsidRPr="00342F7C">
              <w:rPr>
                <w:lang w:val="en-GB"/>
              </w:rPr>
              <w:t>↑ 2.4-fold</w:t>
            </w:r>
          </w:p>
          <w:p w14:paraId="47433CDD" w14:textId="77777777" w:rsidR="00BE1421" w:rsidRPr="00342F7C" w:rsidRDefault="00BE1421" w:rsidP="00D11B95">
            <w:pPr>
              <w:pStyle w:val="EMEANormal"/>
              <w:keepNext/>
              <w:rPr>
                <w:lang w:val="en-GB"/>
              </w:rPr>
            </w:pPr>
          </w:p>
          <w:p w14:paraId="7982D67A" w14:textId="77777777" w:rsidR="00BE1421" w:rsidRPr="00342F7C" w:rsidRDefault="00BE1421" w:rsidP="00D11B95">
            <w:pPr>
              <w:pStyle w:val="EMEANormal"/>
              <w:keepNext/>
              <w:rPr>
                <w:lang w:val="en-GB"/>
              </w:rPr>
            </w:pPr>
            <w:r w:rsidRPr="00342F7C">
              <w:rPr>
                <w:szCs w:val="22"/>
                <w:lang w:val="en-GB"/>
              </w:rPr>
              <w:t xml:space="preserve">Adverse events of nausea, dizziness, hypotension and syncope were observed following co-administration of trazodone and ritonavir.  </w:t>
            </w:r>
          </w:p>
        </w:tc>
        <w:tc>
          <w:tcPr>
            <w:tcW w:w="3432" w:type="dxa"/>
            <w:gridSpan w:val="2"/>
            <w:tcBorders>
              <w:top w:val="single" w:sz="4" w:space="0" w:color="auto"/>
              <w:left w:val="single" w:sz="4" w:space="0" w:color="auto"/>
              <w:bottom w:val="single" w:sz="4" w:space="0" w:color="auto"/>
              <w:right w:val="single" w:sz="4" w:space="0" w:color="auto"/>
            </w:tcBorders>
          </w:tcPr>
          <w:p w14:paraId="2B6B119D" w14:textId="77777777" w:rsidR="00BE1421" w:rsidRPr="00342F7C" w:rsidRDefault="00BE1421" w:rsidP="00D11B95">
            <w:pPr>
              <w:pStyle w:val="EMEANormal"/>
              <w:keepNext/>
              <w:rPr>
                <w:lang w:val="en-GB"/>
              </w:rPr>
            </w:pPr>
            <w:r w:rsidRPr="00342F7C">
              <w:rPr>
                <w:szCs w:val="22"/>
                <w:lang w:val="en-GB"/>
              </w:rPr>
              <w:t xml:space="preserve">It is unknown whether the combination of </w:t>
            </w:r>
            <w:r>
              <w:rPr>
                <w:szCs w:val="22"/>
                <w:lang w:val="en-GB"/>
              </w:rPr>
              <w:t>Kaletra</w:t>
            </w:r>
            <w:r w:rsidRPr="00342F7C">
              <w:rPr>
                <w:szCs w:val="22"/>
                <w:lang w:val="en-GB"/>
              </w:rPr>
              <w:t xml:space="preserve"> causes a similar increase in trazodone exposure.  The combination should be used with caution and a lower dose of trazodone should be considered</w:t>
            </w:r>
            <w:r w:rsidRPr="00342F7C">
              <w:rPr>
                <w:lang w:val="en-GB"/>
              </w:rPr>
              <w:t>.</w:t>
            </w:r>
          </w:p>
          <w:p w14:paraId="458F8149" w14:textId="77777777" w:rsidR="00BE1421" w:rsidRPr="00342F7C" w:rsidRDefault="00BE1421" w:rsidP="00D11B95">
            <w:pPr>
              <w:pStyle w:val="EMEANormal"/>
              <w:keepNext/>
              <w:rPr>
                <w:lang w:val="en-GB"/>
              </w:rPr>
            </w:pPr>
          </w:p>
        </w:tc>
      </w:tr>
      <w:tr w:rsidR="00BE1421" w:rsidRPr="00342F7C" w14:paraId="1E5D5EEA"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4B33D41E" w14:textId="77777777" w:rsidR="00BE1421" w:rsidRPr="00342F7C" w:rsidRDefault="00BE1421" w:rsidP="00E95E29">
            <w:pPr>
              <w:pStyle w:val="EMEANormal"/>
              <w:rPr>
                <w:i/>
                <w:iCs/>
                <w:lang w:val="en-GB"/>
              </w:rPr>
            </w:pPr>
            <w:r w:rsidRPr="00342F7C">
              <w:rPr>
                <w:i/>
                <w:iCs/>
                <w:lang w:val="en-GB"/>
              </w:rPr>
              <w:t>Antifungals</w:t>
            </w:r>
          </w:p>
        </w:tc>
      </w:tr>
      <w:tr w:rsidR="00BE1421" w:rsidRPr="00342F7C" w14:paraId="693B3583" w14:textId="77777777" w:rsidTr="008F531F">
        <w:tc>
          <w:tcPr>
            <w:tcW w:w="2400" w:type="dxa"/>
            <w:tcBorders>
              <w:top w:val="single" w:sz="4" w:space="0" w:color="auto"/>
              <w:left w:val="single" w:sz="4" w:space="0" w:color="auto"/>
              <w:bottom w:val="single" w:sz="4" w:space="0" w:color="auto"/>
              <w:right w:val="single" w:sz="4" w:space="0" w:color="auto"/>
            </w:tcBorders>
          </w:tcPr>
          <w:p w14:paraId="7F0EEC94" w14:textId="77777777" w:rsidR="00BE1421" w:rsidRPr="00342F7C" w:rsidRDefault="00BE1421" w:rsidP="00E95E29">
            <w:pPr>
              <w:pStyle w:val="EMEANormal"/>
              <w:rPr>
                <w:lang w:val="en-GB"/>
              </w:rPr>
            </w:pPr>
            <w:r w:rsidRPr="00342F7C">
              <w:rPr>
                <w:bCs/>
                <w:iCs/>
                <w:lang w:val="en-GB"/>
              </w:rPr>
              <w:t>Ketoconazole and Itraconazole</w:t>
            </w:r>
          </w:p>
        </w:tc>
        <w:tc>
          <w:tcPr>
            <w:tcW w:w="3240" w:type="dxa"/>
            <w:gridSpan w:val="2"/>
            <w:tcBorders>
              <w:top w:val="single" w:sz="4" w:space="0" w:color="auto"/>
              <w:left w:val="single" w:sz="4" w:space="0" w:color="auto"/>
              <w:bottom w:val="single" w:sz="4" w:space="0" w:color="auto"/>
              <w:right w:val="single" w:sz="4" w:space="0" w:color="auto"/>
            </w:tcBorders>
          </w:tcPr>
          <w:p w14:paraId="7A96E518" w14:textId="77777777" w:rsidR="00BE1421" w:rsidRPr="00342F7C" w:rsidRDefault="00BE1421" w:rsidP="00E95E29">
            <w:pPr>
              <w:pStyle w:val="EMEANormal"/>
              <w:rPr>
                <w:lang w:val="en-GB"/>
              </w:rPr>
            </w:pPr>
            <w:r w:rsidRPr="00342F7C">
              <w:rPr>
                <w:bCs/>
                <w:iCs/>
                <w:lang w:val="en-GB"/>
              </w:rPr>
              <w:t>Ketoconazole, Itraconazole:</w:t>
            </w:r>
            <w:r w:rsidRPr="00342F7C">
              <w:rPr>
                <w:i/>
                <w:lang w:val="en-GB"/>
              </w:rPr>
              <w:t xml:space="preserve"> </w:t>
            </w:r>
            <w:r w:rsidRPr="00342F7C">
              <w:rPr>
                <w:lang w:val="en-GB"/>
              </w:rPr>
              <w:t xml:space="preserve">Serum concentrations may be increased due to CYP3A inhibition by </w:t>
            </w:r>
            <w:r>
              <w:rPr>
                <w:lang w:val="en-GB"/>
              </w:rPr>
              <w:t>lopinavir/ritonavir</w:t>
            </w:r>
            <w:r w:rsidRPr="00342F7C">
              <w:rPr>
                <w:lang w:val="en-GB"/>
              </w:rPr>
              <w:t xml:space="preserve">. </w:t>
            </w:r>
          </w:p>
        </w:tc>
        <w:tc>
          <w:tcPr>
            <w:tcW w:w="3432" w:type="dxa"/>
            <w:gridSpan w:val="2"/>
            <w:tcBorders>
              <w:top w:val="single" w:sz="4" w:space="0" w:color="auto"/>
              <w:left w:val="single" w:sz="4" w:space="0" w:color="auto"/>
              <w:bottom w:val="single" w:sz="4" w:space="0" w:color="auto"/>
              <w:right w:val="single" w:sz="4" w:space="0" w:color="auto"/>
            </w:tcBorders>
          </w:tcPr>
          <w:p w14:paraId="09DFC953" w14:textId="77777777" w:rsidR="00BE1421" w:rsidRPr="00342F7C" w:rsidRDefault="00BE1421" w:rsidP="00E95E29">
            <w:pPr>
              <w:pStyle w:val="EMEANormal"/>
              <w:rPr>
                <w:lang w:val="en-GB"/>
              </w:rPr>
            </w:pPr>
            <w:r w:rsidRPr="00342F7C">
              <w:rPr>
                <w:lang w:val="en-GB"/>
              </w:rPr>
              <w:t>High doses of ketoconazole and itraconazole (&gt; 200 mg/day) are not recommended.</w:t>
            </w:r>
          </w:p>
        </w:tc>
      </w:tr>
      <w:tr w:rsidR="00BE1421" w:rsidRPr="00342F7C" w14:paraId="1D32EA8A" w14:textId="77777777" w:rsidTr="008F531F">
        <w:tc>
          <w:tcPr>
            <w:tcW w:w="2400" w:type="dxa"/>
            <w:tcBorders>
              <w:top w:val="single" w:sz="4" w:space="0" w:color="auto"/>
              <w:left w:val="single" w:sz="4" w:space="0" w:color="auto"/>
              <w:bottom w:val="single" w:sz="4" w:space="0" w:color="auto"/>
              <w:right w:val="single" w:sz="4" w:space="0" w:color="auto"/>
            </w:tcBorders>
          </w:tcPr>
          <w:p w14:paraId="1F80E3EB" w14:textId="77777777" w:rsidR="00BE1421" w:rsidRPr="00342F7C" w:rsidRDefault="00BE1421" w:rsidP="00E95E29">
            <w:pPr>
              <w:pStyle w:val="EMEANormal"/>
              <w:rPr>
                <w:i/>
                <w:iCs/>
                <w:lang w:val="en-GB"/>
              </w:rPr>
            </w:pPr>
            <w:r w:rsidRPr="00342F7C">
              <w:rPr>
                <w:lang w:val="en-GB"/>
              </w:rPr>
              <w:t>Voriconazole</w:t>
            </w:r>
          </w:p>
        </w:tc>
        <w:tc>
          <w:tcPr>
            <w:tcW w:w="3240" w:type="dxa"/>
            <w:gridSpan w:val="2"/>
            <w:tcBorders>
              <w:top w:val="single" w:sz="4" w:space="0" w:color="auto"/>
              <w:left w:val="single" w:sz="4" w:space="0" w:color="auto"/>
              <w:bottom w:val="single" w:sz="4" w:space="0" w:color="auto"/>
              <w:right w:val="single" w:sz="4" w:space="0" w:color="auto"/>
            </w:tcBorders>
          </w:tcPr>
          <w:p w14:paraId="2EB4757B" w14:textId="77777777" w:rsidR="00BE1421" w:rsidRPr="00342F7C" w:rsidRDefault="00BE1421" w:rsidP="00E95E29">
            <w:pPr>
              <w:pStyle w:val="EMEANormal"/>
              <w:rPr>
                <w:lang w:val="en-GB"/>
              </w:rPr>
            </w:pPr>
            <w:r w:rsidRPr="00342F7C">
              <w:rPr>
                <w:lang w:val="en-GB"/>
              </w:rPr>
              <w:t xml:space="preserve">Voriconazole: </w:t>
            </w:r>
          </w:p>
          <w:p w14:paraId="5C0BB19E" w14:textId="77777777" w:rsidR="00BE1421" w:rsidRPr="00342F7C" w:rsidRDefault="00BE1421" w:rsidP="00E95E29">
            <w:pPr>
              <w:pStyle w:val="EMEANormal"/>
              <w:rPr>
                <w:lang w:val="en-GB"/>
              </w:rPr>
            </w:pPr>
            <w:r w:rsidRPr="00342F7C">
              <w:rPr>
                <w:lang w:val="en-GB"/>
              </w:rPr>
              <w:t>Concentrations may be decreased.</w:t>
            </w:r>
          </w:p>
          <w:p w14:paraId="47A9F49B" w14:textId="77777777" w:rsidR="00BE1421" w:rsidRPr="00342F7C" w:rsidRDefault="00BE1421" w:rsidP="00E95E29">
            <w:pPr>
              <w:pStyle w:val="EMEANormal"/>
              <w:rPr>
                <w:lang w:val="en-GB"/>
              </w:rPr>
            </w:pPr>
          </w:p>
        </w:tc>
        <w:tc>
          <w:tcPr>
            <w:tcW w:w="3432" w:type="dxa"/>
            <w:gridSpan w:val="2"/>
            <w:tcBorders>
              <w:top w:val="single" w:sz="4" w:space="0" w:color="auto"/>
              <w:left w:val="single" w:sz="4" w:space="0" w:color="auto"/>
              <w:bottom w:val="single" w:sz="4" w:space="0" w:color="auto"/>
              <w:right w:val="single" w:sz="4" w:space="0" w:color="auto"/>
            </w:tcBorders>
          </w:tcPr>
          <w:p w14:paraId="5E19C1F6" w14:textId="77777777" w:rsidR="00BE1421" w:rsidRPr="00342F7C" w:rsidRDefault="00BE1421" w:rsidP="00E95E29">
            <w:pPr>
              <w:pStyle w:val="EMEANormal"/>
              <w:rPr>
                <w:lang w:val="en-GB"/>
              </w:rPr>
            </w:pPr>
            <w:r w:rsidRPr="00342F7C">
              <w:rPr>
                <w:lang w:val="en-GB"/>
              </w:rPr>
              <w:t>Co</w:t>
            </w:r>
            <w:r w:rsidRPr="00342F7C">
              <w:rPr>
                <w:lang w:val="en-GB"/>
              </w:rPr>
              <w:noBreakHyphen/>
              <w:t>administration of voriconazole and low dose ritonavir (100 mg BID) as contained in Kaletra should be avoided unless an assessment of the benefit/risk to patient justifies the use of voriconazole.</w:t>
            </w:r>
          </w:p>
        </w:tc>
      </w:tr>
      <w:tr w:rsidR="00BE1421" w:rsidRPr="00342F7C" w14:paraId="03EA8EE9"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455C6063" w14:textId="77777777" w:rsidR="00BE1421" w:rsidRPr="00342F7C" w:rsidRDefault="00BE1421" w:rsidP="00BD7237">
            <w:pPr>
              <w:pStyle w:val="EMEANormal"/>
              <w:keepNext/>
              <w:rPr>
                <w:lang w:val="en-GB"/>
              </w:rPr>
            </w:pPr>
            <w:r w:rsidRPr="00342F7C">
              <w:rPr>
                <w:i/>
                <w:iCs/>
                <w:lang w:val="en-GB"/>
              </w:rPr>
              <w:t>Ant</w:t>
            </w:r>
            <w:r>
              <w:rPr>
                <w:i/>
                <w:iCs/>
                <w:lang w:val="en-GB"/>
              </w:rPr>
              <w:t>i</w:t>
            </w:r>
            <w:r>
              <w:rPr>
                <w:i/>
                <w:iCs/>
                <w:lang w:val="en-GB"/>
              </w:rPr>
              <w:noBreakHyphen/>
              <w:t>gout agents:</w:t>
            </w:r>
          </w:p>
        </w:tc>
      </w:tr>
      <w:tr w:rsidR="00BE1421" w:rsidRPr="00342F7C" w14:paraId="6C438420" w14:textId="77777777" w:rsidTr="008F531F">
        <w:tc>
          <w:tcPr>
            <w:tcW w:w="2400" w:type="dxa"/>
            <w:tcBorders>
              <w:top w:val="single" w:sz="4" w:space="0" w:color="auto"/>
              <w:left w:val="single" w:sz="4" w:space="0" w:color="auto"/>
              <w:bottom w:val="single" w:sz="4" w:space="0" w:color="auto"/>
              <w:right w:val="single" w:sz="4" w:space="0" w:color="auto"/>
            </w:tcBorders>
          </w:tcPr>
          <w:p w14:paraId="5879250F" w14:textId="77777777" w:rsidR="00BE1421" w:rsidRPr="00A95936" w:rsidRDefault="00BE1421" w:rsidP="00BD7237">
            <w:pPr>
              <w:pStyle w:val="EMEANormal"/>
              <w:keepNext/>
              <w:rPr>
                <w:lang w:val="en-GB"/>
              </w:rPr>
            </w:pPr>
            <w:r w:rsidRPr="00A95936">
              <w:rPr>
                <w:lang w:val="en-GB"/>
              </w:rPr>
              <w:t>Colchicine single dose</w:t>
            </w:r>
          </w:p>
          <w:p w14:paraId="3A8F94EE" w14:textId="77777777" w:rsidR="00BE1421" w:rsidRPr="00A95936" w:rsidRDefault="00BE1421" w:rsidP="00BD7237">
            <w:pPr>
              <w:pStyle w:val="EMEANormal"/>
              <w:keepNext/>
              <w:rPr>
                <w:lang w:val="en-GB"/>
              </w:rPr>
            </w:pPr>
          </w:p>
          <w:p w14:paraId="31513831" w14:textId="77777777" w:rsidR="00BE1421" w:rsidRPr="00342F7C" w:rsidRDefault="00BE1421" w:rsidP="00BD7237">
            <w:pPr>
              <w:pStyle w:val="EMEANormal"/>
              <w:keepNext/>
              <w:rPr>
                <w:lang w:val="en-GB"/>
              </w:rPr>
            </w:pPr>
            <w:r>
              <w:rPr>
                <w:lang w:val="en-GB"/>
              </w:rPr>
              <w:t>(Ritonavir 200 </w:t>
            </w:r>
            <w:r w:rsidRPr="00A95936">
              <w:rPr>
                <w:lang w:val="en-GB"/>
              </w:rPr>
              <w:t>mg twice daily)</w:t>
            </w:r>
          </w:p>
        </w:tc>
        <w:tc>
          <w:tcPr>
            <w:tcW w:w="3240" w:type="dxa"/>
            <w:gridSpan w:val="2"/>
            <w:tcBorders>
              <w:top w:val="single" w:sz="4" w:space="0" w:color="auto"/>
              <w:left w:val="single" w:sz="4" w:space="0" w:color="auto"/>
              <w:bottom w:val="single" w:sz="4" w:space="0" w:color="auto"/>
              <w:right w:val="single" w:sz="4" w:space="0" w:color="auto"/>
            </w:tcBorders>
          </w:tcPr>
          <w:p w14:paraId="13E57F74" w14:textId="77777777" w:rsidR="00BE1421" w:rsidRPr="00A95936" w:rsidRDefault="00BE1421" w:rsidP="00BD7237">
            <w:pPr>
              <w:pStyle w:val="EMEANormal"/>
              <w:keepNext/>
              <w:rPr>
                <w:lang w:val="en-GB"/>
              </w:rPr>
            </w:pPr>
            <w:r w:rsidRPr="00A95936">
              <w:rPr>
                <w:lang w:val="en-GB"/>
              </w:rPr>
              <w:t>Colchicine:</w:t>
            </w:r>
          </w:p>
          <w:p w14:paraId="66573BD6" w14:textId="77777777" w:rsidR="00BE1421" w:rsidRPr="00A95936" w:rsidRDefault="00BE1421" w:rsidP="00BD7237">
            <w:pPr>
              <w:keepNext/>
              <w:autoSpaceDE w:val="0"/>
              <w:autoSpaceDN w:val="0"/>
              <w:adjustRightInd w:val="0"/>
              <w:rPr>
                <w:bCs/>
                <w:sz w:val="22"/>
                <w:szCs w:val="22"/>
              </w:rPr>
            </w:pPr>
            <w:r w:rsidRPr="00A95936">
              <w:rPr>
                <w:bCs/>
                <w:sz w:val="22"/>
                <w:szCs w:val="22"/>
              </w:rPr>
              <w:t>AUC: ↑ 3-fold</w:t>
            </w:r>
          </w:p>
          <w:p w14:paraId="3B9F7183" w14:textId="77777777" w:rsidR="00BE1421" w:rsidRPr="00A95936" w:rsidRDefault="00BE1421" w:rsidP="00BD7237">
            <w:pPr>
              <w:keepNext/>
              <w:autoSpaceDE w:val="0"/>
              <w:autoSpaceDN w:val="0"/>
              <w:adjustRightInd w:val="0"/>
              <w:rPr>
                <w:bCs/>
                <w:sz w:val="22"/>
                <w:szCs w:val="22"/>
              </w:rPr>
            </w:pPr>
            <w:r w:rsidRPr="00A95936">
              <w:rPr>
                <w:bCs/>
                <w:sz w:val="22"/>
                <w:szCs w:val="22"/>
              </w:rPr>
              <w:t>C</w:t>
            </w:r>
            <w:r w:rsidRPr="00A95936">
              <w:rPr>
                <w:bCs/>
                <w:sz w:val="22"/>
                <w:szCs w:val="22"/>
                <w:vertAlign w:val="subscript"/>
              </w:rPr>
              <w:t>max</w:t>
            </w:r>
            <w:r w:rsidRPr="00A95936">
              <w:rPr>
                <w:bCs/>
                <w:sz w:val="22"/>
                <w:szCs w:val="22"/>
              </w:rPr>
              <w:t>: ↑ 1.</w:t>
            </w:r>
            <w:r>
              <w:rPr>
                <w:bCs/>
                <w:sz w:val="22"/>
                <w:szCs w:val="22"/>
              </w:rPr>
              <w:t>8</w:t>
            </w:r>
            <w:r w:rsidRPr="00A95936">
              <w:rPr>
                <w:bCs/>
                <w:sz w:val="22"/>
                <w:szCs w:val="22"/>
              </w:rPr>
              <w:t>-fold</w:t>
            </w:r>
          </w:p>
          <w:p w14:paraId="6ED27039" w14:textId="77777777" w:rsidR="00BE1421" w:rsidRPr="00A95936" w:rsidRDefault="00BE1421" w:rsidP="00BD7237">
            <w:pPr>
              <w:keepNext/>
              <w:autoSpaceDE w:val="0"/>
              <w:autoSpaceDN w:val="0"/>
              <w:adjustRightInd w:val="0"/>
              <w:rPr>
                <w:bCs/>
                <w:sz w:val="22"/>
                <w:szCs w:val="22"/>
              </w:rPr>
            </w:pPr>
            <w:r w:rsidRPr="00A95936">
              <w:rPr>
                <w:bCs/>
                <w:sz w:val="22"/>
                <w:szCs w:val="22"/>
              </w:rPr>
              <w:t>Due to P-gp and/or CYP3A4 inhibition by</w:t>
            </w:r>
            <w:r w:rsidRPr="00A95936">
              <w:rPr>
                <w:sz w:val="22"/>
                <w:szCs w:val="22"/>
              </w:rPr>
              <w:t xml:space="preserve"> </w:t>
            </w:r>
            <w:r w:rsidRPr="00A95936">
              <w:rPr>
                <w:bCs/>
                <w:sz w:val="22"/>
                <w:szCs w:val="22"/>
              </w:rPr>
              <w:t>ritonavir.</w:t>
            </w:r>
          </w:p>
          <w:p w14:paraId="1A283F68" w14:textId="77777777" w:rsidR="00BE1421" w:rsidRPr="00342F7C" w:rsidRDefault="00BE1421" w:rsidP="00BD7237">
            <w:pPr>
              <w:pStyle w:val="EMEANormal"/>
              <w:keepNext/>
              <w:rPr>
                <w:lang w:val="en-GB"/>
              </w:rPr>
            </w:pPr>
          </w:p>
        </w:tc>
        <w:tc>
          <w:tcPr>
            <w:tcW w:w="3432" w:type="dxa"/>
            <w:gridSpan w:val="2"/>
            <w:tcBorders>
              <w:top w:val="single" w:sz="4" w:space="0" w:color="auto"/>
              <w:left w:val="single" w:sz="4" w:space="0" w:color="auto"/>
              <w:bottom w:val="single" w:sz="4" w:space="0" w:color="auto"/>
              <w:right w:val="single" w:sz="4" w:space="0" w:color="auto"/>
            </w:tcBorders>
          </w:tcPr>
          <w:p w14:paraId="151546A2" w14:textId="77777777" w:rsidR="00BE1421" w:rsidRPr="00342F7C" w:rsidRDefault="00BE1421" w:rsidP="00BD7237">
            <w:pPr>
              <w:pStyle w:val="EMEANormal"/>
              <w:keepNext/>
              <w:rPr>
                <w:lang w:val="en-GB"/>
              </w:rPr>
            </w:pPr>
            <w:r>
              <w:rPr>
                <w:lang w:val="en-GB"/>
              </w:rPr>
              <w:t>C</w:t>
            </w:r>
            <w:r w:rsidRPr="00A95936">
              <w:rPr>
                <w:bCs/>
              </w:rPr>
              <w:t xml:space="preserve">oncomitant </w:t>
            </w:r>
            <w:r>
              <w:rPr>
                <w:bCs/>
              </w:rPr>
              <w:t xml:space="preserve">administration of </w:t>
            </w:r>
            <w:r w:rsidRPr="00A95936">
              <w:rPr>
                <w:bCs/>
              </w:rPr>
              <w:t xml:space="preserve">Kaletra </w:t>
            </w:r>
            <w:r>
              <w:rPr>
                <w:bCs/>
              </w:rPr>
              <w:t>with colchicine in patients with renal and/or hepatic impairment is contraindicated due to a potential increase of colchicine-related serious and/or life</w:t>
            </w:r>
            <w:r>
              <w:rPr>
                <w:bCs/>
              </w:rPr>
              <w:noBreakHyphen/>
              <w:t xml:space="preserve">threatening reactions such as neuromuscular toxicity (including </w:t>
            </w:r>
            <w:r w:rsidRPr="00A95936">
              <w:rPr>
                <w:szCs w:val="22"/>
                <w:lang w:eastAsia="de-DE"/>
              </w:rPr>
              <w:t>rhabdomyolysis</w:t>
            </w:r>
            <w:r>
              <w:rPr>
                <w:szCs w:val="22"/>
                <w:lang w:eastAsia="de-DE"/>
              </w:rPr>
              <w:t>)</w:t>
            </w:r>
            <w:r w:rsidRPr="00A95936">
              <w:rPr>
                <w:bCs/>
              </w:rPr>
              <w:t xml:space="preserve"> (see section</w:t>
            </w:r>
            <w:r>
              <w:rPr>
                <w:bCs/>
              </w:rPr>
              <w:t>s 4.3 and</w:t>
            </w:r>
            <w:r w:rsidRPr="00A95936">
              <w:rPr>
                <w:bCs/>
              </w:rPr>
              <w:t xml:space="preserve"> 4.4).</w:t>
            </w:r>
            <w:r>
              <w:rPr>
                <w:bCs/>
              </w:rPr>
              <w:t xml:space="preserve">  A reduction in colchicine dosage or an interruption of colchicine treatment is recommended in patients with normal renal or hepatic function if treatment with Kaletra is required.  Refer to colchicine prescribing information.</w:t>
            </w:r>
          </w:p>
        </w:tc>
      </w:tr>
      <w:tr w:rsidR="00BE1421" w:rsidRPr="00342F7C" w14:paraId="657EF056"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7530A034" w14:textId="77777777" w:rsidR="00BE1421" w:rsidRDefault="00BE1421" w:rsidP="00BD7237">
            <w:pPr>
              <w:pStyle w:val="EMEANormal"/>
              <w:keepNext/>
              <w:rPr>
                <w:lang w:val="en-GB"/>
              </w:rPr>
            </w:pPr>
            <w:r>
              <w:rPr>
                <w:i/>
                <w:iCs/>
                <w:lang w:val="en-GB"/>
              </w:rPr>
              <w:t>Antihistamines</w:t>
            </w:r>
          </w:p>
        </w:tc>
      </w:tr>
      <w:tr w:rsidR="00BE1421" w:rsidRPr="00342F7C" w14:paraId="3D685D0B" w14:textId="77777777" w:rsidTr="008F531F">
        <w:tc>
          <w:tcPr>
            <w:tcW w:w="2400" w:type="dxa"/>
            <w:tcBorders>
              <w:top w:val="single" w:sz="4" w:space="0" w:color="auto"/>
              <w:left w:val="single" w:sz="4" w:space="0" w:color="auto"/>
              <w:bottom w:val="single" w:sz="4" w:space="0" w:color="auto"/>
              <w:right w:val="single" w:sz="4" w:space="0" w:color="auto"/>
            </w:tcBorders>
          </w:tcPr>
          <w:p w14:paraId="51D70069" w14:textId="77777777" w:rsidR="00BE1421" w:rsidRDefault="00BE1421" w:rsidP="001D025B">
            <w:pPr>
              <w:pStyle w:val="EMEANormal"/>
              <w:rPr>
                <w:lang w:val="en-GB"/>
              </w:rPr>
            </w:pPr>
            <w:r>
              <w:rPr>
                <w:lang w:val="en-GB"/>
              </w:rPr>
              <w:t>Astemizole</w:t>
            </w:r>
          </w:p>
          <w:p w14:paraId="4037AEEF" w14:textId="77777777" w:rsidR="00BE1421" w:rsidRPr="00A95936" w:rsidRDefault="00BE1421" w:rsidP="00BD7237">
            <w:pPr>
              <w:pStyle w:val="EMEANormal"/>
              <w:keepNext/>
              <w:rPr>
                <w:lang w:val="en-GB"/>
              </w:rPr>
            </w:pPr>
            <w:r>
              <w:rPr>
                <w:lang w:val="en-GB"/>
              </w:rPr>
              <w:t>Terfenadine</w:t>
            </w:r>
          </w:p>
        </w:tc>
        <w:tc>
          <w:tcPr>
            <w:tcW w:w="3240" w:type="dxa"/>
            <w:gridSpan w:val="2"/>
            <w:tcBorders>
              <w:top w:val="single" w:sz="4" w:space="0" w:color="auto"/>
              <w:left w:val="single" w:sz="4" w:space="0" w:color="auto"/>
              <w:bottom w:val="single" w:sz="4" w:space="0" w:color="auto"/>
              <w:right w:val="single" w:sz="4" w:space="0" w:color="auto"/>
            </w:tcBorders>
          </w:tcPr>
          <w:p w14:paraId="333EEB28" w14:textId="77777777" w:rsidR="00BE1421" w:rsidRPr="00A95936" w:rsidRDefault="00BE1421" w:rsidP="00BD7237">
            <w:pPr>
              <w:pStyle w:val="EMEANormal"/>
              <w:keepNext/>
              <w:rPr>
                <w:lang w:val="en-GB"/>
              </w:rPr>
            </w:pPr>
            <w:r>
              <w:rPr>
                <w:lang w:val="en-GB"/>
              </w:rPr>
              <w:t>Serum concentrations may be increased due to CYP3A inhibition by lopinavir/ritonavir.</w:t>
            </w:r>
          </w:p>
        </w:tc>
        <w:tc>
          <w:tcPr>
            <w:tcW w:w="3432" w:type="dxa"/>
            <w:gridSpan w:val="2"/>
            <w:tcBorders>
              <w:top w:val="single" w:sz="4" w:space="0" w:color="auto"/>
              <w:left w:val="single" w:sz="4" w:space="0" w:color="auto"/>
              <w:bottom w:val="single" w:sz="4" w:space="0" w:color="auto"/>
              <w:right w:val="single" w:sz="4" w:space="0" w:color="auto"/>
            </w:tcBorders>
          </w:tcPr>
          <w:p w14:paraId="0FD01954" w14:textId="77777777" w:rsidR="00BE1421" w:rsidRDefault="00BE1421" w:rsidP="00955281">
            <w:pPr>
              <w:pStyle w:val="EMEANormal"/>
              <w:keepNext/>
              <w:rPr>
                <w:lang w:val="en-GB"/>
              </w:rPr>
            </w:pPr>
            <w:r>
              <w:rPr>
                <w:lang w:val="en-GB"/>
              </w:rPr>
              <w:t>Concomitant administration of Kaletra and astemizole and terfenadine is contraindicated as it may increase the risk of serious arrhythmias from these agents (see section 4.3).</w:t>
            </w:r>
          </w:p>
        </w:tc>
      </w:tr>
      <w:tr w:rsidR="00BE1421" w:rsidRPr="00342F7C" w14:paraId="3D43E726"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67C64B4E" w14:textId="77777777" w:rsidR="00BE1421" w:rsidRPr="00342F7C" w:rsidRDefault="00BE1421" w:rsidP="00D11B95">
            <w:pPr>
              <w:pStyle w:val="EMEANormal"/>
              <w:keepNext/>
              <w:rPr>
                <w:lang w:val="en-GB"/>
              </w:rPr>
            </w:pPr>
            <w:r>
              <w:rPr>
                <w:i/>
                <w:iCs/>
                <w:lang w:val="en-GB"/>
              </w:rPr>
              <w:t>Anti-infectives</w:t>
            </w:r>
          </w:p>
        </w:tc>
      </w:tr>
      <w:tr w:rsidR="00BE1421" w:rsidRPr="00342F7C" w14:paraId="147F3422" w14:textId="77777777" w:rsidTr="008F531F">
        <w:tc>
          <w:tcPr>
            <w:tcW w:w="2400" w:type="dxa"/>
            <w:tcBorders>
              <w:top w:val="single" w:sz="4" w:space="0" w:color="auto"/>
              <w:left w:val="single" w:sz="4" w:space="0" w:color="auto"/>
              <w:bottom w:val="single" w:sz="4" w:space="0" w:color="auto"/>
              <w:right w:val="single" w:sz="4" w:space="0" w:color="auto"/>
            </w:tcBorders>
          </w:tcPr>
          <w:p w14:paraId="71076149" w14:textId="77777777" w:rsidR="00BE1421" w:rsidRPr="00342F7C" w:rsidRDefault="00BE1421" w:rsidP="00D11B95">
            <w:pPr>
              <w:pStyle w:val="EMEANormal"/>
              <w:keepNext/>
              <w:rPr>
                <w:lang w:val="en-GB"/>
              </w:rPr>
            </w:pPr>
            <w:r>
              <w:rPr>
                <w:lang w:val="en-GB"/>
              </w:rPr>
              <w:t>Fusidic acid</w:t>
            </w:r>
          </w:p>
        </w:tc>
        <w:tc>
          <w:tcPr>
            <w:tcW w:w="3240" w:type="dxa"/>
            <w:gridSpan w:val="2"/>
            <w:tcBorders>
              <w:top w:val="single" w:sz="4" w:space="0" w:color="auto"/>
              <w:left w:val="single" w:sz="4" w:space="0" w:color="auto"/>
              <w:bottom w:val="single" w:sz="4" w:space="0" w:color="auto"/>
              <w:right w:val="single" w:sz="4" w:space="0" w:color="auto"/>
            </w:tcBorders>
          </w:tcPr>
          <w:p w14:paraId="432C2E79" w14:textId="77777777" w:rsidR="00BE1421" w:rsidRDefault="00BE1421" w:rsidP="00D11B95">
            <w:pPr>
              <w:pStyle w:val="EMEANormal"/>
              <w:keepNext/>
              <w:rPr>
                <w:lang w:val="en-GB"/>
              </w:rPr>
            </w:pPr>
            <w:r>
              <w:rPr>
                <w:lang w:val="en-GB"/>
              </w:rPr>
              <w:t>Fusidic acid:</w:t>
            </w:r>
          </w:p>
          <w:p w14:paraId="10FFA2AA" w14:textId="77777777" w:rsidR="00BE1421" w:rsidRPr="00342F7C" w:rsidRDefault="00BE1421" w:rsidP="00D11B95">
            <w:pPr>
              <w:pStyle w:val="EMEANormal"/>
              <w:keepNext/>
              <w:rPr>
                <w:lang w:val="en-GB"/>
              </w:rPr>
            </w:pPr>
            <w:r>
              <w:rPr>
                <w:lang w:val="en-GB"/>
              </w:rPr>
              <w:t>Concentrations may be increased due to CYP3A inhibition by lopinavir/ritonavir.</w:t>
            </w:r>
          </w:p>
        </w:tc>
        <w:tc>
          <w:tcPr>
            <w:tcW w:w="3432" w:type="dxa"/>
            <w:gridSpan w:val="2"/>
            <w:tcBorders>
              <w:top w:val="single" w:sz="4" w:space="0" w:color="auto"/>
              <w:left w:val="single" w:sz="4" w:space="0" w:color="auto"/>
              <w:bottom w:val="single" w:sz="4" w:space="0" w:color="auto"/>
              <w:right w:val="single" w:sz="4" w:space="0" w:color="auto"/>
            </w:tcBorders>
          </w:tcPr>
          <w:p w14:paraId="3A100AE8" w14:textId="77777777" w:rsidR="00BE1421" w:rsidRPr="00342F7C" w:rsidRDefault="00BE1421" w:rsidP="00D11B95">
            <w:pPr>
              <w:pStyle w:val="EMEANormal"/>
              <w:keepNext/>
              <w:rPr>
                <w:lang w:val="en-GB"/>
              </w:rPr>
            </w:pPr>
            <w:r>
              <w:rPr>
                <w:szCs w:val="22"/>
                <w:lang w:eastAsia="de-DE"/>
              </w:rPr>
              <w:t xml:space="preserve">Concomitant administration of Kaletra with fusidic acid is contra-indicated in dermatological indications due to </w:t>
            </w:r>
            <w:r w:rsidRPr="00A95936">
              <w:rPr>
                <w:szCs w:val="22"/>
                <w:lang w:eastAsia="de-DE"/>
              </w:rPr>
              <w:t>the increased risk of adverse events related to fusidic acid, notably rhabdomyolysis</w:t>
            </w:r>
            <w:r>
              <w:rPr>
                <w:szCs w:val="22"/>
                <w:lang w:eastAsia="de-DE"/>
              </w:rPr>
              <w:t xml:space="preserve"> (see section 4.3).  When used for osteo-articular infections, where the co-administration is unavoidable, close clinical monitoring for muscular adverse events is strongly recommended (see section 4.4). </w:t>
            </w:r>
          </w:p>
        </w:tc>
      </w:tr>
      <w:tr w:rsidR="00BE1421" w:rsidRPr="00342F7C" w14:paraId="663399B5"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6EFFCBA0" w14:textId="77777777" w:rsidR="00BE1421" w:rsidRPr="00342F7C" w:rsidRDefault="00BE1421" w:rsidP="00E95E29">
            <w:pPr>
              <w:pStyle w:val="EMEANormal"/>
              <w:rPr>
                <w:bCs/>
                <w:iCs/>
                <w:lang w:val="en-GB"/>
              </w:rPr>
            </w:pPr>
            <w:r w:rsidRPr="00342F7C">
              <w:rPr>
                <w:bCs/>
                <w:i/>
                <w:lang w:val="en-GB"/>
              </w:rPr>
              <w:t>Antimycobacterials</w:t>
            </w:r>
          </w:p>
        </w:tc>
      </w:tr>
      <w:tr w:rsidR="00BE1421" w:rsidRPr="00797BFA" w14:paraId="7FA7E8A3" w14:textId="77777777" w:rsidTr="008F531F">
        <w:tc>
          <w:tcPr>
            <w:tcW w:w="2400" w:type="dxa"/>
            <w:tcBorders>
              <w:top w:val="single" w:sz="4" w:space="0" w:color="auto"/>
              <w:left w:val="single" w:sz="4" w:space="0" w:color="auto"/>
              <w:bottom w:val="single" w:sz="4" w:space="0" w:color="auto"/>
              <w:right w:val="single" w:sz="4" w:space="0" w:color="auto"/>
            </w:tcBorders>
          </w:tcPr>
          <w:p w14:paraId="649C93D6" w14:textId="77777777" w:rsidR="00BE1421" w:rsidRDefault="00BE1421" w:rsidP="00D063E3">
            <w:pPr>
              <w:pStyle w:val="EMEANormal"/>
              <w:rPr>
                <w:bCs/>
                <w:iCs/>
                <w:lang w:val="en-GB"/>
              </w:rPr>
            </w:pPr>
            <w:r>
              <w:rPr>
                <w:bCs/>
                <w:iCs/>
                <w:lang w:val="en-GB"/>
              </w:rPr>
              <w:t>Bedaquiline</w:t>
            </w:r>
          </w:p>
          <w:p w14:paraId="65E065D6" w14:textId="77777777" w:rsidR="00BE1421" w:rsidRDefault="00BE1421" w:rsidP="00D063E3">
            <w:pPr>
              <w:pStyle w:val="EMEANormal"/>
              <w:rPr>
                <w:bCs/>
                <w:iCs/>
                <w:lang w:val="en-GB"/>
              </w:rPr>
            </w:pPr>
            <w:r>
              <w:rPr>
                <w:bCs/>
                <w:iCs/>
                <w:lang w:val="en-GB"/>
              </w:rPr>
              <w:t>(single dose)</w:t>
            </w:r>
          </w:p>
          <w:p w14:paraId="6CAFAE90" w14:textId="77777777" w:rsidR="00BE1421" w:rsidRDefault="00BE1421" w:rsidP="00D063E3">
            <w:pPr>
              <w:pStyle w:val="EMEANormal"/>
              <w:rPr>
                <w:bCs/>
                <w:iCs/>
                <w:lang w:val="en-GB"/>
              </w:rPr>
            </w:pPr>
          </w:p>
          <w:p w14:paraId="2AC8B2C4" w14:textId="77777777" w:rsidR="00BE1421" w:rsidRPr="00797BFA" w:rsidRDefault="00BE1421" w:rsidP="00D063E3">
            <w:pPr>
              <w:pStyle w:val="EMEANormal"/>
              <w:rPr>
                <w:bCs/>
                <w:iCs/>
                <w:lang w:val="en-GB"/>
              </w:rPr>
            </w:pPr>
            <w:r>
              <w:rPr>
                <w:bCs/>
                <w:iCs/>
                <w:lang w:val="en-GB"/>
              </w:rPr>
              <w:t>(Lopinavir/ritonavir 400/100 mg BID, multiple dose)</w:t>
            </w:r>
          </w:p>
        </w:tc>
        <w:tc>
          <w:tcPr>
            <w:tcW w:w="3240" w:type="dxa"/>
            <w:gridSpan w:val="2"/>
            <w:tcBorders>
              <w:top w:val="single" w:sz="4" w:space="0" w:color="auto"/>
              <w:left w:val="single" w:sz="4" w:space="0" w:color="auto"/>
              <w:bottom w:val="single" w:sz="4" w:space="0" w:color="auto"/>
              <w:right w:val="single" w:sz="4" w:space="0" w:color="auto"/>
            </w:tcBorders>
          </w:tcPr>
          <w:p w14:paraId="707EC4C5" w14:textId="77777777" w:rsidR="00BE1421" w:rsidRDefault="00BE1421" w:rsidP="00D063E3">
            <w:pPr>
              <w:pStyle w:val="EMEANormal"/>
              <w:rPr>
                <w:lang w:val="en-GB"/>
              </w:rPr>
            </w:pPr>
            <w:r>
              <w:rPr>
                <w:lang w:val="en-GB"/>
              </w:rPr>
              <w:t>Bedaquiline:</w:t>
            </w:r>
          </w:p>
          <w:p w14:paraId="4A4FA2EA" w14:textId="77777777" w:rsidR="00BE1421" w:rsidRPr="00961BBD" w:rsidRDefault="00BE1421" w:rsidP="00D063E3">
            <w:pPr>
              <w:pStyle w:val="EMEANormal"/>
              <w:rPr>
                <w:color w:val="000000"/>
                <w:lang w:eastAsia="en-GB"/>
              </w:rPr>
            </w:pPr>
            <w:r w:rsidRPr="00961BBD">
              <w:rPr>
                <w:color w:val="000000"/>
                <w:lang w:eastAsia="en-GB"/>
              </w:rPr>
              <w:t>AUC</w:t>
            </w:r>
            <w:r>
              <w:rPr>
                <w:color w:val="000000"/>
                <w:lang w:eastAsia="en-GB"/>
              </w:rPr>
              <w:t>:</w:t>
            </w:r>
            <w:r w:rsidRPr="00961BBD">
              <w:rPr>
                <w:color w:val="000000"/>
                <w:lang w:eastAsia="en-GB"/>
              </w:rPr>
              <w:t xml:space="preserve"> </w:t>
            </w:r>
            <w:r w:rsidRPr="00342F7C">
              <w:rPr>
                <w:iCs/>
                <w:lang w:val="en-GB"/>
              </w:rPr>
              <w:t>↑</w:t>
            </w:r>
            <w:r>
              <w:rPr>
                <w:color w:val="000000"/>
                <w:lang w:eastAsia="en-GB"/>
              </w:rPr>
              <w:t xml:space="preserve"> 22</w:t>
            </w:r>
            <w:r w:rsidRPr="00961BBD">
              <w:rPr>
                <w:color w:val="000000"/>
                <w:lang w:eastAsia="en-GB"/>
              </w:rPr>
              <w:t>%</w:t>
            </w:r>
          </w:p>
          <w:p w14:paraId="6C29D3D5" w14:textId="77777777" w:rsidR="00BE1421" w:rsidRDefault="00BE1421" w:rsidP="00D063E3">
            <w:pPr>
              <w:pStyle w:val="EMEANormal"/>
              <w:rPr>
                <w:szCs w:val="22"/>
                <w:lang w:val="en-GB"/>
              </w:rPr>
            </w:pPr>
            <w:r w:rsidRPr="00961BBD">
              <w:rPr>
                <w:color w:val="000000"/>
                <w:lang w:eastAsia="en-GB"/>
              </w:rPr>
              <w:t>C</w:t>
            </w:r>
            <w:r w:rsidRPr="00961BBD">
              <w:rPr>
                <w:color w:val="000000"/>
                <w:vertAlign w:val="subscript"/>
                <w:lang w:eastAsia="en-GB"/>
              </w:rPr>
              <w:t>max</w:t>
            </w:r>
            <w:r>
              <w:rPr>
                <w:color w:val="000000"/>
                <w:lang w:eastAsia="en-GB"/>
              </w:rPr>
              <w:t xml:space="preserve">: </w:t>
            </w:r>
            <w:r w:rsidRPr="00342F7C">
              <w:rPr>
                <w:szCs w:val="22"/>
                <w:lang w:val="en-GB"/>
              </w:rPr>
              <w:t>↔</w:t>
            </w:r>
          </w:p>
          <w:p w14:paraId="1BB070A4" w14:textId="77777777" w:rsidR="00BE1421" w:rsidRDefault="00BE1421" w:rsidP="00D063E3">
            <w:pPr>
              <w:pStyle w:val="EMEANormal"/>
              <w:rPr>
                <w:szCs w:val="22"/>
                <w:lang w:val="en-GB"/>
              </w:rPr>
            </w:pPr>
          </w:p>
          <w:p w14:paraId="5ADE0A89" w14:textId="77777777" w:rsidR="00BE1421" w:rsidRDefault="00BE1421" w:rsidP="00D063E3">
            <w:pPr>
              <w:pStyle w:val="EMEANormal"/>
              <w:rPr>
                <w:szCs w:val="22"/>
                <w:lang w:val="en-GB"/>
              </w:rPr>
            </w:pPr>
            <w:r>
              <w:rPr>
                <w:szCs w:val="22"/>
                <w:lang w:val="en-GB"/>
              </w:rPr>
              <w:t>A more pronounced effect on bedaquiline plasma exposures may be observed during prolonged co</w:t>
            </w:r>
            <w:r>
              <w:rPr>
                <w:szCs w:val="22"/>
                <w:lang w:val="en-GB"/>
              </w:rPr>
              <w:noBreakHyphen/>
              <w:t>administration with lopinavir/ritonavir.</w:t>
            </w:r>
          </w:p>
          <w:p w14:paraId="13470423" w14:textId="77777777" w:rsidR="00BE1421" w:rsidRDefault="00BE1421" w:rsidP="00D063E3">
            <w:pPr>
              <w:pStyle w:val="EMEANormal"/>
              <w:rPr>
                <w:szCs w:val="22"/>
                <w:lang w:val="en-GB"/>
              </w:rPr>
            </w:pPr>
          </w:p>
          <w:p w14:paraId="26766871" w14:textId="77777777" w:rsidR="00BE1421" w:rsidRPr="00961BBD" w:rsidRDefault="00BE1421" w:rsidP="00D063E3">
            <w:pPr>
              <w:pStyle w:val="EMEANormal"/>
              <w:rPr>
                <w:color w:val="000000"/>
                <w:lang w:eastAsia="en-GB"/>
              </w:rPr>
            </w:pPr>
            <w:r>
              <w:rPr>
                <w:szCs w:val="22"/>
                <w:lang w:val="en-GB"/>
              </w:rPr>
              <w:t>CYP3A4 inhibition likely due to lopinavir/ritonavir.</w:t>
            </w:r>
          </w:p>
          <w:p w14:paraId="27917398" w14:textId="77777777" w:rsidR="00BE1421" w:rsidRPr="00797BFA" w:rsidRDefault="00BE1421" w:rsidP="00D063E3">
            <w:pPr>
              <w:pStyle w:val="EMEANormal"/>
              <w:rPr>
                <w:lang w:val="en-GB"/>
              </w:rPr>
            </w:pPr>
          </w:p>
        </w:tc>
        <w:tc>
          <w:tcPr>
            <w:tcW w:w="3432" w:type="dxa"/>
            <w:gridSpan w:val="2"/>
            <w:tcBorders>
              <w:top w:val="single" w:sz="4" w:space="0" w:color="auto"/>
              <w:left w:val="single" w:sz="4" w:space="0" w:color="auto"/>
              <w:bottom w:val="single" w:sz="4" w:space="0" w:color="auto"/>
              <w:right w:val="single" w:sz="4" w:space="0" w:color="auto"/>
            </w:tcBorders>
          </w:tcPr>
          <w:p w14:paraId="120C5F12" w14:textId="77777777" w:rsidR="00BE1421" w:rsidRPr="00797BFA" w:rsidRDefault="00BE1421" w:rsidP="001546A9">
            <w:pPr>
              <w:pStyle w:val="EMEANormal"/>
              <w:rPr>
                <w:iCs/>
                <w:lang w:val="en-GB"/>
              </w:rPr>
            </w:pPr>
            <w:r>
              <w:rPr>
                <w:iCs/>
                <w:lang w:val="en-GB"/>
              </w:rPr>
              <w:t>Due to the risk of bedaquiline related adverse events, the combination of bedaquiline and Kaletra should be avoided.  If the benefit outweighs the risk, co</w:t>
            </w:r>
            <w:r>
              <w:rPr>
                <w:iCs/>
                <w:lang w:val="en-GB"/>
              </w:rPr>
              <w:noBreakHyphen/>
              <w:t>administration of bedaquiline with Kaletra must be done with caution.  More frequent electrocardiogram monitoring and monitoring of transaminases is recommended (see section 4.4 and refer to the bedaquiline SmPC).</w:t>
            </w:r>
          </w:p>
        </w:tc>
      </w:tr>
      <w:tr w:rsidR="00BE1421" w:rsidRPr="00342F7C" w14:paraId="260C5406" w14:textId="77777777" w:rsidTr="008F531F">
        <w:tc>
          <w:tcPr>
            <w:tcW w:w="2400" w:type="dxa"/>
            <w:tcBorders>
              <w:top w:val="single" w:sz="4" w:space="0" w:color="auto"/>
              <w:left w:val="single" w:sz="4" w:space="0" w:color="auto"/>
              <w:bottom w:val="single" w:sz="4" w:space="0" w:color="auto"/>
              <w:right w:val="single" w:sz="4" w:space="0" w:color="auto"/>
            </w:tcBorders>
          </w:tcPr>
          <w:p w14:paraId="6794B0C5" w14:textId="77777777" w:rsidR="00BE1421" w:rsidRPr="009979C3" w:rsidRDefault="00BE1421" w:rsidP="00D11B95">
            <w:pPr>
              <w:pStyle w:val="EMEANormal1"/>
              <w:rPr>
                <w:bCs/>
                <w:iCs/>
                <w:lang w:val="en-GB"/>
              </w:rPr>
            </w:pPr>
            <w:r w:rsidRPr="009979C3">
              <w:rPr>
                <w:bCs/>
                <w:iCs/>
                <w:lang w:val="en-GB"/>
              </w:rPr>
              <w:t>Delamanid (100 mg BID)</w:t>
            </w:r>
          </w:p>
          <w:p w14:paraId="4E4E63A3" w14:textId="77777777" w:rsidR="00BE1421" w:rsidRPr="009979C3" w:rsidRDefault="00BE1421" w:rsidP="00D11B95">
            <w:pPr>
              <w:pStyle w:val="EMEANormal1"/>
              <w:rPr>
                <w:bCs/>
                <w:iCs/>
                <w:lang w:val="en-GB"/>
              </w:rPr>
            </w:pPr>
          </w:p>
          <w:p w14:paraId="30513789" w14:textId="77777777" w:rsidR="00BE1421" w:rsidRPr="009979C3" w:rsidRDefault="00BE1421" w:rsidP="00D11B95">
            <w:pPr>
              <w:pStyle w:val="EMEANormal"/>
              <w:rPr>
                <w:bCs/>
                <w:iCs/>
                <w:lang w:val="en-GB"/>
              </w:rPr>
            </w:pPr>
            <w:r w:rsidRPr="009979C3">
              <w:rPr>
                <w:bCs/>
                <w:iCs/>
                <w:lang w:val="en-GB"/>
              </w:rPr>
              <w:t>(Lopinavir/ritonavir 400/100 mg BID)</w:t>
            </w:r>
          </w:p>
        </w:tc>
        <w:tc>
          <w:tcPr>
            <w:tcW w:w="3240" w:type="dxa"/>
            <w:gridSpan w:val="2"/>
            <w:tcBorders>
              <w:top w:val="single" w:sz="4" w:space="0" w:color="auto"/>
              <w:left w:val="single" w:sz="4" w:space="0" w:color="auto"/>
              <w:bottom w:val="single" w:sz="4" w:space="0" w:color="auto"/>
              <w:right w:val="single" w:sz="4" w:space="0" w:color="auto"/>
            </w:tcBorders>
          </w:tcPr>
          <w:p w14:paraId="36CC5C03" w14:textId="77777777" w:rsidR="00BE1421" w:rsidRPr="009979C3" w:rsidRDefault="00BE1421" w:rsidP="00D11B95">
            <w:pPr>
              <w:pStyle w:val="EMEANormal"/>
              <w:rPr>
                <w:lang w:val="de-DE"/>
              </w:rPr>
            </w:pPr>
            <w:r w:rsidRPr="009979C3">
              <w:rPr>
                <w:lang w:val="de-DE"/>
              </w:rPr>
              <w:t>Delamanid:</w:t>
            </w:r>
          </w:p>
          <w:p w14:paraId="58F29F61" w14:textId="77777777" w:rsidR="00BE1421" w:rsidRPr="009979C3" w:rsidRDefault="00BE1421" w:rsidP="00D11B95">
            <w:pPr>
              <w:pStyle w:val="TableParagraph"/>
              <w:spacing w:before="1"/>
              <w:ind w:right="172"/>
              <w:rPr>
                <w:rFonts w:ascii="Times New Roman" w:hAnsi="Times New Roman" w:cs="Times New Roman"/>
                <w:lang w:val="de-DE"/>
              </w:rPr>
            </w:pPr>
            <w:r w:rsidRPr="009979C3">
              <w:rPr>
                <w:rFonts w:ascii="Times New Roman" w:hAnsi="Times New Roman" w:cs="Times New Roman"/>
                <w:lang w:val="de-DE"/>
              </w:rPr>
              <w:t>AUC:</w:t>
            </w:r>
            <w:r>
              <w:rPr>
                <w:rFonts w:ascii="Times New Roman" w:hAnsi="Times New Roman" w:cs="Times New Roman"/>
                <w:lang w:val="de-DE"/>
              </w:rPr>
              <w:t xml:space="preserve"> </w:t>
            </w:r>
            <w:r w:rsidRPr="009979C3">
              <w:rPr>
                <w:rFonts w:ascii="Times New Roman" w:hAnsi="Times New Roman" w:cs="Times New Roman"/>
                <w:lang w:val="de-DE"/>
              </w:rPr>
              <w:t>↑</w:t>
            </w:r>
            <w:r>
              <w:rPr>
                <w:rFonts w:ascii="Times New Roman" w:hAnsi="Times New Roman" w:cs="Times New Roman"/>
                <w:lang w:val="de-DE"/>
              </w:rPr>
              <w:t xml:space="preserve"> </w:t>
            </w:r>
            <w:r w:rsidRPr="009979C3">
              <w:rPr>
                <w:rFonts w:ascii="Times New Roman" w:hAnsi="Times New Roman" w:cs="Times New Roman"/>
                <w:lang w:val="de-DE"/>
              </w:rPr>
              <w:t>22%</w:t>
            </w:r>
          </w:p>
          <w:p w14:paraId="6ED9203B" w14:textId="77777777" w:rsidR="00BE1421" w:rsidRPr="009979C3" w:rsidRDefault="00BE1421" w:rsidP="00D11B95">
            <w:pPr>
              <w:pStyle w:val="TableParagraph"/>
              <w:spacing w:before="1"/>
              <w:ind w:left="44" w:right="172"/>
              <w:rPr>
                <w:rFonts w:ascii="Times New Roman" w:hAnsi="Times New Roman" w:cs="Times New Roman"/>
                <w:lang w:val="de-DE"/>
              </w:rPr>
            </w:pPr>
          </w:p>
          <w:p w14:paraId="1AB66907" w14:textId="77777777" w:rsidR="00BE1421" w:rsidRPr="009979C3" w:rsidRDefault="00BE1421" w:rsidP="00D11B95">
            <w:pPr>
              <w:pStyle w:val="TableParagraph"/>
              <w:spacing w:before="1"/>
              <w:ind w:right="172"/>
              <w:rPr>
                <w:rFonts w:ascii="Times New Roman" w:hAnsi="Times New Roman" w:cs="Times New Roman"/>
                <w:lang w:val="de-DE"/>
              </w:rPr>
            </w:pPr>
            <w:r w:rsidRPr="009979C3">
              <w:rPr>
                <w:rFonts w:ascii="Times New Roman" w:hAnsi="Times New Roman" w:cs="Times New Roman"/>
                <w:lang w:val="de-DE"/>
              </w:rPr>
              <w:t>DM-6705 (delamanid active metabolite):</w:t>
            </w:r>
          </w:p>
          <w:p w14:paraId="62E7F31A" w14:textId="77777777" w:rsidR="00BE1421" w:rsidRPr="009979C3" w:rsidRDefault="00BE1421" w:rsidP="00D11B95">
            <w:pPr>
              <w:pStyle w:val="TableParagraph"/>
              <w:spacing w:before="1"/>
              <w:ind w:right="172"/>
              <w:rPr>
                <w:rFonts w:ascii="Times New Roman" w:hAnsi="Times New Roman" w:cs="Times New Roman"/>
                <w:lang w:val="de-DE"/>
              </w:rPr>
            </w:pPr>
            <w:r w:rsidRPr="009979C3">
              <w:rPr>
                <w:rFonts w:ascii="Times New Roman" w:hAnsi="Times New Roman" w:cs="Times New Roman"/>
                <w:lang w:val="de-DE"/>
              </w:rPr>
              <w:t>AUC:</w:t>
            </w:r>
            <w:r>
              <w:rPr>
                <w:rFonts w:ascii="Times New Roman" w:hAnsi="Times New Roman" w:cs="Times New Roman"/>
                <w:lang w:val="de-DE"/>
              </w:rPr>
              <w:t xml:space="preserve"> </w:t>
            </w:r>
            <w:r w:rsidRPr="009979C3">
              <w:rPr>
                <w:rFonts w:ascii="Times New Roman" w:hAnsi="Times New Roman" w:cs="Times New Roman"/>
                <w:lang w:val="de-DE"/>
              </w:rPr>
              <w:t>↑</w:t>
            </w:r>
            <w:r>
              <w:rPr>
                <w:rFonts w:ascii="Times New Roman" w:hAnsi="Times New Roman" w:cs="Times New Roman"/>
                <w:lang w:val="de-DE"/>
              </w:rPr>
              <w:t xml:space="preserve"> </w:t>
            </w:r>
            <w:r w:rsidRPr="009979C3">
              <w:rPr>
                <w:rFonts w:ascii="Times New Roman" w:hAnsi="Times New Roman" w:cs="Times New Roman"/>
                <w:lang w:val="de-DE"/>
              </w:rPr>
              <w:t>30%</w:t>
            </w:r>
          </w:p>
          <w:p w14:paraId="77662A2C" w14:textId="77777777" w:rsidR="00BE1421" w:rsidRPr="009979C3" w:rsidRDefault="00BE1421" w:rsidP="00D11B95">
            <w:pPr>
              <w:pStyle w:val="EMEANormal"/>
            </w:pPr>
          </w:p>
          <w:p w14:paraId="256CD23F" w14:textId="77777777" w:rsidR="00BE1421" w:rsidRPr="009979C3" w:rsidRDefault="00BE1421" w:rsidP="00D11B95">
            <w:pPr>
              <w:pStyle w:val="EMEANormal"/>
              <w:rPr>
                <w:bCs/>
                <w:iCs/>
                <w:lang w:val="en-GB"/>
              </w:rPr>
            </w:pPr>
            <w:r w:rsidRPr="009979C3">
              <w:t>A more pronounced effect on DM-6705 exposure may be observed during prolonged co-administration with lopinavir/ritonavir.</w:t>
            </w:r>
          </w:p>
        </w:tc>
        <w:tc>
          <w:tcPr>
            <w:tcW w:w="3432" w:type="dxa"/>
            <w:gridSpan w:val="2"/>
            <w:tcBorders>
              <w:top w:val="single" w:sz="4" w:space="0" w:color="auto"/>
              <w:left w:val="single" w:sz="4" w:space="0" w:color="auto"/>
              <w:bottom w:val="single" w:sz="4" w:space="0" w:color="auto"/>
              <w:right w:val="single" w:sz="4" w:space="0" w:color="auto"/>
            </w:tcBorders>
          </w:tcPr>
          <w:p w14:paraId="5ACA82E4" w14:textId="77777777" w:rsidR="00BE1421" w:rsidRPr="009979C3" w:rsidRDefault="00BE1421" w:rsidP="00D11B95">
            <w:pPr>
              <w:pStyle w:val="EMEANormal"/>
              <w:rPr>
                <w:lang w:val="en-GB"/>
              </w:rPr>
            </w:pPr>
            <w:r w:rsidRPr="009979C3">
              <w:t>Due to the risk of QTc prolongation associated with DM</w:t>
            </w:r>
            <w:r w:rsidRPr="009979C3">
              <w:noBreakHyphen/>
              <w:t>6705, if co</w:t>
            </w:r>
            <w:r w:rsidRPr="009979C3">
              <w:noBreakHyphen/>
              <w:t xml:space="preserve">administration of delamanid with </w:t>
            </w:r>
            <w:r>
              <w:t>Kaletra</w:t>
            </w:r>
            <w:r w:rsidRPr="009979C3">
              <w:t xml:space="preserve"> is considered necessary, very frequent ECG monitoring throughout the full delamanid treatment period is recommended (see section 4.4 and refer to the delamanid SmPC).</w:t>
            </w:r>
          </w:p>
        </w:tc>
      </w:tr>
      <w:tr w:rsidR="00BE1421" w:rsidRPr="00342F7C" w14:paraId="379A19AA" w14:textId="77777777" w:rsidTr="008F531F">
        <w:tc>
          <w:tcPr>
            <w:tcW w:w="2400" w:type="dxa"/>
            <w:tcBorders>
              <w:top w:val="single" w:sz="4" w:space="0" w:color="auto"/>
              <w:left w:val="single" w:sz="4" w:space="0" w:color="auto"/>
              <w:bottom w:val="single" w:sz="4" w:space="0" w:color="auto"/>
              <w:right w:val="single" w:sz="4" w:space="0" w:color="auto"/>
            </w:tcBorders>
          </w:tcPr>
          <w:p w14:paraId="420032EF" w14:textId="77777777" w:rsidR="00BE1421" w:rsidRPr="00342F7C" w:rsidRDefault="00BE1421" w:rsidP="00D11B95">
            <w:pPr>
              <w:pStyle w:val="EMEANormal"/>
              <w:keepNext/>
              <w:rPr>
                <w:bCs/>
                <w:iCs/>
                <w:lang w:val="en-GB"/>
              </w:rPr>
            </w:pPr>
            <w:r>
              <w:rPr>
                <w:bCs/>
                <w:iCs/>
                <w:lang w:val="en-GB"/>
              </w:rPr>
              <w:t>Rifabutin, 150 </w:t>
            </w:r>
            <w:r w:rsidRPr="00342F7C">
              <w:rPr>
                <w:bCs/>
                <w:iCs/>
                <w:lang w:val="en-GB"/>
              </w:rPr>
              <w:t>mg QD</w:t>
            </w:r>
          </w:p>
          <w:p w14:paraId="1CAEE2FA" w14:textId="77777777" w:rsidR="00BE1421" w:rsidRPr="00342F7C" w:rsidRDefault="00BE1421" w:rsidP="00D11B95">
            <w:pPr>
              <w:pStyle w:val="EMEANormal"/>
              <w:keepNext/>
              <w:rPr>
                <w:iCs/>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7C4656BA" w14:textId="77777777" w:rsidR="00BE1421" w:rsidRPr="00342F7C" w:rsidRDefault="00BE1421" w:rsidP="00D11B95">
            <w:pPr>
              <w:pStyle w:val="EMEANormal"/>
              <w:keepNext/>
              <w:rPr>
                <w:i/>
                <w:lang w:val="en-GB"/>
              </w:rPr>
            </w:pPr>
            <w:r w:rsidRPr="00342F7C">
              <w:rPr>
                <w:bCs/>
                <w:iCs/>
                <w:lang w:val="en-GB"/>
              </w:rPr>
              <w:t xml:space="preserve">Rifabutin (parent drug and active </w:t>
            </w:r>
            <w:r w:rsidRPr="00342F7C">
              <w:rPr>
                <w:lang w:val="en-GB"/>
              </w:rPr>
              <w:t>25-O-desacetyl metabolite)</w:t>
            </w:r>
            <w:r w:rsidRPr="00342F7C">
              <w:rPr>
                <w:bCs/>
                <w:iCs/>
                <w:lang w:val="en-GB"/>
              </w:rPr>
              <w:t>:</w:t>
            </w:r>
            <w:r w:rsidRPr="00342F7C">
              <w:rPr>
                <w:i/>
                <w:lang w:val="en-GB"/>
              </w:rPr>
              <w:t xml:space="preserve"> </w:t>
            </w:r>
          </w:p>
          <w:p w14:paraId="317A0978" w14:textId="77777777" w:rsidR="00BE1421" w:rsidRPr="00342F7C" w:rsidRDefault="00BE1421" w:rsidP="00D11B95">
            <w:pPr>
              <w:pStyle w:val="EMEANormal"/>
              <w:keepNext/>
              <w:rPr>
                <w:lang w:val="en-GB"/>
              </w:rPr>
            </w:pPr>
            <w:r w:rsidRPr="00342F7C">
              <w:rPr>
                <w:lang w:val="en-GB"/>
              </w:rPr>
              <w:t>AUC: ↑ 5.7-fold</w:t>
            </w:r>
          </w:p>
          <w:p w14:paraId="31CA09A6" w14:textId="77777777" w:rsidR="00BE1421" w:rsidRPr="00342F7C" w:rsidRDefault="00BE1421" w:rsidP="00D11B95">
            <w:pPr>
              <w:pStyle w:val="EMEANormal"/>
              <w:keepNext/>
              <w:rPr>
                <w:lang w:val="en-GB"/>
              </w:rPr>
            </w:pPr>
            <w:r w:rsidRPr="00342F7C">
              <w:rPr>
                <w:lang w:val="en-GB"/>
              </w:rPr>
              <w:t>C</w:t>
            </w:r>
            <w:r w:rsidRPr="00342F7C">
              <w:rPr>
                <w:vertAlign w:val="subscript"/>
                <w:lang w:val="en-GB"/>
              </w:rPr>
              <w:t>max</w:t>
            </w:r>
            <w:r w:rsidRPr="00342F7C">
              <w:rPr>
                <w:lang w:val="en-GB"/>
              </w:rPr>
              <w:t xml:space="preserve">: ↑ 3.5-fold </w:t>
            </w:r>
          </w:p>
          <w:p w14:paraId="2EE102F7" w14:textId="77777777" w:rsidR="00BE1421" w:rsidRPr="00342F7C" w:rsidRDefault="00BE1421" w:rsidP="00D11B95">
            <w:pPr>
              <w:pStyle w:val="EMEANormal"/>
              <w:keepNext/>
              <w:rPr>
                <w:lang w:val="en-GB"/>
              </w:rPr>
            </w:pPr>
          </w:p>
          <w:p w14:paraId="093B9985" w14:textId="77777777" w:rsidR="00BE1421" w:rsidRPr="00342F7C" w:rsidRDefault="00BE1421" w:rsidP="00D11B95">
            <w:pPr>
              <w:pStyle w:val="EMEANormal"/>
              <w:keepNext/>
              <w:rPr>
                <w:lang w:val="en-GB"/>
              </w:rPr>
            </w:pPr>
          </w:p>
        </w:tc>
        <w:tc>
          <w:tcPr>
            <w:tcW w:w="3432" w:type="dxa"/>
            <w:gridSpan w:val="2"/>
            <w:tcBorders>
              <w:top w:val="single" w:sz="4" w:space="0" w:color="auto"/>
              <w:left w:val="single" w:sz="4" w:space="0" w:color="auto"/>
              <w:bottom w:val="single" w:sz="4" w:space="0" w:color="auto"/>
              <w:right w:val="single" w:sz="4" w:space="0" w:color="auto"/>
            </w:tcBorders>
          </w:tcPr>
          <w:p w14:paraId="4E7D4A59" w14:textId="77777777" w:rsidR="00BE1421" w:rsidRPr="00342F7C" w:rsidRDefault="00BE1421" w:rsidP="00D11B95">
            <w:pPr>
              <w:pStyle w:val="EMEANormal"/>
              <w:keepNext/>
              <w:rPr>
                <w:lang w:val="en-GB"/>
              </w:rPr>
            </w:pPr>
            <w:r w:rsidRPr="00342F7C">
              <w:rPr>
                <w:lang w:val="en-GB"/>
              </w:rPr>
              <w:t xml:space="preserve">When given with Kaletra the recommended dose of rifabutin is 150 mg 3 times per week on set days (for example Monday-Wednesday-Friday).  Increased monitoring for rifabutin-associated adverse reactions including neutropenia and uveitis is warranted due to an expected increase in exposure to rifabutin.  Further dosage reduction of rifabutin to 150 mg twice weekly on set days is recommended for patients in whom the 150 mg dose 3 times per week is not tolerated.  It should be kept in mind that the twice weekly dosage of 150 mg may not provide an optimal exposure to rifabutin thus leading to a risk of rifamycin resistance and a treatment failure.  No dose adjustment is needed for Kaletra. </w:t>
            </w:r>
          </w:p>
        </w:tc>
      </w:tr>
      <w:tr w:rsidR="00BE1421" w:rsidRPr="00342F7C" w14:paraId="694ECB53" w14:textId="77777777" w:rsidTr="008F531F">
        <w:tc>
          <w:tcPr>
            <w:tcW w:w="2400" w:type="dxa"/>
            <w:tcBorders>
              <w:top w:val="single" w:sz="4" w:space="0" w:color="auto"/>
              <w:left w:val="single" w:sz="4" w:space="0" w:color="auto"/>
              <w:bottom w:val="single" w:sz="4" w:space="0" w:color="auto"/>
              <w:right w:val="single" w:sz="4" w:space="0" w:color="auto"/>
            </w:tcBorders>
          </w:tcPr>
          <w:p w14:paraId="2DD766BA" w14:textId="77777777" w:rsidR="00BE1421" w:rsidRPr="00342F7C" w:rsidRDefault="00BE1421" w:rsidP="003439BF">
            <w:pPr>
              <w:pStyle w:val="EMEANormal"/>
              <w:keepNext/>
              <w:rPr>
                <w:iCs/>
                <w:lang w:val="en-GB"/>
              </w:rPr>
            </w:pPr>
            <w:r w:rsidRPr="00342F7C">
              <w:rPr>
                <w:bCs/>
                <w:iCs/>
                <w:lang w:val="en-GB"/>
              </w:rPr>
              <w:t>Rifampicin</w:t>
            </w:r>
          </w:p>
        </w:tc>
        <w:tc>
          <w:tcPr>
            <w:tcW w:w="3240" w:type="dxa"/>
            <w:gridSpan w:val="2"/>
            <w:tcBorders>
              <w:top w:val="single" w:sz="4" w:space="0" w:color="auto"/>
              <w:left w:val="single" w:sz="4" w:space="0" w:color="auto"/>
              <w:bottom w:val="single" w:sz="4" w:space="0" w:color="auto"/>
              <w:right w:val="single" w:sz="4" w:space="0" w:color="auto"/>
            </w:tcBorders>
          </w:tcPr>
          <w:p w14:paraId="3B8CAA7D" w14:textId="77777777" w:rsidR="00BE1421" w:rsidRPr="00342F7C" w:rsidRDefault="00BE1421" w:rsidP="003439BF">
            <w:pPr>
              <w:pStyle w:val="EMEANormal"/>
              <w:keepNext/>
              <w:rPr>
                <w:lang w:val="en-GB"/>
              </w:rPr>
            </w:pPr>
            <w:r w:rsidRPr="00342F7C">
              <w:rPr>
                <w:lang w:val="en-GB"/>
              </w:rPr>
              <w:t>Lopinavir:</w:t>
            </w:r>
          </w:p>
          <w:p w14:paraId="1E754ABD" w14:textId="77777777" w:rsidR="00BE1421" w:rsidRPr="00342F7C" w:rsidRDefault="00BE1421" w:rsidP="003439BF">
            <w:pPr>
              <w:pStyle w:val="EMEANormal"/>
              <w:keepNext/>
              <w:rPr>
                <w:lang w:val="en-GB"/>
              </w:rPr>
            </w:pPr>
            <w:r w:rsidRPr="00342F7C">
              <w:rPr>
                <w:lang w:val="en-GB"/>
              </w:rPr>
              <w:t>Large decreases in lopinavir concentrations may be observed due to CYP3A induction by rifampicin.</w:t>
            </w:r>
          </w:p>
          <w:p w14:paraId="14C0F986" w14:textId="77777777" w:rsidR="00BE1421" w:rsidRPr="00342F7C" w:rsidRDefault="00BE1421" w:rsidP="003439BF">
            <w:pPr>
              <w:pStyle w:val="EMEANormal"/>
              <w:keepNext/>
              <w:rPr>
                <w:lang w:val="en-GB"/>
              </w:rPr>
            </w:pPr>
          </w:p>
          <w:p w14:paraId="4A313A62" w14:textId="77777777" w:rsidR="00BE1421" w:rsidRPr="00342F7C" w:rsidRDefault="00BE1421" w:rsidP="003439BF">
            <w:pPr>
              <w:pStyle w:val="EMEANormal"/>
              <w:keepNext/>
              <w:rPr>
                <w:lang w:val="en-GB"/>
              </w:rPr>
            </w:pPr>
          </w:p>
        </w:tc>
        <w:tc>
          <w:tcPr>
            <w:tcW w:w="3432" w:type="dxa"/>
            <w:gridSpan w:val="2"/>
            <w:tcBorders>
              <w:top w:val="single" w:sz="4" w:space="0" w:color="auto"/>
              <w:left w:val="single" w:sz="4" w:space="0" w:color="auto"/>
              <w:bottom w:val="single" w:sz="4" w:space="0" w:color="auto"/>
              <w:right w:val="single" w:sz="4" w:space="0" w:color="auto"/>
            </w:tcBorders>
          </w:tcPr>
          <w:p w14:paraId="5D999DFD" w14:textId="77777777" w:rsidR="00BE1421" w:rsidRPr="00342F7C" w:rsidRDefault="00BE1421" w:rsidP="003439BF">
            <w:pPr>
              <w:pStyle w:val="EMEANormal"/>
              <w:keepNext/>
              <w:rPr>
                <w:lang w:val="en-GB"/>
              </w:rPr>
            </w:pPr>
            <w:r w:rsidRPr="00342F7C">
              <w:rPr>
                <w:iCs/>
                <w:lang w:val="en-GB"/>
              </w:rPr>
              <w:t>Co</w:t>
            </w:r>
            <w:r w:rsidRPr="00342F7C">
              <w:rPr>
                <w:iCs/>
                <w:lang w:val="en-GB"/>
              </w:rPr>
              <w:noBreakHyphen/>
              <w:t xml:space="preserve">administration of Kaletra with rifampicin is not recommended as   </w:t>
            </w:r>
            <w:r w:rsidRPr="00342F7C">
              <w:rPr>
                <w:lang w:val="en-GB"/>
              </w:rPr>
              <w:t>the decrease in lopinavir concentrations may in turn significantly decrease the lopinavir therapeutic effect</w:t>
            </w:r>
            <w:r>
              <w:rPr>
                <w:iCs/>
                <w:lang w:val="en-GB"/>
              </w:rPr>
              <w:t>.</w:t>
            </w:r>
            <w:r w:rsidRPr="00342F7C">
              <w:rPr>
                <w:iCs/>
                <w:lang w:val="en-GB"/>
              </w:rPr>
              <w:t xml:space="preserve">  </w:t>
            </w:r>
            <w:r w:rsidRPr="00342F7C">
              <w:rPr>
                <w:lang w:val="en-GB"/>
              </w:rPr>
              <w:t>A dose adjustment of Kaletra 400 mg/400 mg (i.e. Kaletra 400/100 mg + ritonavir 300 mg) twice daily has allowed compensating for the CYP 3A4 inducer effect of rifampicin.  However, such a dose adjustment might be associated with ALT/AST elevations and with increase in gastrointestinal disorders.  Therefore, this co</w:t>
            </w:r>
            <w:r w:rsidRPr="00342F7C">
              <w:rPr>
                <w:lang w:val="en-GB"/>
              </w:rPr>
              <w:noBreakHyphen/>
              <w:t>administration should be avoided unless judged strictly necessary.  If this co</w:t>
            </w:r>
            <w:r w:rsidRPr="00342F7C">
              <w:rPr>
                <w:lang w:val="en-GB"/>
              </w:rPr>
              <w:noBreakHyphen/>
              <w:t>administration is judged unavoidable, increased dose of Kaletra at 400 mg/400 mg twice daily may be administered with rifampicin under close safety and therapeutic drug monitoring.  The Kaletra dose should be titrated upward only after rifampicin has been initiated (see section 4.4).</w:t>
            </w:r>
          </w:p>
        </w:tc>
      </w:tr>
      <w:tr w:rsidR="00BE1421" w:rsidRPr="00797BFA" w14:paraId="05E333B5"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0EDB15E2" w14:textId="77777777" w:rsidR="00BE1421" w:rsidRPr="00B8664C" w:rsidRDefault="00BE1421" w:rsidP="00E95E29">
            <w:pPr>
              <w:pStyle w:val="EMEANormal"/>
              <w:rPr>
                <w:i/>
                <w:iCs/>
                <w:lang w:val="en-GB"/>
              </w:rPr>
            </w:pPr>
            <w:r w:rsidRPr="00B8664C">
              <w:rPr>
                <w:i/>
                <w:iCs/>
                <w:lang w:val="en-GB"/>
              </w:rPr>
              <w:t>Antipsychotics</w:t>
            </w:r>
          </w:p>
        </w:tc>
      </w:tr>
      <w:tr w:rsidR="00BE1421" w:rsidRPr="00B8664C" w14:paraId="3816C410" w14:textId="77777777" w:rsidTr="008F531F">
        <w:tc>
          <w:tcPr>
            <w:tcW w:w="2400" w:type="dxa"/>
            <w:tcBorders>
              <w:top w:val="single" w:sz="4" w:space="0" w:color="auto"/>
              <w:left w:val="single" w:sz="4" w:space="0" w:color="auto"/>
              <w:bottom w:val="single" w:sz="4" w:space="0" w:color="auto"/>
              <w:right w:val="single" w:sz="4" w:space="0" w:color="auto"/>
            </w:tcBorders>
          </w:tcPr>
          <w:p w14:paraId="7843477F" w14:textId="77777777" w:rsidR="00BE1421" w:rsidRPr="00B8664C" w:rsidRDefault="00BE1421" w:rsidP="00CF61D1">
            <w:pPr>
              <w:pStyle w:val="EMEANormal"/>
              <w:rPr>
                <w:bCs/>
                <w:iCs/>
                <w:lang w:val="en-GB"/>
              </w:rPr>
            </w:pPr>
            <w:r>
              <w:rPr>
                <w:bCs/>
                <w:iCs/>
                <w:lang w:val="en-GB"/>
              </w:rPr>
              <w:t>Lurasidone</w:t>
            </w:r>
          </w:p>
        </w:tc>
        <w:tc>
          <w:tcPr>
            <w:tcW w:w="3240" w:type="dxa"/>
            <w:gridSpan w:val="2"/>
            <w:tcBorders>
              <w:top w:val="single" w:sz="4" w:space="0" w:color="auto"/>
              <w:left w:val="single" w:sz="4" w:space="0" w:color="auto"/>
              <w:bottom w:val="single" w:sz="4" w:space="0" w:color="auto"/>
              <w:right w:val="single" w:sz="4" w:space="0" w:color="auto"/>
            </w:tcBorders>
          </w:tcPr>
          <w:p w14:paraId="481ABB70" w14:textId="77777777" w:rsidR="00BE1421" w:rsidRPr="00B8664C" w:rsidRDefault="00BE1421" w:rsidP="00CF61D1">
            <w:pPr>
              <w:pStyle w:val="EMEANormal"/>
              <w:rPr>
                <w:lang w:val="en-GB"/>
              </w:rPr>
            </w:pPr>
            <w:r>
              <w:rPr>
                <w:lang w:val="en-GB"/>
              </w:rPr>
              <w:t>Due to CYP3A inhibition by lopinavir/ritonavir, concentrations of lurasidone are expected to increase.</w:t>
            </w:r>
          </w:p>
        </w:tc>
        <w:tc>
          <w:tcPr>
            <w:tcW w:w="3432" w:type="dxa"/>
            <w:gridSpan w:val="2"/>
            <w:tcBorders>
              <w:top w:val="single" w:sz="4" w:space="0" w:color="auto"/>
              <w:left w:val="single" w:sz="4" w:space="0" w:color="auto"/>
              <w:bottom w:val="single" w:sz="4" w:space="0" w:color="auto"/>
              <w:right w:val="single" w:sz="4" w:space="0" w:color="auto"/>
            </w:tcBorders>
          </w:tcPr>
          <w:p w14:paraId="44958B88" w14:textId="77777777" w:rsidR="00BE1421" w:rsidRPr="00B8664C" w:rsidRDefault="00BE1421" w:rsidP="00CF61D1">
            <w:pPr>
              <w:pStyle w:val="EMEANormal"/>
              <w:rPr>
                <w:iCs/>
                <w:lang w:val="en-GB"/>
              </w:rPr>
            </w:pPr>
            <w:r>
              <w:rPr>
                <w:iCs/>
                <w:lang w:val="en-GB"/>
              </w:rPr>
              <w:t>The concomitant administration with lurasidone is contraindicated (see section 4.3).</w:t>
            </w:r>
          </w:p>
        </w:tc>
      </w:tr>
      <w:tr w:rsidR="00BE1421" w:rsidRPr="00B8664C" w14:paraId="437FEA78" w14:textId="77777777" w:rsidTr="008F531F">
        <w:tc>
          <w:tcPr>
            <w:tcW w:w="2400" w:type="dxa"/>
            <w:tcBorders>
              <w:top w:val="single" w:sz="4" w:space="0" w:color="auto"/>
              <w:left w:val="single" w:sz="4" w:space="0" w:color="auto"/>
              <w:bottom w:val="single" w:sz="4" w:space="0" w:color="auto"/>
              <w:right w:val="single" w:sz="4" w:space="0" w:color="auto"/>
            </w:tcBorders>
          </w:tcPr>
          <w:p w14:paraId="5C6C639E" w14:textId="77777777" w:rsidR="00BE1421" w:rsidRDefault="00BE1421" w:rsidP="00D11B95">
            <w:pPr>
              <w:pStyle w:val="EMEANormal"/>
              <w:keepNext/>
              <w:rPr>
                <w:bCs/>
                <w:iCs/>
                <w:lang w:val="en-GB"/>
              </w:rPr>
            </w:pPr>
            <w:r>
              <w:rPr>
                <w:bCs/>
                <w:iCs/>
                <w:lang w:val="en-GB"/>
              </w:rPr>
              <w:t>Pimozide</w:t>
            </w:r>
          </w:p>
        </w:tc>
        <w:tc>
          <w:tcPr>
            <w:tcW w:w="3240" w:type="dxa"/>
            <w:gridSpan w:val="2"/>
            <w:tcBorders>
              <w:top w:val="single" w:sz="4" w:space="0" w:color="auto"/>
              <w:left w:val="single" w:sz="4" w:space="0" w:color="auto"/>
              <w:bottom w:val="single" w:sz="4" w:space="0" w:color="auto"/>
              <w:right w:val="single" w:sz="4" w:space="0" w:color="auto"/>
            </w:tcBorders>
          </w:tcPr>
          <w:p w14:paraId="45367B04" w14:textId="77777777" w:rsidR="00BE1421" w:rsidRDefault="00BE1421" w:rsidP="00D11B95">
            <w:pPr>
              <w:pStyle w:val="EMEANormal"/>
              <w:keepNext/>
              <w:rPr>
                <w:lang w:val="en-GB"/>
              </w:rPr>
            </w:pPr>
            <w:r>
              <w:rPr>
                <w:lang w:val="en-GB"/>
              </w:rPr>
              <w:t>Due to CYP3A inhibition by lopinavir/ritonavir, concentrations of pimozide are expected to increase.</w:t>
            </w:r>
          </w:p>
        </w:tc>
        <w:tc>
          <w:tcPr>
            <w:tcW w:w="3432" w:type="dxa"/>
            <w:gridSpan w:val="2"/>
            <w:tcBorders>
              <w:top w:val="single" w:sz="4" w:space="0" w:color="auto"/>
              <w:left w:val="single" w:sz="4" w:space="0" w:color="auto"/>
              <w:bottom w:val="single" w:sz="4" w:space="0" w:color="auto"/>
              <w:right w:val="single" w:sz="4" w:space="0" w:color="auto"/>
            </w:tcBorders>
          </w:tcPr>
          <w:p w14:paraId="561A2164" w14:textId="77777777" w:rsidR="00BE1421" w:rsidRDefault="00BE1421" w:rsidP="00D11B95">
            <w:pPr>
              <w:pStyle w:val="EMEANormal"/>
              <w:keepNext/>
              <w:rPr>
                <w:iCs/>
                <w:lang w:val="en-GB"/>
              </w:rPr>
            </w:pPr>
            <w:r w:rsidRPr="00B8664C">
              <w:rPr>
                <w:iCs/>
                <w:lang w:val="en-GB"/>
              </w:rPr>
              <w:t xml:space="preserve">Concomitant administration of Kaletra and </w:t>
            </w:r>
            <w:r>
              <w:rPr>
                <w:iCs/>
                <w:lang w:val="en-GB"/>
              </w:rPr>
              <w:t>pimozide</w:t>
            </w:r>
            <w:r w:rsidRPr="00B8664C">
              <w:rPr>
                <w:iCs/>
                <w:lang w:val="en-GB"/>
              </w:rPr>
              <w:t xml:space="preserve"> is contraindicated as it may increase</w:t>
            </w:r>
            <w:r>
              <w:rPr>
                <w:iCs/>
                <w:lang w:val="en-GB"/>
              </w:rPr>
              <w:t xml:space="preserve"> the risk of serious haematologic abnormalities or other serious adverse effects from this agent (see section 4.3)</w:t>
            </w:r>
          </w:p>
        </w:tc>
      </w:tr>
      <w:tr w:rsidR="00BE1421" w:rsidRPr="00B8664C" w14:paraId="39EBA590" w14:textId="77777777" w:rsidTr="008F531F">
        <w:tc>
          <w:tcPr>
            <w:tcW w:w="2400" w:type="dxa"/>
            <w:tcBorders>
              <w:top w:val="single" w:sz="4" w:space="0" w:color="auto"/>
              <w:left w:val="single" w:sz="4" w:space="0" w:color="auto"/>
              <w:bottom w:val="single" w:sz="4" w:space="0" w:color="auto"/>
              <w:right w:val="single" w:sz="4" w:space="0" w:color="auto"/>
            </w:tcBorders>
          </w:tcPr>
          <w:p w14:paraId="1D52E213" w14:textId="77777777" w:rsidR="00BE1421" w:rsidRPr="00797BFA" w:rsidRDefault="00BE1421" w:rsidP="00E95E29">
            <w:pPr>
              <w:pStyle w:val="EMEANormal"/>
              <w:rPr>
                <w:bCs/>
                <w:iCs/>
                <w:lang w:val="en-GB"/>
              </w:rPr>
            </w:pPr>
            <w:r w:rsidRPr="00797BFA">
              <w:rPr>
                <w:bCs/>
                <w:iCs/>
                <w:lang w:val="en-GB"/>
              </w:rPr>
              <w:t>Quetiapine</w:t>
            </w:r>
          </w:p>
        </w:tc>
        <w:tc>
          <w:tcPr>
            <w:tcW w:w="3240" w:type="dxa"/>
            <w:gridSpan w:val="2"/>
            <w:tcBorders>
              <w:top w:val="single" w:sz="4" w:space="0" w:color="auto"/>
              <w:left w:val="single" w:sz="4" w:space="0" w:color="auto"/>
              <w:bottom w:val="single" w:sz="4" w:space="0" w:color="auto"/>
              <w:right w:val="single" w:sz="4" w:space="0" w:color="auto"/>
            </w:tcBorders>
          </w:tcPr>
          <w:p w14:paraId="0FB7BCA3" w14:textId="77777777" w:rsidR="00BE1421" w:rsidRPr="00797BFA" w:rsidRDefault="00BE1421" w:rsidP="00E95E29">
            <w:pPr>
              <w:pStyle w:val="EMEANormal"/>
              <w:rPr>
                <w:lang w:val="en-GB"/>
              </w:rPr>
            </w:pPr>
            <w:r w:rsidRPr="00797BFA">
              <w:rPr>
                <w:lang w:val="en-GB"/>
              </w:rPr>
              <w:t>Due to CYP3A inhibition by lopinavir/ritonavir, concentrations of quetiapine are expected to increase.</w:t>
            </w:r>
          </w:p>
        </w:tc>
        <w:tc>
          <w:tcPr>
            <w:tcW w:w="3432" w:type="dxa"/>
            <w:gridSpan w:val="2"/>
            <w:tcBorders>
              <w:top w:val="single" w:sz="4" w:space="0" w:color="auto"/>
              <w:left w:val="single" w:sz="4" w:space="0" w:color="auto"/>
              <w:bottom w:val="single" w:sz="4" w:space="0" w:color="auto"/>
              <w:right w:val="single" w:sz="4" w:space="0" w:color="auto"/>
            </w:tcBorders>
          </w:tcPr>
          <w:p w14:paraId="16CC6281" w14:textId="77777777" w:rsidR="00BE1421" w:rsidRPr="00797BFA" w:rsidRDefault="00BE1421" w:rsidP="00E95E29">
            <w:pPr>
              <w:pStyle w:val="EMEANormal"/>
              <w:rPr>
                <w:iCs/>
                <w:lang w:val="en-GB"/>
              </w:rPr>
            </w:pPr>
            <w:r w:rsidRPr="00797BFA">
              <w:rPr>
                <w:iCs/>
                <w:lang w:val="en-GB"/>
              </w:rPr>
              <w:t>Concomitant administration of Kaletra and quetiapine is contraindicated as it may increase quetiapine-related toxicity.</w:t>
            </w:r>
          </w:p>
        </w:tc>
      </w:tr>
      <w:tr w:rsidR="00BE1421" w:rsidRPr="00342F7C" w14:paraId="1E6E077C"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203B4FB8" w14:textId="77777777" w:rsidR="00BE1421" w:rsidRPr="00342F7C" w:rsidRDefault="00BE1421" w:rsidP="00E95E29">
            <w:pPr>
              <w:pStyle w:val="EMEANormal"/>
              <w:rPr>
                <w:i/>
                <w:lang w:val="en-GB"/>
              </w:rPr>
            </w:pPr>
            <w:r w:rsidRPr="00342F7C">
              <w:rPr>
                <w:i/>
                <w:lang w:val="en-GB"/>
              </w:rPr>
              <w:t>Benzodiazepines</w:t>
            </w:r>
          </w:p>
        </w:tc>
      </w:tr>
      <w:tr w:rsidR="00BE1421" w:rsidRPr="00342F7C" w14:paraId="41AD93AF" w14:textId="77777777" w:rsidTr="008F531F">
        <w:tc>
          <w:tcPr>
            <w:tcW w:w="2400" w:type="dxa"/>
            <w:tcBorders>
              <w:top w:val="single" w:sz="4" w:space="0" w:color="auto"/>
              <w:left w:val="single" w:sz="4" w:space="0" w:color="auto"/>
              <w:bottom w:val="single" w:sz="4" w:space="0" w:color="auto"/>
              <w:right w:val="single" w:sz="4" w:space="0" w:color="auto"/>
            </w:tcBorders>
          </w:tcPr>
          <w:p w14:paraId="7E21D804" w14:textId="77777777" w:rsidR="00BE1421" w:rsidRPr="00342F7C" w:rsidRDefault="00BE1421" w:rsidP="00E95E29">
            <w:pPr>
              <w:pStyle w:val="EMEANormal"/>
              <w:rPr>
                <w:iCs/>
                <w:lang w:val="en-GB"/>
              </w:rPr>
            </w:pPr>
            <w:r w:rsidRPr="00342F7C">
              <w:rPr>
                <w:iCs/>
                <w:lang w:val="en-GB"/>
              </w:rPr>
              <w:t>Midazolam</w:t>
            </w:r>
          </w:p>
          <w:p w14:paraId="73690597" w14:textId="77777777" w:rsidR="00BE1421" w:rsidRPr="00342F7C" w:rsidRDefault="00BE1421" w:rsidP="00E95E29">
            <w:pPr>
              <w:pStyle w:val="EMEANormal"/>
              <w:rPr>
                <w:i/>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1F0860AD" w14:textId="77777777" w:rsidR="00BE1421" w:rsidRPr="00342F7C" w:rsidRDefault="00BE1421" w:rsidP="00E95E29">
            <w:pPr>
              <w:pStyle w:val="EMEANormal"/>
              <w:rPr>
                <w:i/>
                <w:lang w:val="en-GB"/>
              </w:rPr>
            </w:pPr>
            <w:r w:rsidRPr="00342F7C">
              <w:rPr>
                <w:iCs/>
                <w:lang w:val="en-GB"/>
              </w:rPr>
              <w:t xml:space="preserve">Oral Midazolam: </w:t>
            </w:r>
          </w:p>
          <w:p w14:paraId="1F719934" w14:textId="77777777" w:rsidR="00BE1421" w:rsidRPr="00342F7C" w:rsidRDefault="00BE1421" w:rsidP="00E95E29">
            <w:pPr>
              <w:pStyle w:val="EMEANormal"/>
              <w:rPr>
                <w:iCs/>
                <w:lang w:val="en-GB"/>
              </w:rPr>
            </w:pPr>
            <w:r w:rsidRPr="00342F7C">
              <w:rPr>
                <w:iCs/>
                <w:lang w:val="en-GB"/>
              </w:rPr>
              <w:t xml:space="preserve">AUC: ↑ 13-fold </w:t>
            </w:r>
          </w:p>
          <w:p w14:paraId="640F16E3" w14:textId="77777777" w:rsidR="00BE1421" w:rsidRPr="00342F7C" w:rsidRDefault="00BE1421" w:rsidP="00E95E29">
            <w:pPr>
              <w:pStyle w:val="EMEANormal"/>
              <w:rPr>
                <w:iCs/>
                <w:lang w:val="en-GB"/>
              </w:rPr>
            </w:pPr>
            <w:r w:rsidRPr="00342F7C">
              <w:rPr>
                <w:iCs/>
                <w:lang w:val="en-GB"/>
              </w:rPr>
              <w:t>Parenteral Midazolam:</w:t>
            </w:r>
          </w:p>
          <w:p w14:paraId="31EDE8BE" w14:textId="77777777" w:rsidR="00BE1421" w:rsidRPr="00342F7C" w:rsidRDefault="00BE1421" w:rsidP="00E95E29">
            <w:pPr>
              <w:pStyle w:val="EMEANormal"/>
              <w:rPr>
                <w:iCs/>
                <w:lang w:val="en-GB"/>
              </w:rPr>
            </w:pPr>
            <w:r w:rsidRPr="00342F7C">
              <w:rPr>
                <w:iCs/>
                <w:lang w:val="en-GB"/>
              </w:rPr>
              <w:t>AUC: ↑ 4-fold</w:t>
            </w:r>
          </w:p>
          <w:p w14:paraId="0F06988B" w14:textId="77777777" w:rsidR="00BE1421" w:rsidRPr="00342F7C" w:rsidRDefault="00BE1421" w:rsidP="00E95E29">
            <w:pPr>
              <w:pStyle w:val="EMEANormal"/>
              <w:rPr>
                <w:lang w:val="en-GB"/>
              </w:rPr>
            </w:pPr>
            <w:r w:rsidRPr="00342F7C">
              <w:rPr>
                <w:lang w:val="en-GB"/>
              </w:rPr>
              <w:t xml:space="preserve">Due to CYP3A inhibition by </w:t>
            </w:r>
            <w:r>
              <w:rPr>
                <w:lang w:val="en-GB"/>
              </w:rPr>
              <w:t>lopinavir/ritonavir</w:t>
            </w:r>
          </w:p>
          <w:p w14:paraId="0B16C5F8" w14:textId="77777777" w:rsidR="00BE1421" w:rsidRPr="00342F7C" w:rsidRDefault="00BE1421" w:rsidP="00E95E29">
            <w:pPr>
              <w:pStyle w:val="EMEANormal"/>
              <w:rPr>
                <w:iCs/>
                <w:lang w:val="en-GB"/>
              </w:rPr>
            </w:pPr>
          </w:p>
          <w:p w14:paraId="03B57AC9" w14:textId="77777777" w:rsidR="00BE1421" w:rsidRPr="00342F7C" w:rsidRDefault="00BE1421" w:rsidP="00E95E29">
            <w:pPr>
              <w:pStyle w:val="EMEANormal"/>
              <w:rPr>
                <w:iCs/>
                <w:lang w:val="en-GB"/>
              </w:rPr>
            </w:pPr>
          </w:p>
        </w:tc>
        <w:tc>
          <w:tcPr>
            <w:tcW w:w="3432" w:type="dxa"/>
            <w:gridSpan w:val="2"/>
            <w:tcBorders>
              <w:top w:val="single" w:sz="4" w:space="0" w:color="auto"/>
              <w:left w:val="single" w:sz="4" w:space="0" w:color="auto"/>
              <w:bottom w:val="single" w:sz="4" w:space="0" w:color="auto"/>
              <w:right w:val="single" w:sz="4" w:space="0" w:color="auto"/>
            </w:tcBorders>
          </w:tcPr>
          <w:p w14:paraId="643433A1" w14:textId="77777777" w:rsidR="00BE1421" w:rsidRPr="00342F7C" w:rsidRDefault="00BE1421" w:rsidP="00E95E29">
            <w:pPr>
              <w:pStyle w:val="EMEANormal"/>
              <w:rPr>
                <w:lang w:val="en-GB"/>
              </w:rPr>
            </w:pPr>
            <w:r w:rsidRPr="00342F7C">
              <w:rPr>
                <w:iCs/>
                <w:lang w:val="en-GB"/>
              </w:rPr>
              <w:t>Kaletra must not be co</w:t>
            </w:r>
            <w:r w:rsidRPr="00342F7C">
              <w:rPr>
                <w:iCs/>
                <w:lang w:val="en-GB"/>
              </w:rPr>
              <w:noBreakHyphen/>
              <w:t>administered with oral midazolam (see section 4.3), whereas caution should be used with co</w:t>
            </w:r>
            <w:r w:rsidRPr="00342F7C">
              <w:rPr>
                <w:iCs/>
                <w:lang w:val="en-GB"/>
              </w:rPr>
              <w:noBreakHyphen/>
              <w:t>administration of Kaletra and parenteral midazolam.  If Kaletra is co</w:t>
            </w:r>
            <w:r w:rsidRPr="00342F7C">
              <w:rPr>
                <w:iCs/>
                <w:lang w:val="en-GB"/>
              </w:rPr>
              <w:noBreakHyphen/>
              <w:t>administered with parenteral midazolam, it should be done in an intensive care unit (ICU) or similar setting which ensures close clinical monitoring and appropriate medical management in case of respiratory depression and/or prolonged sedation.  Dosage adjustment for midazolam should be considered especially if more than a single dose of midazolam is administered.</w:t>
            </w:r>
          </w:p>
        </w:tc>
      </w:tr>
      <w:tr w:rsidR="00BE1421" w:rsidRPr="00DC2361" w14:paraId="2A99730B"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3B078581" w14:textId="77777777" w:rsidR="00BE1421" w:rsidRPr="00DC2361" w:rsidRDefault="00BE1421" w:rsidP="003439BF">
            <w:pPr>
              <w:pStyle w:val="EMEANormal"/>
              <w:keepNext/>
              <w:rPr>
                <w:bCs/>
                <w:i/>
                <w:lang w:val="en-GB"/>
              </w:rPr>
            </w:pPr>
            <w:r w:rsidRPr="00DC2361">
              <w:rPr>
                <w:i/>
                <w:szCs w:val="22"/>
              </w:rPr>
              <w:t>Beta</w:t>
            </w:r>
            <w:r w:rsidRPr="00DC2361">
              <w:rPr>
                <w:i/>
                <w:szCs w:val="22"/>
                <w:vertAlign w:val="subscript"/>
              </w:rPr>
              <w:t>2</w:t>
            </w:r>
            <w:r w:rsidRPr="00DC2361">
              <w:rPr>
                <w:i/>
                <w:szCs w:val="22"/>
              </w:rPr>
              <w:t>-adrenoceptor agonist (long acting)</w:t>
            </w:r>
          </w:p>
        </w:tc>
      </w:tr>
      <w:tr w:rsidR="00BE1421" w:rsidRPr="00342F7C" w14:paraId="1463E6CC" w14:textId="77777777" w:rsidTr="008F531F">
        <w:tc>
          <w:tcPr>
            <w:tcW w:w="2400" w:type="dxa"/>
            <w:tcBorders>
              <w:top w:val="single" w:sz="4" w:space="0" w:color="auto"/>
              <w:left w:val="single" w:sz="4" w:space="0" w:color="auto"/>
              <w:bottom w:val="single" w:sz="4" w:space="0" w:color="auto"/>
              <w:right w:val="single" w:sz="4" w:space="0" w:color="auto"/>
            </w:tcBorders>
          </w:tcPr>
          <w:p w14:paraId="5BDF23EB" w14:textId="77777777" w:rsidR="00BE1421" w:rsidRPr="00342F7C" w:rsidRDefault="00BE1421" w:rsidP="003439BF">
            <w:pPr>
              <w:pStyle w:val="EMEANormal"/>
              <w:keepNext/>
              <w:rPr>
                <w:lang w:val="en-GB"/>
              </w:rPr>
            </w:pPr>
            <w:r>
              <w:rPr>
                <w:lang w:val="en-GB"/>
              </w:rPr>
              <w:t>Salmeterol</w:t>
            </w:r>
          </w:p>
        </w:tc>
        <w:tc>
          <w:tcPr>
            <w:tcW w:w="3240" w:type="dxa"/>
            <w:gridSpan w:val="2"/>
            <w:tcBorders>
              <w:top w:val="single" w:sz="4" w:space="0" w:color="auto"/>
              <w:left w:val="single" w:sz="4" w:space="0" w:color="auto"/>
              <w:bottom w:val="single" w:sz="4" w:space="0" w:color="auto"/>
              <w:right w:val="single" w:sz="4" w:space="0" w:color="auto"/>
            </w:tcBorders>
          </w:tcPr>
          <w:p w14:paraId="1A71CDAF" w14:textId="77777777" w:rsidR="00BE1421" w:rsidRDefault="00BE1421" w:rsidP="003439BF">
            <w:pPr>
              <w:pStyle w:val="EMEANormal"/>
              <w:keepNext/>
              <w:rPr>
                <w:lang w:val="en-GB"/>
              </w:rPr>
            </w:pPr>
            <w:r>
              <w:rPr>
                <w:lang w:val="en-GB"/>
              </w:rPr>
              <w:t>Salmeterol:</w:t>
            </w:r>
          </w:p>
          <w:p w14:paraId="1AEC67DA" w14:textId="77777777" w:rsidR="00BE1421" w:rsidRPr="00342F7C" w:rsidRDefault="00BE1421" w:rsidP="003439BF">
            <w:pPr>
              <w:pStyle w:val="EMEANormal"/>
              <w:keepNext/>
              <w:rPr>
                <w:lang w:val="en-GB"/>
              </w:rPr>
            </w:pPr>
            <w:r>
              <w:rPr>
                <w:lang w:val="en-GB"/>
              </w:rPr>
              <w:t>Concentrations are expected to increase due to CYP3A inhibition by lopinavir/ritonavir.</w:t>
            </w:r>
          </w:p>
        </w:tc>
        <w:tc>
          <w:tcPr>
            <w:tcW w:w="3432" w:type="dxa"/>
            <w:gridSpan w:val="2"/>
            <w:tcBorders>
              <w:top w:val="single" w:sz="4" w:space="0" w:color="auto"/>
              <w:left w:val="single" w:sz="4" w:space="0" w:color="auto"/>
              <w:bottom w:val="single" w:sz="4" w:space="0" w:color="auto"/>
              <w:right w:val="single" w:sz="4" w:space="0" w:color="auto"/>
            </w:tcBorders>
          </w:tcPr>
          <w:p w14:paraId="7A58CF4A" w14:textId="77777777" w:rsidR="00BE1421" w:rsidRPr="0071232B" w:rsidRDefault="00BE1421" w:rsidP="003439BF">
            <w:pPr>
              <w:keepNext/>
              <w:autoSpaceDE w:val="0"/>
              <w:autoSpaceDN w:val="0"/>
              <w:adjustRightInd w:val="0"/>
              <w:rPr>
                <w:sz w:val="22"/>
                <w:szCs w:val="22"/>
                <w:lang w:eastAsia="de-DE"/>
              </w:rPr>
            </w:pPr>
            <w:r w:rsidRPr="0071232B">
              <w:rPr>
                <w:sz w:val="22"/>
                <w:szCs w:val="22"/>
                <w:lang w:eastAsia="de-DE"/>
              </w:rPr>
              <w:t>The combination may result in increased risk of cardiovascular adverse events associated with salmeterol, including QT prolongation, palpitations and sinus tachycardia.</w:t>
            </w:r>
          </w:p>
          <w:p w14:paraId="3C153375" w14:textId="77777777" w:rsidR="00BE1421" w:rsidRPr="00342F7C" w:rsidRDefault="00BE1421" w:rsidP="003439BF">
            <w:pPr>
              <w:pStyle w:val="EMEANormal"/>
              <w:keepNext/>
              <w:rPr>
                <w:lang w:val="en-GB"/>
              </w:rPr>
            </w:pPr>
            <w:r w:rsidRPr="0071232B">
              <w:rPr>
                <w:szCs w:val="22"/>
                <w:lang w:eastAsia="de-DE"/>
              </w:rPr>
              <w:t xml:space="preserve">Therefore, concomitant administration of </w:t>
            </w:r>
            <w:r>
              <w:rPr>
                <w:szCs w:val="22"/>
                <w:lang w:eastAsia="de-DE"/>
              </w:rPr>
              <w:t>Kaletra</w:t>
            </w:r>
            <w:r w:rsidRPr="0071232B">
              <w:rPr>
                <w:szCs w:val="22"/>
                <w:lang w:eastAsia="de-DE"/>
              </w:rPr>
              <w:t xml:space="preserve"> with </w:t>
            </w:r>
            <w:r w:rsidRPr="00AC3B88">
              <w:rPr>
                <w:iCs/>
                <w:szCs w:val="22"/>
                <w:lang w:eastAsia="fr-FR"/>
              </w:rPr>
              <w:t>salmeterol</w:t>
            </w:r>
            <w:r w:rsidRPr="0071232B">
              <w:rPr>
                <w:szCs w:val="22"/>
                <w:lang w:eastAsia="de-DE"/>
              </w:rPr>
              <w:t xml:space="preserve"> is not recommended (see section 4.4).</w:t>
            </w:r>
          </w:p>
        </w:tc>
      </w:tr>
      <w:tr w:rsidR="00BE1421" w:rsidRPr="00342F7C" w14:paraId="46DAAAAF"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5799EB09" w14:textId="77777777" w:rsidR="00BE1421" w:rsidRPr="00342F7C" w:rsidRDefault="00BE1421" w:rsidP="00E95E29">
            <w:pPr>
              <w:pStyle w:val="EMEANormal"/>
              <w:rPr>
                <w:i/>
                <w:lang w:val="en-GB"/>
              </w:rPr>
            </w:pPr>
            <w:r w:rsidRPr="00342F7C">
              <w:rPr>
                <w:bCs/>
                <w:i/>
                <w:lang w:val="en-GB"/>
              </w:rPr>
              <w:t>Calcium channel blockers</w:t>
            </w:r>
          </w:p>
        </w:tc>
      </w:tr>
      <w:tr w:rsidR="00BE1421" w:rsidRPr="00342F7C" w14:paraId="270F8251" w14:textId="77777777" w:rsidTr="008F531F">
        <w:tc>
          <w:tcPr>
            <w:tcW w:w="2400" w:type="dxa"/>
            <w:tcBorders>
              <w:top w:val="single" w:sz="4" w:space="0" w:color="auto"/>
              <w:left w:val="single" w:sz="4" w:space="0" w:color="auto"/>
              <w:bottom w:val="single" w:sz="4" w:space="0" w:color="auto"/>
              <w:right w:val="single" w:sz="4" w:space="0" w:color="auto"/>
            </w:tcBorders>
          </w:tcPr>
          <w:p w14:paraId="4DD2E36D" w14:textId="77777777" w:rsidR="00BE1421" w:rsidRPr="00342F7C" w:rsidRDefault="00BE1421" w:rsidP="00E95E29">
            <w:pPr>
              <w:pStyle w:val="EMEANormal"/>
              <w:rPr>
                <w:lang w:val="en-GB"/>
              </w:rPr>
            </w:pPr>
            <w:r w:rsidRPr="00342F7C">
              <w:rPr>
                <w:lang w:val="en-GB"/>
              </w:rPr>
              <w:t>Felodipine, Nifedipine, and Nicardipine</w:t>
            </w:r>
          </w:p>
        </w:tc>
        <w:tc>
          <w:tcPr>
            <w:tcW w:w="3240" w:type="dxa"/>
            <w:gridSpan w:val="2"/>
            <w:tcBorders>
              <w:top w:val="single" w:sz="4" w:space="0" w:color="auto"/>
              <w:left w:val="single" w:sz="4" w:space="0" w:color="auto"/>
              <w:bottom w:val="single" w:sz="4" w:space="0" w:color="auto"/>
              <w:right w:val="single" w:sz="4" w:space="0" w:color="auto"/>
            </w:tcBorders>
          </w:tcPr>
          <w:p w14:paraId="2E6B9CFF" w14:textId="77777777" w:rsidR="00BE1421" w:rsidRPr="00342F7C" w:rsidRDefault="00BE1421" w:rsidP="00E95E29">
            <w:pPr>
              <w:pStyle w:val="EMEANormal"/>
              <w:rPr>
                <w:lang w:val="en-GB"/>
              </w:rPr>
            </w:pPr>
            <w:r w:rsidRPr="00342F7C">
              <w:rPr>
                <w:lang w:val="en-GB"/>
              </w:rPr>
              <w:t>Felodipine, Nifedipine, Nicardipine:</w:t>
            </w:r>
          </w:p>
          <w:p w14:paraId="7172B8A7" w14:textId="77777777" w:rsidR="00BE1421" w:rsidRPr="00342F7C" w:rsidRDefault="00BE1421" w:rsidP="00E95E29">
            <w:pPr>
              <w:pStyle w:val="EMEANormal"/>
              <w:rPr>
                <w:lang w:val="en-GB"/>
              </w:rPr>
            </w:pPr>
            <w:r w:rsidRPr="00342F7C">
              <w:rPr>
                <w:lang w:val="en-GB"/>
              </w:rPr>
              <w:t xml:space="preserve">Concentrations may be increased due to CYP3A inhibition by </w:t>
            </w:r>
            <w:r>
              <w:rPr>
                <w:lang w:val="en-GB"/>
              </w:rPr>
              <w:t>lopinavir/ritonavir</w:t>
            </w:r>
            <w:r w:rsidRPr="00342F7C">
              <w:rPr>
                <w:lang w:val="en-GB"/>
              </w:rPr>
              <w:t>.</w:t>
            </w:r>
          </w:p>
        </w:tc>
        <w:tc>
          <w:tcPr>
            <w:tcW w:w="3432" w:type="dxa"/>
            <w:gridSpan w:val="2"/>
            <w:tcBorders>
              <w:top w:val="single" w:sz="4" w:space="0" w:color="auto"/>
              <w:left w:val="single" w:sz="4" w:space="0" w:color="auto"/>
              <w:bottom w:val="single" w:sz="4" w:space="0" w:color="auto"/>
              <w:right w:val="single" w:sz="4" w:space="0" w:color="auto"/>
            </w:tcBorders>
          </w:tcPr>
          <w:p w14:paraId="5922CC96" w14:textId="77777777" w:rsidR="00BE1421" w:rsidRPr="00342F7C" w:rsidRDefault="00BE1421" w:rsidP="00E95E29">
            <w:pPr>
              <w:pStyle w:val="EMEANormal"/>
              <w:rPr>
                <w:lang w:val="en-GB"/>
              </w:rPr>
            </w:pPr>
            <w:r w:rsidRPr="00342F7C">
              <w:rPr>
                <w:szCs w:val="22"/>
                <w:lang w:val="en-GB"/>
              </w:rPr>
              <w:t>Clinical monitoring of therapeutic and adverse effects is recommended when these medicines are concomitantly administered with Kaletra.</w:t>
            </w:r>
          </w:p>
        </w:tc>
      </w:tr>
      <w:tr w:rsidR="00BE1421" w:rsidRPr="00342F7C" w14:paraId="4150C65F"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19071F84" w14:textId="77777777" w:rsidR="00BE1421" w:rsidRPr="00342F7C" w:rsidRDefault="00BE1421" w:rsidP="00E95E29">
            <w:pPr>
              <w:pStyle w:val="EMEANormal"/>
              <w:rPr>
                <w:i/>
                <w:lang w:val="en-GB"/>
              </w:rPr>
            </w:pPr>
            <w:r w:rsidRPr="00342F7C">
              <w:rPr>
                <w:i/>
                <w:lang w:val="en-GB"/>
              </w:rPr>
              <w:t>Corticosteroids</w:t>
            </w:r>
          </w:p>
        </w:tc>
      </w:tr>
      <w:tr w:rsidR="00BE1421" w:rsidRPr="00342F7C" w14:paraId="352C915D" w14:textId="77777777" w:rsidTr="008F531F">
        <w:tc>
          <w:tcPr>
            <w:tcW w:w="2400" w:type="dxa"/>
            <w:tcBorders>
              <w:top w:val="single" w:sz="4" w:space="0" w:color="auto"/>
              <w:left w:val="single" w:sz="4" w:space="0" w:color="auto"/>
              <w:bottom w:val="single" w:sz="4" w:space="0" w:color="auto"/>
              <w:right w:val="single" w:sz="4" w:space="0" w:color="auto"/>
            </w:tcBorders>
          </w:tcPr>
          <w:p w14:paraId="52D705EC" w14:textId="77777777" w:rsidR="00BE1421" w:rsidRPr="00342F7C" w:rsidRDefault="00BE1421" w:rsidP="00E95E29">
            <w:pPr>
              <w:pStyle w:val="EMEANormal"/>
              <w:rPr>
                <w:lang w:val="en-GB"/>
              </w:rPr>
            </w:pPr>
            <w:r w:rsidRPr="00342F7C">
              <w:rPr>
                <w:bCs/>
                <w:iCs/>
                <w:lang w:val="en-GB"/>
              </w:rPr>
              <w:t>Dexamethasone</w:t>
            </w:r>
          </w:p>
        </w:tc>
        <w:tc>
          <w:tcPr>
            <w:tcW w:w="3240" w:type="dxa"/>
            <w:gridSpan w:val="2"/>
            <w:tcBorders>
              <w:top w:val="single" w:sz="4" w:space="0" w:color="auto"/>
              <w:left w:val="single" w:sz="4" w:space="0" w:color="auto"/>
              <w:bottom w:val="single" w:sz="4" w:space="0" w:color="auto"/>
              <w:right w:val="single" w:sz="4" w:space="0" w:color="auto"/>
            </w:tcBorders>
          </w:tcPr>
          <w:p w14:paraId="1E0B1FA7" w14:textId="77777777" w:rsidR="00BE1421" w:rsidRPr="00342F7C" w:rsidRDefault="00BE1421" w:rsidP="00E95E29">
            <w:pPr>
              <w:pStyle w:val="EMEANormal"/>
              <w:rPr>
                <w:lang w:val="en-GB"/>
              </w:rPr>
            </w:pPr>
            <w:r w:rsidRPr="00342F7C">
              <w:rPr>
                <w:lang w:val="en-GB"/>
              </w:rPr>
              <w:t>Lopinavir:</w:t>
            </w:r>
          </w:p>
          <w:p w14:paraId="2BCA193E" w14:textId="77777777" w:rsidR="00BE1421" w:rsidRPr="00342F7C" w:rsidRDefault="00BE1421" w:rsidP="00E95E29">
            <w:pPr>
              <w:pStyle w:val="EMEANormal"/>
              <w:rPr>
                <w:lang w:val="en-GB"/>
              </w:rPr>
            </w:pPr>
            <w:r w:rsidRPr="00342F7C">
              <w:rPr>
                <w:lang w:val="en-GB"/>
              </w:rPr>
              <w:t>Concentrations may be decreased due to CYP3A induction by dexamethasone.</w:t>
            </w:r>
          </w:p>
          <w:p w14:paraId="0337359F" w14:textId="77777777" w:rsidR="00BE1421" w:rsidRPr="00342F7C" w:rsidRDefault="00BE1421" w:rsidP="00E95E29">
            <w:pPr>
              <w:pStyle w:val="EMEANormal"/>
              <w:rPr>
                <w:lang w:val="en-GB"/>
              </w:rPr>
            </w:pPr>
          </w:p>
        </w:tc>
        <w:tc>
          <w:tcPr>
            <w:tcW w:w="3432" w:type="dxa"/>
            <w:gridSpan w:val="2"/>
            <w:tcBorders>
              <w:top w:val="single" w:sz="4" w:space="0" w:color="auto"/>
              <w:left w:val="single" w:sz="4" w:space="0" w:color="auto"/>
              <w:bottom w:val="single" w:sz="4" w:space="0" w:color="auto"/>
              <w:right w:val="single" w:sz="4" w:space="0" w:color="auto"/>
            </w:tcBorders>
          </w:tcPr>
          <w:p w14:paraId="7810BCEC" w14:textId="77777777" w:rsidR="00BE1421" w:rsidRPr="00342F7C" w:rsidRDefault="00BE1421" w:rsidP="00E95E29">
            <w:pPr>
              <w:pStyle w:val="EMEANormal"/>
              <w:rPr>
                <w:lang w:val="en-GB"/>
              </w:rPr>
            </w:pPr>
            <w:r w:rsidRPr="00342F7C">
              <w:rPr>
                <w:szCs w:val="22"/>
                <w:lang w:val="en-GB"/>
              </w:rPr>
              <w:t>Clinical monitoring of antiviral efficacy is recommended when these medicines are concomitantly administered with Kaletra.</w:t>
            </w:r>
          </w:p>
        </w:tc>
      </w:tr>
      <w:tr w:rsidR="00BE1421" w:rsidRPr="00342F7C" w14:paraId="54D80EBC" w14:textId="77777777" w:rsidTr="008F531F">
        <w:tc>
          <w:tcPr>
            <w:tcW w:w="2400" w:type="dxa"/>
            <w:tcBorders>
              <w:top w:val="single" w:sz="4" w:space="0" w:color="auto"/>
              <w:left w:val="single" w:sz="4" w:space="0" w:color="auto"/>
              <w:bottom w:val="single" w:sz="4" w:space="0" w:color="auto"/>
              <w:right w:val="single" w:sz="4" w:space="0" w:color="auto"/>
            </w:tcBorders>
          </w:tcPr>
          <w:p w14:paraId="09D16F49" w14:textId="77777777" w:rsidR="00BE1421" w:rsidRPr="00342F7C" w:rsidRDefault="00BE1421" w:rsidP="00D11B95">
            <w:pPr>
              <w:pStyle w:val="EMEANormal"/>
              <w:keepNext/>
              <w:rPr>
                <w:lang w:val="en-GB"/>
              </w:rPr>
            </w:pPr>
            <w:r>
              <w:rPr>
                <w:iCs/>
                <w:lang w:val="en-GB"/>
              </w:rPr>
              <w:t>Inhaled, injectable or intranasal fluticasone propionate, budesonide, triamcinolone</w:t>
            </w:r>
          </w:p>
        </w:tc>
        <w:tc>
          <w:tcPr>
            <w:tcW w:w="3240" w:type="dxa"/>
            <w:gridSpan w:val="2"/>
            <w:tcBorders>
              <w:top w:val="single" w:sz="4" w:space="0" w:color="auto"/>
              <w:left w:val="single" w:sz="4" w:space="0" w:color="auto"/>
              <w:bottom w:val="single" w:sz="4" w:space="0" w:color="auto"/>
              <w:right w:val="single" w:sz="4" w:space="0" w:color="auto"/>
            </w:tcBorders>
          </w:tcPr>
          <w:p w14:paraId="42A6F679" w14:textId="77777777" w:rsidR="00BE1421" w:rsidRPr="00342F7C" w:rsidRDefault="00BE1421" w:rsidP="00D11B95">
            <w:pPr>
              <w:pStyle w:val="EMEANormal"/>
              <w:keepNext/>
              <w:rPr>
                <w:iCs/>
                <w:lang w:val="en-GB"/>
              </w:rPr>
            </w:pPr>
            <w:r w:rsidRPr="00342F7C">
              <w:rPr>
                <w:iCs/>
                <w:lang w:val="en-GB"/>
              </w:rPr>
              <w:t>Fluticasone propionate</w:t>
            </w:r>
            <w:r>
              <w:rPr>
                <w:iCs/>
                <w:lang w:val="en-GB"/>
              </w:rPr>
              <w:t xml:space="preserve">, </w:t>
            </w:r>
            <w:r w:rsidRPr="00C15E8E">
              <w:rPr>
                <w:iCs/>
                <w:lang w:val="en-GB"/>
              </w:rPr>
              <w:t>50 </w:t>
            </w:r>
            <w:r w:rsidRPr="00C15E8E">
              <w:rPr>
                <w:iCs/>
                <w:lang w:val="en-GB"/>
              </w:rPr>
              <w:sym w:font="Symbol" w:char="006D"/>
            </w:r>
            <w:r w:rsidRPr="00C15E8E">
              <w:rPr>
                <w:iCs/>
                <w:lang w:val="en-GB"/>
              </w:rPr>
              <w:t>g intranasal 4 times daily</w:t>
            </w:r>
            <w:r w:rsidRPr="00342F7C">
              <w:rPr>
                <w:iCs/>
                <w:lang w:val="en-GB"/>
              </w:rPr>
              <w:t>:</w:t>
            </w:r>
          </w:p>
          <w:p w14:paraId="1A4A4737" w14:textId="77777777" w:rsidR="00BE1421" w:rsidRPr="00342F7C" w:rsidRDefault="00BE1421" w:rsidP="00D11B95">
            <w:pPr>
              <w:pStyle w:val="EMEANormal"/>
              <w:keepNext/>
              <w:rPr>
                <w:lang w:val="en-GB"/>
              </w:rPr>
            </w:pPr>
            <w:r w:rsidRPr="00342F7C">
              <w:rPr>
                <w:lang w:val="en-GB"/>
              </w:rPr>
              <w:t xml:space="preserve">Plasma concentrations </w:t>
            </w:r>
            <w:r w:rsidRPr="00342F7C">
              <w:rPr>
                <w:iCs/>
                <w:lang w:val="en-GB"/>
              </w:rPr>
              <w:t>↑</w:t>
            </w:r>
          </w:p>
          <w:p w14:paraId="2E9AD8DB" w14:textId="77777777" w:rsidR="00BE1421" w:rsidRPr="00342F7C" w:rsidRDefault="00BE1421" w:rsidP="00D11B95">
            <w:pPr>
              <w:pStyle w:val="EMEANormal"/>
              <w:keepNext/>
              <w:rPr>
                <w:iCs/>
                <w:lang w:val="en-GB"/>
              </w:rPr>
            </w:pPr>
            <w:r w:rsidRPr="00342F7C">
              <w:rPr>
                <w:lang w:val="en-GB"/>
              </w:rPr>
              <w:t xml:space="preserve">Cortisol levels ↓ 86% </w:t>
            </w:r>
          </w:p>
          <w:p w14:paraId="057E152A" w14:textId="77777777" w:rsidR="00BE1421" w:rsidRPr="00342F7C" w:rsidRDefault="00BE1421" w:rsidP="00D11B95">
            <w:pPr>
              <w:pStyle w:val="EMEANormal"/>
              <w:keepNext/>
              <w:rPr>
                <w:lang w:val="en-GB"/>
              </w:rPr>
            </w:pPr>
          </w:p>
        </w:tc>
        <w:tc>
          <w:tcPr>
            <w:tcW w:w="3432" w:type="dxa"/>
            <w:gridSpan w:val="2"/>
            <w:tcBorders>
              <w:top w:val="single" w:sz="4" w:space="0" w:color="auto"/>
              <w:left w:val="single" w:sz="4" w:space="0" w:color="auto"/>
              <w:bottom w:val="single" w:sz="4" w:space="0" w:color="auto"/>
              <w:right w:val="single" w:sz="4" w:space="0" w:color="auto"/>
            </w:tcBorders>
          </w:tcPr>
          <w:p w14:paraId="50FEAA4C" w14:textId="77777777" w:rsidR="00BE1421" w:rsidRPr="00342F7C" w:rsidRDefault="00BE1421" w:rsidP="00D11B95">
            <w:pPr>
              <w:pStyle w:val="EMEANormal"/>
              <w:keepNext/>
              <w:rPr>
                <w:lang w:val="en-GB"/>
              </w:rPr>
            </w:pPr>
            <w:r w:rsidRPr="00342F7C">
              <w:rPr>
                <w:iCs/>
                <w:lang w:val="en-GB"/>
              </w:rPr>
              <w:t>Greater effects may be expected when fluticasone propionate is inhaled.  Systemic corticosteroid effects including Cushing's syndrome and adrenal suppression have been reported in patients receiving ritonavir and inhaled or intranasally administered fluticasone propionate; this could also occur with other corticosteroids metabolised via the P450 3A pathway e.g. budesonide</w:t>
            </w:r>
            <w:r>
              <w:rPr>
                <w:iCs/>
                <w:lang w:val="en-GB"/>
              </w:rPr>
              <w:t xml:space="preserve"> and triamcinolone</w:t>
            </w:r>
            <w:r w:rsidRPr="00342F7C">
              <w:rPr>
                <w:iCs/>
                <w:lang w:val="en-GB"/>
              </w:rPr>
              <w:t xml:space="preserve">.  Consequently, concomitant administration of Kaletra and these glucocorticoids is not recommended unless the potential benefit of treatment outweighs the risk of systemic corticosteroid effects (see section 4.4).  A dose reduction of the glucocorticoid should be considered with close monitoring of local and systemic effects or a switch to a glucocorticoid, which is not a substrate for CYP3A4 (e.g. beclomethasone).  Moreover, in case of withdrawal of glucocorticoids progressive dose reduction may have to be performed over a longer period.  </w:t>
            </w:r>
          </w:p>
        </w:tc>
      </w:tr>
      <w:tr w:rsidR="00BE1421" w:rsidRPr="00342F7C" w14:paraId="20ED66DD"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7FBA1610" w14:textId="77777777" w:rsidR="00BE1421" w:rsidRPr="00342F7C" w:rsidRDefault="00BE1421" w:rsidP="003439BF">
            <w:pPr>
              <w:pStyle w:val="EMEANormal"/>
              <w:keepNext/>
              <w:rPr>
                <w:i/>
                <w:iCs/>
                <w:lang w:val="en-GB"/>
              </w:rPr>
            </w:pPr>
            <w:r w:rsidRPr="00342F7C">
              <w:rPr>
                <w:i/>
                <w:iCs/>
                <w:lang w:val="en-GB"/>
              </w:rPr>
              <w:t>Phosphodiesterase(PDE5) inhibitors</w:t>
            </w:r>
          </w:p>
        </w:tc>
      </w:tr>
      <w:tr w:rsidR="00BE1421" w:rsidRPr="00342F7C" w14:paraId="20963468" w14:textId="77777777" w:rsidTr="008F531F">
        <w:trPr>
          <w:cantSplit/>
          <w:trHeight w:val="1034"/>
        </w:trPr>
        <w:tc>
          <w:tcPr>
            <w:tcW w:w="2400" w:type="dxa"/>
            <w:tcBorders>
              <w:top w:val="single" w:sz="4" w:space="0" w:color="auto"/>
              <w:left w:val="single" w:sz="4" w:space="0" w:color="auto"/>
              <w:bottom w:val="single" w:sz="4" w:space="0" w:color="auto"/>
              <w:right w:val="single" w:sz="4" w:space="0" w:color="auto"/>
            </w:tcBorders>
          </w:tcPr>
          <w:p w14:paraId="4E8FFA49" w14:textId="77777777" w:rsidR="00BE1421" w:rsidRDefault="00BE1421" w:rsidP="00766AA6">
            <w:pPr>
              <w:pStyle w:val="EMEANormal"/>
              <w:rPr>
                <w:lang w:val="en-GB"/>
              </w:rPr>
            </w:pPr>
            <w:r>
              <w:rPr>
                <w:lang w:val="en-GB"/>
              </w:rPr>
              <w:t xml:space="preserve">Avanafil </w:t>
            </w:r>
          </w:p>
          <w:p w14:paraId="04819FBC" w14:textId="77777777" w:rsidR="00BE1421" w:rsidRPr="00342F7C" w:rsidRDefault="00BE1421" w:rsidP="0084092B">
            <w:pPr>
              <w:pStyle w:val="EMEANormal"/>
              <w:rPr>
                <w:lang w:val="en-GB"/>
              </w:rPr>
            </w:pPr>
            <w:r>
              <w:rPr>
                <w:lang w:val="en-GB"/>
              </w:rPr>
              <w:t xml:space="preserve">(ritonavir 600 mg BID) </w:t>
            </w:r>
          </w:p>
        </w:tc>
        <w:tc>
          <w:tcPr>
            <w:tcW w:w="3240" w:type="dxa"/>
            <w:gridSpan w:val="2"/>
            <w:tcBorders>
              <w:top w:val="single" w:sz="4" w:space="0" w:color="auto"/>
              <w:left w:val="single" w:sz="4" w:space="0" w:color="auto"/>
              <w:bottom w:val="single" w:sz="4" w:space="0" w:color="auto"/>
              <w:right w:val="single" w:sz="4" w:space="0" w:color="auto"/>
            </w:tcBorders>
          </w:tcPr>
          <w:p w14:paraId="7BD9A145" w14:textId="77777777" w:rsidR="00BE1421" w:rsidRDefault="00BE1421" w:rsidP="008E3042">
            <w:pPr>
              <w:pStyle w:val="EMEANormal"/>
              <w:rPr>
                <w:lang w:val="en-GB"/>
              </w:rPr>
            </w:pPr>
            <w:r>
              <w:rPr>
                <w:lang w:val="en-GB"/>
              </w:rPr>
              <w:t>Avanafil:</w:t>
            </w:r>
          </w:p>
          <w:p w14:paraId="670CDA30" w14:textId="77777777" w:rsidR="00BE1421" w:rsidRDefault="00BE1421" w:rsidP="008E3042">
            <w:pPr>
              <w:pStyle w:val="EMEANormal"/>
              <w:rPr>
                <w:lang w:val="en-GB"/>
              </w:rPr>
            </w:pPr>
            <w:r>
              <w:rPr>
                <w:lang w:val="en-GB"/>
              </w:rPr>
              <w:t xml:space="preserve">AUC: </w:t>
            </w:r>
            <w:r w:rsidRPr="00342F7C">
              <w:rPr>
                <w:lang w:val="en-GB"/>
              </w:rPr>
              <w:t>↑</w:t>
            </w:r>
            <w:r>
              <w:rPr>
                <w:lang w:val="en-GB"/>
              </w:rPr>
              <w:t xml:space="preserve"> 13-fold</w:t>
            </w:r>
          </w:p>
          <w:p w14:paraId="731B42AB" w14:textId="77777777" w:rsidR="00BE1421" w:rsidRPr="00342F7C" w:rsidRDefault="00BE1421" w:rsidP="008E3042">
            <w:pPr>
              <w:pStyle w:val="EMEANormal"/>
              <w:rPr>
                <w:lang w:val="en-GB"/>
              </w:rPr>
            </w:pPr>
            <w:r w:rsidRPr="00342F7C">
              <w:rPr>
                <w:lang w:val="en-GB"/>
              </w:rPr>
              <w:t xml:space="preserve">Due to CYP3A inhibition by </w:t>
            </w:r>
            <w:r>
              <w:rPr>
                <w:lang w:val="en-GB"/>
              </w:rPr>
              <w:t>lopinavir/ritonavir</w:t>
            </w:r>
            <w:r w:rsidRPr="00342F7C">
              <w:rPr>
                <w:lang w:val="en-GB"/>
              </w:rPr>
              <w:t>.</w:t>
            </w:r>
          </w:p>
          <w:p w14:paraId="77D99526" w14:textId="77777777" w:rsidR="00BE1421" w:rsidRPr="00342F7C" w:rsidRDefault="00BE1421" w:rsidP="00E95E29">
            <w:pPr>
              <w:pStyle w:val="EMEANormal"/>
              <w:rPr>
                <w:lang w:val="en-GB"/>
              </w:rPr>
            </w:pPr>
          </w:p>
        </w:tc>
        <w:tc>
          <w:tcPr>
            <w:tcW w:w="3432" w:type="dxa"/>
            <w:gridSpan w:val="2"/>
            <w:tcBorders>
              <w:top w:val="single" w:sz="4" w:space="0" w:color="auto"/>
              <w:left w:val="single" w:sz="4" w:space="0" w:color="auto"/>
              <w:bottom w:val="single" w:sz="4" w:space="0" w:color="auto"/>
              <w:right w:val="single" w:sz="4" w:space="0" w:color="auto"/>
            </w:tcBorders>
          </w:tcPr>
          <w:p w14:paraId="713BDCE5" w14:textId="77777777" w:rsidR="00BE1421" w:rsidRPr="00BD5486" w:rsidRDefault="00BE1421" w:rsidP="00401DE4">
            <w:pPr>
              <w:pStyle w:val="EMEANormal"/>
              <w:rPr>
                <w:lang w:val="en-GB"/>
              </w:rPr>
            </w:pPr>
            <w:r w:rsidRPr="00BD5486">
              <w:rPr>
                <w:lang w:val="en-GB"/>
              </w:rPr>
              <w:t>The use of avanafil with Kaletra is contraindicated (see section 4.3).</w:t>
            </w:r>
          </w:p>
        </w:tc>
      </w:tr>
      <w:tr w:rsidR="00BE1421" w:rsidRPr="00342F7C" w14:paraId="0C126CDE" w14:textId="77777777" w:rsidTr="008F531F">
        <w:trPr>
          <w:cantSplit/>
          <w:trHeight w:val="1551"/>
        </w:trPr>
        <w:tc>
          <w:tcPr>
            <w:tcW w:w="2400" w:type="dxa"/>
            <w:tcBorders>
              <w:top w:val="single" w:sz="4" w:space="0" w:color="auto"/>
              <w:left w:val="single" w:sz="4" w:space="0" w:color="auto"/>
              <w:bottom w:val="single" w:sz="4" w:space="0" w:color="auto"/>
              <w:right w:val="single" w:sz="4" w:space="0" w:color="auto"/>
            </w:tcBorders>
          </w:tcPr>
          <w:p w14:paraId="3D652CF5" w14:textId="77777777" w:rsidR="00BE1421" w:rsidRPr="00342F7C" w:rsidRDefault="00BE1421" w:rsidP="00D11B95">
            <w:pPr>
              <w:pStyle w:val="EMEANormal"/>
              <w:keepNext/>
              <w:rPr>
                <w:lang w:val="en-GB"/>
              </w:rPr>
            </w:pPr>
            <w:r w:rsidRPr="00342F7C">
              <w:rPr>
                <w:lang w:val="en-GB"/>
              </w:rPr>
              <w:t xml:space="preserve">Tadalafil </w:t>
            </w:r>
          </w:p>
          <w:p w14:paraId="6D7A8F2A" w14:textId="77777777" w:rsidR="00BE1421" w:rsidRPr="00342F7C" w:rsidRDefault="00BE1421" w:rsidP="00D11B95">
            <w:pPr>
              <w:pStyle w:val="EMEANormal"/>
              <w:keepNext/>
              <w:rPr>
                <w:lang w:val="en-GB"/>
              </w:rPr>
            </w:pPr>
          </w:p>
          <w:p w14:paraId="11D32822" w14:textId="77777777" w:rsidR="00BE1421" w:rsidRPr="00342F7C" w:rsidRDefault="00BE1421" w:rsidP="00D11B95">
            <w:pPr>
              <w:pStyle w:val="EMEANormal"/>
              <w:keepNext/>
              <w:rPr>
                <w:i/>
                <w:iCs/>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6CB76D27" w14:textId="77777777" w:rsidR="00BE1421" w:rsidRPr="00342F7C" w:rsidRDefault="00BE1421" w:rsidP="00D11B95">
            <w:pPr>
              <w:pStyle w:val="EMEANormal"/>
              <w:keepNext/>
              <w:rPr>
                <w:lang w:val="en-GB"/>
              </w:rPr>
            </w:pPr>
            <w:r w:rsidRPr="00342F7C">
              <w:rPr>
                <w:lang w:val="en-GB"/>
              </w:rPr>
              <w:t>Tadalafil:</w:t>
            </w:r>
          </w:p>
          <w:p w14:paraId="53E351F9" w14:textId="77777777" w:rsidR="00BE1421" w:rsidRPr="00342F7C" w:rsidRDefault="00BE1421" w:rsidP="00D11B95">
            <w:pPr>
              <w:pStyle w:val="EMEANormal"/>
              <w:keepNext/>
              <w:rPr>
                <w:lang w:val="en-GB"/>
              </w:rPr>
            </w:pPr>
            <w:r w:rsidRPr="00342F7C">
              <w:rPr>
                <w:lang w:val="en-GB"/>
              </w:rPr>
              <w:t>AUC: ↑ 2-fold</w:t>
            </w:r>
          </w:p>
          <w:p w14:paraId="52CCB15F" w14:textId="77777777" w:rsidR="00BE1421" w:rsidRPr="00342F7C" w:rsidRDefault="00BE1421" w:rsidP="00D11B95">
            <w:pPr>
              <w:pStyle w:val="EMEANormal"/>
              <w:keepNext/>
              <w:rPr>
                <w:lang w:val="en-GB"/>
              </w:rPr>
            </w:pPr>
            <w:r w:rsidRPr="00342F7C">
              <w:rPr>
                <w:lang w:val="en-GB"/>
              </w:rPr>
              <w:t>Due to CYP3A</w:t>
            </w:r>
            <w:r>
              <w:rPr>
                <w:lang w:val="en-GB"/>
              </w:rPr>
              <w:t>4</w:t>
            </w:r>
            <w:r w:rsidRPr="00342F7C">
              <w:rPr>
                <w:lang w:val="en-GB"/>
              </w:rPr>
              <w:t xml:space="preserve"> inhibition by </w:t>
            </w:r>
            <w:r>
              <w:rPr>
                <w:lang w:val="en-GB"/>
              </w:rPr>
              <w:t>lopinavir/ritonavir</w:t>
            </w:r>
            <w:r w:rsidRPr="00342F7C">
              <w:rPr>
                <w:lang w:val="en-GB"/>
              </w:rPr>
              <w:t>.</w:t>
            </w:r>
          </w:p>
          <w:p w14:paraId="11BD6347" w14:textId="77777777" w:rsidR="00BE1421" w:rsidRPr="00342F7C" w:rsidRDefault="00BE1421" w:rsidP="00D11B95">
            <w:pPr>
              <w:pStyle w:val="EMEANormal"/>
              <w:keepNext/>
              <w:rPr>
                <w:lang w:val="en-GB"/>
              </w:rPr>
            </w:pPr>
          </w:p>
        </w:tc>
        <w:tc>
          <w:tcPr>
            <w:tcW w:w="3432" w:type="dxa"/>
            <w:gridSpan w:val="2"/>
            <w:vMerge w:val="restart"/>
            <w:tcBorders>
              <w:top w:val="single" w:sz="4" w:space="0" w:color="auto"/>
              <w:left w:val="single" w:sz="4" w:space="0" w:color="auto"/>
              <w:bottom w:val="single" w:sz="4" w:space="0" w:color="auto"/>
              <w:right w:val="single" w:sz="4" w:space="0" w:color="auto"/>
            </w:tcBorders>
          </w:tcPr>
          <w:p w14:paraId="29966580" w14:textId="77777777" w:rsidR="00BE1421" w:rsidRPr="0071232B" w:rsidRDefault="00BE1421" w:rsidP="00D11B95">
            <w:pPr>
              <w:pStyle w:val="EMEANormal"/>
              <w:keepNext/>
              <w:rPr>
                <w:lang w:val="en-GB"/>
              </w:rPr>
            </w:pPr>
            <w:r w:rsidRPr="0071232B">
              <w:rPr>
                <w:u w:val="single"/>
                <w:lang w:val="en-GB"/>
              </w:rPr>
              <w:t>For the treatment of pulmonary arterial hypertension</w:t>
            </w:r>
            <w:r w:rsidRPr="0071232B">
              <w:rPr>
                <w:lang w:val="en-GB"/>
              </w:rPr>
              <w:t>: Co</w:t>
            </w:r>
            <w:r w:rsidRPr="0071232B">
              <w:rPr>
                <w:lang w:val="en-GB"/>
              </w:rPr>
              <w:noBreakHyphen/>
              <w:t xml:space="preserve">administration of Kaletra with sildenafil is contraindicated (see section 4.3).  </w:t>
            </w:r>
            <w:r>
              <w:rPr>
                <w:lang w:val="en-GB"/>
              </w:rPr>
              <w:t>Co-administration of Kaletra w</w:t>
            </w:r>
            <w:r w:rsidRPr="0071232B">
              <w:rPr>
                <w:lang w:val="en-GB"/>
              </w:rPr>
              <w:t>ith tadalafil is not recommended.</w:t>
            </w:r>
          </w:p>
          <w:p w14:paraId="09C096A7" w14:textId="77777777" w:rsidR="00BE1421" w:rsidRPr="0071232B" w:rsidRDefault="00BE1421" w:rsidP="00D11B95">
            <w:pPr>
              <w:pStyle w:val="EMEANormal"/>
              <w:keepNext/>
              <w:rPr>
                <w:lang w:val="en-GB"/>
              </w:rPr>
            </w:pPr>
          </w:p>
          <w:p w14:paraId="3C602C28" w14:textId="77777777" w:rsidR="00BE1421" w:rsidRDefault="00BE1421" w:rsidP="00D11B95">
            <w:pPr>
              <w:pStyle w:val="EMEANormal"/>
              <w:keepNext/>
              <w:rPr>
                <w:lang w:val="en-GB"/>
              </w:rPr>
            </w:pPr>
            <w:r w:rsidRPr="0071232B">
              <w:rPr>
                <w:u w:val="single"/>
                <w:lang w:val="en-GB"/>
              </w:rPr>
              <w:t>For erectile dysfunction</w:t>
            </w:r>
            <w:r w:rsidRPr="0071232B">
              <w:rPr>
                <w:lang w:val="en-GB"/>
              </w:rPr>
              <w:t>:</w:t>
            </w:r>
          </w:p>
          <w:p w14:paraId="508AC9CE" w14:textId="77777777" w:rsidR="00BE1421" w:rsidRPr="00342F7C" w:rsidRDefault="00BE1421" w:rsidP="00D11B95">
            <w:pPr>
              <w:pStyle w:val="EMEANormal"/>
              <w:keepNext/>
              <w:rPr>
                <w:lang w:val="en-GB"/>
              </w:rPr>
            </w:pPr>
            <w:r w:rsidRPr="00342F7C">
              <w:rPr>
                <w:lang w:val="en-GB"/>
              </w:rPr>
              <w:t xml:space="preserve">Particular caution must be used when prescribing sildenafil or tadalafil in patients receiving Kaletra with increased monitoring for adverse events including hypotension, syncope, visual changes and prolonged erection (see section 4.4).  </w:t>
            </w:r>
          </w:p>
          <w:p w14:paraId="776CC46A" w14:textId="77777777" w:rsidR="00BE1421" w:rsidRPr="00342F7C" w:rsidRDefault="00BE1421" w:rsidP="00D11B95">
            <w:pPr>
              <w:pStyle w:val="EMEANormal"/>
              <w:keepNext/>
              <w:rPr>
                <w:lang w:val="en-GB"/>
              </w:rPr>
            </w:pPr>
            <w:r w:rsidRPr="00342F7C">
              <w:rPr>
                <w:lang w:val="en-GB"/>
              </w:rPr>
              <w:t>When co</w:t>
            </w:r>
            <w:r w:rsidRPr="00342F7C">
              <w:rPr>
                <w:lang w:val="en-GB"/>
              </w:rPr>
              <w:noBreakHyphen/>
              <w:t xml:space="preserve">administered with Kaletra, sildenafil doses must not exceed 25 mg in 48 hours and tadalafil doses must not exceed 10 mg every 72 hours.  </w:t>
            </w:r>
          </w:p>
          <w:p w14:paraId="22B81BE2" w14:textId="77777777" w:rsidR="00BE1421" w:rsidRPr="00342F7C" w:rsidRDefault="00BE1421" w:rsidP="00D11B95">
            <w:pPr>
              <w:pStyle w:val="EMEANormal"/>
              <w:keepNext/>
              <w:rPr>
                <w:lang w:val="en-GB"/>
              </w:rPr>
            </w:pPr>
          </w:p>
        </w:tc>
      </w:tr>
      <w:tr w:rsidR="00BE1421" w:rsidRPr="00342F7C" w14:paraId="7E9A5AE8" w14:textId="77777777" w:rsidTr="008F531F">
        <w:trPr>
          <w:cantSplit/>
        </w:trPr>
        <w:tc>
          <w:tcPr>
            <w:tcW w:w="2400" w:type="dxa"/>
            <w:tcBorders>
              <w:top w:val="single" w:sz="4" w:space="0" w:color="auto"/>
              <w:left w:val="single" w:sz="4" w:space="0" w:color="auto"/>
              <w:bottom w:val="single" w:sz="4" w:space="0" w:color="auto"/>
              <w:right w:val="single" w:sz="4" w:space="0" w:color="auto"/>
            </w:tcBorders>
          </w:tcPr>
          <w:p w14:paraId="39E74A3B" w14:textId="77777777" w:rsidR="00BE1421" w:rsidRPr="00342F7C" w:rsidRDefault="00BE1421" w:rsidP="00E95E29">
            <w:pPr>
              <w:pStyle w:val="EMEANormal"/>
              <w:rPr>
                <w:lang w:val="en-GB"/>
              </w:rPr>
            </w:pPr>
            <w:r w:rsidRPr="00342F7C">
              <w:rPr>
                <w:lang w:val="en-GB"/>
              </w:rPr>
              <w:t>Sildenafil</w:t>
            </w:r>
          </w:p>
          <w:p w14:paraId="79177B24" w14:textId="77777777" w:rsidR="00BE1421" w:rsidRPr="00342F7C" w:rsidRDefault="00BE1421" w:rsidP="00E95E29">
            <w:pPr>
              <w:pStyle w:val="EMEANormal"/>
              <w:rPr>
                <w:lang w:val="en-GB"/>
              </w:rPr>
            </w:pPr>
          </w:p>
          <w:p w14:paraId="14DC1FBF" w14:textId="77777777" w:rsidR="00BE1421" w:rsidRPr="00342F7C" w:rsidRDefault="00BE1421" w:rsidP="00E95E29">
            <w:pPr>
              <w:pStyle w:val="EMEANormal"/>
              <w:rPr>
                <w:i/>
                <w:iCs/>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5BBAAC0A" w14:textId="77777777" w:rsidR="00BE1421" w:rsidRPr="00342F7C" w:rsidRDefault="00BE1421" w:rsidP="00E95E29">
            <w:pPr>
              <w:pStyle w:val="EMEANormal"/>
              <w:rPr>
                <w:lang w:val="en-GB"/>
              </w:rPr>
            </w:pPr>
            <w:r w:rsidRPr="00342F7C">
              <w:rPr>
                <w:lang w:val="en-GB"/>
              </w:rPr>
              <w:t>Sildenafil:</w:t>
            </w:r>
            <w:r w:rsidRPr="00342F7C">
              <w:rPr>
                <w:u w:val="single"/>
                <w:lang w:val="en-GB"/>
              </w:rPr>
              <w:t xml:space="preserve"> </w:t>
            </w:r>
          </w:p>
          <w:p w14:paraId="2366EAAE" w14:textId="77777777" w:rsidR="00BE1421" w:rsidRPr="00342F7C" w:rsidRDefault="00BE1421" w:rsidP="00E95E29">
            <w:pPr>
              <w:pStyle w:val="EMEANormal"/>
              <w:rPr>
                <w:lang w:val="en-GB"/>
              </w:rPr>
            </w:pPr>
            <w:r w:rsidRPr="00342F7C">
              <w:rPr>
                <w:lang w:val="en-GB"/>
              </w:rPr>
              <w:t>AUC: ↑ 11-fold</w:t>
            </w:r>
          </w:p>
          <w:p w14:paraId="3E45D008" w14:textId="77777777" w:rsidR="00BE1421" w:rsidRPr="00342F7C" w:rsidRDefault="00BE1421" w:rsidP="00E95E29">
            <w:pPr>
              <w:pStyle w:val="EMEANormal"/>
              <w:rPr>
                <w:lang w:val="en-GB"/>
              </w:rPr>
            </w:pPr>
            <w:r w:rsidRPr="00342F7C">
              <w:rPr>
                <w:lang w:val="en-GB"/>
              </w:rPr>
              <w:t xml:space="preserve">Due to CYP3A inhibition by </w:t>
            </w:r>
            <w:r>
              <w:rPr>
                <w:lang w:val="en-GB"/>
              </w:rPr>
              <w:t>lopinavir/ritonavir</w:t>
            </w:r>
            <w:r w:rsidRPr="00342F7C">
              <w:rPr>
                <w:lang w:val="en-GB"/>
              </w:rPr>
              <w:t>.</w:t>
            </w:r>
          </w:p>
          <w:p w14:paraId="174A8CF0" w14:textId="77777777" w:rsidR="00BE1421" w:rsidRPr="00342F7C" w:rsidRDefault="00BE1421" w:rsidP="00E95E29">
            <w:pPr>
              <w:pStyle w:val="EMEANormal"/>
              <w:rPr>
                <w:lang w:val="en-GB"/>
              </w:rPr>
            </w:pPr>
          </w:p>
        </w:tc>
        <w:tc>
          <w:tcPr>
            <w:tcW w:w="3432" w:type="dxa"/>
            <w:gridSpan w:val="2"/>
            <w:vMerge/>
            <w:tcBorders>
              <w:top w:val="single" w:sz="4" w:space="0" w:color="auto"/>
              <w:left w:val="single" w:sz="4" w:space="0" w:color="auto"/>
              <w:bottom w:val="single" w:sz="4" w:space="0" w:color="auto"/>
              <w:right w:val="single" w:sz="4" w:space="0" w:color="auto"/>
            </w:tcBorders>
            <w:vAlign w:val="center"/>
          </w:tcPr>
          <w:p w14:paraId="220D9859" w14:textId="77777777" w:rsidR="00BE1421" w:rsidRPr="00342F7C" w:rsidRDefault="00BE1421" w:rsidP="00E95E29">
            <w:pPr>
              <w:rPr>
                <w:sz w:val="22"/>
                <w:szCs w:val="20"/>
              </w:rPr>
            </w:pPr>
          </w:p>
        </w:tc>
      </w:tr>
      <w:tr w:rsidR="00BE1421" w:rsidRPr="00342F7C" w14:paraId="66FADB36" w14:textId="77777777" w:rsidTr="008F531F">
        <w:tc>
          <w:tcPr>
            <w:tcW w:w="2400" w:type="dxa"/>
            <w:tcBorders>
              <w:top w:val="single" w:sz="4" w:space="0" w:color="auto"/>
              <w:left w:val="single" w:sz="4" w:space="0" w:color="auto"/>
              <w:bottom w:val="single" w:sz="4" w:space="0" w:color="auto"/>
              <w:right w:val="single" w:sz="4" w:space="0" w:color="auto"/>
            </w:tcBorders>
          </w:tcPr>
          <w:p w14:paraId="029E688D" w14:textId="77777777" w:rsidR="00BE1421" w:rsidRPr="00342F7C" w:rsidRDefault="00BE1421" w:rsidP="00E95E29">
            <w:pPr>
              <w:pStyle w:val="EMEANormal"/>
              <w:rPr>
                <w:lang w:val="en-GB"/>
              </w:rPr>
            </w:pPr>
            <w:r w:rsidRPr="00342F7C">
              <w:rPr>
                <w:lang w:val="en-GB"/>
              </w:rPr>
              <w:t xml:space="preserve">Vardenafil </w:t>
            </w:r>
          </w:p>
          <w:p w14:paraId="121D9CDA" w14:textId="77777777" w:rsidR="00BE1421" w:rsidRPr="00342F7C" w:rsidRDefault="00BE1421" w:rsidP="00E95E29">
            <w:pPr>
              <w:pStyle w:val="EMEANormal"/>
              <w:rPr>
                <w:lang w:val="en-GB"/>
              </w:rPr>
            </w:pPr>
          </w:p>
          <w:p w14:paraId="15171072" w14:textId="77777777" w:rsidR="00BE1421" w:rsidRPr="00342F7C" w:rsidRDefault="00BE1421" w:rsidP="00E95E29">
            <w:pPr>
              <w:pStyle w:val="EMEANormal"/>
              <w:rPr>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30DEA734" w14:textId="77777777" w:rsidR="00BE1421" w:rsidRPr="00342F7C" w:rsidRDefault="00BE1421" w:rsidP="00E95E29">
            <w:pPr>
              <w:pStyle w:val="EMEANormal"/>
              <w:rPr>
                <w:lang w:val="en-GB"/>
              </w:rPr>
            </w:pPr>
            <w:r w:rsidRPr="00342F7C">
              <w:rPr>
                <w:lang w:val="en-GB"/>
              </w:rPr>
              <w:t>Vardenafil:</w:t>
            </w:r>
          </w:p>
          <w:p w14:paraId="68C13BCC" w14:textId="77777777" w:rsidR="00BE1421" w:rsidRPr="00342F7C" w:rsidRDefault="00BE1421" w:rsidP="00E95E29">
            <w:pPr>
              <w:pStyle w:val="EMEANormal"/>
              <w:rPr>
                <w:lang w:val="en-GB"/>
              </w:rPr>
            </w:pPr>
            <w:r w:rsidRPr="00342F7C">
              <w:rPr>
                <w:lang w:val="en-GB"/>
              </w:rPr>
              <w:t xml:space="preserve">AUC: ↑ 49-fold </w:t>
            </w:r>
          </w:p>
          <w:p w14:paraId="581FED01" w14:textId="77777777" w:rsidR="00BE1421" w:rsidRPr="00342F7C" w:rsidRDefault="00BE1421" w:rsidP="00E95E29">
            <w:pPr>
              <w:pStyle w:val="EMEANormal"/>
              <w:rPr>
                <w:lang w:val="en-GB"/>
              </w:rPr>
            </w:pPr>
            <w:r w:rsidRPr="00342F7C">
              <w:rPr>
                <w:lang w:val="en-GB"/>
              </w:rPr>
              <w:t xml:space="preserve">Due to CYP3A inhibition by </w:t>
            </w:r>
            <w:r>
              <w:rPr>
                <w:lang w:val="en-GB"/>
              </w:rPr>
              <w:t>lopinavir/ritonavir</w:t>
            </w:r>
            <w:r w:rsidRPr="00342F7C">
              <w:rPr>
                <w:lang w:val="en-GB"/>
              </w:rPr>
              <w:t>.</w:t>
            </w:r>
          </w:p>
        </w:tc>
        <w:tc>
          <w:tcPr>
            <w:tcW w:w="3432" w:type="dxa"/>
            <w:gridSpan w:val="2"/>
            <w:tcBorders>
              <w:top w:val="single" w:sz="4" w:space="0" w:color="auto"/>
              <w:left w:val="single" w:sz="4" w:space="0" w:color="auto"/>
              <w:bottom w:val="single" w:sz="4" w:space="0" w:color="auto"/>
              <w:right w:val="single" w:sz="4" w:space="0" w:color="auto"/>
            </w:tcBorders>
          </w:tcPr>
          <w:p w14:paraId="5BD42EC8" w14:textId="77777777" w:rsidR="00BE1421" w:rsidRPr="00342F7C" w:rsidRDefault="00BE1421" w:rsidP="00E95E29">
            <w:pPr>
              <w:pStyle w:val="EMEANormal"/>
              <w:rPr>
                <w:lang w:val="en-GB"/>
              </w:rPr>
            </w:pPr>
            <w:r w:rsidRPr="00342F7C">
              <w:rPr>
                <w:lang w:val="en-GB"/>
              </w:rPr>
              <w:t xml:space="preserve">The use of vardenafil with Kaletra is contraindicated (see section 4.3).  </w:t>
            </w:r>
          </w:p>
          <w:p w14:paraId="76138C50" w14:textId="77777777" w:rsidR="00BE1421" w:rsidRPr="00342F7C" w:rsidRDefault="00BE1421" w:rsidP="00E95E29">
            <w:pPr>
              <w:pStyle w:val="EMEANormal"/>
              <w:rPr>
                <w:lang w:val="en-GB"/>
              </w:rPr>
            </w:pPr>
          </w:p>
        </w:tc>
      </w:tr>
      <w:tr w:rsidR="00BE1421" w:rsidRPr="00342F7C" w14:paraId="0415F84C"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40B89416" w14:textId="77777777" w:rsidR="00BE1421" w:rsidRPr="00342F7C" w:rsidRDefault="00BE1421" w:rsidP="001D025B">
            <w:pPr>
              <w:pStyle w:val="EMEANormal"/>
              <w:rPr>
                <w:lang w:val="en-GB"/>
              </w:rPr>
            </w:pPr>
            <w:r>
              <w:rPr>
                <w:i/>
                <w:lang w:val="en-GB"/>
              </w:rPr>
              <w:t>Ergot alkaloids</w:t>
            </w:r>
          </w:p>
        </w:tc>
      </w:tr>
      <w:tr w:rsidR="00BE1421" w:rsidRPr="00342F7C" w14:paraId="63AF46E2" w14:textId="77777777" w:rsidTr="008F531F">
        <w:tc>
          <w:tcPr>
            <w:tcW w:w="2400" w:type="dxa"/>
            <w:tcBorders>
              <w:top w:val="single" w:sz="4" w:space="0" w:color="auto"/>
              <w:left w:val="single" w:sz="4" w:space="0" w:color="auto"/>
              <w:bottom w:val="single" w:sz="4" w:space="0" w:color="auto"/>
              <w:right w:val="single" w:sz="4" w:space="0" w:color="auto"/>
            </w:tcBorders>
          </w:tcPr>
          <w:p w14:paraId="59E32917" w14:textId="77777777" w:rsidR="00BE1421" w:rsidRPr="00342F7C" w:rsidRDefault="00BE1421" w:rsidP="001D025B">
            <w:pPr>
              <w:pStyle w:val="EMEANormal"/>
              <w:rPr>
                <w:lang w:val="en-GB"/>
              </w:rPr>
            </w:pPr>
            <w:r>
              <w:rPr>
                <w:color w:val="000000"/>
              </w:rPr>
              <w:t>Dihydroergotamine, ergonovine, ergotamine, methylergonovine</w:t>
            </w:r>
          </w:p>
        </w:tc>
        <w:tc>
          <w:tcPr>
            <w:tcW w:w="3240" w:type="dxa"/>
            <w:gridSpan w:val="2"/>
            <w:tcBorders>
              <w:top w:val="single" w:sz="4" w:space="0" w:color="auto"/>
              <w:left w:val="single" w:sz="4" w:space="0" w:color="auto"/>
              <w:bottom w:val="single" w:sz="4" w:space="0" w:color="auto"/>
              <w:right w:val="single" w:sz="4" w:space="0" w:color="auto"/>
            </w:tcBorders>
          </w:tcPr>
          <w:p w14:paraId="7AAC3B02" w14:textId="77777777" w:rsidR="00BE1421" w:rsidRPr="00342F7C" w:rsidRDefault="00BE1421" w:rsidP="001D025B">
            <w:pPr>
              <w:pStyle w:val="EMEANormal"/>
              <w:rPr>
                <w:lang w:val="en-GB"/>
              </w:rPr>
            </w:pPr>
            <w:r>
              <w:rPr>
                <w:color w:val="000000"/>
              </w:rPr>
              <w:t xml:space="preserve">Serum concentrations may be increased due to CYP3A inhibition by </w:t>
            </w:r>
            <w:r>
              <w:rPr>
                <w:lang w:val="en-GB"/>
              </w:rPr>
              <w:t>lopinavir/ritonavir</w:t>
            </w:r>
            <w:r>
              <w:rPr>
                <w:color w:val="000000"/>
              </w:rPr>
              <w:t>.</w:t>
            </w:r>
          </w:p>
        </w:tc>
        <w:tc>
          <w:tcPr>
            <w:tcW w:w="3432" w:type="dxa"/>
            <w:gridSpan w:val="2"/>
            <w:tcBorders>
              <w:top w:val="single" w:sz="4" w:space="0" w:color="auto"/>
              <w:left w:val="single" w:sz="4" w:space="0" w:color="auto"/>
              <w:bottom w:val="single" w:sz="4" w:space="0" w:color="auto"/>
              <w:right w:val="single" w:sz="4" w:space="0" w:color="auto"/>
            </w:tcBorders>
          </w:tcPr>
          <w:p w14:paraId="3C60ABE5" w14:textId="77777777" w:rsidR="00BE1421" w:rsidRPr="00342F7C" w:rsidRDefault="00BE1421" w:rsidP="001D025B">
            <w:pPr>
              <w:pStyle w:val="EMEANormal"/>
              <w:rPr>
                <w:lang w:val="en-GB"/>
              </w:rPr>
            </w:pPr>
            <w:r>
              <w:rPr>
                <w:color w:val="000000"/>
              </w:rPr>
              <w:t>Concomitant administration of Kaletra and ergot alkaloids are contraindicated as it may lead to acute ergot toxicity, including vasospasm and ischaemia (see section 4.3).</w:t>
            </w:r>
          </w:p>
        </w:tc>
      </w:tr>
      <w:tr w:rsidR="00BE1421" w:rsidRPr="00342F7C" w14:paraId="508835BF"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563F2C02" w14:textId="77777777" w:rsidR="00BE1421" w:rsidRPr="00342F7C" w:rsidRDefault="00BE1421" w:rsidP="001D025B">
            <w:pPr>
              <w:pStyle w:val="EMEANormal"/>
              <w:rPr>
                <w:lang w:val="en-GB"/>
              </w:rPr>
            </w:pPr>
            <w:r w:rsidRPr="00220601">
              <w:rPr>
                <w:i/>
                <w:color w:val="000000"/>
              </w:rPr>
              <w:t>GI motility agent</w:t>
            </w:r>
          </w:p>
        </w:tc>
      </w:tr>
      <w:tr w:rsidR="00BE1421" w:rsidRPr="00342F7C" w14:paraId="78D83C89" w14:textId="77777777" w:rsidTr="008F531F">
        <w:tc>
          <w:tcPr>
            <w:tcW w:w="2400" w:type="dxa"/>
            <w:tcBorders>
              <w:top w:val="single" w:sz="4" w:space="0" w:color="auto"/>
              <w:left w:val="single" w:sz="4" w:space="0" w:color="auto"/>
              <w:bottom w:val="single" w:sz="4" w:space="0" w:color="auto"/>
              <w:right w:val="single" w:sz="4" w:space="0" w:color="auto"/>
            </w:tcBorders>
          </w:tcPr>
          <w:p w14:paraId="1482C53E" w14:textId="77777777" w:rsidR="00BE1421" w:rsidRPr="00342F7C" w:rsidRDefault="00BE1421" w:rsidP="001D025B">
            <w:pPr>
              <w:pStyle w:val="EMEANormal"/>
              <w:rPr>
                <w:lang w:val="en-GB"/>
              </w:rPr>
            </w:pPr>
            <w:r>
              <w:rPr>
                <w:color w:val="000000"/>
              </w:rPr>
              <w:t>Cisapride</w:t>
            </w:r>
          </w:p>
        </w:tc>
        <w:tc>
          <w:tcPr>
            <w:tcW w:w="3240" w:type="dxa"/>
            <w:gridSpan w:val="2"/>
            <w:tcBorders>
              <w:top w:val="single" w:sz="4" w:space="0" w:color="auto"/>
              <w:left w:val="single" w:sz="4" w:space="0" w:color="auto"/>
              <w:bottom w:val="single" w:sz="4" w:space="0" w:color="auto"/>
              <w:right w:val="single" w:sz="4" w:space="0" w:color="auto"/>
            </w:tcBorders>
          </w:tcPr>
          <w:p w14:paraId="77D5A1BA" w14:textId="77777777" w:rsidR="00BE1421" w:rsidRPr="00342F7C" w:rsidRDefault="00BE1421" w:rsidP="001D025B">
            <w:pPr>
              <w:pStyle w:val="EMEANormal"/>
              <w:rPr>
                <w:lang w:val="en-GB"/>
              </w:rPr>
            </w:pPr>
            <w:r>
              <w:rPr>
                <w:color w:val="000000"/>
              </w:rPr>
              <w:t xml:space="preserve">Serum concentrations may be increased due to CYP3A inhibition by </w:t>
            </w:r>
            <w:r>
              <w:rPr>
                <w:lang w:val="en-GB"/>
              </w:rPr>
              <w:t>lopinavir/ritonavir</w:t>
            </w:r>
            <w:r>
              <w:rPr>
                <w:color w:val="000000"/>
              </w:rPr>
              <w:t>.</w:t>
            </w:r>
          </w:p>
        </w:tc>
        <w:tc>
          <w:tcPr>
            <w:tcW w:w="3432" w:type="dxa"/>
            <w:gridSpan w:val="2"/>
            <w:tcBorders>
              <w:top w:val="single" w:sz="4" w:space="0" w:color="auto"/>
              <w:left w:val="single" w:sz="4" w:space="0" w:color="auto"/>
              <w:bottom w:val="single" w:sz="4" w:space="0" w:color="auto"/>
              <w:right w:val="single" w:sz="4" w:space="0" w:color="auto"/>
            </w:tcBorders>
          </w:tcPr>
          <w:p w14:paraId="59AA6457" w14:textId="77777777" w:rsidR="00BE1421" w:rsidRPr="00342F7C" w:rsidRDefault="00BE1421" w:rsidP="001D025B">
            <w:pPr>
              <w:pStyle w:val="EMEANormal"/>
              <w:rPr>
                <w:lang w:val="en-GB"/>
              </w:rPr>
            </w:pPr>
            <w:r>
              <w:rPr>
                <w:color w:val="000000"/>
              </w:rPr>
              <w:t>Concomitant administration of Kaletra and cisapride is contraindicated as it may increase the risk of serious arrhythmias from this agent (see section 4.3).</w:t>
            </w:r>
          </w:p>
        </w:tc>
      </w:tr>
      <w:tr w:rsidR="00BE1421" w:rsidRPr="00342F7C" w14:paraId="3B496019"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1A97594B" w14:textId="77777777" w:rsidR="00BE1421" w:rsidRPr="00342F7C" w:rsidRDefault="00BE1421" w:rsidP="001D025B">
            <w:pPr>
              <w:pStyle w:val="EMEANormal"/>
              <w:rPr>
                <w:lang w:val="en-GB"/>
              </w:rPr>
            </w:pPr>
            <w:r>
              <w:rPr>
                <w:i/>
                <w:color w:val="000000"/>
              </w:rPr>
              <w:t>HCV direct acting antivirals</w:t>
            </w:r>
          </w:p>
        </w:tc>
      </w:tr>
      <w:tr w:rsidR="00BE1421" w:rsidRPr="00342F7C" w14:paraId="25BF8C76" w14:textId="77777777" w:rsidTr="008F531F">
        <w:tc>
          <w:tcPr>
            <w:tcW w:w="2410" w:type="dxa"/>
            <w:gridSpan w:val="2"/>
            <w:tcBorders>
              <w:top w:val="single" w:sz="4" w:space="0" w:color="auto"/>
              <w:left w:val="single" w:sz="4" w:space="0" w:color="auto"/>
              <w:bottom w:val="single" w:sz="4" w:space="0" w:color="auto"/>
              <w:right w:val="single" w:sz="4" w:space="0" w:color="auto"/>
            </w:tcBorders>
          </w:tcPr>
          <w:p w14:paraId="08F86E5C" w14:textId="77777777" w:rsidR="00BE1421" w:rsidRPr="0029146F" w:rsidRDefault="00BE1421" w:rsidP="00542CB5">
            <w:pPr>
              <w:pStyle w:val="EMEANormal"/>
              <w:rPr>
                <w:color w:val="000000"/>
              </w:rPr>
            </w:pPr>
            <w:r w:rsidRPr="0029146F">
              <w:rPr>
                <w:color w:val="000000"/>
              </w:rPr>
              <w:t>Elbasvir/grazoprevir</w:t>
            </w:r>
          </w:p>
          <w:p w14:paraId="3DAE79A4" w14:textId="77777777" w:rsidR="00BE1421" w:rsidRPr="0029146F" w:rsidRDefault="00BE1421" w:rsidP="00542CB5">
            <w:pPr>
              <w:pStyle w:val="EMEANormal"/>
              <w:rPr>
                <w:color w:val="000000"/>
              </w:rPr>
            </w:pPr>
            <w:r w:rsidRPr="0029146F">
              <w:rPr>
                <w:color w:val="000000"/>
              </w:rPr>
              <w:t>(50/200 mg QD)</w:t>
            </w:r>
          </w:p>
        </w:tc>
        <w:tc>
          <w:tcPr>
            <w:tcW w:w="3260" w:type="dxa"/>
            <w:gridSpan w:val="2"/>
            <w:tcBorders>
              <w:top w:val="single" w:sz="4" w:space="0" w:color="auto"/>
              <w:left w:val="single" w:sz="4" w:space="0" w:color="auto"/>
              <w:bottom w:val="single" w:sz="4" w:space="0" w:color="auto"/>
              <w:right w:val="single" w:sz="4" w:space="0" w:color="auto"/>
            </w:tcBorders>
          </w:tcPr>
          <w:p w14:paraId="697D6796" w14:textId="77777777" w:rsidR="00BE1421" w:rsidRPr="006E0E58" w:rsidRDefault="00BE1421" w:rsidP="00542CB5">
            <w:pPr>
              <w:pStyle w:val="EMEANormal"/>
              <w:rPr>
                <w:color w:val="000000"/>
              </w:rPr>
            </w:pPr>
          </w:p>
          <w:p w14:paraId="0AFBCB9F" w14:textId="77777777" w:rsidR="00BE1421" w:rsidRPr="0029146F" w:rsidRDefault="00BE1421" w:rsidP="00542CB5">
            <w:pPr>
              <w:pStyle w:val="EMEANormal"/>
              <w:rPr>
                <w:color w:val="000000"/>
              </w:rPr>
            </w:pPr>
            <w:r w:rsidRPr="0029146F">
              <w:rPr>
                <w:color w:val="000000"/>
              </w:rPr>
              <w:t>Elbasvir:</w:t>
            </w:r>
          </w:p>
          <w:p w14:paraId="78BF5C57" w14:textId="77777777" w:rsidR="00BE1421" w:rsidRPr="0029146F" w:rsidRDefault="00BE1421" w:rsidP="00542CB5">
            <w:pPr>
              <w:pStyle w:val="EMEANormal"/>
              <w:rPr>
                <w:color w:val="000000"/>
                <w:lang w:eastAsia="en-GB"/>
              </w:rPr>
            </w:pPr>
            <w:r w:rsidRPr="0029146F">
              <w:rPr>
                <w:color w:val="000000"/>
                <w:lang w:eastAsia="en-GB"/>
              </w:rPr>
              <w:t xml:space="preserve">AUC: </w:t>
            </w:r>
            <w:r w:rsidRPr="0029146F">
              <w:rPr>
                <w:lang w:val="en-GB"/>
              </w:rPr>
              <w:t>↑</w:t>
            </w:r>
            <w:r w:rsidRPr="0029146F">
              <w:rPr>
                <w:color w:val="000000"/>
                <w:lang w:eastAsia="en-GB"/>
              </w:rPr>
              <w:t xml:space="preserve"> 2.71-fold</w:t>
            </w:r>
          </w:p>
          <w:p w14:paraId="60465DAE" w14:textId="77777777" w:rsidR="00BE1421" w:rsidRPr="0029146F" w:rsidRDefault="00BE1421" w:rsidP="00542CB5">
            <w:pPr>
              <w:pStyle w:val="EMEANormal"/>
              <w:rPr>
                <w:color w:val="000000"/>
                <w:lang w:eastAsia="en-GB"/>
              </w:rPr>
            </w:pPr>
            <w:r w:rsidRPr="0029146F">
              <w:rPr>
                <w:color w:val="000000"/>
                <w:lang w:eastAsia="en-GB"/>
              </w:rPr>
              <w:t>C</w:t>
            </w:r>
            <w:r w:rsidRPr="0029146F">
              <w:rPr>
                <w:color w:val="000000"/>
                <w:vertAlign w:val="subscript"/>
                <w:lang w:eastAsia="en-GB"/>
              </w:rPr>
              <w:t>max</w:t>
            </w:r>
            <w:r w:rsidRPr="0029146F">
              <w:rPr>
                <w:color w:val="000000"/>
                <w:lang w:eastAsia="en-GB"/>
              </w:rPr>
              <w:t xml:space="preserve">: </w:t>
            </w:r>
            <w:r w:rsidRPr="0029146F">
              <w:rPr>
                <w:lang w:val="en-GB"/>
              </w:rPr>
              <w:t>↑</w:t>
            </w:r>
            <w:r w:rsidRPr="0029146F">
              <w:rPr>
                <w:color w:val="000000"/>
                <w:lang w:eastAsia="en-GB"/>
              </w:rPr>
              <w:t xml:space="preserve"> 1.87-fold</w:t>
            </w:r>
          </w:p>
          <w:p w14:paraId="0684C198" w14:textId="77777777" w:rsidR="00BE1421" w:rsidRPr="0029146F" w:rsidRDefault="00BE1421" w:rsidP="00542CB5">
            <w:pPr>
              <w:pStyle w:val="EMEANormal"/>
              <w:rPr>
                <w:color w:val="000000"/>
              </w:rPr>
            </w:pPr>
            <w:r w:rsidRPr="0029146F">
              <w:rPr>
                <w:color w:val="000000"/>
                <w:lang w:eastAsia="en-GB"/>
              </w:rPr>
              <w:t>C</w:t>
            </w:r>
            <w:r w:rsidRPr="0029146F">
              <w:rPr>
                <w:color w:val="000000"/>
                <w:vertAlign w:val="subscript"/>
                <w:lang w:eastAsia="en-GB"/>
              </w:rPr>
              <w:t>24</w:t>
            </w:r>
            <w:r w:rsidRPr="0029146F">
              <w:rPr>
                <w:color w:val="000000"/>
                <w:lang w:eastAsia="en-GB"/>
              </w:rPr>
              <w:t xml:space="preserve">: </w:t>
            </w:r>
            <w:r w:rsidRPr="0029146F">
              <w:rPr>
                <w:lang w:val="en-GB"/>
              </w:rPr>
              <w:t>↑</w:t>
            </w:r>
            <w:r w:rsidRPr="0029146F">
              <w:rPr>
                <w:color w:val="000000"/>
                <w:lang w:eastAsia="en-GB"/>
              </w:rPr>
              <w:t xml:space="preserve"> 3.58-fold</w:t>
            </w:r>
          </w:p>
          <w:p w14:paraId="2E038E7B" w14:textId="77777777" w:rsidR="00BE1421" w:rsidRPr="0029146F" w:rsidRDefault="00BE1421" w:rsidP="00542CB5">
            <w:pPr>
              <w:pStyle w:val="EMEANormal"/>
              <w:rPr>
                <w:color w:val="000000"/>
              </w:rPr>
            </w:pPr>
          </w:p>
          <w:p w14:paraId="597DC93E" w14:textId="77777777" w:rsidR="00BE1421" w:rsidRPr="0029146F" w:rsidRDefault="00BE1421" w:rsidP="00542CB5">
            <w:pPr>
              <w:pStyle w:val="EMEANormal"/>
              <w:rPr>
                <w:color w:val="000000"/>
              </w:rPr>
            </w:pPr>
            <w:r w:rsidRPr="0029146F">
              <w:rPr>
                <w:color w:val="000000"/>
              </w:rPr>
              <w:t>Grazoprevir:</w:t>
            </w:r>
          </w:p>
          <w:p w14:paraId="499E3114" w14:textId="77777777" w:rsidR="00BE1421" w:rsidRPr="0029146F" w:rsidRDefault="00BE1421" w:rsidP="00542CB5">
            <w:pPr>
              <w:pStyle w:val="EMEANormal"/>
              <w:rPr>
                <w:color w:val="000000"/>
                <w:lang w:eastAsia="en-GB"/>
              </w:rPr>
            </w:pPr>
            <w:r w:rsidRPr="0029146F">
              <w:rPr>
                <w:color w:val="000000"/>
                <w:lang w:eastAsia="en-GB"/>
              </w:rPr>
              <w:t xml:space="preserve">AUC: </w:t>
            </w:r>
            <w:r w:rsidRPr="0029146F">
              <w:rPr>
                <w:lang w:val="en-GB"/>
              </w:rPr>
              <w:t>↑</w:t>
            </w:r>
            <w:r w:rsidRPr="0029146F">
              <w:rPr>
                <w:color w:val="000000"/>
                <w:lang w:eastAsia="en-GB"/>
              </w:rPr>
              <w:t xml:space="preserve"> 11.86-fold</w:t>
            </w:r>
          </w:p>
          <w:p w14:paraId="54CDB923" w14:textId="77777777" w:rsidR="00BE1421" w:rsidRPr="0029146F" w:rsidRDefault="00BE1421" w:rsidP="00542CB5">
            <w:pPr>
              <w:pStyle w:val="EMEANormal"/>
              <w:rPr>
                <w:color w:val="000000"/>
                <w:lang w:eastAsia="en-GB"/>
              </w:rPr>
            </w:pPr>
            <w:r w:rsidRPr="0029146F">
              <w:rPr>
                <w:color w:val="000000"/>
                <w:lang w:eastAsia="en-GB"/>
              </w:rPr>
              <w:t>C</w:t>
            </w:r>
            <w:r w:rsidRPr="0029146F">
              <w:rPr>
                <w:color w:val="000000"/>
                <w:vertAlign w:val="subscript"/>
                <w:lang w:eastAsia="en-GB"/>
              </w:rPr>
              <w:t>max</w:t>
            </w:r>
            <w:r w:rsidRPr="0029146F">
              <w:rPr>
                <w:color w:val="000000"/>
                <w:lang w:eastAsia="en-GB"/>
              </w:rPr>
              <w:t xml:space="preserve">: </w:t>
            </w:r>
            <w:r w:rsidRPr="0029146F">
              <w:rPr>
                <w:lang w:val="en-GB"/>
              </w:rPr>
              <w:t>↑</w:t>
            </w:r>
            <w:r w:rsidRPr="0029146F">
              <w:rPr>
                <w:color w:val="000000"/>
                <w:lang w:eastAsia="en-GB"/>
              </w:rPr>
              <w:t xml:space="preserve"> 6.31-fold</w:t>
            </w:r>
          </w:p>
          <w:p w14:paraId="73444AA1" w14:textId="77777777" w:rsidR="00BE1421" w:rsidRPr="0029146F" w:rsidRDefault="00BE1421" w:rsidP="00542CB5">
            <w:pPr>
              <w:pStyle w:val="EMEANormal"/>
              <w:rPr>
                <w:lang w:val="en-GB"/>
              </w:rPr>
            </w:pPr>
            <w:r w:rsidRPr="0029146F">
              <w:rPr>
                <w:color w:val="000000"/>
                <w:lang w:eastAsia="en-GB"/>
              </w:rPr>
              <w:t>C</w:t>
            </w:r>
            <w:r w:rsidRPr="0029146F">
              <w:rPr>
                <w:color w:val="000000"/>
                <w:vertAlign w:val="subscript"/>
                <w:lang w:eastAsia="en-GB"/>
              </w:rPr>
              <w:t>24</w:t>
            </w:r>
            <w:r w:rsidRPr="0029146F">
              <w:rPr>
                <w:color w:val="000000"/>
                <w:lang w:eastAsia="en-GB"/>
              </w:rPr>
              <w:t xml:space="preserve">: </w:t>
            </w:r>
            <w:r w:rsidRPr="0029146F">
              <w:rPr>
                <w:lang w:val="en-GB"/>
              </w:rPr>
              <w:t>↑ 20.70-fold</w:t>
            </w:r>
          </w:p>
          <w:p w14:paraId="1DEFF74E" w14:textId="77777777" w:rsidR="00BE1421" w:rsidRPr="0029146F" w:rsidRDefault="00BE1421" w:rsidP="00542CB5">
            <w:pPr>
              <w:pStyle w:val="EMEANormal"/>
              <w:rPr>
                <w:lang w:val="en-GB"/>
              </w:rPr>
            </w:pPr>
          </w:p>
          <w:p w14:paraId="19EF25B5" w14:textId="77777777" w:rsidR="00BE1421" w:rsidRPr="0029146F" w:rsidRDefault="00BE1421" w:rsidP="00542CB5">
            <w:pPr>
              <w:pStyle w:val="EMEANormal"/>
              <w:rPr>
                <w:lang w:val="en-GB"/>
              </w:rPr>
            </w:pPr>
            <w:r w:rsidRPr="0029146F">
              <w:rPr>
                <w:lang w:val="en-GB"/>
              </w:rPr>
              <w:t>(combinations of mechanisms including CYP3A inhibition)</w:t>
            </w:r>
          </w:p>
          <w:p w14:paraId="06865757" w14:textId="77777777" w:rsidR="00BE1421" w:rsidRPr="0029146F" w:rsidRDefault="00BE1421" w:rsidP="00542CB5">
            <w:pPr>
              <w:pStyle w:val="EMEANormal"/>
              <w:rPr>
                <w:lang w:val="en-GB"/>
              </w:rPr>
            </w:pPr>
          </w:p>
          <w:p w14:paraId="6AD15C20" w14:textId="77777777" w:rsidR="00BE1421" w:rsidRPr="0029146F" w:rsidRDefault="00BE1421" w:rsidP="00542CB5">
            <w:pPr>
              <w:pStyle w:val="EMEANormal"/>
              <w:rPr>
                <w:lang w:val="en-GB"/>
              </w:rPr>
            </w:pPr>
            <w:r w:rsidRPr="0029146F">
              <w:rPr>
                <w:lang w:val="en-GB"/>
              </w:rPr>
              <w:t xml:space="preserve">Lopinavir: </w:t>
            </w:r>
            <w:r w:rsidRPr="0029146F">
              <w:rPr>
                <w:szCs w:val="22"/>
                <w:lang w:val="en-GB"/>
              </w:rPr>
              <w:t>↔</w:t>
            </w:r>
          </w:p>
        </w:tc>
        <w:tc>
          <w:tcPr>
            <w:tcW w:w="3402" w:type="dxa"/>
            <w:tcBorders>
              <w:top w:val="single" w:sz="4" w:space="0" w:color="auto"/>
              <w:left w:val="single" w:sz="4" w:space="0" w:color="auto"/>
              <w:bottom w:val="single" w:sz="4" w:space="0" w:color="auto"/>
              <w:right w:val="single" w:sz="4" w:space="0" w:color="auto"/>
            </w:tcBorders>
          </w:tcPr>
          <w:p w14:paraId="7CC82850" w14:textId="77777777" w:rsidR="00BE1421" w:rsidRDefault="00BE1421" w:rsidP="00542CB5">
            <w:pPr>
              <w:pStyle w:val="EMEANormal"/>
              <w:rPr>
                <w:color w:val="000000"/>
              </w:rPr>
            </w:pPr>
            <w:r>
              <w:rPr>
                <w:color w:val="000000"/>
              </w:rPr>
              <w:t>Concomitant administration of elbasvir/grazoprevir with Kaletra is contraindicated (see section 4.3).</w:t>
            </w:r>
          </w:p>
        </w:tc>
      </w:tr>
      <w:tr w:rsidR="00BE1421" w:rsidRPr="00342F7C" w14:paraId="2A6B8AEB" w14:textId="77777777" w:rsidTr="008F531F">
        <w:tc>
          <w:tcPr>
            <w:tcW w:w="2410" w:type="dxa"/>
            <w:gridSpan w:val="2"/>
            <w:tcBorders>
              <w:top w:val="single" w:sz="4" w:space="0" w:color="auto"/>
              <w:left w:val="single" w:sz="4" w:space="0" w:color="auto"/>
              <w:bottom w:val="single" w:sz="4" w:space="0" w:color="auto"/>
              <w:right w:val="single" w:sz="4" w:space="0" w:color="auto"/>
            </w:tcBorders>
          </w:tcPr>
          <w:p w14:paraId="407C4709" w14:textId="77777777" w:rsidR="00BE1421" w:rsidRPr="0029146F" w:rsidRDefault="00BE1421" w:rsidP="00D11B95">
            <w:pPr>
              <w:pStyle w:val="EMEANormal"/>
              <w:keepNext/>
              <w:rPr>
                <w:color w:val="000000"/>
              </w:rPr>
            </w:pPr>
            <w:r>
              <w:rPr>
                <w:color w:val="000000"/>
              </w:rPr>
              <w:t>Glecaprevir/pibrentasvir</w:t>
            </w:r>
          </w:p>
        </w:tc>
        <w:tc>
          <w:tcPr>
            <w:tcW w:w="3260" w:type="dxa"/>
            <w:gridSpan w:val="2"/>
            <w:tcBorders>
              <w:top w:val="single" w:sz="4" w:space="0" w:color="auto"/>
              <w:left w:val="single" w:sz="4" w:space="0" w:color="auto"/>
              <w:bottom w:val="single" w:sz="4" w:space="0" w:color="auto"/>
              <w:right w:val="single" w:sz="4" w:space="0" w:color="auto"/>
            </w:tcBorders>
          </w:tcPr>
          <w:p w14:paraId="7ABDF8A3" w14:textId="77777777" w:rsidR="00BE1421" w:rsidRPr="0029146F" w:rsidRDefault="00BE1421" w:rsidP="00463201">
            <w:pPr>
              <w:pStyle w:val="EMEANormal"/>
              <w:keepNext/>
              <w:rPr>
                <w:color w:val="000000"/>
              </w:rPr>
            </w:pPr>
            <w:r>
              <w:rPr>
                <w:color w:val="000000"/>
              </w:rPr>
              <w:t>Serum concentrations may be increased due to P-glycoprotein, BCRP and OATP1B inhibition by lopinavir/ritonavir.</w:t>
            </w:r>
          </w:p>
        </w:tc>
        <w:tc>
          <w:tcPr>
            <w:tcW w:w="3402" w:type="dxa"/>
            <w:tcBorders>
              <w:top w:val="single" w:sz="4" w:space="0" w:color="auto"/>
              <w:left w:val="single" w:sz="4" w:space="0" w:color="auto"/>
              <w:right w:val="single" w:sz="4" w:space="0" w:color="auto"/>
            </w:tcBorders>
          </w:tcPr>
          <w:p w14:paraId="64F87348" w14:textId="77777777" w:rsidR="00BE1421" w:rsidRPr="0029146F" w:rsidRDefault="00BE1421" w:rsidP="00D11B95">
            <w:pPr>
              <w:pStyle w:val="EMEANormal"/>
              <w:keepNext/>
              <w:rPr>
                <w:color w:val="000000"/>
              </w:rPr>
            </w:pPr>
            <w:r>
              <w:rPr>
                <w:color w:val="000000"/>
              </w:rPr>
              <w:t>Concomitant administration of glecaprevir/pibrentasvir and Kaletra is not recommended due to an increased risk of ALT elevations associated with increased glecaprevir exposure.</w:t>
            </w:r>
          </w:p>
        </w:tc>
      </w:tr>
      <w:tr w:rsidR="00BE1421" w:rsidRPr="00342F7C" w14:paraId="1789626F" w14:textId="77777777" w:rsidTr="008F531F">
        <w:tc>
          <w:tcPr>
            <w:tcW w:w="2410" w:type="dxa"/>
            <w:gridSpan w:val="2"/>
            <w:tcBorders>
              <w:top w:val="single" w:sz="4" w:space="0" w:color="auto"/>
              <w:left w:val="single" w:sz="4" w:space="0" w:color="auto"/>
              <w:bottom w:val="single" w:sz="4" w:space="0" w:color="auto"/>
              <w:right w:val="single" w:sz="4" w:space="0" w:color="auto"/>
            </w:tcBorders>
          </w:tcPr>
          <w:p w14:paraId="7ABD1336" w14:textId="77777777" w:rsidR="00BE1421" w:rsidRPr="0029146F" w:rsidRDefault="00BE1421" w:rsidP="00D11B95">
            <w:pPr>
              <w:pStyle w:val="EMEANormal"/>
              <w:keepNext/>
              <w:rPr>
                <w:color w:val="000000"/>
              </w:rPr>
            </w:pPr>
            <w:r w:rsidRPr="0029146F">
              <w:rPr>
                <w:color w:val="000000"/>
              </w:rPr>
              <w:t>Ombitasvir/paritaprevir/ritonavir + dasabuvir</w:t>
            </w:r>
          </w:p>
          <w:p w14:paraId="42970783" w14:textId="77777777" w:rsidR="00BE1421" w:rsidRPr="006E0E58" w:rsidRDefault="00BE1421" w:rsidP="00D11B95">
            <w:pPr>
              <w:pStyle w:val="EMEANormal"/>
              <w:keepNext/>
              <w:rPr>
                <w:color w:val="000000"/>
              </w:rPr>
            </w:pPr>
          </w:p>
          <w:p w14:paraId="37080109" w14:textId="77777777" w:rsidR="00BE1421" w:rsidRPr="0029146F" w:rsidRDefault="00BE1421" w:rsidP="00D11B95">
            <w:pPr>
              <w:pStyle w:val="EMEANormal"/>
              <w:keepNext/>
              <w:rPr>
                <w:color w:val="000000"/>
              </w:rPr>
            </w:pPr>
            <w:r w:rsidRPr="0029146F">
              <w:rPr>
                <w:color w:val="000000"/>
              </w:rPr>
              <w:t xml:space="preserve">(25/150/100 mg QD + </w:t>
            </w:r>
            <w:r>
              <w:rPr>
                <w:color w:val="000000"/>
              </w:rPr>
              <w:t>40</w:t>
            </w:r>
            <w:r w:rsidRPr="0029146F">
              <w:rPr>
                <w:color w:val="000000"/>
              </w:rPr>
              <w:t>0 mg BID)</w:t>
            </w:r>
          </w:p>
          <w:p w14:paraId="491C84F2" w14:textId="77777777" w:rsidR="00BE1421" w:rsidRPr="0029146F" w:rsidRDefault="00BE1421" w:rsidP="00D11B95">
            <w:pPr>
              <w:pStyle w:val="EMEANormal"/>
              <w:keepNext/>
              <w:rPr>
                <w:color w:val="000000"/>
              </w:rPr>
            </w:pPr>
          </w:p>
          <w:p w14:paraId="6625071C" w14:textId="77777777" w:rsidR="00BE1421" w:rsidRPr="0029146F" w:rsidRDefault="00BE1421" w:rsidP="00D11B95">
            <w:pPr>
              <w:pStyle w:val="EMEANormal"/>
              <w:keepNext/>
              <w:rPr>
                <w:color w:val="000000"/>
              </w:rPr>
            </w:pPr>
            <w:r w:rsidRPr="0029146F">
              <w:rPr>
                <w:color w:val="000000"/>
              </w:rPr>
              <w:t xml:space="preserve">Lopinavir/ritonavir </w:t>
            </w:r>
          </w:p>
          <w:p w14:paraId="358EBD26" w14:textId="77777777" w:rsidR="00BE1421" w:rsidRPr="0029146F" w:rsidRDefault="00BE1421" w:rsidP="00D11B95">
            <w:pPr>
              <w:pStyle w:val="EMEANormal"/>
              <w:keepNext/>
              <w:rPr>
                <w:color w:val="000000"/>
              </w:rPr>
            </w:pPr>
            <w:r w:rsidRPr="0029146F">
              <w:rPr>
                <w:color w:val="000000"/>
              </w:rPr>
              <w:t>400/100 mg BID</w:t>
            </w:r>
          </w:p>
        </w:tc>
        <w:tc>
          <w:tcPr>
            <w:tcW w:w="3260" w:type="dxa"/>
            <w:gridSpan w:val="2"/>
            <w:tcBorders>
              <w:top w:val="single" w:sz="4" w:space="0" w:color="auto"/>
              <w:left w:val="single" w:sz="4" w:space="0" w:color="auto"/>
              <w:bottom w:val="single" w:sz="4" w:space="0" w:color="auto"/>
              <w:right w:val="single" w:sz="4" w:space="0" w:color="auto"/>
            </w:tcBorders>
          </w:tcPr>
          <w:p w14:paraId="3FFB3DEF" w14:textId="77777777" w:rsidR="00BE1421" w:rsidRPr="0029146F" w:rsidRDefault="00BE1421" w:rsidP="00D11B95">
            <w:pPr>
              <w:pStyle w:val="EMEANormal"/>
              <w:keepNext/>
              <w:rPr>
                <w:color w:val="000000"/>
              </w:rPr>
            </w:pPr>
            <w:r w:rsidRPr="0029146F">
              <w:rPr>
                <w:color w:val="000000"/>
              </w:rPr>
              <w:t xml:space="preserve">Ombitasvir: </w:t>
            </w:r>
            <w:r w:rsidRPr="0029146F">
              <w:rPr>
                <w:szCs w:val="22"/>
                <w:lang w:val="en-GB"/>
              </w:rPr>
              <w:t>↔</w:t>
            </w:r>
            <w:r w:rsidRPr="0029146F">
              <w:rPr>
                <w:color w:val="000000"/>
              </w:rPr>
              <w:t xml:space="preserve"> </w:t>
            </w:r>
          </w:p>
          <w:p w14:paraId="2483DF94" w14:textId="77777777" w:rsidR="00BE1421" w:rsidRPr="006E0E58" w:rsidRDefault="00BE1421" w:rsidP="00D11B95">
            <w:pPr>
              <w:pStyle w:val="EMEANormal"/>
              <w:keepNext/>
              <w:rPr>
                <w:color w:val="000000"/>
              </w:rPr>
            </w:pPr>
          </w:p>
          <w:p w14:paraId="7224FDDD" w14:textId="77777777" w:rsidR="00BE1421" w:rsidRPr="00D11B95" w:rsidRDefault="00BE1421" w:rsidP="00D11B95">
            <w:pPr>
              <w:pStyle w:val="EMEANormal"/>
              <w:keepNext/>
              <w:rPr>
                <w:color w:val="000000"/>
              </w:rPr>
            </w:pPr>
            <w:r w:rsidRPr="00D11B95">
              <w:rPr>
                <w:color w:val="000000"/>
              </w:rPr>
              <w:t>Paritaprevir:</w:t>
            </w:r>
          </w:p>
          <w:p w14:paraId="102C03F8" w14:textId="77777777" w:rsidR="00BE1421" w:rsidRPr="0029146F" w:rsidRDefault="00BE1421" w:rsidP="00D11B95">
            <w:pPr>
              <w:pStyle w:val="EMEANormal"/>
              <w:keepNext/>
              <w:rPr>
                <w:color w:val="000000"/>
                <w:lang w:eastAsia="en-GB"/>
              </w:rPr>
            </w:pPr>
            <w:r w:rsidRPr="00D11B95">
              <w:rPr>
                <w:color w:val="000000"/>
                <w:lang w:eastAsia="en-GB"/>
              </w:rPr>
              <w:t xml:space="preserve">AUC: </w:t>
            </w:r>
            <w:r w:rsidRPr="00922746">
              <w:rPr>
                <w:lang w:val="en-GB"/>
              </w:rPr>
              <w:t>↑</w:t>
            </w:r>
            <w:r w:rsidRPr="00922746">
              <w:rPr>
                <w:color w:val="000000"/>
                <w:lang w:eastAsia="en-GB"/>
              </w:rPr>
              <w:t xml:space="preserve"> </w:t>
            </w:r>
            <w:r>
              <w:rPr>
                <w:color w:val="000000"/>
                <w:lang w:eastAsia="en-GB"/>
              </w:rPr>
              <w:t>2</w:t>
            </w:r>
            <w:r w:rsidRPr="0029146F">
              <w:rPr>
                <w:color w:val="000000"/>
                <w:lang w:eastAsia="en-GB"/>
              </w:rPr>
              <w:t>.17-fold</w:t>
            </w:r>
          </w:p>
          <w:p w14:paraId="03A0FE2A" w14:textId="77777777" w:rsidR="00BE1421" w:rsidRPr="0029146F" w:rsidRDefault="00BE1421" w:rsidP="00D11B95">
            <w:pPr>
              <w:pStyle w:val="EMEANormal"/>
              <w:keepNext/>
              <w:rPr>
                <w:color w:val="000000"/>
                <w:lang w:eastAsia="en-GB"/>
              </w:rPr>
            </w:pPr>
            <w:r w:rsidRPr="0029146F">
              <w:rPr>
                <w:color w:val="000000"/>
                <w:lang w:eastAsia="en-GB"/>
              </w:rPr>
              <w:t>C</w:t>
            </w:r>
            <w:r w:rsidRPr="0029146F">
              <w:rPr>
                <w:color w:val="000000"/>
                <w:vertAlign w:val="subscript"/>
                <w:lang w:eastAsia="en-GB"/>
              </w:rPr>
              <w:t>max</w:t>
            </w:r>
            <w:r w:rsidRPr="0029146F">
              <w:rPr>
                <w:color w:val="000000"/>
                <w:lang w:eastAsia="en-GB"/>
              </w:rPr>
              <w:t xml:space="preserve">: </w:t>
            </w:r>
            <w:r w:rsidRPr="0029146F">
              <w:rPr>
                <w:lang w:val="en-GB"/>
              </w:rPr>
              <w:t>↑</w:t>
            </w:r>
            <w:r w:rsidRPr="0029146F">
              <w:rPr>
                <w:color w:val="000000"/>
                <w:lang w:eastAsia="en-GB"/>
              </w:rPr>
              <w:t xml:space="preserve"> </w:t>
            </w:r>
            <w:r>
              <w:rPr>
                <w:color w:val="000000"/>
                <w:lang w:eastAsia="en-GB"/>
              </w:rPr>
              <w:t>2</w:t>
            </w:r>
            <w:r w:rsidRPr="0029146F">
              <w:rPr>
                <w:color w:val="000000"/>
                <w:lang w:eastAsia="en-GB"/>
              </w:rPr>
              <w:t>.04-fold</w:t>
            </w:r>
          </w:p>
          <w:p w14:paraId="52434628" w14:textId="77777777" w:rsidR="00BE1421" w:rsidRPr="0029146F" w:rsidRDefault="00BE1421" w:rsidP="00D11B95">
            <w:pPr>
              <w:pStyle w:val="EMEANormal"/>
              <w:keepNext/>
              <w:rPr>
                <w:color w:val="000000"/>
                <w:lang w:eastAsia="en-GB"/>
              </w:rPr>
            </w:pPr>
            <w:r w:rsidRPr="0029146F">
              <w:rPr>
                <w:color w:val="000000"/>
                <w:lang w:eastAsia="en-GB"/>
              </w:rPr>
              <w:t>C</w:t>
            </w:r>
            <w:r w:rsidRPr="0029146F">
              <w:rPr>
                <w:color w:val="000000"/>
                <w:vertAlign w:val="subscript"/>
                <w:lang w:eastAsia="en-GB"/>
              </w:rPr>
              <w:t>trough</w:t>
            </w:r>
            <w:r w:rsidRPr="0029146F">
              <w:rPr>
                <w:color w:val="000000"/>
                <w:lang w:eastAsia="en-GB"/>
              </w:rPr>
              <w:t xml:space="preserve">: </w:t>
            </w:r>
            <w:r w:rsidRPr="0029146F">
              <w:rPr>
                <w:lang w:val="en-GB"/>
              </w:rPr>
              <w:t>↑</w:t>
            </w:r>
            <w:r w:rsidRPr="0029146F">
              <w:rPr>
                <w:color w:val="000000"/>
                <w:lang w:eastAsia="en-GB"/>
              </w:rPr>
              <w:t xml:space="preserve"> </w:t>
            </w:r>
            <w:r>
              <w:rPr>
                <w:color w:val="000000"/>
                <w:lang w:eastAsia="en-GB"/>
              </w:rPr>
              <w:t>2</w:t>
            </w:r>
            <w:r w:rsidRPr="0029146F">
              <w:rPr>
                <w:color w:val="000000"/>
                <w:lang w:eastAsia="en-GB"/>
              </w:rPr>
              <w:t>.36-fold</w:t>
            </w:r>
          </w:p>
          <w:p w14:paraId="79E74F82" w14:textId="77777777" w:rsidR="00BE1421" w:rsidRPr="006E0E58" w:rsidRDefault="00BE1421" w:rsidP="00D11B95">
            <w:pPr>
              <w:pStyle w:val="EMEANormal"/>
              <w:keepNext/>
              <w:rPr>
                <w:color w:val="000000"/>
                <w:lang w:eastAsia="en-GB"/>
              </w:rPr>
            </w:pPr>
          </w:p>
          <w:p w14:paraId="39E22C68" w14:textId="77777777" w:rsidR="00BE1421" w:rsidRPr="0029146F" w:rsidRDefault="00BE1421" w:rsidP="00D11B95">
            <w:pPr>
              <w:pStyle w:val="EMEANormal"/>
              <w:keepNext/>
              <w:rPr>
                <w:color w:val="000000"/>
                <w:lang w:eastAsia="en-GB"/>
              </w:rPr>
            </w:pPr>
            <w:r w:rsidRPr="0029146F">
              <w:rPr>
                <w:color w:val="000000"/>
                <w:lang w:eastAsia="en-GB"/>
              </w:rPr>
              <w:t>(inhibition of CYP3A/efflux transporters)</w:t>
            </w:r>
          </w:p>
          <w:p w14:paraId="34CE6720" w14:textId="77777777" w:rsidR="00BE1421" w:rsidRPr="0029146F" w:rsidRDefault="00BE1421" w:rsidP="00D11B95">
            <w:pPr>
              <w:pStyle w:val="EMEANormal"/>
              <w:keepNext/>
              <w:rPr>
                <w:color w:val="000000"/>
                <w:lang w:eastAsia="en-GB"/>
              </w:rPr>
            </w:pPr>
          </w:p>
          <w:p w14:paraId="6D570C31" w14:textId="77777777" w:rsidR="00BE1421" w:rsidRPr="0029146F" w:rsidRDefault="00BE1421" w:rsidP="00D11B95">
            <w:pPr>
              <w:pStyle w:val="EMEANormal"/>
              <w:keepNext/>
              <w:rPr>
                <w:color w:val="000000"/>
                <w:lang w:eastAsia="en-GB"/>
              </w:rPr>
            </w:pPr>
            <w:r w:rsidRPr="0029146F">
              <w:rPr>
                <w:color w:val="000000"/>
                <w:lang w:eastAsia="en-GB"/>
              </w:rPr>
              <w:t xml:space="preserve">Dasabuvir: </w:t>
            </w:r>
            <w:r w:rsidRPr="0029146F">
              <w:rPr>
                <w:szCs w:val="22"/>
                <w:lang w:val="en-GB"/>
              </w:rPr>
              <w:t>↔</w:t>
            </w:r>
          </w:p>
          <w:p w14:paraId="3F7B9E46" w14:textId="77777777" w:rsidR="00BE1421" w:rsidRPr="0029146F" w:rsidRDefault="00BE1421" w:rsidP="00D11B95">
            <w:pPr>
              <w:pStyle w:val="EMEANormal"/>
              <w:keepNext/>
              <w:rPr>
                <w:color w:val="000000"/>
                <w:lang w:eastAsia="en-GB"/>
              </w:rPr>
            </w:pPr>
          </w:p>
          <w:p w14:paraId="0473C19E" w14:textId="77777777" w:rsidR="00BE1421" w:rsidRPr="0029146F" w:rsidRDefault="00BE1421" w:rsidP="00D11B95">
            <w:pPr>
              <w:pStyle w:val="EMEANormal"/>
              <w:keepNext/>
              <w:rPr>
                <w:color w:val="000000"/>
              </w:rPr>
            </w:pPr>
            <w:r w:rsidRPr="0029146F">
              <w:rPr>
                <w:color w:val="000000"/>
                <w:lang w:eastAsia="en-GB"/>
              </w:rPr>
              <w:t xml:space="preserve">Lopinavir: </w:t>
            </w:r>
            <w:r w:rsidRPr="0029146F">
              <w:rPr>
                <w:szCs w:val="22"/>
                <w:lang w:val="en-GB"/>
              </w:rPr>
              <w:t>↔</w:t>
            </w:r>
          </w:p>
        </w:tc>
        <w:tc>
          <w:tcPr>
            <w:tcW w:w="3402" w:type="dxa"/>
            <w:vMerge w:val="restart"/>
            <w:tcBorders>
              <w:top w:val="single" w:sz="4" w:space="0" w:color="auto"/>
              <w:left w:val="single" w:sz="4" w:space="0" w:color="auto"/>
              <w:right w:val="single" w:sz="4" w:space="0" w:color="auto"/>
            </w:tcBorders>
          </w:tcPr>
          <w:p w14:paraId="67D78A3C" w14:textId="77777777" w:rsidR="00BE1421" w:rsidRPr="0029146F" w:rsidRDefault="00BE1421" w:rsidP="00D11B95">
            <w:pPr>
              <w:pStyle w:val="EMEANormal"/>
              <w:keepNext/>
              <w:rPr>
                <w:color w:val="000000"/>
              </w:rPr>
            </w:pPr>
            <w:r w:rsidRPr="0029146F">
              <w:rPr>
                <w:color w:val="000000"/>
              </w:rPr>
              <w:t>Co-administration is contraindicated.</w:t>
            </w:r>
          </w:p>
          <w:p w14:paraId="52DF16B5" w14:textId="77777777" w:rsidR="00BE1421" w:rsidRPr="006E0E58" w:rsidRDefault="00BE1421" w:rsidP="00D11B95">
            <w:pPr>
              <w:pStyle w:val="EMEANormal"/>
              <w:keepNext/>
              <w:rPr>
                <w:color w:val="000000"/>
              </w:rPr>
            </w:pPr>
          </w:p>
          <w:p w14:paraId="537701B5" w14:textId="77777777" w:rsidR="00BE1421" w:rsidRPr="0029146F" w:rsidRDefault="00BE1421" w:rsidP="00D11B95">
            <w:pPr>
              <w:pStyle w:val="EMEANormal"/>
              <w:keepNext/>
              <w:rPr>
                <w:color w:val="000000"/>
              </w:rPr>
            </w:pPr>
            <w:r w:rsidRPr="0029146F">
              <w:rPr>
                <w:color w:val="000000"/>
              </w:rPr>
              <w:t xml:space="preserve">Lopinavir/ritonavir 800/200 mg QD </w:t>
            </w:r>
            <w:r>
              <w:rPr>
                <w:color w:val="000000"/>
              </w:rPr>
              <w:t>was</w:t>
            </w:r>
            <w:r w:rsidRPr="0029146F">
              <w:rPr>
                <w:color w:val="000000"/>
              </w:rPr>
              <w:t xml:space="preserve"> administered with ombitasvir/paritaprevir/ritonavir with or without dasabuvir.  The effect on DAAs and lopinavir was similar to that observed when lopinavir/ritonavir 400/100 mg BID was administered (see section 4.3).</w:t>
            </w:r>
          </w:p>
        </w:tc>
      </w:tr>
      <w:tr w:rsidR="00BE1421" w:rsidRPr="00342F7C" w14:paraId="3F3FF45D" w14:textId="77777777" w:rsidTr="008F531F">
        <w:tc>
          <w:tcPr>
            <w:tcW w:w="2410" w:type="dxa"/>
            <w:gridSpan w:val="2"/>
            <w:tcBorders>
              <w:top w:val="single" w:sz="4" w:space="0" w:color="auto"/>
              <w:left w:val="single" w:sz="4" w:space="0" w:color="auto"/>
              <w:bottom w:val="single" w:sz="4" w:space="0" w:color="auto"/>
              <w:right w:val="single" w:sz="4" w:space="0" w:color="auto"/>
            </w:tcBorders>
          </w:tcPr>
          <w:p w14:paraId="0C920276" w14:textId="77777777" w:rsidR="00BE1421" w:rsidRPr="0029146F" w:rsidRDefault="00BE1421" w:rsidP="00542CB5">
            <w:pPr>
              <w:pStyle w:val="EMEANormal"/>
              <w:rPr>
                <w:color w:val="000000"/>
              </w:rPr>
            </w:pPr>
            <w:r w:rsidRPr="0029146F">
              <w:rPr>
                <w:color w:val="000000"/>
              </w:rPr>
              <w:t>Ombitasvir/paritaprevir/ ritonavir</w:t>
            </w:r>
          </w:p>
          <w:p w14:paraId="58751CF1" w14:textId="77777777" w:rsidR="00BE1421" w:rsidRPr="0029146F" w:rsidRDefault="00BE1421" w:rsidP="00542CB5">
            <w:pPr>
              <w:pStyle w:val="EMEANormal"/>
              <w:rPr>
                <w:color w:val="000000"/>
              </w:rPr>
            </w:pPr>
          </w:p>
          <w:p w14:paraId="1FE42C9C" w14:textId="77777777" w:rsidR="00BE1421" w:rsidRPr="0029146F" w:rsidRDefault="00BE1421" w:rsidP="00542CB5">
            <w:pPr>
              <w:pStyle w:val="EMEANormal"/>
              <w:rPr>
                <w:color w:val="000000"/>
              </w:rPr>
            </w:pPr>
            <w:r w:rsidRPr="0029146F">
              <w:rPr>
                <w:color w:val="000000"/>
              </w:rPr>
              <w:t>(25/150/100 m</w:t>
            </w:r>
            <w:r>
              <w:rPr>
                <w:color w:val="000000"/>
              </w:rPr>
              <w:t xml:space="preserve">g </w:t>
            </w:r>
            <w:r w:rsidRPr="0029146F">
              <w:rPr>
                <w:color w:val="000000"/>
              </w:rPr>
              <w:t>QD)</w:t>
            </w:r>
          </w:p>
          <w:p w14:paraId="0F901519" w14:textId="77777777" w:rsidR="00BE1421" w:rsidRPr="0029146F" w:rsidRDefault="00BE1421" w:rsidP="00542CB5">
            <w:pPr>
              <w:pStyle w:val="EMEANormal"/>
              <w:rPr>
                <w:color w:val="000000"/>
              </w:rPr>
            </w:pPr>
          </w:p>
          <w:p w14:paraId="25860AF1" w14:textId="77777777" w:rsidR="00BE1421" w:rsidRPr="0029146F" w:rsidRDefault="00BE1421" w:rsidP="00542CB5">
            <w:pPr>
              <w:pStyle w:val="EMEANormal"/>
              <w:rPr>
                <w:color w:val="000000"/>
              </w:rPr>
            </w:pPr>
            <w:r w:rsidRPr="0029146F">
              <w:rPr>
                <w:color w:val="000000"/>
              </w:rPr>
              <w:t>Lopinavir/ritonavir</w:t>
            </w:r>
          </w:p>
          <w:p w14:paraId="225E957F" w14:textId="77777777" w:rsidR="00BE1421" w:rsidRPr="0029146F" w:rsidRDefault="00BE1421" w:rsidP="00542CB5">
            <w:pPr>
              <w:pStyle w:val="EMEANormal"/>
              <w:rPr>
                <w:color w:val="000000"/>
              </w:rPr>
            </w:pPr>
            <w:r w:rsidRPr="0029146F">
              <w:rPr>
                <w:color w:val="000000"/>
              </w:rPr>
              <w:t>400/100 mg BID</w:t>
            </w:r>
          </w:p>
        </w:tc>
        <w:tc>
          <w:tcPr>
            <w:tcW w:w="3260" w:type="dxa"/>
            <w:gridSpan w:val="2"/>
            <w:tcBorders>
              <w:top w:val="single" w:sz="4" w:space="0" w:color="auto"/>
              <w:left w:val="single" w:sz="4" w:space="0" w:color="auto"/>
              <w:bottom w:val="single" w:sz="4" w:space="0" w:color="auto"/>
              <w:right w:val="single" w:sz="4" w:space="0" w:color="auto"/>
            </w:tcBorders>
          </w:tcPr>
          <w:p w14:paraId="2199E9BA" w14:textId="77777777" w:rsidR="00BE1421" w:rsidRPr="0029146F" w:rsidRDefault="00BE1421" w:rsidP="00542CB5">
            <w:pPr>
              <w:pStyle w:val="EMEANormal"/>
              <w:rPr>
                <w:color w:val="000000"/>
              </w:rPr>
            </w:pPr>
            <w:r w:rsidRPr="0029146F">
              <w:rPr>
                <w:color w:val="000000"/>
              </w:rPr>
              <w:t>Ombitasvir:</w:t>
            </w:r>
            <w:r w:rsidRPr="0029146F">
              <w:rPr>
                <w:color w:val="000000"/>
                <w:lang w:eastAsia="en-GB"/>
              </w:rPr>
              <w:t xml:space="preserve"> </w:t>
            </w:r>
            <w:r w:rsidRPr="0029146F">
              <w:rPr>
                <w:szCs w:val="22"/>
                <w:lang w:val="en-GB"/>
              </w:rPr>
              <w:t>↔</w:t>
            </w:r>
          </w:p>
          <w:p w14:paraId="28A84E14" w14:textId="77777777" w:rsidR="00BE1421" w:rsidRPr="0029146F" w:rsidRDefault="00BE1421" w:rsidP="00542CB5">
            <w:pPr>
              <w:pStyle w:val="EMEANormal"/>
              <w:rPr>
                <w:color w:val="000000"/>
              </w:rPr>
            </w:pPr>
          </w:p>
          <w:p w14:paraId="5BC81002" w14:textId="77777777" w:rsidR="00BE1421" w:rsidRPr="0029146F" w:rsidRDefault="00BE1421" w:rsidP="00542CB5">
            <w:pPr>
              <w:pStyle w:val="EMEANormal"/>
              <w:rPr>
                <w:color w:val="000000"/>
              </w:rPr>
            </w:pPr>
            <w:r w:rsidRPr="0029146F">
              <w:rPr>
                <w:color w:val="000000"/>
              </w:rPr>
              <w:t>Paritaprevir:</w:t>
            </w:r>
          </w:p>
          <w:p w14:paraId="251B0627" w14:textId="77777777" w:rsidR="00BE1421" w:rsidRPr="0029146F" w:rsidRDefault="00BE1421" w:rsidP="00542CB5">
            <w:pPr>
              <w:pStyle w:val="EMEANormal"/>
              <w:rPr>
                <w:color w:val="000000"/>
                <w:lang w:eastAsia="en-GB"/>
              </w:rPr>
            </w:pPr>
            <w:r w:rsidRPr="0029146F">
              <w:rPr>
                <w:color w:val="000000"/>
                <w:lang w:eastAsia="en-GB"/>
              </w:rPr>
              <w:t xml:space="preserve">AUC: </w:t>
            </w:r>
            <w:r w:rsidRPr="0029146F">
              <w:rPr>
                <w:lang w:val="en-GB"/>
              </w:rPr>
              <w:t>↑</w:t>
            </w:r>
            <w:r w:rsidRPr="0029146F">
              <w:rPr>
                <w:color w:val="000000"/>
                <w:lang w:eastAsia="en-GB"/>
              </w:rPr>
              <w:t xml:space="preserve"> </w:t>
            </w:r>
            <w:r>
              <w:rPr>
                <w:color w:val="000000"/>
                <w:lang w:eastAsia="en-GB"/>
              </w:rPr>
              <w:t>6</w:t>
            </w:r>
            <w:r w:rsidRPr="0029146F">
              <w:rPr>
                <w:color w:val="000000"/>
                <w:lang w:eastAsia="en-GB"/>
              </w:rPr>
              <w:t>.10-fold</w:t>
            </w:r>
          </w:p>
          <w:p w14:paraId="18C7CF73" w14:textId="77777777" w:rsidR="00BE1421" w:rsidRPr="0029146F" w:rsidRDefault="00BE1421" w:rsidP="00542CB5">
            <w:pPr>
              <w:pStyle w:val="EMEANormal"/>
              <w:rPr>
                <w:color w:val="000000"/>
                <w:lang w:eastAsia="en-GB"/>
              </w:rPr>
            </w:pPr>
            <w:r w:rsidRPr="0029146F">
              <w:rPr>
                <w:color w:val="000000"/>
                <w:lang w:eastAsia="en-GB"/>
              </w:rPr>
              <w:t>C</w:t>
            </w:r>
            <w:r w:rsidRPr="0029146F">
              <w:rPr>
                <w:color w:val="000000"/>
                <w:vertAlign w:val="subscript"/>
                <w:lang w:eastAsia="en-GB"/>
              </w:rPr>
              <w:t>max</w:t>
            </w:r>
            <w:r w:rsidRPr="0029146F">
              <w:rPr>
                <w:color w:val="000000"/>
                <w:lang w:eastAsia="en-GB"/>
              </w:rPr>
              <w:t xml:space="preserve">: </w:t>
            </w:r>
            <w:r w:rsidRPr="0029146F">
              <w:rPr>
                <w:lang w:val="en-GB"/>
              </w:rPr>
              <w:t>↑</w:t>
            </w:r>
            <w:r w:rsidRPr="0029146F">
              <w:rPr>
                <w:color w:val="000000"/>
                <w:lang w:eastAsia="en-GB"/>
              </w:rPr>
              <w:t xml:space="preserve"> </w:t>
            </w:r>
            <w:r>
              <w:rPr>
                <w:color w:val="000000"/>
                <w:lang w:eastAsia="en-GB"/>
              </w:rPr>
              <w:t>4</w:t>
            </w:r>
            <w:r w:rsidRPr="0029146F">
              <w:rPr>
                <w:color w:val="000000"/>
                <w:lang w:eastAsia="en-GB"/>
              </w:rPr>
              <w:t>.76-fold</w:t>
            </w:r>
          </w:p>
          <w:p w14:paraId="446E3AFB" w14:textId="77777777" w:rsidR="00BE1421" w:rsidRPr="0029146F" w:rsidRDefault="00BE1421" w:rsidP="00542CB5">
            <w:pPr>
              <w:pStyle w:val="EMEANormal"/>
              <w:rPr>
                <w:color w:val="000000"/>
                <w:lang w:eastAsia="en-GB"/>
              </w:rPr>
            </w:pPr>
            <w:r w:rsidRPr="0029146F">
              <w:rPr>
                <w:color w:val="000000"/>
                <w:lang w:eastAsia="en-GB"/>
              </w:rPr>
              <w:t>C</w:t>
            </w:r>
            <w:r w:rsidRPr="0029146F">
              <w:rPr>
                <w:color w:val="000000"/>
                <w:vertAlign w:val="subscript"/>
                <w:lang w:eastAsia="en-GB"/>
              </w:rPr>
              <w:t>trough</w:t>
            </w:r>
            <w:r w:rsidRPr="0029146F">
              <w:rPr>
                <w:color w:val="000000"/>
                <w:lang w:eastAsia="en-GB"/>
              </w:rPr>
              <w:t xml:space="preserve">: </w:t>
            </w:r>
            <w:r w:rsidRPr="0029146F">
              <w:rPr>
                <w:lang w:val="en-GB"/>
              </w:rPr>
              <w:t>↑</w:t>
            </w:r>
            <w:r w:rsidRPr="0029146F">
              <w:rPr>
                <w:color w:val="000000"/>
                <w:lang w:eastAsia="en-GB"/>
              </w:rPr>
              <w:t xml:space="preserve"> 1</w:t>
            </w:r>
            <w:r>
              <w:rPr>
                <w:color w:val="000000"/>
                <w:lang w:eastAsia="en-GB"/>
              </w:rPr>
              <w:t>2</w:t>
            </w:r>
            <w:r w:rsidRPr="0029146F">
              <w:rPr>
                <w:color w:val="000000"/>
                <w:lang w:eastAsia="en-GB"/>
              </w:rPr>
              <w:t>.33-fold</w:t>
            </w:r>
          </w:p>
          <w:p w14:paraId="53D97E9B" w14:textId="77777777" w:rsidR="00BE1421" w:rsidRPr="0029146F" w:rsidRDefault="00BE1421" w:rsidP="00542CB5">
            <w:pPr>
              <w:pStyle w:val="EMEANormal"/>
              <w:rPr>
                <w:color w:val="000000"/>
                <w:lang w:eastAsia="en-GB"/>
              </w:rPr>
            </w:pPr>
          </w:p>
          <w:p w14:paraId="59DAEED4" w14:textId="77777777" w:rsidR="00BE1421" w:rsidRPr="0029146F" w:rsidRDefault="00BE1421" w:rsidP="00542CB5">
            <w:pPr>
              <w:pStyle w:val="EMEANormal"/>
              <w:rPr>
                <w:color w:val="000000"/>
                <w:lang w:eastAsia="en-GB"/>
              </w:rPr>
            </w:pPr>
            <w:r w:rsidRPr="0029146F">
              <w:rPr>
                <w:szCs w:val="22"/>
                <w:lang w:val="en-GB"/>
              </w:rPr>
              <w:t>(inhibition of CYP3A/efflux transporters)</w:t>
            </w:r>
          </w:p>
          <w:p w14:paraId="3F0911C8" w14:textId="77777777" w:rsidR="00BE1421" w:rsidRPr="0029146F" w:rsidRDefault="00BE1421" w:rsidP="00542CB5">
            <w:pPr>
              <w:pStyle w:val="EMEANormal"/>
              <w:rPr>
                <w:color w:val="000000"/>
                <w:lang w:eastAsia="en-GB"/>
              </w:rPr>
            </w:pPr>
          </w:p>
          <w:p w14:paraId="59FC0C88" w14:textId="77777777" w:rsidR="00BE1421" w:rsidRPr="0029146F" w:rsidRDefault="00BE1421" w:rsidP="00542CB5">
            <w:pPr>
              <w:pStyle w:val="EMEANormal"/>
              <w:rPr>
                <w:lang w:val="en-GB"/>
              </w:rPr>
            </w:pPr>
            <w:r w:rsidRPr="0029146F">
              <w:rPr>
                <w:lang w:val="en-GB"/>
              </w:rPr>
              <w:t xml:space="preserve">Lopinavir: </w:t>
            </w:r>
            <w:r w:rsidRPr="0029146F">
              <w:rPr>
                <w:szCs w:val="22"/>
                <w:lang w:val="en-GB"/>
              </w:rPr>
              <w:t>↔</w:t>
            </w:r>
          </w:p>
          <w:p w14:paraId="3579A64F" w14:textId="77777777" w:rsidR="00BE1421" w:rsidRPr="0029146F" w:rsidRDefault="00BE1421" w:rsidP="00542CB5">
            <w:pPr>
              <w:pStyle w:val="EMEANormal"/>
              <w:rPr>
                <w:color w:val="000000"/>
              </w:rPr>
            </w:pPr>
          </w:p>
        </w:tc>
        <w:tc>
          <w:tcPr>
            <w:tcW w:w="3402" w:type="dxa"/>
            <w:vMerge/>
            <w:tcBorders>
              <w:left w:val="single" w:sz="4" w:space="0" w:color="auto"/>
              <w:bottom w:val="single" w:sz="4" w:space="0" w:color="auto"/>
              <w:right w:val="single" w:sz="4" w:space="0" w:color="auto"/>
            </w:tcBorders>
          </w:tcPr>
          <w:p w14:paraId="16EDE391" w14:textId="77777777" w:rsidR="00BE1421" w:rsidRPr="00922746" w:rsidDel="009B5BD2" w:rsidRDefault="00BE1421" w:rsidP="00542CB5">
            <w:pPr>
              <w:pStyle w:val="EMEANormal"/>
              <w:rPr>
                <w:color w:val="000000"/>
              </w:rPr>
            </w:pPr>
          </w:p>
        </w:tc>
      </w:tr>
      <w:tr w:rsidR="00BE1421" w:rsidRPr="00342F7C" w14:paraId="1A9BDC72" w14:textId="77777777" w:rsidTr="008F531F">
        <w:tc>
          <w:tcPr>
            <w:tcW w:w="2410" w:type="dxa"/>
            <w:gridSpan w:val="2"/>
            <w:tcBorders>
              <w:top w:val="single" w:sz="4" w:space="0" w:color="auto"/>
              <w:left w:val="single" w:sz="4" w:space="0" w:color="auto"/>
              <w:bottom w:val="single" w:sz="4" w:space="0" w:color="auto"/>
              <w:right w:val="single" w:sz="4" w:space="0" w:color="auto"/>
            </w:tcBorders>
          </w:tcPr>
          <w:p w14:paraId="138E6097" w14:textId="77777777" w:rsidR="00BE1421" w:rsidRPr="0029146F" w:rsidRDefault="00BE1421" w:rsidP="00A51CA9">
            <w:pPr>
              <w:pStyle w:val="EMEANormal"/>
              <w:rPr>
                <w:color w:val="000000"/>
              </w:rPr>
            </w:pPr>
            <w:r>
              <w:rPr>
                <w:color w:val="000000"/>
              </w:rPr>
              <w:t>Sofosbuvir/velpatasvir/ voxilaprevir</w:t>
            </w:r>
          </w:p>
        </w:tc>
        <w:tc>
          <w:tcPr>
            <w:tcW w:w="3260" w:type="dxa"/>
            <w:gridSpan w:val="2"/>
            <w:tcBorders>
              <w:top w:val="single" w:sz="4" w:space="0" w:color="auto"/>
              <w:left w:val="single" w:sz="4" w:space="0" w:color="auto"/>
              <w:bottom w:val="single" w:sz="4" w:space="0" w:color="auto"/>
              <w:right w:val="single" w:sz="4" w:space="0" w:color="auto"/>
            </w:tcBorders>
          </w:tcPr>
          <w:p w14:paraId="581C3B4C" w14:textId="77777777" w:rsidR="00BE1421" w:rsidRPr="0029146F" w:rsidRDefault="00BE1421" w:rsidP="00C66B73">
            <w:pPr>
              <w:pStyle w:val="EMEANormal"/>
              <w:rPr>
                <w:color w:val="000000"/>
              </w:rPr>
            </w:pPr>
            <w:r>
              <w:rPr>
                <w:color w:val="000000"/>
              </w:rPr>
              <w:t>Serum concentrations of sofosbuvir, velpatasvir and voxilaprevir may be increased due to P-glycoprotein, BCRP and OATP1B1/3 inhibition by lopinavir/ritonavir. However, only the increase in voxilaprevir exposure is considered clinically relevant.</w:t>
            </w:r>
          </w:p>
        </w:tc>
        <w:tc>
          <w:tcPr>
            <w:tcW w:w="3402" w:type="dxa"/>
            <w:tcBorders>
              <w:left w:val="single" w:sz="4" w:space="0" w:color="auto"/>
              <w:bottom w:val="single" w:sz="4" w:space="0" w:color="auto"/>
              <w:right w:val="single" w:sz="4" w:space="0" w:color="auto"/>
            </w:tcBorders>
          </w:tcPr>
          <w:p w14:paraId="4E1BC686" w14:textId="77777777" w:rsidR="00BE1421" w:rsidRPr="00922746" w:rsidDel="009B5BD2" w:rsidRDefault="00BE1421" w:rsidP="00542CB5">
            <w:pPr>
              <w:pStyle w:val="EMEANormal"/>
              <w:rPr>
                <w:color w:val="000000"/>
              </w:rPr>
            </w:pPr>
            <w:r>
              <w:rPr>
                <w:color w:val="000000"/>
              </w:rPr>
              <w:t>It is not recommended to co</w:t>
            </w:r>
            <w:r>
              <w:rPr>
                <w:color w:val="000000"/>
              </w:rPr>
              <w:noBreakHyphen/>
              <w:t>administer Kaletra and sofosbuvir/velpatasvir/ voxilaprevir.</w:t>
            </w:r>
          </w:p>
        </w:tc>
      </w:tr>
      <w:tr w:rsidR="00BE1421" w:rsidRPr="00342F7C" w14:paraId="7DF77868"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6864CC1E" w14:textId="77777777" w:rsidR="00BE1421" w:rsidRPr="00342F7C" w:rsidRDefault="00BE1421" w:rsidP="00FF7251">
            <w:pPr>
              <w:pStyle w:val="EMEANormal"/>
              <w:rPr>
                <w:i/>
                <w:lang w:val="en-GB"/>
              </w:rPr>
            </w:pPr>
            <w:r>
              <w:rPr>
                <w:i/>
                <w:lang w:val="en-GB"/>
              </w:rPr>
              <w:t>HCV protease inhibitors</w:t>
            </w:r>
          </w:p>
        </w:tc>
      </w:tr>
      <w:tr w:rsidR="00BE1421" w:rsidRPr="00342F7C" w14:paraId="0EBC638A" w14:textId="77777777" w:rsidTr="008F531F">
        <w:tc>
          <w:tcPr>
            <w:tcW w:w="2400" w:type="dxa"/>
            <w:tcBorders>
              <w:top w:val="single" w:sz="4" w:space="0" w:color="auto"/>
              <w:left w:val="single" w:sz="4" w:space="0" w:color="auto"/>
              <w:bottom w:val="single" w:sz="4" w:space="0" w:color="auto"/>
              <w:right w:val="single" w:sz="4" w:space="0" w:color="auto"/>
            </w:tcBorders>
          </w:tcPr>
          <w:p w14:paraId="19D321FF" w14:textId="77777777" w:rsidR="00BE1421" w:rsidRPr="003B5E4E" w:rsidRDefault="00BE1421" w:rsidP="00F72D01">
            <w:pPr>
              <w:rPr>
                <w:sz w:val="22"/>
                <w:szCs w:val="22"/>
              </w:rPr>
            </w:pPr>
            <w:r w:rsidRPr="003B5E4E">
              <w:rPr>
                <w:sz w:val="22"/>
                <w:szCs w:val="22"/>
                <w:lang w:val="fr-FR" w:eastAsia="fr-FR"/>
              </w:rPr>
              <w:t>Simeprevir 200 mg daily (</w:t>
            </w:r>
            <w:r w:rsidRPr="003B5E4E">
              <w:rPr>
                <w:sz w:val="22"/>
                <w:szCs w:val="22"/>
              </w:rPr>
              <w:t>ri</w:t>
            </w:r>
            <w:r w:rsidRPr="003B5E4E">
              <w:rPr>
                <w:spacing w:val="-1"/>
                <w:sz w:val="22"/>
                <w:szCs w:val="22"/>
              </w:rPr>
              <w:t>t</w:t>
            </w:r>
            <w:r w:rsidRPr="003B5E4E">
              <w:rPr>
                <w:sz w:val="22"/>
                <w:szCs w:val="22"/>
              </w:rPr>
              <w:t xml:space="preserve">onavir </w:t>
            </w:r>
            <w:r w:rsidRPr="003B5E4E">
              <w:rPr>
                <w:spacing w:val="-1"/>
                <w:sz w:val="22"/>
                <w:szCs w:val="22"/>
              </w:rPr>
              <w:t>1</w:t>
            </w:r>
            <w:r w:rsidRPr="003B5E4E">
              <w:rPr>
                <w:sz w:val="22"/>
                <w:szCs w:val="22"/>
              </w:rPr>
              <w:t>00</w:t>
            </w:r>
            <w:r w:rsidRPr="003B5E4E">
              <w:rPr>
                <w:spacing w:val="-7"/>
                <w:sz w:val="22"/>
                <w:szCs w:val="22"/>
              </w:rPr>
              <w:t xml:space="preserve"> </w:t>
            </w:r>
            <w:r w:rsidRPr="003B5E4E">
              <w:rPr>
                <w:spacing w:val="-2"/>
                <w:sz w:val="22"/>
                <w:szCs w:val="22"/>
              </w:rPr>
              <w:t>m</w:t>
            </w:r>
            <w:r w:rsidRPr="003B5E4E">
              <w:rPr>
                <w:sz w:val="22"/>
                <w:szCs w:val="22"/>
              </w:rPr>
              <w:t>g</w:t>
            </w:r>
            <w:r w:rsidRPr="003B5E4E">
              <w:rPr>
                <w:spacing w:val="-2"/>
                <w:sz w:val="22"/>
                <w:szCs w:val="22"/>
              </w:rPr>
              <w:t xml:space="preserve"> </w:t>
            </w:r>
            <w:r w:rsidRPr="003B5E4E">
              <w:rPr>
                <w:sz w:val="22"/>
                <w:szCs w:val="22"/>
              </w:rPr>
              <w:t>BID)</w:t>
            </w:r>
          </w:p>
          <w:p w14:paraId="53CC02FC" w14:textId="77777777" w:rsidR="00BE1421" w:rsidRPr="003B5E4E" w:rsidRDefault="00BE1421" w:rsidP="00F72D01">
            <w:pPr>
              <w:pStyle w:val="NormalWeb"/>
              <w:spacing w:before="0" w:beforeAutospacing="0" w:after="0" w:afterAutospacing="0"/>
              <w:rPr>
                <w:rFonts w:ascii="Times New Roman" w:hAnsi="Times New Roman" w:cs="Times New Roman" w:hint="default"/>
                <w:sz w:val="22"/>
                <w:szCs w:val="22"/>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549B6519" w14:textId="77777777" w:rsidR="00BE1421" w:rsidRPr="003B5E4E" w:rsidRDefault="00BE1421" w:rsidP="00F72D01">
            <w:pPr>
              <w:pStyle w:val="EMEANormal"/>
              <w:rPr>
                <w:szCs w:val="22"/>
                <w:lang w:eastAsia="en-GB"/>
              </w:rPr>
            </w:pPr>
            <w:r w:rsidRPr="003B5E4E">
              <w:rPr>
                <w:szCs w:val="22"/>
                <w:lang w:eastAsia="en-GB"/>
              </w:rPr>
              <w:t>Simeprevir:</w:t>
            </w:r>
          </w:p>
          <w:p w14:paraId="68824AF8" w14:textId="77777777" w:rsidR="00BE1421" w:rsidRPr="00B7410C" w:rsidRDefault="00BE1421" w:rsidP="00F72D01">
            <w:pPr>
              <w:pStyle w:val="EMEANormal"/>
              <w:rPr>
                <w:szCs w:val="22"/>
                <w:lang w:eastAsia="en-GB"/>
              </w:rPr>
            </w:pPr>
            <w:r w:rsidRPr="003B5E4E">
              <w:rPr>
                <w:szCs w:val="22"/>
                <w:lang w:eastAsia="en-GB"/>
              </w:rPr>
              <w:t>AUC</w:t>
            </w:r>
            <w:r w:rsidRPr="009670E5">
              <w:rPr>
                <w:szCs w:val="22"/>
                <w:lang w:val="en-GB"/>
              </w:rPr>
              <w:t>:</w:t>
            </w:r>
            <w:r w:rsidRPr="009670E5">
              <w:rPr>
                <w:szCs w:val="22"/>
                <w:lang w:eastAsia="en-GB"/>
              </w:rPr>
              <w:t xml:space="preserve"> </w:t>
            </w:r>
            <w:r w:rsidRPr="009670E5">
              <w:rPr>
                <w:szCs w:val="22"/>
                <w:lang w:val="fr-FR" w:eastAsia="fr-FR"/>
              </w:rPr>
              <w:t>↑</w:t>
            </w:r>
            <w:r w:rsidRPr="009670E5">
              <w:rPr>
                <w:spacing w:val="-4"/>
                <w:szCs w:val="22"/>
                <w:lang w:val="fr-FR" w:eastAsia="fr-FR"/>
              </w:rPr>
              <w:t xml:space="preserve"> </w:t>
            </w:r>
            <w:r w:rsidRPr="00B7410C">
              <w:rPr>
                <w:spacing w:val="1"/>
                <w:szCs w:val="22"/>
                <w:lang w:val="fr-FR" w:eastAsia="fr-FR"/>
              </w:rPr>
              <w:t>7.2-fold</w:t>
            </w:r>
          </w:p>
          <w:p w14:paraId="6982F298" w14:textId="77777777" w:rsidR="00BE1421" w:rsidRPr="00B7410C" w:rsidRDefault="00BE1421" w:rsidP="00F72D01">
            <w:pPr>
              <w:pStyle w:val="EMEANormal"/>
              <w:rPr>
                <w:szCs w:val="22"/>
                <w:lang w:eastAsia="en-GB"/>
              </w:rPr>
            </w:pPr>
            <w:r w:rsidRPr="00B7410C">
              <w:rPr>
                <w:szCs w:val="22"/>
                <w:lang w:eastAsia="en-GB"/>
              </w:rPr>
              <w:t>C</w:t>
            </w:r>
            <w:r w:rsidRPr="00B7410C">
              <w:rPr>
                <w:szCs w:val="22"/>
                <w:vertAlign w:val="subscript"/>
                <w:lang w:eastAsia="en-GB"/>
              </w:rPr>
              <w:t>max</w:t>
            </w:r>
            <w:r w:rsidRPr="00B7410C">
              <w:rPr>
                <w:szCs w:val="22"/>
                <w:lang w:val="en-GB"/>
              </w:rPr>
              <w:t>:</w:t>
            </w:r>
            <w:r w:rsidRPr="00B7410C">
              <w:rPr>
                <w:szCs w:val="22"/>
                <w:lang w:eastAsia="en-GB"/>
              </w:rPr>
              <w:t xml:space="preserve"> </w:t>
            </w:r>
            <w:r w:rsidRPr="00B7410C">
              <w:rPr>
                <w:szCs w:val="22"/>
                <w:lang w:val="fr-FR" w:eastAsia="fr-FR"/>
              </w:rPr>
              <w:t>↑ 4.7-fold</w:t>
            </w:r>
          </w:p>
          <w:p w14:paraId="5FA19DA3" w14:textId="77777777" w:rsidR="00BE1421" w:rsidRPr="00B7410C" w:rsidRDefault="00BE1421" w:rsidP="00F72D01">
            <w:pPr>
              <w:pStyle w:val="EMEANormal"/>
              <w:rPr>
                <w:szCs w:val="22"/>
                <w:lang w:val="en-GB"/>
              </w:rPr>
            </w:pPr>
            <w:r w:rsidRPr="00B7410C">
              <w:rPr>
                <w:szCs w:val="22"/>
                <w:lang w:eastAsia="en-GB"/>
              </w:rPr>
              <w:t>C</w:t>
            </w:r>
            <w:r w:rsidRPr="00B7410C">
              <w:rPr>
                <w:szCs w:val="22"/>
                <w:vertAlign w:val="subscript"/>
                <w:lang w:eastAsia="en-GB"/>
              </w:rPr>
              <w:t>min</w:t>
            </w:r>
            <w:r w:rsidRPr="00B7410C">
              <w:rPr>
                <w:szCs w:val="22"/>
                <w:lang w:val="en-GB"/>
              </w:rPr>
              <w:t>:</w:t>
            </w:r>
            <w:r w:rsidRPr="00B7410C">
              <w:rPr>
                <w:szCs w:val="22"/>
                <w:lang w:eastAsia="en-GB"/>
              </w:rPr>
              <w:t xml:space="preserve"> </w:t>
            </w:r>
            <w:r w:rsidRPr="00B7410C">
              <w:rPr>
                <w:szCs w:val="22"/>
                <w:lang w:val="fr-FR" w:eastAsia="fr-FR"/>
              </w:rPr>
              <w:t>↑ 14.4-fold</w:t>
            </w:r>
          </w:p>
        </w:tc>
        <w:tc>
          <w:tcPr>
            <w:tcW w:w="3432" w:type="dxa"/>
            <w:gridSpan w:val="2"/>
            <w:tcBorders>
              <w:top w:val="single" w:sz="4" w:space="0" w:color="auto"/>
              <w:left w:val="single" w:sz="4" w:space="0" w:color="auto"/>
              <w:bottom w:val="single" w:sz="4" w:space="0" w:color="auto"/>
              <w:right w:val="single" w:sz="4" w:space="0" w:color="auto"/>
            </w:tcBorders>
          </w:tcPr>
          <w:p w14:paraId="5629700C" w14:textId="77777777" w:rsidR="00BE1421" w:rsidRPr="000F6FCC" w:rsidRDefault="00BE1421" w:rsidP="00F72D01">
            <w:pPr>
              <w:pStyle w:val="NormalWeb"/>
              <w:rPr>
                <w:rFonts w:ascii="Times New Roman" w:hAnsi="Times New Roman" w:cs="Times New Roman" w:hint="default"/>
                <w:sz w:val="22"/>
                <w:szCs w:val="22"/>
                <w:lang w:val="en-GB"/>
              </w:rPr>
            </w:pPr>
            <w:r w:rsidRPr="000F6FCC">
              <w:rPr>
                <w:rFonts w:ascii="Times New Roman" w:hAnsi="Times New Roman" w:cs="Times New Roman" w:hint="default"/>
                <w:color w:val="000000"/>
                <w:sz w:val="22"/>
                <w:szCs w:val="22"/>
              </w:rPr>
              <w:t>It is not recommended to co</w:t>
            </w:r>
            <w:r w:rsidRPr="000F6FCC">
              <w:rPr>
                <w:rFonts w:ascii="Times New Roman" w:hAnsi="Times New Roman" w:cs="Times New Roman" w:hint="default"/>
                <w:color w:val="000000"/>
                <w:sz w:val="22"/>
                <w:szCs w:val="22"/>
              </w:rPr>
              <w:noBreakHyphen/>
              <w:t xml:space="preserve">administer Kaletra and </w:t>
            </w:r>
            <w:r>
              <w:rPr>
                <w:rFonts w:ascii="Times New Roman" w:hAnsi="Times New Roman" w:cs="Times New Roman" w:hint="default"/>
                <w:color w:val="000000"/>
                <w:sz w:val="22"/>
                <w:szCs w:val="22"/>
              </w:rPr>
              <w:t>simeprevir</w:t>
            </w:r>
            <w:r w:rsidRPr="000F6FCC">
              <w:rPr>
                <w:rFonts w:ascii="Times New Roman" w:hAnsi="Times New Roman" w:cs="Times New Roman" w:hint="default"/>
                <w:color w:val="000000"/>
                <w:sz w:val="22"/>
                <w:szCs w:val="22"/>
              </w:rPr>
              <w:t>.</w:t>
            </w:r>
          </w:p>
        </w:tc>
      </w:tr>
      <w:tr w:rsidR="00BE1421" w:rsidRPr="00342F7C" w14:paraId="6F5A8274"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6C435D2D" w14:textId="77777777" w:rsidR="00BE1421" w:rsidRPr="00342F7C" w:rsidRDefault="00BE1421" w:rsidP="003439BF">
            <w:pPr>
              <w:pStyle w:val="EMEANormal"/>
              <w:keepNext/>
              <w:rPr>
                <w:i/>
                <w:lang w:val="en-GB"/>
              </w:rPr>
            </w:pPr>
            <w:r w:rsidRPr="00342F7C">
              <w:rPr>
                <w:i/>
                <w:lang w:val="en-GB"/>
              </w:rPr>
              <w:t>Herbal products</w:t>
            </w:r>
          </w:p>
        </w:tc>
      </w:tr>
      <w:tr w:rsidR="00BE1421" w:rsidRPr="00342F7C" w14:paraId="02DE34FF" w14:textId="77777777" w:rsidTr="008F531F">
        <w:tc>
          <w:tcPr>
            <w:tcW w:w="2400" w:type="dxa"/>
            <w:tcBorders>
              <w:top w:val="single" w:sz="4" w:space="0" w:color="auto"/>
              <w:left w:val="single" w:sz="4" w:space="0" w:color="auto"/>
              <w:bottom w:val="single" w:sz="4" w:space="0" w:color="auto"/>
              <w:right w:val="single" w:sz="4" w:space="0" w:color="auto"/>
            </w:tcBorders>
          </w:tcPr>
          <w:p w14:paraId="7E4B86C3" w14:textId="77777777" w:rsidR="00BE1421" w:rsidRPr="00342F7C" w:rsidRDefault="00BE1421" w:rsidP="003439BF">
            <w:pPr>
              <w:pStyle w:val="EMEANormal"/>
              <w:keepNext/>
              <w:rPr>
                <w:i/>
                <w:lang w:val="en-GB"/>
              </w:rPr>
            </w:pPr>
            <w:smartTag w:uri="urn:schemas-microsoft-com:office:smarttags" w:element="City">
              <w:smartTag w:uri="urn:schemas-microsoft-com:office:smarttags" w:element="place">
                <w:r w:rsidRPr="00342F7C">
                  <w:rPr>
                    <w:bCs/>
                    <w:iCs/>
                    <w:lang w:val="en-GB"/>
                  </w:rPr>
                  <w:t>St John’s</w:t>
                </w:r>
              </w:smartTag>
            </w:smartTag>
            <w:r w:rsidRPr="00342F7C">
              <w:rPr>
                <w:bCs/>
                <w:iCs/>
                <w:lang w:val="en-GB"/>
              </w:rPr>
              <w:t xml:space="preserve"> wort</w:t>
            </w:r>
            <w:r w:rsidRPr="00342F7C">
              <w:rPr>
                <w:bCs/>
                <w:i/>
                <w:lang w:val="en-GB"/>
              </w:rPr>
              <w:t xml:space="preserve"> </w:t>
            </w:r>
            <w:r w:rsidRPr="00342F7C">
              <w:rPr>
                <w:lang w:val="en-GB"/>
              </w:rPr>
              <w:t>(</w:t>
            </w:r>
            <w:r w:rsidRPr="00342F7C">
              <w:rPr>
                <w:i/>
                <w:lang w:val="en-GB"/>
              </w:rPr>
              <w:t>Hypericum perforatum)</w:t>
            </w:r>
          </w:p>
        </w:tc>
        <w:tc>
          <w:tcPr>
            <w:tcW w:w="3240" w:type="dxa"/>
            <w:gridSpan w:val="2"/>
            <w:tcBorders>
              <w:top w:val="single" w:sz="4" w:space="0" w:color="auto"/>
              <w:left w:val="single" w:sz="4" w:space="0" w:color="auto"/>
              <w:bottom w:val="single" w:sz="4" w:space="0" w:color="auto"/>
              <w:right w:val="single" w:sz="4" w:space="0" w:color="auto"/>
            </w:tcBorders>
          </w:tcPr>
          <w:p w14:paraId="327DD2F6" w14:textId="77777777" w:rsidR="00BE1421" w:rsidRPr="00342F7C" w:rsidRDefault="00BE1421" w:rsidP="003439BF">
            <w:pPr>
              <w:pStyle w:val="EMEANormal"/>
              <w:keepNext/>
              <w:rPr>
                <w:lang w:val="en-GB"/>
              </w:rPr>
            </w:pPr>
            <w:r w:rsidRPr="00342F7C">
              <w:rPr>
                <w:lang w:val="en-GB"/>
              </w:rPr>
              <w:t>Lopinavir:</w:t>
            </w:r>
          </w:p>
          <w:p w14:paraId="20130568" w14:textId="77777777" w:rsidR="00BE1421" w:rsidRPr="00342F7C" w:rsidRDefault="00BE1421" w:rsidP="003439BF">
            <w:pPr>
              <w:pStyle w:val="EMEANormal"/>
              <w:keepNext/>
              <w:rPr>
                <w:lang w:val="en-GB"/>
              </w:rPr>
            </w:pPr>
            <w:r w:rsidRPr="00342F7C">
              <w:rPr>
                <w:lang w:val="en-GB"/>
              </w:rPr>
              <w:t xml:space="preserve">Concentrations may be reduced due to induction of CYP3A by the herbal preparation </w:t>
            </w:r>
            <w:smartTag w:uri="urn:schemas-microsoft-com:office:smarttags" w:element="City">
              <w:smartTag w:uri="urn:schemas-microsoft-com:office:smarttags" w:element="place">
                <w:r w:rsidRPr="00342F7C">
                  <w:rPr>
                    <w:lang w:val="en-GB"/>
                  </w:rPr>
                  <w:t>St John’s</w:t>
                </w:r>
              </w:smartTag>
            </w:smartTag>
            <w:r w:rsidRPr="00342F7C">
              <w:rPr>
                <w:lang w:val="en-GB"/>
              </w:rPr>
              <w:t xml:space="preserve"> wort.  </w:t>
            </w:r>
          </w:p>
          <w:p w14:paraId="14C318B0" w14:textId="77777777" w:rsidR="00BE1421" w:rsidRPr="00342F7C" w:rsidRDefault="00BE1421" w:rsidP="003439BF">
            <w:pPr>
              <w:pStyle w:val="EMEANormal"/>
              <w:keepNext/>
              <w:rPr>
                <w:lang w:val="en-GB"/>
              </w:rPr>
            </w:pPr>
          </w:p>
        </w:tc>
        <w:tc>
          <w:tcPr>
            <w:tcW w:w="3432" w:type="dxa"/>
            <w:gridSpan w:val="2"/>
            <w:tcBorders>
              <w:top w:val="single" w:sz="4" w:space="0" w:color="auto"/>
              <w:left w:val="single" w:sz="4" w:space="0" w:color="auto"/>
              <w:bottom w:val="single" w:sz="4" w:space="0" w:color="auto"/>
              <w:right w:val="single" w:sz="4" w:space="0" w:color="auto"/>
            </w:tcBorders>
          </w:tcPr>
          <w:p w14:paraId="1B96CA5E" w14:textId="77777777" w:rsidR="00BE1421" w:rsidRPr="00342F7C" w:rsidRDefault="00BE1421" w:rsidP="003439BF">
            <w:pPr>
              <w:pStyle w:val="EMEANormal"/>
              <w:keepNext/>
              <w:rPr>
                <w:lang w:val="en-GB"/>
              </w:rPr>
            </w:pPr>
            <w:r w:rsidRPr="00342F7C">
              <w:rPr>
                <w:lang w:val="en-GB"/>
              </w:rPr>
              <w:t xml:space="preserve">Herbal preparations containing </w:t>
            </w:r>
            <w:smartTag w:uri="urn:schemas-microsoft-com:office:smarttags" w:element="City">
              <w:smartTag w:uri="urn:schemas-microsoft-com:office:smarttags" w:element="place">
                <w:r w:rsidRPr="00342F7C">
                  <w:rPr>
                    <w:lang w:val="en-GB"/>
                  </w:rPr>
                  <w:t>St John’s</w:t>
                </w:r>
              </w:smartTag>
            </w:smartTag>
            <w:r w:rsidRPr="00342F7C">
              <w:rPr>
                <w:lang w:val="en-GB"/>
              </w:rPr>
              <w:t xml:space="preserve"> wort must not be combined with lopinavir and ritonavir.  If a patient is already taking </w:t>
            </w:r>
            <w:smartTag w:uri="urn:schemas-microsoft-com:office:smarttags" w:element="City">
              <w:r w:rsidRPr="00342F7C">
                <w:rPr>
                  <w:lang w:val="en-GB"/>
                </w:rPr>
                <w:t>St John’s</w:t>
              </w:r>
            </w:smartTag>
            <w:r w:rsidRPr="00342F7C">
              <w:rPr>
                <w:lang w:val="en-GB"/>
              </w:rPr>
              <w:t xml:space="preserve"> wort, stop </w:t>
            </w:r>
            <w:smartTag w:uri="urn:schemas-microsoft-com:office:smarttags" w:element="City">
              <w:smartTag w:uri="urn:schemas-microsoft-com:office:smarttags" w:element="place">
                <w:r w:rsidRPr="00342F7C">
                  <w:rPr>
                    <w:lang w:val="en-GB"/>
                  </w:rPr>
                  <w:t>St John’s</w:t>
                </w:r>
              </w:smartTag>
            </w:smartTag>
            <w:r w:rsidRPr="00342F7C">
              <w:rPr>
                <w:lang w:val="en-GB"/>
              </w:rPr>
              <w:t xml:space="preserve"> wort and if possible check viral levels.  Lopinavir and ritonavir levels may increase on stopping </w:t>
            </w:r>
            <w:smartTag w:uri="urn:schemas-microsoft-com:office:smarttags" w:element="City">
              <w:smartTag w:uri="urn:schemas-microsoft-com:office:smarttags" w:element="place">
                <w:r w:rsidRPr="00342F7C">
                  <w:rPr>
                    <w:lang w:val="en-GB"/>
                  </w:rPr>
                  <w:t>St John’s</w:t>
                </w:r>
              </w:smartTag>
            </w:smartTag>
            <w:r w:rsidRPr="00342F7C">
              <w:rPr>
                <w:lang w:val="en-GB"/>
              </w:rPr>
              <w:t xml:space="preserve"> wort.  The dose of Kaletra may need adjusting.  The inducing effect may persist for at least 2 weeks after cessation of treatment with </w:t>
            </w:r>
            <w:smartTag w:uri="urn:schemas-microsoft-com:office:smarttags" w:element="City">
              <w:smartTag w:uri="urn:schemas-microsoft-com:office:smarttags" w:element="place">
                <w:r w:rsidRPr="00342F7C">
                  <w:rPr>
                    <w:lang w:val="en-GB"/>
                  </w:rPr>
                  <w:t>St John’s</w:t>
                </w:r>
              </w:smartTag>
            </w:smartTag>
            <w:r w:rsidRPr="00342F7C">
              <w:rPr>
                <w:lang w:val="en-GB"/>
              </w:rPr>
              <w:t xml:space="preserve"> wort (see section 4.3).  Therefore, Kaletra can be started safely 2 weeks after cessation of </w:t>
            </w:r>
            <w:smartTag w:uri="urn:schemas-microsoft-com:office:smarttags" w:element="City">
              <w:smartTag w:uri="urn:schemas-microsoft-com:office:smarttags" w:element="place">
                <w:r w:rsidRPr="00342F7C">
                  <w:rPr>
                    <w:lang w:val="en-GB"/>
                  </w:rPr>
                  <w:t>St John's</w:t>
                </w:r>
              </w:smartTag>
            </w:smartTag>
            <w:r w:rsidRPr="00342F7C">
              <w:rPr>
                <w:lang w:val="en-GB"/>
              </w:rPr>
              <w:t xml:space="preserve"> wort. </w:t>
            </w:r>
            <w:r w:rsidRPr="00342F7C">
              <w:rPr>
                <w:i/>
                <w:lang w:val="en-GB"/>
              </w:rPr>
              <w:t xml:space="preserve"> </w:t>
            </w:r>
          </w:p>
        </w:tc>
      </w:tr>
      <w:tr w:rsidR="00BE1421" w:rsidRPr="00342F7C" w14:paraId="213BA1D6"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21A3BAA2" w14:textId="77777777" w:rsidR="00BE1421" w:rsidRPr="00342F7C" w:rsidRDefault="00BE1421" w:rsidP="00E95E29">
            <w:pPr>
              <w:pStyle w:val="EMEANormal"/>
              <w:rPr>
                <w:i/>
                <w:iCs/>
                <w:lang w:val="en-GB"/>
              </w:rPr>
            </w:pPr>
            <w:r w:rsidRPr="00342F7C">
              <w:rPr>
                <w:i/>
                <w:iCs/>
                <w:lang w:val="en-GB"/>
              </w:rPr>
              <w:t>Immunosuppressants</w:t>
            </w:r>
          </w:p>
        </w:tc>
      </w:tr>
      <w:tr w:rsidR="00BE1421" w:rsidRPr="00342F7C" w14:paraId="2F29D734" w14:textId="77777777" w:rsidTr="008F531F">
        <w:tc>
          <w:tcPr>
            <w:tcW w:w="2400" w:type="dxa"/>
            <w:tcBorders>
              <w:top w:val="single" w:sz="4" w:space="0" w:color="auto"/>
              <w:left w:val="single" w:sz="4" w:space="0" w:color="auto"/>
              <w:bottom w:val="single" w:sz="4" w:space="0" w:color="auto"/>
              <w:right w:val="single" w:sz="4" w:space="0" w:color="auto"/>
            </w:tcBorders>
          </w:tcPr>
          <w:p w14:paraId="07BC5614" w14:textId="77777777" w:rsidR="00BE1421" w:rsidRPr="00342F7C" w:rsidRDefault="00BE1421" w:rsidP="00E95E29">
            <w:pPr>
              <w:pStyle w:val="EMEANormal"/>
              <w:rPr>
                <w:lang w:val="en-GB"/>
              </w:rPr>
            </w:pPr>
            <w:r w:rsidRPr="00342F7C">
              <w:rPr>
                <w:bCs/>
                <w:iCs/>
                <w:lang w:val="en-GB"/>
              </w:rPr>
              <w:t>Cyclosporin, Sirolimus (rapamycin), and Tacrolimus</w:t>
            </w:r>
          </w:p>
        </w:tc>
        <w:tc>
          <w:tcPr>
            <w:tcW w:w="3240" w:type="dxa"/>
            <w:gridSpan w:val="2"/>
            <w:tcBorders>
              <w:top w:val="single" w:sz="4" w:space="0" w:color="auto"/>
              <w:left w:val="single" w:sz="4" w:space="0" w:color="auto"/>
              <w:bottom w:val="single" w:sz="4" w:space="0" w:color="auto"/>
              <w:right w:val="single" w:sz="4" w:space="0" w:color="auto"/>
            </w:tcBorders>
          </w:tcPr>
          <w:p w14:paraId="5F3EEDBE" w14:textId="77777777" w:rsidR="00BE1421" w:rsidRPr="00342F7C" w:rsidRDefault="00BE1421" w:rsidP="00E95E29">
            <w:pPr>
              <w:pStyle w:val="EMEANormal"/>
              <w:rPr>
                <w:lang w:val="en-GB"/>
              </w:rPr>
            </w:pPr>
            <w:r w:rsidRPr="00342F7C">
              <w:rPr>
                <w:bCs/>
                <w:iCs/>
                <w:lang w:val="en-GB"/>
              </w:rPr>
              <w:t>Cyclosporin, Sirolimus (rapamycin), Tacrolimus:</w:t>
            </w:r>
            <w:r w:rsidRPr="00342F7C">
              <w:rPr>
                <w:lang w:val="en-GB"/>
              </w:rPr>
              <w:t xml:space="preserve"> </w:t>
            </w:r>
          </w:p>
          <w:p w14:paraId="0C337FDF" w14:textId="77777777" w:rsidR="00BE1421" w:rsidRPr="00342F7C" w:rsidRDefault="00BE1421" w:rsidP="00E95E29">
            <w:pPr>
              <w:pStyle w:val="EMEANormal"/>
              <w:rPr>
                <w:lang w:val="en-GB"/>
              </w:rPr>
            </w:pPr>
            <w:r w:rsidRPr="00342F7C">
              <w:rPr>
                <w:lang w:val="en-GB"/>
              </w:rPr>
              <w:t xml:space="preserve">Concentrations may be increased due to CYP3A inhibition by </w:t>
            </w:r>
            <w:r>
              <w:rPr>
                <w:lang w:val="en-GB"/>
              </w:rPr>
              <w:t>lopinavir/ritonavir</w:t>
            </w:r>
            <w:r w:rsidRPr="00342F7C">
              <w:rPr>
                <w:lang w:val="en-GB"/>
              </w:rPr>
              <w:t>.</w:t>
            </w:r>
          </w:p>
        </w:tc>
        <w:tc>
          <w:tcPr>
            <w:tcW w:w="3432" w:type="dxa"/>
            <w:gridSpan w:val="2"/>
            <w:tcBorders>
              <w:top w:val="single" w:sz="4" w:space="0" w:color="auto"/>
              <w:left w:val="single" w:sz="4" w:space="0" w:color="auto"/>
              <w:bottom w:val="single" w:sz="4" w:space="0" w:color="auto"/>
              <w:right w:val="single" w:sz="4" w:space="0" w:color="auto"/>
            </w:tcBorders>
          </w:tcPr>
          <w:p w14:paraId="2EBD4C6E" w14:textId="77777777" w:rsidR="00BE1421" w:rsidRPr="00342F7C" w:rsidRDefault="00BE1421" w:rsidP="00E95E29">
            <w:pPr>
              <w:pStyle w:val="EMEANormal"/>
              <w:rPr>
                <w:lang w:val="en-GB"/>
              </w:rPr>
            </w:pPr>
            <w:r w:rsidRPr="00342F7C">
              <w:rPr>
                <w:lang w:val="en-GB"/>
              </w:rPr>
              <w:t>More frequent therapeutic concentration monitoring is recommended until plasma levels of these products have been stabilised.</w:t>
            </w:r>
          </w:p>
        </w:tc>
      </w:tr>
      <w:tr w:rsidR="00BE1421" w:rsidRPr="00342F7C" w14:paraId="5295E8A5"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7331A50D" w14:textId="77777777" w:rsidR="00BE1421" w:rsidRPr="00342F7C" w:rsidRDefault="00BE1421" w:rsidP="00E95E29">
            <w:pPr>
              <w:pStyle w:val="EMEANormal"/>
              <w:rPr>
                <w:i/>
                <w:lang w:val="en-GB"/>
              </w:rPr>
            </w:pPr>
            <w:r w:rsidRPr="00342F7C">
              <w:rPr>
                <w:bCs/>
                <w:i/>
                <w:lang w:val="en-GB"/>
              </w:rPr>
              <w:t>Lipid lowering agents</w:t>
            </w:r>
          </w:p>
        </w:tc>
      </w:tr>
      <w:tr w:rsidR="00BE1421" w:rsidRPr="00342F7C" w14:paraId="5C042942" w14:textId="77777777" w:rsidTr="00793515">
        <w:tc>
          <w:tcPr>
            <w:tcW w:w="2410" w:type="dxa"/>
            <w:gridSpan w:val="2"/>
            <w:tcBorders>
              <w:top w:val="single" w:sz="4" w:space="0" w:color="auto"/>
              <w:left w:val="single" w:sz="4" w:space="0" w:color="auto"/>
              <w:bottom w:val="single" w:sz="4" w:space="0" w:color="auto"/>
              <w:right w:val="single" w:sz="4" w:space="0" w:color="auto"/>
            </w:tcBorders>
          </w:tcPr>
          <w:p w14:paraId="5C0AE4C5" w14:textId="77777777" w:rsidR="00BE1421" w:rsidRPr="00342F7C" w:rsidRDefault="00BE1421" w:rsidP="00E95E29">
            <w:pPr>
              <w:pStyle w:val="EMEANormal"/>
              <w:rPr>
                <w:lang w:val="en-GB"/>
              </w:rPr>
            </w:pPr>
            <w:r w:rsidRPr="00342F7C">
              <w:rPr>
                <w:lang w:val="en-GB"/>
              </w:rPr>
              <w:t>Lovastatin and Simvastatin</w:t>
            </w:r>
          </w:p>
        </w:tc>
        <w:tc>
          <w:tcPr>
            <w:tcW w:w="3260" w:type="dxa"/>
            <w:gridSpan w:val="2"/>
            <w:tcBorders>
              <w:top w:val="single" w:sz="4" w:space="0" w:color="auto"/>
              <w:left w:val="single" w:sz="4" w:space="0" w:color="auto"/>
              <w:bottom w:val="single" w:sz="4" w:space="0" w:color="auto"/>
              <w:right w:val="single" w:sz="4" w:space="0" w:color="auto"/>
            </w:tcBorders>
          </w:tcPr>
          <w:p w14:paraId="28F749D0" w14:textId="77777777" w:rsidR="00BE1421" w:rsidRPr="00342F7C" w:rsidRDefault="00BE1421" w:rsidP="00E95E29">
            <w:pPr>
              <w:pStyle w:val="EMEANormal"/>
              <w:rPr>
                <w:lang w:val="en-GB"/>
              </w:rPr>
            </w:pPr>
            <w:r w:rsidRPr="00342F7C">
              <w:rPr>
                <w:lang w:val="en-GB"/>
              </w:rPr>
              <w:t>Lovastatin, Simvastatin:</w:t>
            </w:r>
          </w:p>
          <w:p w14:paraId="31D767C9" w14:textId="77777777" w:rsidR="00BE1421" w:rsidRPr="00342F7C" w:rsidRDefault="00BE1421" w:rsidP="00E95E29">
            <w:pPr>
              <w:pStyle w:val="EMEANormal"/>
              <w:rPr>
                <w:lang w:val="en-GB"/>
              </w:rPr>
            </w:pPr>
            <w:r w:rsidRPr="00342F7C">
              <w:rPr>
                <w:lang w:val="en-GB"/>
              </w:rPr>
              <w:t xml:space="preserve">Markedly increased plasma concentrations due to CYP3A inhibition by </w:t>
            </w:r>
            <w:r>
              <w:rPr>
                <w:lang w:val="en-GB"/>
              </w:rPr>
              <w:t>lopinavir/ritonavir</w:t>
            </w:r>
            <w:r w:rsidRPr="00342F7C">
              <w:rPr>
                <w:lang w:val="en-GB"/>
              </w:rPr>
              <w:t>.</w:t>
            </w:r>
          </w:p>
        </w:tc>
        <w:tc>
          <w:tcPr>
            <w:tcW w:w="3402" w:type="dxa"/>
            <w:tcBorders>
              <w:top w:val="single" w:sz="4" w:space="0" w:color="auto"/>
              <w:left w:val="single" w:sz="4" w:space="0" w:color="auto"/>
              <w:bottom w:val="single" w:sz="4" w:space="0" w:color="auto"/>
              <w:right w:val="single" w:sz="4" w:space="0" w:color="auto"/>
            </w:tcBorders>
          </w:tcPr>
          <w:p w14:paraId="2FB55ED7" w14:textId="77777777" w:rsidR="00BE1421" w:rsidRPr="00342F7C" w:rsidRDefault="00BE1421" w:rsidP="00E95E29">
            <w:pPr>
              <w:pStyle w:val="EMEANormal"/>
              <w:rPr>
                <w:lang w:val="en-GB"/>
              </w:rPr>
            </w:pPr>
            <w:r w:rsidRPr="00342F7C">
              <w:rPr>
                <w:lang w:val="en-GB"/>
              </w:rPr>
              <w:t>Since increased concentrations of HMG-CoA reductase inhibitors may cause myopathy, including rhabdomyolysis, the combination of these agents with Kaletra is contraindicated (see section 4.3).</w:t>
            </w:r>
          </w:p>
        </w:tc>
      </w:tr>
      <w:tr w:rsidR="00BE1421" w:rsidRPr="00C15E8E" w14:paraId="3C171150" w14:textId="77777777" w:rsidTr="002279CA">
        <w:tc>
          <w:tcPr>
            <w:tcW w:w="9072" w:type="dxa"/>
            <w:gridSpan w:val="5"/>
            <w:tcBorders>
              <w:top w:val="single" w:sz="4" w:space="0" w:color="auto"/>
              <w:left w:val="single" w:sz="4" w:space="0" w:color="auto"/>
              <w:bottom w:val="single" w:sz="4" w:space="0" w:color="auto"/>
              <w:right w:val="single" w:sz="4" w:space="0" w:color="auto"/>
            </w:tcBorders>
          </w:tcPr>
          <w:p w14:paraId="26AFA9F0" w14:textId="77777777" w:rsidR="00BE1421" w:rsidRPr="00113667" w:rsidRDefault="00BE1421" w:rsidP="006D2C49">
            <w:pPr>
              <w:pStyle w:val="EMEANormal1"/>
              <w:keepNext/>
              <w:rPr>
                <w:i/>
                <w:lang w:val="en-GB"/>
              </w:rPr>
            </w:pPr>
            <w:r w:rsidRPr="00113667">
              <w:rPr>
                <w:i/>
                <w:lang w:val="en-GB"/>
              </w:rPr>
              <w:t>Lipid-modifying agents</w:t>
            </w:r>
          </w:p>
        </w:tc>
      </w:tr>
      <w:tr w:rsidR="00BE1421" w:rsidRPr="00342F7C" w14:paraId="4288009B" w14:textId="77777777" w:rsidTr="002279CA">
        <w:tc>
          <w:tcPr>
            <w:tcW w:w="2410" w:type="dxa"/>
            <w:gridSpan w:val="2"/>
            <w:tcBorders>
              <w:top w:val="single" w:sz="4" w:space="0" w:color="auto"/>
              <w:left w:val="single" w:sz="4" w:space="0" w:color="auto"/>
              <w:bottom w:val="single" w:sz="4" w:space="0" w:color="auto"/>
              <w:right w:val="single" w:sz="4" w:space="0" w:color="auto"/>
            </w:tcBorders>
          </w:tcPr>
          <w:p w14:paraId="5BFFFB95" w14:textId="77777777" w:rsidR="00BE1421" w:rsidRPr="00342F7C" w:rsidRDefault="00BE1421" w:rsidP="006D2C49">
            <w:pPr>
              <w:pStyle w:val="EMEANormal"/>
              <w:rPr>
                <w:lang w:val="en-GB"/>
              </w:rPr>
            </w:pPr>
            <w:r>
              <w:rPr>
                <w:lang w:val="en-GB"/>
              </w:rPr>
              <w:t>Lomitapide</w:t>
            </w:r>
          </w:p>
        </w:tc>
        <w:tc>
          <w:tcPr>
            <w:tcW w:w="3260" w:type="dxa"/>
            <w:gridSpan w:val="2"/>
            <w:tcBorders>
              <w:top w:val="single" w:sz="4" w:space="0" w:color="auto"/>
              <w:left w:val="single" w:sz="4" w:space="0" w:color="auto"/>
              <w:bottom w:val="single" w:sz="4" w:space="0" w:color="auto"/>
              <w:right w:val="single" w:sz="4" w:space="0" w:color="auto"/>
            </w:tcBorders>
          </w:tcPr>
          <w:p w14:paraId="066374F3" w14:textId="77777777" w:rsidR="00BE1421" w:rsidRPr="00342F7C" w:rsidRDefault="00BE1421" w:rsidP="006D2C49">
            <w:pPr>
              <w:pStyle w:val="EMEANormal"/>
              <w:rPr>
                <w:lang w:val="en-GB"/>
              </w:rPr>
            </w:pPr>
            <w:r>
              <w:rPr>
                <w:szCs w:val="22"/>
              </w:rPr>
              <w:t>CYP3A4 inhibitors increase the exposure of lomitapide, with strong inhibitors increasing exposure approximately 27</w:t>
            </w:r>
            <w:r>
              <w:rPr>
                <w:szCs w:val="22"/>
              </w:rPr>
              <w:noBreakHyphen/>
              <w:t>fold.  Due to CYP3A inhibition by lopinavir/ritonavir, concentrations of lomitapide are expected to increase.</w:t>
            </w:r>
          </w:p>
        </w:tc>
        <w:tc>
          <w:tcPr>
            <w:tcW w:w="3402" w:type="dxa"/>
            <w:tcBorders>
              <w:top w:val="single" w:sz="4" w:space="0" w:color="auto"/>
              <w:left w:val="single" w:sz="4" w:space="0" w:color="auto"/>
              <w:bottom w:val="single" w:sz="4" w:space="0" w:color="auto"/>
              <w:right w:val="single" w:sz="4" w:space="0" w:color="auto"/>
            </w:tcBorders>
          </w:tcPr>
          <w:p w14:paraId="308A3E62" w14:textId="77777777" w:rsidR="00BE1421" w:rsidRPr="00342F7C" w:rsidRDefault="00BE1421" w:rsidP="00ED4FFA">
            <w:pPr>
              <w:pStyle w:val="EMEANormal"/>
              <w:rPr>
                <w:lang w:val="en-GB"/>
              </w:rPr>
            </w:pPr>
            <w:r>
              <w:rPr>
                <w:szCs w:val="22"/>
              </w:rPr>
              <w:t>Concomitant use of Kaletra with lomitapide is contraindicated (see prescribing information for lomitapide) (see section 4.3).</w:t>
            </w:r>
          </w:p>
        </w:tc>
      </w:tr>
      <w:tr w:rsidR="00BE1421" w:rsidRPr="00342F7C" w14:paraId="192AB98D" w14:textId="77777777" w:rsidTr="00793515">
        <w:tc>
          <w:tcPr>
            <w:tcW w:w="2410" w:type="dxa"/>
            <w:gridSpan w:val="2"/>
            <w:tcBorders>
              <w:top w:val="single" w:sz="4" w:space="0" w:color="auto"/>
              <w:left w:val="single" w:sz="4" w:space="0" w:color="auto"/>
              <w:bottom w:val="single" w:sz="4" w:space="0" w:color="auto"/>
              <w:right w:val="single" w:sz="4" w:space="0" w:color="auto"/>
            </w:tcBorders>
          </w:tcPr>
          <w:p w14:paraId="768C0D53" w14:textId="77777777" w:rsidR="00BE1421" w:rsidRPr="00342F7C" w:rsidRDefault="00BE1421" w:rsidP="00E95E29">
            <w:pPr>
              <w:pStyle w:val="EMEANormal"/>
              <w:rPr>
                <w:lang w:val="en-GB"/>
              </w:rPr>
            </w:pPr>
            <w:r w:rsidRPr="00342F7C">
              <w:rPr>
                <w:lang w:val="en-GB"/>
              </w:rPr>
              <w:t>Atorvastatin</w:t>
            </w:r>
          </w:p>
        </w:tc>
        <w:tc>
          <w:tcPr>
            <w:tcW w:w="3260" w:type="dxa"/>
            <w:gridSpan w:val="2"/>
            <w:tcBorders>
              <w:top w:val="single" w:sz="4" w:space="0" w:color="auto"/>
              <w:left w:val="single" w:sz="4" w:space="0" w:color="auto"/>
              <w:bottom w:val="single" w:sz="4" w:space="0" w:color="auto"/>
              <w:right w:val="single" w:sz="4" w:space="0" w:color="auto"/>
            </w:tcBorders>
          </w:tcPr>
          <w:p w14:paraId="75E8333E" w14:textId="77777777" w:rsidR="00BE1421" w:rsidRPr="00342F7C" w:rsidRDefault="00BE1421" w:rsidP="00E95E29">
            <w:pPr>
              <w:pStyle w:val="EMEANormal"/>
              <w:rPr>
                <w:lang w:val="en-GB"/>
              </w:rPr>
            </w:pPr>
            <w:r w:rsidRPr="00342F7C">
              <w:rPr>
                <w:lang w:val="en-GB"/>
              </w:rPr>
              <w:t>Atorvastatin:</w:t>
            </w:r>
          </w:p>
          <w:p w14:paraId="6802C8BB" w14:textId="77777777" w:rsidR="00BE1421" w:rsidRPr="00342F7C" w:rsidRDefault="00BE1421" w:rsidP="00E95E29">
            <w:pPr>
              <w:pStyle w:val="EMEANormal"/>
              <w:rPr>
                <w:lang w:val="en-GB"/>
              </w:rPr>
            </w:pPr>
            <w:r w:rsidRPr="00342F7C">
              <w:rPr>
                <w:lang w:val="en-GB"/>
              </w:rPr>
              <w:t xml:space="preserve">AUC: ↑ 5.9-fold </w:t>
            </w:r>
          </w:p>
          <w:p w14:paraId="4DDBADD6" w14:textId="77777777" w:rsidR="00BE1421" w:rsidRPr="00342F7C" w:rsidRDefault="00BE1421" w:rsidP="00E95E29">
            <w:pPr>
              <w:pStyle w:val="EMEANormal"/>
              <w:rPr>
                <w:lang w:val="en-GB"/>
              </w:rPr>
            </w:pPr>
            <w:r w:rsidRPr="00342F7C">
              <w:rPr>
                <w:lang w:val="en-GB"/>
              </w:rPr>
              <w:t>C</w:t>
            </w:r>
            <w:r w:rsidRPr="00342F7C">
              <w:rPr>
                <w:vertAlign w:val="subscript"/>
                <w:lang w:val="en-GB"/>
              </w:rPr>
              <w:t>max</w:t>
            </w:r>
            <w:r w:rsidRPr="00342F7C">
              <w:rPr>
                <w:lang w:val="en-GB"/>
              </w:rPr>
              <w:t>:</w:t>
            </w:r>
            <w:r>
              <w:rPr>
                <w:lang w:val="en-GB"/>
              </w:rPr>
              <w:t xml:space="preserve"> </w:t>
            </w:r>
            <w:r w:rsidRPr="00342F7C">
              <w:rPr>
                <w:lang w:val="en-GB"/>
              </w:rPr>
              <w:t>↑ 4.7-fold</w:t>
            </w:r>
          </w:p>
          <w:p w14:paraId="7FA8C6E7" w14:textId="77777777" w:rsidR="00BE1421" w:rsidRPr="00342F7C" w:rsidRDefault="00BE1421" w:rsidP="00E95E29">
            <w:pPr>
              <w:pStyle w:val="EMEANormal"/>
              <w:rPr>
                <w:lang w:val="en-GB"/>
              </w:rPr>
            </w:pPr>
            <w:r w:rsidRPr="00342F7C">
              <w:rPr>
                <w:lang w:val="en-GB"/>
              </w:rPr>
              <w:t xml:space="preserve">Due to CYP3A inhibition by </w:t>
            </w:r>
            <w:r>
              <w:rPr>
                <w:lang w:val="en-GB"/>
              </w:rPr>
              <w:t>lopinavir/ritonavir</w:t>
            </w:r>
            <w:r w:rsidRPr="00342F7C">
              <w:rPr>
                <w:lang w:val="en-GB"/>
              </w:rPr>
              <w:t>.</w:t>
            </w:r>
          </w:p>
        </w:tc>
        <w:tc>
          <w:tcPr>
            <w:tcW w:w="3402" w:type="dxa"/>
            <w:tcBorders>
              <w:top w:val="single" w:sz="4" w:space="0" w:color="auto"/>
              <w:left w:val="single" w:sz="4" w:space="0" w:color="auto"/>
              <w:bottom w:val="single" w:sz="4" w:space="0" w:color="auto"/>
              <w:right w:val="single" w:sz="4" w:space="0" w:color="auto"/>
            </w:tcBorders>
          </w:tcPr>
          <w:p w14:paraId="08E375CC" w14:textId="77777777" w:rsidR="00BE1421" w:rsidRPr="00342F7C" w:rsidRDefault="00BE1421" w:rsidP="00E95E29">
            <w:pPr>
              <w:pStyle w:val="EMEANormal"/>
              <w:rPr>
                <w:lang w:val="en-GB"/>
              </w:rPr>
            </w:pPr>
            <w:r w:rsidRPr="00342F7C">
              <w:rPr>
                <w:lang w:val="en-GB"/>
              </w:rPr>
              <w:t xml:space="preserve">The combination of Kaletra with atorvastatin is not recommended.  If the use of atorvastatin is considered strictly necessary, the lowest possible dose of atorvastatin should be administered with careful safety monitoring (see section 4.4).  </w:t>
            </w:r>
          </w:p>
        </w:tc>
      </w:tr>
      <w:tr w:rsidR="00BE1421" w:rsidRPr="00342F7C" w14:paraId="7E84E7E1" w14:textId="77777777" w:rsidTr="00793515">
        <w:tc>
          <w:tcPr>
            <w:tcW w:w="2410" w:type="dxa"/>
            <w:gridSpan w:val="2"/>
            <w:tcBorders>
              <w:top w:val="single" w:sz="4" w:space="0" w:color="auto"/>
              <w:left w:val="single" w:sz="4" w:space="0" w:color="auto"/>
              <w:bottom w:val="single" w:sz="4" w:space="0" w:color="auto"/>
              <w:right w:val="single" w:sz="4" w:space="0" w:color="auto"/>
            </w:tcBorders>
          </w:tcPr>
          <w:p w14:paraId="171D10AB" w14:textId="77777777" w:rsidR="00BE1421" w:rsidRPr="00342F7C" w:rsidRDefault="00BE1421" w:rsidP="00E95E29">
            <w:pPr>
              <w:pStyle w:val="EMEANormal"/>
              <w:rPr>
                <w:lang w:val="en-GB"/>
              </w:rPr>
            </w:pPr>
            <w:r w:rsidRPr="00342F7C">
              <w:rPr>
                <w:lang w:val="en-GB"/>
              </w:rPr>
              <w:t>Rosuvastatin, 20 mg QD</w:t>
            </w:r>
          </w:p>
          <w:p w14:paraId="51153DAC" w14:textId="77777777" w:rsidR="00BE1421" w:rsidRPr="00342F7C" w:rsidRDefault="00BE1421" w:rsidP="00E95E29">
            <w:pPr>
              <w:pStyle w:val="EMEANormal"/>
              <w:rPr>
                <w:iCs/>
                <w:lang w:val="en-GB"/>
              </w:rPr>
            </w:pPr>
          </w:p>
        </w:tc>
        <w:tc>
          <w:tcPr>
            <w:tcW w:w="3260" w:type="dxa"/>
            <w:gridSpan w:val="2"/>
            <w:tcBorders>
              <w:top w:val="single" w:sz="4" w:space="0" w:color="auto"/>
              <w:left w:val="single" w:sz="4" w:space="0" w:color="auto"/>
              <w:bottom w:val="single" w:sz="4" w:space="0" w:color="auto"/>
              <w:right w:val="single" w:sz="4" w:space="0" w:color="auto"/>
            </w:tcBorders>
          </w:tcPr>
          <w:p w14:paraId="36EBC940" w14:textId="77777777" w:rsidR="00BE1421" w:rsidRPr="00342F7C" w:rsidRDefault="00BE1421" w:rsidP="00E95E29">
            <w:pPr>
              <w:pStyle w:val="EMEANormal"/>
              <w:rPr>
                <w:lang w:val="en-GB"/>
              </w:rPr>
            </w:pPr>
            <w:r w:rsidRPr="00342F7C">
              <w:rPr>
                <w:lang w:val="en-GB"/>
              </w:rPr>
              <w:t>Rosuvastatin:</w:t>
            </w:r>
          </w:p>
          <w:p w14:paraId="0E9466F5" w14:textId="77777777" w:rsidR="00BE1421" w:rsidRPr="00342F7C" w:rsidRDefault="00BE1421" w:rsidP="00E95E29">
            <w:pPr>
              <w:pStyle w:val="EMEANormal"/>
              <w:rPr>
                <w:lang w:val="en-GB"/>
              </w:rPr>
            </w:pPr>
            <w:r w:rsidRPr="00342F7C">
              <w:rPr>
                <w:lang w:val="en-GB"/>
              </w:rPr>
              <w:t xml:space="preserve">AUC: ↑ 2-fold </w:t>
            </w:r>
          </w:p>
          <w:p w14:paraId="6E3E7C26" w14:textId="77777777" w:rsidR="00BE1421" w:rsidRPr="00342F7C" w:rsidRDefault="00BE1421" w:rsidP="00E95E29">
            <w:pPr>
              <w:pStyle w:val="EMEANormal"/>
              <w:rPr>
                <w:lang w:val="en-GB"/>
              </w:rPr>
            </w:pPr>
            <w:r w:rsidRPr="00342F7C">
              <w:rPr>
                <w:lang w:val="en-GB"/>
              </w:rPr>
              <w:t>C</w:t>
            </w:r>
            <w:r w:rsidRPr="00342F7C">
              <w:rPr>
                <w:vertAlign w:val="subscript"/>
                <w:lang w:val="en-GB"/>
              </w:rPr>
              <w:t>max</w:t>
            </w:r>
            <w:r w:rsidRPr="00342F7C">
              <w:rPr>
                <w:lang w:val="en-GB"/>
              </w:rPr>
              <w:t>: ↑ 5-fold</w:t>
            </w:r>
          </w:p>
          <w:p w14:paraId="6E2DB204" w14:textId="77777777" w:rsidR="00BE1421" w:rsidRPr="00342F7C" w:rsidRDefault="00BE1421" w:rsidP="00E95E29">
            <w:pPr>
              <w:pStyle w:val="EMEANormal"/>
              <w:rPr>
                <w:lang w:val="en-GB"/>
              </w:rPr>
            </w:pPr>
            <w:r w:rsidRPr="00342F7C">
              <w:rPr>
                <w:lang w:val="en-GB"/>
              </w:rPr>
              <w:t>While rosuvastatin is poorly metabolised by CYP3A4, an increase of its plasma concentrations was observed.  The mechanism of this interaction may result from inhibition of transport proteins.</w:t>
            </w:r>
          </w:p>
        </w:tc>
        <w:tc>
          <w:tcPr>
            <w:tcW w:w="3402" w:type="dxa"/>
            <w:tcBorders>
              <w:top w:val="single" w:sz="4" w:space="0" w:color="auto"/>
              <w:left w:val="single" w:sz="4" w:space="0" w:color="auto"/>
              <w:bottom w:val="single" w:sz="4" w:space="0" w:color="auto"/>
              <w:right w:val="single" w:sz="4" w:space="0" w:color="auto"/>
            </w:tcBorders>
          </w:tcPr>
          <w:p w14:paraId="6A13392A" w14:textId="77777777" w:rsidR="00BE1421" w:rsidRPr="00342F7C" w:rsidRDefault="00BE1421" w:rsidP="00E95E29">
            <w:pPr>
              <w:pStyle w:val="EMEANormal"/>
              <w:rPr>
                <w:lang w:val="en-GB"/>
              </w:rPr>
            </w:pPr>
            <w:r w:rsidRPr="00342F7C">
              <w:rPr>
                <w:lang w:val="en-GB"/>
              </w:rPr>
              <w:t>Caution should be exercised and reduced doses should be considered when Kaletra is co</w:t>
            </w:r>
            <w:r w:rsidRPr="00342F7C">
              <w:rPr>
                <w:lang w:val="en-GB"/>
              </w:rPr>
              <w:noBreakHyphen/>
              <w:t>administered with rosuvastatin (see section 4.4).</w:t>
            </w:r>
          </w:p>
        </w:tc>
      </w:tr>
      <w:tr w:rsidR="00BE1421" w:rsidRPr="00342F7C" w14:paraId="4BB4981F" w14:textId="77777777" w:rsidTr="00793515">
        <w:tc>
          <w:tcPr>
            <w:tcW w:w="2410" w:type="dxa"/>
            <w:gridSpan w:val="2"/>
            <w:tcBorders>
              <w:top w:val="single" w:sz="4" w:space="0" w:color="auto"/>
              <w:left w:val="single" w:sz="4" w:space="0" w:color="auto"/>
              <w:bottom w:val="single" w:sz="4" w:space="0" w:color="auto"/>
              <w:right w:val="single" w:sz="4" w:space="0" w:color="auto"/>
            </w:tcBorders>
          </w:tcPr>
          <w:p w14:paraId="4BC0AAF5" w14:textId="77777777" w:rsidR="00BE1421" w:rsidRPr="00342F7C" w:rsidRDefault="00BE1421" w:rsidP="00793515">
            <w:pPr>
              <w:pStyle w:val="EMEANormal"/>
              <w:keepNext/>
              <w:rPr>
                <w:lang w:val="en-GB"/>
              </w:rPr>
            </w:pPr>
            <w:r w:rsidRPr="00342F7C">
              <w:rPr>
                <w:lang w:val="en-GB"/>
              </w:rPr>
              <w:t>Fluvastatin or Pravastatin</w:t>
            </w:r>
          </w:p>
        </w:tc>
        <w:tc>
          <w:tcPr>
            <w:tcW w:w="3260" w:type="dxa"/>
            <w:gridSpan w:val="2"/>
            <w:tcBorders>
              <w:top w:val="single" w:sz="4" w:space="0" w:color="auto"/>
              <w:left w:val="single" w:sz="4" w:space="0" w:color="auto"/>
              <w:bottom w:val="single" w:sz="4" w:space="0" w:color="auto"/>
              <w:right w:val="single" w:sz="4" w:space="0" w:color="auto"/>
            </w:tcBorders>
          </w:tcPr>
          <w:p w14:paraId="396B5B89" w14:textId="77777777" w:rsidR="00BE1421" w:rsidRPr="00342F7C" w:rsidRDefault="00BE1421" w:rsidP="00793515">
            <w:pPr>
              <w:pStyle w:val="EMEANormal"/>
              <w:keepNext/>
              <w:rPr>
                <w:lang w:val="en-GB"/>
              </w:rPr>
            </w:pPr>
            <w:r w:rsidRPr="00342F7C">
              <w:rPr>
                <w:lang w:val="en-GB"/>
              </w:rPr>
              <w:t xml:space="preserve">Fluvastatin, Pravastatin: </w:t>
            </w:r>
          </w:p>
          <w:p w14:paraId="66A36B23" w14:textId="77777777" w:rsidR="00BE1421" w:rsidRPr="00342F7C" w:rsidRDefault="00BE1421" w:rsidP="00793515">
            <w:pPr>
              <w:pStyle w:val="EMEANormal"/>
              <w:keepNext/>
              <w:rPr>
                <w:lang w:val="en-GB"/>
              </w:rPr>
            </w:pPr>
            <w:r w:rsidRPr="00342F7C">
              <w:rPr>
                <w:lang w:val="en-GB"/>
              </w:rPr>
              <w:t>No clinical relevant interaction expected.</w:t>
            </w:r>
          </w:p>
          <w:p w14:paraId="26520BC9" w14:textId="77777777" w:rsidR="00BE1421" w:rsidRPr="00342F7C" w:rsidRDefault="00BE1421" w:rsidP="00793515">
            <w:pPr>
              <w:pStyle w:val="EMEANormal"/>
              <w:keepNext/>
              <w:rPr>
                <w:lang w:val="en-GB"/>
              </w:rPr>
            </w:pPr>
            <w:r w:rsidRPr="00342F7C">
              <w:rPr>
                <w:lang w:val="en-GB"/>
              </w:rPr>
              <w:t>Pravastatin is not metabolised by CYP450.</w:t>
            </w:r>
          </w:p>
          <w:p w14:paraId="349AF157" w14:textId="77777777" w:rsidR="00BE1421" w:rsidRPr="00342F7C" w:rsidRDefault="00BE1421" w:rsidP="00793515">
            <w:pPr>
              <w:pStyle w:val="EMEANormal"/>
              <w:keepNext/>
              <w:rPr>
                <w:lang w:val="en-GB"/>
              </w:rPr>
            </w:pPr>
            <w:r w:rsidRPr="00342F7C">
              <w:rPr>
                <w:lang w:val="en-GB"/>
              </w:rPr>
              <w:t>Fluvastatin is partially metabolised by CYP2C9.</w:t>
            </w:r>
          </w:p>
        </w:tc>
        <w:tc>
          <w:tcPr>
            <w:tcW w:w="3402" w:type="dxa"/>
            <w:tcBorders>
              <w:top w:val="single" w:sz="4" w:space="0" w:color="auto"/>
              <w:left w:val="single" w:sz="4" w:space="0" w:color="auto"/>
              <w:bottom w:val="single" w:sz="4" w:space="0" w:color="auto"/>
              <w:right w:val="single" w:sz="4" w:space="0" w:color="auto"/>
            </w:tcBorders>
          </w:tcPr>
          <w:p w14:paraId="37296FD9" w14:textId="77777777" w:rsidR="00BE1421" w:rsidRPr="00342F7C" w:rsidRDefault="00BE1421" w:rsidP="00793515">
            <w:pPr>
              <w:pStyle w:val="EMEANormal"/>
              <w:keepNext/>
              <w:rPr>
                <w:lang w:val="en-GB"/>
              </w:rPr>
            </w:pPr>
            <w:r w:rsidRPr="00342F7C">
              <w:rPr>
                <w:lang w:val="en-GB"/>
              </w:rPr>
              <w:t>If treatment with an HMG-CoA reductase inhibitor is indicated, fluvastatin or pravastatin is recommended.</w:t>
            </w:r>
          </w:p>
        </w:tc>
      </w:tr>
      <w:tr w:rsidR="00BE1421" w:rsidRPr="00342F7C" w14:paraId="3568FC35"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6A3CB141" w14:textId="77777777" w:rsidR="00BE1421" w:rsidRPr="00342F7C" w:rsidRDefault="00BE1421" w:rsidP="003439BF">
            <w:pPr>
              <w:pStyle w:val="EMEANormal"/>
              <w:keepNext/>
              <w:rPr>
                <w:i/>
                <w:iCs/>
                <w:lang w:val="en-GB"/>
              </w:rPr>
            </w:pPr>
            <w:r w:rsidRPr="00342F7C">
              <w:rPr>
                <w:i/>
                <w:iCs/>
                <w:lang w:val="en-GB"/>
              </w:rPr>
              <w:t>Opioids</w:t>
            </w:r>
          </w:p>
        </w:tc>
      </w:tr>
      <w:tr w:rsidR="00BE1421" w:rsidRPr="00342F7C" w14:paraId="13EBF26E" w14:textId="77777777" w:rsidTr="008F531F">
        <w:tc>
          <w:tcPr>
            <w:tcW w:w="2400" w:type="dxa"/>
            <w:tcBorders>
              <w:top w:val="single" w:sz="4" w:space="0" w:color="auto"/>
              <w:left w:val="single" w:sz="4" w:space="0" w:color="auto"/>
              <w:bottom w:val="single" w:sz="4" w:space="0" w:color="auto"/>
              <w:right w:val="single" w:sz="4" w:space="0" w:color="auto"/>
            </w:tcBorders>
          </w:tcPr>
          <w:p w14:paraId="17A03ED2" w14:textId="77777777" w:rsidR="00BE1421" w:rsidRPr="00342F7C" w:rsidRDefault="00BE1421" w:rsidP="003439BF">
            <w:pPr>
              <w:pStyle w:val="EMEANormal"/>
              <w:keepNext/>
              <w:rPr>
                <w:lang w:val="en-GB"/>
              </w:rPr>
            </w:pPr>
            <w:r w:rsidRPr="00342F7C">
              <w:rPr>
                <w:bCs/>
                <w:iCs/>
                <w:lang w:val="en-GB"/>
              </w:rPr>
              <w:t>Buprenorphine, 16 mg QD</w:t>
            </w:r>
          </w:p>
        </w:tc>
        <w:tc>
          <w:tcPr>
            <w:tcW w:w="3240" w:type="dxa"/>
            <w:gridSpan w:val="2"/>
            <w:tcBorders>
              <w:top w:val="single" w:sz="4" w:space="0" w:color="auto"/>
              <w:left w:val="single" w:sz="4" w:space="0" w:color="auto"/>
              <w:bottom w:val="single" w:sz="4" w:space="0" w:color="auto"/>
              <w:right w:val="single" w:sz="4" w:space="0" w:color="auto"/>
            </w:tcBorders>
          </w:tcPr>
          <w:p w14:paraId="7996AF4A" w14:textId="77777777" w:rsidR="00BE1421" w:rsidRPr="00342F7C" w:rsidRDefault="00BE1421" w:rsidP="003439BF">
            <w:pPr>
              <w:pStyle w:val="EMEANormal"/>
              <w:keepNext/>
              <w:rPr>
                <w:bCs/>
                <w:iCs/>
                <w:lang w:val="en-GB"/>
              </w:rPr>
            </w:pPr>
            <w:r w:rsidRPr="00342F7C">
              <w:rPr>
                <w:bCs/>
                <w:iCs/>
                <w:lang w:val="en-GB"/>
              </w:rPr>
              <w:t>Buprenorphine:</w:t>
            </w:r>
            <w:r w:rsidRPr="00342F7C">
              <w:rPr>
                <w:szCs w:val="22"/>
                <w:lang w:val="en-GB"/>
              </w:rPr>
              <w:t xml:space="preserve"> ↔</w:t>
            </w:r>
          </w:p>
          <w:p w14:paraId="24CFA225" w14:textId="77777777" w:rsidR="00BE1421" w:rsidRPr="00342F7C" w:rsidRDefault="00BE1421" w:rsidP="003439BF">
            <w:pPr>
              <w:pStyle w:val="EMEANormal"/>
              <w:keepNext/>
              <w:rPr>
                <w:lang w:val="en-GB"/>
              </w:rPr>
            </w:pPr>
          </w:p>
        </w:tc>
        <w:tc>
          <w:tcPr>
            <w:tcW w:w="3432" w:type="dxa"/>
            <w:gridSpan w:val="2"/>
            <w:tcBorders>
              <w:top w:val="single" w:sz="4" w:space="0" w:color="auto"/>
              <w:left w:val="single" w:sz="4" w:space="0" w:color="auto"/>
              <w:bottom w:val="single" w:sz="4" w:space="0" w:color="auto"/>
              <w:right w:val="single" w:sz="4" w:space="0" w:color="auto"/>
            </w:tcBorders>
          </w:tcPr>
          <w:p w14:paraId="4C8C2D72" w14:textId="77777777" w:rsidR="00BE1421" w:rsidRPr="00342F7C" w:rsidRDefault="00BE1421" w:rsidP="003439BF">
            <w:pPr>
              <w:pStyle w:val="EMEANormal"/>
              <w:keepNext/>
              <w:rPr>
                <w:lang w:val="en-GB"/>
              </w:rPr>
            </w:pPr>
            <w:r w:rsidRPr="00342F7C">
              <w:rPr>
                <w:lang w:val="en-GB"/>
              </w:rPr>
              <w:t>No dose adjustment necessary.</w:t>
            </w:r>
          </w:p>
          <w:p w14:paraId="38B85D9C" w14:textId="77777777" w:rsidR="00BE1421" w:rsidRPr="00342F7C" w:rsidRDefault="00BE1421" w:rsidP="003439BF">
            <w:pPr>
              <w:pStyle w:val="EMEANormal"/>
              <w:keepNext/>
              <w:rPr>
                <w:lang w:val="en-GB"/>
              </w:rPr>
            </w:pPr>
          </w:p>
        </w:tc>
      </w:tr>
      <w:tr w:rsidR="00BE1421" w:rsidRPr="00342F7C" w14:paraId="794DACF8" w14:textId="77777777" w:rsidTr="008F531F">
        <w:tc>
          <w:tcPr>
            <w:tcW w:w="2400" w:type="dxa"/>
            <w:tcBorders>
              <w:top w:val="single" w:sz="4" w:space="0" w:color="auto"/>
              <w:left w:val="single" w:sz="4" w:space="0" w:color="auto"/>
              <w:bottom w:val="single" w:sz="4" w:space="0" w:color="auto"/>
              <w:right w:val="single" w:sz="4" w:space="0" w:color="auto"/>
            </w:tcBorders>
          </w:tcPr>
          <w:p w14:paraId="5DC027BF" w14:textId="77777777" w:rsidR="00BE1421" w:rsidRPr="00342F7C" w:rsidRDefault="00BE1421" w:rsidP="003439BF">
            <w:pPr>
              <w:pStyle w:val="EMEANormal"/>
              <w:keepNext/>
              <w:rPr>
                <w:bCs/>
                <w:iCs/>
                <w:lang w:val="en-GB"/>
              </w:rPr>
            </w:pPr>
            <w:r w:rsidRPr="00342F7C">
              <w:rPr>
                <w:bCs/>
                <w:iCs/>
                <w:lang w:val="en-GB"/>
              </w:rPr>
              <w:t>Methadone</w:t>
            </w:r>
          </w:p>
          <w:p w14:paraId="2FC1B6A9" w14:textId="77777777" w:rsidR="00BE1421" w:rsidRPr="00342F7C" w:rsidRDefault="00BE1421" w:rsidP="003439BF">
            <w:pPr>
              <w:pStyle w:val="EMEANormal"/>
              <w:keepNext/>
              <w:rPr>
                <w:lang w:val="en-GB"/>
              </w:rPr>
            </w:pPr>
          </w:p>
        </w:tc>
        <w:tc>
          <w:tcPr>
            <w:tcW w:w="3240" w:type="dxa"/>
            <w:gridSpan w:val="2"/>
            <w:tcBorders>
              <w:top w:val="single" w:sz="4" w:space="0" w:color="auto"/>
              <w:left w:val="single" w:sz="4" w:space="0" w:color="auto"/>
              <w:bottom w:val="single" w:sz="4" w:space="0" w:color="auto"/>
              <w:right w:val="single" w:sz="4" w:space="0" w:color="auto"/>
            </w:tcBorders>
          </w:tcPr>
          <w:p w14:paraId="358936EE" w14:textId="77777777" w:rsidR="00BE1421" w:rsidRPr="00342F7C" w:rsidRDefault="00BE1421" w:rsidP="003439BF">
            <w:pPr>
              <w:pStyle w:val="EMEANormal"/>
              <w:keepNext/>
              <w:rPr>
                <w:i/>
                <w:lang w:val="en-GB"/>
              </w:rPr>
            </w:pPr>
            <w:r w:rsidRPr="00342F7C">
              <w:rPr>
                <w:bCs/>
                <w:iCs/>
                <w:lang w:val="en-GB"/>
              </w:rPr>
              <w:t>Methadone:</w:t>
            </w:r>
            <w:r w:rsidRPr="00342F7C">
              <w:rPr>
                <w:i/>
                <w:lang w:val="en-GB"/>
              </w:rPr>
              <w:t xml:space="preserve"> </w:t>
            </w:r>
            <w:r w:rsidRPr="00342F7C">
              <w:rPr>
                <w:lang w:val="en-GB"/>
              </w:rPr>
              <w:t>↓</w:t>
            </w:r>
          </w:p>
          <w:p w14:paraId="6C0D1183" w14:textId="77777777" w:rsidR="00BE1421" w:rsidRPr="00342F7C" w:rsidRDefault="00BE1421" w:rsidP="003439BF">
            <w:pPr>
              <w:pStyle w:val="EMEANormal"/>
              <w:keepNext/>
              <w:rPr>
                <w:lang w:val="en-GB"/>
              </w:rPr>
            </w:pPr>
          </w:p>
        </w:tc>
        <w:tc>
          <w:tcPr>
            <w:tcW w:w="3432" w:type="dxa"/>
            <w:gridSpan w:val="2"/>
            <w:tcBorders>
              <w:top w:val="single" w:sz="4" w:space="0" w:color="auto"/>
              <w:left w:val="single" w:sz="4" w:space="0" w:color="auto"/>
              <w:bottom w:val="single" w:sz="4" w:space="0" w:color="auto"/>
              <w:right w:val="single" w:sz="4" w:space="0" w:color="auto"/>
            </w:tcBorders>
          </w:tcPr>
          <w:p w14:paraId="4C65D29D" w14:textId="77777777" w:rsidR="00BE1421" w:rsidRPr="00342F7C" w:rsidRDefault="00BE1421" w:rsidP="003439BF">
            <w:pPr>
              <w:pStyle w:val="EMEANormal"/>
              <w:keepNext/>
              <w:rPr>
                <w:lang w:val="en-GB"/>
              </w:rPr>
            </w:pPr>
            <w:r w:rsidRPr="00342F7C">
              <w:rPr>
                <w:lang w:val="en-GB"/>
              </w:rPr>
              <w:t>Monitoring plasma concentrations of methadone is recommended.</w:t>
            </w:r>
          </w:p>
        </w:tc>
      </w:tr>
      <w:tr w:rsidR="00BE1421" w:rsidRPr="00342F7C" w14:paraId="57CAABD6"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33F1A16D" w14:textId="77777777" w:rsidR="00BE1421" w:rsidRPr="00342F7C" w:rsidRDefault="00BE1421" w:rsidP="00502F87">
            <w:pPr>
              <w:pStyle w:val="EMEANormal"/>
              <w:rPr>
                <w:bCs/>
                <w:i/>
                <w:iCs/>
                <w:lang w:val="en-GB"/>
              </w:rPr>
            </w:pPr>
            <w:r w:rsidRPr="00342F7C">
              <w:rPr>
                <w:i/>
                <w:iCs/>
                <w:lang w:val="en-GB"/>
              </w:rPr>
              <w:t xml:space="preserve">Oral </w:t>
            </w:r>
            <w:r>
              <w:rPr>
                <w:i/>
                <w:iCs/>
                <w:lang w:val="en-GB"/>
              </w:rPr>
              <w:t>c</w:t>
            </w:r>
            <w:r w:rsidRPr="00342F7C">
              <w:rPr>
                <w:i/>
                <w:iCs/>
                <w:lang w:val="en-GB"/>
              </w:rPr>
              <w:t>ontraceptives</w:t>
            </w:r>
          </w:p>
        </w:tc>
      </w:tr>
      <w:tr w:rsidR="00BE1421" w:rsidRPr="00342F7C" w14:paraId="5B8DC170" w14:textId="77777777" w:rsidTr="008F531F">
        <w:tc>
          <w:tcPr>
            <w:tcW w:w="2400" w:type="dxa"/>
            <w:tcBorders>
              <w:top w:val="single" w:sz="4" w:space="0" w:color="auto"/>
              <w:left w:val="single" w:sz="4" w:space="0" w:color="auto"/>
              <w:bottom w:val="single" w:sz="4" w:space="0" w:color="auto"/>
              <w:right w:val="single" w:sz="4" w:space="0" w:color="auto"/>
            </w:tcBorders>
          </w:tcPr>
          <w:p w14:paraId="152F1766" w14:textId="77777777" w:rsidR="00BE1421" w:rsidRPr="00342F7C" w:rsidRDefault="00BE1421" w:rsidP="00E95E29">
            <w:pPr>
              <w:pStyle w:val="EMEANormal"/>
              <w:rPr>
                <w:lang w:val="en-GB"/>
              </w:rPr>
            </w:pPr>
            <w:r w:rsidRPr="00342F7C">
              <w:rPr>
                <w:lang w:val="en-GB"/>
              </w:rPr>
              <w:t>Ethinyl Oestradiol</w:t>
            </w:r>
          </w:p>
        </w:tc>
        <w:tc>
          <w:tcPr>
            <w:tcW w:w="3240" w:type="dxa"/>
            <w:gridSpan w:val="2"/>
            <w:tcBorders>
              <w:top w:val="single" w:sz="4" w:space="0" w:color="auto"/>
              <w:left w:val="single" w:sz="4" w:space="0" w:color="auto"/>
              <w:bottom w:val="single" w:sz="4" w:space="0" w:color="auto"/>
              <w:right w:val="single" w:sz="4" w:space="0" w:color="auto"/>
            </w:tcBorders>
          </w:tcPr>
          <w:p w14:paraId="4AA151B0" w14:textId="77777777" w:rsidR="00BE1421" w:rsidRPr="00342F7C" w:rsidRDefault="00BE1421" w:rsidP="00E95E29">
            <w:pPr>
              <w:pStyle w:val="EMEANormal"/>
              <w:rPr>
                <w:i/>
                <w:lang w:val="en-GB"/>
              </w:rPr>
            </w:pPr>
            <w:r w:rsidRPr="00342F7C">
              <w:rPr>
                <w:lang w:val="en-GB"/>
              </w:rPr>
              <w:t>Ethinyl Oestradiol: ↓</w:t>
            </w:r>
          </w:p>
          <w:p w14:paraId="29C7982B" w14:textId="77777777" w:rsidR="00BE1421" w:rsidRPr="00342F7C" w:rsidRDefault="00BE1421" w:rsidP="00E95E29">
            <w:pPr>
              <w:pStyle w:val="EMEANormal"/>
              <w:rPr>
                <w:lang w:val="en-GB"/>
              </w:rPr>
            </w:pPr>
          </w:p>
        </w:tc>
        <w:tc>
          <w:tcPr>
            <w:tcW w:w="3432" w:type="dxa"/>
            <w:gridSpan w:val="2"/>
            <w:tcBorders>
              <w:top w:val="single" w:sz="4" w:space="0" w:color="auto"/>
              <w:left w:val="single" w:sz="4" w:space="0" w:color="auto"/>
              <w:bottom w:val="single" w:sz="4" w:space="0" w:color="auto"/>
              <w:right w:val="single" w:sz="4" w:space="0" w:color="auto"/>
            </w:tcBorders>
          </w:tcPr>
          <w:p w14:paraId="69256B2E" w14:textId="77777777" w:rsidR="00BE1421" w:rsidRPr="00342F7C" w:rsidRDefault="00BE1421" w:rsidP="00E95E29">
            <w:pPr>
              <w:pStyle w:val="EMEANormal"/>
              <w:rPr>
                <w:lang w:val="en-GB"/>
              </w:rPr>
            </w:pPr>
            <w:r w:rsidRPr="00342F7C">
              <w:rPr>
                <w:lang w:val="en-GB"/>
              </w:rPr>
              <w:t>In case of co</w:t>
            </w:r>
            <w:r w:rsidRPr="00342F7C">
              <w:rPr>
                <w:lang w:val="en-GB"/>
              </w:rPr>
              <w:noBreakHyphen/>
              <w:t>administration of Kaletra with contraceptives containing ethinyl oestradiol (whatever the contraceptive formulation e.g. oral or patch), additional methods of contraception must be used.</w:t>
            </w:r>
          </w:p>
        </w:tc>
      </w:tr>
      <w:tr w:rsidR="00BE1421" w:rsidRPr="00342F7C" w14:paraId="68497B35"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6842DDF2" w14:textId="77777777" w:rsidR="00BE1421" w:rsidRPr="00342F7C" w:rsidRDefault="00BE1421" w:rsidP="00E95E29">
            <w:pPr>
              <w:pStyle w:val="EMEANormal"/>
              <w:rPr>
                <w:i/>
                <w:iCs/>
                <w:lang w:val="en-GB"/>
              </w:rPr>
            </w:pPr>
            <w:r w:rsidRPr="00342F7C">
              <w:rPr>
                <w:i/>
                <w:iCs/>
                <w:lang w:val="en-GB"/>
              </w:rPr>
              <w:t>Smoking cessation aids</w:t>
            </w:r>
          </w:p>
        </w:tc>
      </w:tr>
      <w:tr w:rsidR="00BE1421" w:rsidRPr="00342F7C" w14:paraId="0FFE722F" w14:textId="77777777" w:rsidTr="008F531F">
        <w:tc>
          <w:tcPr>
            <w:tcW w:w="2400" w:type="dxa"/>
            <w:tcBorders>
              <w:top w:val="single" w:sz="4" w:space="0" w:color="auto"/>
              <w:left w:val="single" w:sz="4" w:space="0" w:color="auto"/>
              <w:bottom w:val="single" w:sz="4" w:space="0" w:color="auto"/>
              <w:right w:val="single" w:sz="4" w:space="0" w:color="auto"/>
            </w:tcBorders>
          </w:tcPr>
          <w:p w14:paraId="6608887A" w14:textId="77777777" w:rsidR="00BE1421" w:rsidRPr="00342F7C" w:rsidRDefault="00BE1421" w:rsidP="00E95E29">
            <w:pPr>
              <w:pStyle w:val="EMEANormal"/>
              <w:rPr>
                <w:lang w:val="en-GB"/>
              </w:rPr>
            </w:pPr>
            <w:r w:rsidRPr="00342F7C">
              <w:rPr>
                <w:lang w:val="en-GB"/>
              </w:rPr>
              <w:t>Bupropion</w:t>
            </w:r>
          </w:p>
        </w:tc>
        <w:tc>
          <w:tcPr>
            <w:tcW w:w="3240" w:type="dxa"/>
            <w:gridSpan w:val="2"/>
            <w:tcBorders>
              <w:top w:val="single" w:sz="4" w:space="0" w:color="auto"/>
              <w:left w:val="single" w:sz="4" w:space="0" w:color="auto"/>
              <w:bottom w:val="single" w:sz="4" w:space="0" w:color="auto"/>
              <w:right w:val="single" w:sz="4" w:space="0" w:color="auto"/>
            </w:tcBorders>
          </w:tcPr>
          <w:p w14:paraId="7068A38F" w14:textId="77777777" w:rsidR="00BE1421" w:rsidRPr="00342F7C" w:rsidRDefault="00BE1421" w:rsidP="00E95E29">
            <w:pPr>
              <w:pStyle w:val="EMEANormal"/>
              <w:rPr>
                <w:lang w:val="en-GB"/>
              </w:rPr>
            </w:pPr>
            <w:r w:rsidRPr="00342F7C">
              <w:rPr>
                <w:lang w:val="en-GB"/>
              </w:rPr>
              <w:t>Buproprion and its active metabolite, hydroxybupropion:</w:t>
            </w:r>
          </w:p>
          <w:p w14:paraId="79578CB9" w14:textId="77777777" w:rsidR="00BE1421" w:rsidRPr="00342F7C" w:rsidRDefault="00BE1421" w:rsidP="00E95E29">
            <w:pPr>
              <w:pStyle w:val="EMEANormal"/>
              <w:rPr>
                <w:lang w:val="en-GB"/>
              </w:rPr>
            </w:pPr>
            <w:r w:rsidRPr="00342F7C">
              <w:rPr>
                <w:lang w:val="en-GB"/>
              </w:rPr>
              <w:t>AUC and C</w:t>
            </w:r>
            <w:r w:rsidRPr="00342F7C">
              <w:rPr>
                <w:vertAlign w:val="subscript"/>
                <w:lang w:val="en-GB"/>
              </w:rPr>
              <w:t>max</w:t>
            </w:r>
            <w:r w:rsidRPr="00342F7C">
              <w:rPr>
                <w:lang w:val="en-GB"/>
              </w:rPr>
              <w:t xml:space="preserve"> ↓ ~50% </w:t>
            </w:r>
          </w:p>
          <w:p w14:paraId="2EBE8514" w14:textId="77777777" w:rsidR="00BE1421" w:rsidRPr="00342F7C" w:rsidRDefault="00BE1421" w:rsidP="00E95E29">
            <w:pPr>
              <w:pStyle w:val="EMEANormal"/>
              <w:rPr>
                <w:lang w:val="en-GB"/>
              </w:rPr>
            </w:pPr>
          </w:p>
          <w:p w14:paraId="5E040B15" w14:textId="77777777" w:rsidR="00BE1421" w:rsidRPr="00342F7C" w:rsidRDefault="00BE1421" w:rsidP="00E95E29">
            <w:pPr>
              <w:pStyle w:val="EMEANormal"/>
              <w:rPr>
                <w:lang w:val="en-GB"/>
              </w:rPr>
            </w:pPr>
            <w:r w:rsidRPr="00342F7C">
              <w:rPr>
                <w:lang w:val="en-GB"/>
              </w:rPr>
              <w:t>This effect may be due to induction of bupropion metabolism.</w:t>
            </w:r>
          </w:p>
          <w:p w14:paraId="5C2A1505" w14:textId="77777777" w:rsidR="00BE1421" w:rsidRPr="00342F7C" w:rsidRDefault="00BE1421" w:rsidP="00E95E29">
            <w:pPr>
              <w:pStyle w:val="EMEANormal"/>
              <w:rPr>
                <w:szCs w:val="22"/>
                <w:lang w:val="en-GB"/>
              </w:rPr>
            </w:pPr>
          </w:p>
        </w:tc>
        <w:tc>
          <w:tcPr>
            <w:tcW w:w="3432" w:type="dxa"/>
            <w:gridSpan w:val="2"/>
            <w:tcBorders>
              <w:top w:val="single" w:sz="4" w:space="0" w:color="auto"/>
              <w:left w:val="single" w:sz="4" w:space="0" w:color="auto"/>
              <w:bottom w:val="single" w:sz="4" w:space="0" w:color="auto"/>
              <w:right w:val="single" w:sz="4" w:space="0" w:color="auto"/>
            </w:tcBorders>
          </w:tcPr>
          <w:p w14:paraId="55754C56" w14:textId="77777777" w:rsidR="00BE1421" w:rsidRPr="00342F7C" w:rsidRDefault="00BE1421" w:rsidP="00FF7251">
            <w:pPr>
              <w:pStyle w:val="EMEANormal"/>
              <w:rPr>
                <w:szCs w:val="22"/>
                <w:lang w:val="en-GB"/>
              </w:rPr>
            </w:pPr>
            <w:r w:rsidRPr="00342F7C">
              <w:rPr>
                <w:lang w:val="en-GB"/>
              </w:rPr>
              <w:t>If the co</w:t>
            </w:r>
            <w:r w:rsidRPr="00342F7C">
              <w:rPr>
                <w:lang w:val="en-GB"/>
              </w:rPr>
              <w:noBreakHyphen/>
              <w:t xml:space="preserve">administration of </w:t>
            </w:r>
            <w:r>
              <w:rPr>
                <w:lang w:val="en-GB"/>
              </w:rPr>
              <w:t>Kaletra</w:t>
            </w:r>
            <w:r w:rsidRPr="00342F7C">
              <w:rPr>
                <w:lang w:val="en-GB"/>
              </w:rPr>
              <w:t xml:space="preserve"> with bupropion is judged unavoidable, this should be done under close clinical monitoring for bupropion efficacy, without exceeding the recommended dosage, despite the observed induction.</w:t>
            </w:r>
          </w:p>
        </w:tc>
      </w:tr>
      <w:tr w:rsidR="00BE1421" w:rsidRPr="00342F7C" w14:paraId="5A1C90BC" w14:textId="77777777" w:rsidTr="00B84095">
        <w:tc>
          <w:tcPr>
            <w:tcW w:w="9072" w:type="dxa"/>
            <w:gridSpan w:val="5"/>
            <w:tcBorders>
              <w:top w:val="single" w:sz="4" w:space="0" w:color="auto"/>
              <w:left w:val="single" w:sz="4" w:space="0" w:color="auto"/>
              <w:bottom w:val="single" w:sz="4" w:space="0" w:color="auto"/>
              <w:right w:val="single" w:sz="4" w:space="0" w:color="auto"/>
            </w:tcBorders>
          </w:tcPr>
          <w:p w14:paraId="2F6F40FA" w14:textId="77777777" w:rsidR="00BE1421" w:rsidRPr="00342F7C" w:rsidRDefault="00BE1421" w:rsidP="00B84095">
            <w:pPr>
              <w:pStyle w:val="EMEANormal"/>
              <w:rPr>
                <w:i/>
                <w:iCs/>
                <w:lang w:val="en-GB"/>
              </w:rPr>
            </w:pPr>
            <w:r>
              <w:rPr>
                <w:i/>
                <w:iCs/>
                <w:lang w:val="en-GB"/>
              </w:rPr>
              <w:t>Thyroid hormone replacement therapy</w:t>
            </w:r>
          </w:p>
        </w:tc>
      </w:tr>
      <w:tr w:rsidR="00BE1421" w:rsidRPr="00342F7C" w14:paraId="781B3F09" w14:textId="77777777" w:rsidTr="00B84095">
        <w:tc>
          <w:tcPr>
            <w:tcW w:w="2400" w:type="dxa"/>
            <w:tcBorders>
              <w:top w:val="single" w:sz="4" w:space="0" w:color="auto"/>
              <w:left w:val="single" w:sz="4" w:space="0" w:color="auto"/>
              <w:bottom w:val="single" w:sz="4" w:space="0" w:color="auto"/>
              <w:right w:val="single" w:sz="4" w:space="0" w:color="auto"/>
            </w:tcBorders>
          </w:tcPr>
          <w:p w14:paraId="14E954F1" w14:textId="77777777" w:rsidR="00BE1421" w:rsidRPr="00342F7C" w:rsidRDefault="00BE1421" w:rsidP="00B84095">
            <w:pPr>
              <w:pStyle w:val="EMEANormal"/>
              <w:rPr>
                <w:lang w:val="en-GB"/>
              </w:rPr>
            </w:pPr>
            <w:r>
              <w:rPr>
                <w:lang w:val="en-GB"/>
              </w:rPr>
              <w:t>Levothyroxine</w:t>
            </w:r>
          </w:p>
        </w:tc>
        <w:tc>
          <w:tcPr>
            <w:tcW w:w="3240" w:type="dxa"/>
            <w:gridSpan w:val="2"/>
            <w:tcBorders>
              <w:top w:val="single" w:sz="4" w:space="0" w:color="auto"/>
              <w:left w:val="single" w:sz="4" w:space="0" w:color="auto"/>
              <w:bottom w:val="single" w:sz="4" w:space="0" w:color="auto"/>
              <w:right w:val="single" w:sz="4" w:space="0" w:color="auto"/>
            </w:tcBorders>
          </w:tcPr>
          <w:p w14:paraId="566C5074" w14:textId="77777777" w:rsidR="00BE1421" w:rsidRPr="00342F7C" w:rsidRDefault="00BE1421" w:rsidP="00B84095">
            <w:pPr>
              <w:pStyle w:val="EMEANormal"/>
              <w:rPr>
                <w:szCs w:val="22"/>
                <w:lang w:val="en-GB"/>
              </w:rPr>
            </w:pPr>
            <w:r>
              <w:rPr>
                <w:szCs w:val="22"/>
                <w:lang w:val="en-GB"/>
              </w:rPr>
              <w:t>Post</w:t>
            </w:r>
            <w:r>
              <w:rPr>
                <w:szCs w:val="22"/>
                <w:lang w:val="en-GB"/>
              </w:rPr>
              <w:noBreakHyphen/>
              <w:t>marketing cases have been reported indicating a potential interaction between ritonavir containing products and levothyroxine.</w:t>
            </w:r>
          </w:p>
        </w:tc>
        <w:tc>
          <w:tcPr>
            <w:tcW w:w="3432" w:type="dxa"/>
            <w:gridSpan w:val="2"/>
            <w:tcBorders>
              <w:top w:val="single" w:sz="4" w:space="0" w:color="auto"/>
              <w:left w:val="single" w:sz="4" w:space="0" w:color="auto"/>
              <w:bottom w:val="single" w:sz="4" w:space="0" w:color="auto"/>
              <w:right w:val="single" w:sz="4" w:space="0" w:color="auto"/>
            </w:tcBorders>
          </w:tcPr>
          <w:p w14:paraId="1457671B" w14:textId="77777777" w:rsidR="00BE1421" w:rsidRPr="00342F7C" w:rsidRDefault="00BE1421" w:rsidP="00B84095">
            <w:pPr>
              <w:pStyle w:val="EMEANormal"/>
              <w:rPr>
                <w:szCs w:val="22"/>
                <w:lang w:val="en-GB"/>
              </w:rPr>
            </w:pPr>
            <w:r>
              <w:rPr>
                <w:szCs w:val="22"/>
                <w:lang w:val="en-GB"/>
              </w:rPr>
              <w:t>Thyroid</w:t>
            </w:r>
            <w:r>
              <w:rPr>
                <w:szCs w:val="22"/>
                <w:lang w:val="en-GB"/>
              </w:rPr>
              <w:noBreakHyphen/>
              <w:t>stimulating hormone (TSH) should be monitored in patients treated with levothyroxine at least the first month after starting and/or ending lopinavir/ritonavir treatment.</w:t>
            </w:r>
          </w:p>
        </w:tc>
      </w:tr>
      <w:tr w:rsidR="00BE1421" w:rsidRPr="00342F7C" w14:paraId="7D0838FA"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484E405E" w14:textId="77777777" w:rsidR="00BE1421" w:rsidRPr="00342F7C" w:rsidRDefault="00BE1421" w:rsidP="003866C3">
            <w:pPr>
              <w:pStyle w:val="EMEANormal"/>
              <w:rPr>
                <w:lang w:val="en-GB"/>
              </w:rPr>
            </w:pPr>
            <w:r>
              <w:rPr>
                <w:i/>
                <w:iCs/>
                <w:lang w:val="en-GB"/>
              </w:rPr>
              <w:t>Vasodilating agents</w:t>
            </w:r>
          </w:p>
        </w:tc>
      </w:tr>
      <w:tr w:rsidR="00BE1421" w:rsidRPr="00342F7C" w14:paraId="0294A928" w14:textId="77777777" w:rsidTr="008F531F">
        <w:tc>
          <w:tcPr>
            <w:tcW w:w="2400" w:type="dxa"/>
            <w:tcBorders>
              <w:top w:val="single" w:sz="4" w:space="0" w:color="auto"/>
              <w:left w:val="single" w:sz="4" w:space="0" w:color="auto"/>
              <w:bottom w:val="single" w:sz="4" w:space="0" w:color="auto"/>
              <w:right w:val="single" w:sz="4" w:space="0" w:color="auto"/>
            </w:tcBorders>
          </w:tcPr>
          <w:p w14:paraId="3F7EBF10" w14:textId="77777777" w:rsidR="00BE1421" w:rsidRPr="00342F7C" w:rsidRDefault="00BE1421" w:rsidP="003866C3">
            <w:pPr>
              <w:pStyle w:val="EMEANormal"/>
              <w:rPr>
                <w:lang w:val="en-GB"/>
              </w:rPr>
            </w:pPr>
            <w:r>
              <w:rPr>
                <w:lang w:val="en-GB"/>
              </w:rPr>
              <w:t>Bosentan</w:t>
            </w:r>
          </w:p>
        </w:tc>
        <w:tc>
          <w:tcPr>
            <w:tcW w:w="3240" w:type="dxa"/>
            <w:gridSpan w:val="2"/>
            <w:tcBorders>
              <w:top w:val="single" w:sz="4" w:space="0" w:color="auto"/>
              <w:left w:val="single" w:sz="4" w:space="0" w:color="auto"/>
              <w:bottom w:val="single" w:sz="4" w:space="0" w:color="auto"/>
              <w:right w:val="single" w:sz="4" w:space="0" w:color="auto"/>
            </w:tcBorders>
          </w:tcPr>
          <w:p w14:paraId="7C74A68B" w14:textId="77777777" w:rsidR="00BE1421" w:rsidRDefault="00BE1421" w:rsidP="005762AB">
            <w:pPr>
              <w:pStyle w:val="EMEANormal"/>
              <w:rPr>
                <w:lang w:val="en-GB"/>
              </w:rPr>
            </w:pPr>
            <w:r>
              <w:rPr>
                <w:lang w:val="en-GB"/>
              </w:rPr>
              <w:t>Lopinavir - ritonavir:</w:t>
            </w:r>
          </w:p>
          <w:p w14:paraId="22262B9E" w14:textId="77777777" w:rsidR="00BE1421" w:rsidRDefault="00BE1421" w:rsidP="005762AB">
            <w:pPr>
              <w:pStyle w:val="EMEANormal"/>
              <w:rPr>
                <w:lang w:val="en-GB"/>
              </w:rPr>
            </w:pPr>
            <w:r>
              <w:rPr>
                <w:lang w:val="en-GB"/>
              </w:rPr>
              <w:t>Lopinavir/ritonavir plasma concentrations may decrease due to CYP3A4 induction by bosentan.</w:t>
            </w:r>
          </w:p>
          <w:p w14:paraId="2D640F76" w14:textId="77777777" w:rsidR="00BE1421" w:rsidRDefault="00BE1421" w:rsidP="005762AB">
            <w:pPr>
              <w:pStyle w:val="EMEANormal"/>
              <w:rPr>
                <w:lang w:val="en-GB"/>
              </w:rPr>
            </w:pPr>
          </w:p>
          <w:p w14:paraId="72B1EB25" w14:textId="77777777" w:rsidR="00BE1421" w:rsidRPr="0071232B" w:rsidRDefault="00BE1421" w:rsidP="005762AB">
            <w:pPr>
              <w:pStyle w:val="EMEANormal"/>
              <w:rPr>
                <w:lang w:val="en-GB"/>
              </w:rPr>
            </w:pPr>
            <w:r w:rsidRPr="0071232B">
              <w:rPr>
                <w:lang w:val="en-GB"/>
              </w:rPr>
              <w:t>Bosentan:</w:t>
            </w:r>
          </w:p>
          <w:p w14:paraId="2E96DD02" w14:textId="77777777" w:rsidR="00BE1421" w:rsidRPr="0071232B" w:rsidRDefault="00BE1421" w:rsidP="005762AB">
            <w:pPr>
              <w:pStyle w:val="EMEANormal"/>
              <w:rPr>
                <w:lang w:val="en-GB"/>
              </w:rPr>
            </w:pPr>
            <w:r w:rsidRPr="0071232B">
              <w:rPr>
                <w:lang w:val="en-GB"/>
              </w:rPr>
              <w:t xml:space="preserve">AUC: ↑ 5-fold </w:t>
            </w:r>
          </w:p>
          <w:p w14:paraId="6CA96539" w14:textId="77777777" w:rsidR="00BE1421" w:rsidRPr="0071232B" w:rsidRDefault="00BE1421" w:rsidP="005762AB">
            <w:pPr>
              <w:pStyle w:val="EMEANormal"/>
              <w:rPr>
                <w:lang w:val="en-GB"/>
              </w:rPr>
            </w:pPr>
            <w:r w:rsidRPr="0071232B">
              <w:rPr>
                <w:lang w:val="en-GB"/>
              </w:rPr>
              <w:t>C</w:t>
            </w:r>
            <w:r w:rsidRPr="0071232B">
              <w:rPr>
                <w:vertAlign w:val="subscript"/>
                <w:lang w:val="en-GB"/>
              </w:rPr>
              <w:t>max</w:t>
            </w:r>
            <w:r w:rsidRPr="0071232B">
              <w:rPr>
                <w:lang w:val="en-GB"/>
              </w:rPr>
              <w:t>:</w:t>
            </w:r>
            <w:r>
              <w:rPr>
                <w:lang w:val="en-GB"/>
              </w:rPr>
              <w:t xml:space="preserve"> </w:t>
            </w:r>
            <w:r w:rsidRPr="0071232B">
              <w:rPr>
                <w:lang w:val="en-GB"/>
              </w:rPr>
              <w:t>↑ 6-fold</w:t>
            </w:r>
          </w:p>
          <w:p w14:paraId="399D3132" w14:textId="77777777" w:rsidR="00BE1421" w:rsidRPr="0071232B" w:rsidRDefault="00BE1421" w:rsidP="005762AB">
            <w:pPr>
              <w:autoSpaceDE w:val="0"/>
              <w:autoSpaceDN w:val="0"/>
              <w:adjustRightInd w:val="0"/>
              <w:rPr>
                <w:bCs/>
                <w:sz w:val="22"/>
                <w:szCs w:val="22"/>
                <w:u w:val="single"/>
              </w:rPr>
            </w:pPr>
            <w:r w:rsidRPr="00285200">
              <w:rPr>
                <w:bCs/>
                <w:sz w:val="22"/>
                <w:szCs w:val="22"/>
              </w:rPr>
              <w:t>Initially, bosentan C</w:t>
            </w:r>
            <w:r w:rsidRPr="00285200">
              <w:rPr>
                <w:bCs/>
                <w:sz w:val="22"/>
                <w:szCs w:val="22"/>
                <w:vertAlign w:val="subscript"/>
              </w:rPr>
              <w:t>min</w:t>
            </w:r>
            <w:r>
              <w:rPr>
                <w:bCs/>
                <w:sz w:val="22"/>
                <w:szCs w:val="22"/>
              </w:rPr>
              <w:t xml:space="preserve">: </w:t>
            </w:r>
            <w:r w:rsidRPr="00285200">
              <w:rPr>
                <w:sz w:val="22"/>
                <w:szCs w:val="22"/>
              </w:rPr>
              <w:t>↑</w:t>
            </w:r>
            <w:r w:rsidRPr="00285200">
              <w:rPr>
                <w:bCs/>
                <w:sz w:val="22"/>
                <w:szCs w:val="22"/>
              </w:rPr>
              <w:t xml:space="preserve"> by approximately 4</w:t>
            </w:r>
            <w:r w:rsidRPr="0071232B">
              <w:rPr>
                <w:bCs/>
                <w:sz w:val="22"/>
                <w:szCs w:val="22"/>
              </w:rPr>
              <w:t>8-fold.</w:t>
            </w:r>
            <w:r w:rsidRPr="0071232B">
              <w:rPr>
                <w:bCs/>
                <w:sz w:val="22"/>
                <w:szCs w:val="22"/>
                <w:u w:val="single"/>
              </w:rPr>
              <w:t xml:space="preserve"> </w:t>
            </w:r>
          </w:p>
          <w:p w14:paraId="5E751DCF" w14:textId="77777777" w:rsidR="00BE1421" w:rsidRPr="0071232B" w:rsidRDefault="00BE1421" w:rsidP="0071232B">
            <w:pPr>
              <w:pStyle w:val="EMEANormal"/>
            </w:pPr>
            <w:r w:rsidRPr="0071232B">
              <w:rPr>
                <w:lang w:val="en-GB"/>
              </w:rPr>
              <w:t>Due to CYP3A</w:t>
            </w:r>
            <w:r>
              <w:rPr>
                <w:lang w:val="en-GB"/>
              </w:rPr>
              <w:t>4</w:t>
            </w:r>
            <w:r w:rsidRPr="0071232B">
              <w:rPr>
                <w:lang w:val="en-GB"/>
              </w:rPr>
              <w:t xml:space="preserve"> inhibition by </w:t>
            </w:r>
            <w:r>
              <w:rPr>
                <w:lang w:val="en-GB"/>
              </w:rPr>
              <w:t>lopinavir/ritonavir</w:t>
            </w:r>
            <w:r w:rsidRPr="0071232B">
              <w:rPr>
                <w:lang w:val="en-GB"/>
              </w:rPr>
              <w:t>.</w:t>
            </w:r>
          </w:p>
        </w:tc>
        <w:tc>
          <w:tcPr>
            <w:tcW w:w="3432" w:type="dxa"/>
            <w:gridSpan w:val="2"/>
            <w:tcBorders>
              <w:top w:val="single" w:sz="4" w:space="0" w:color="auto"/>
              <w:left w:val="single" w:sz="4" w:space="0" w:color="auto"/>
              <w:bottom w:val="single" w:sz="4" w:space="0" w:color="auto"/>
              <w:right w:val="single" w:sz="4" w:space="0" w:color="auto"/>
            </w:tcBorders>
          </w:tcPr>
          <w:p w14:paraId="4E057573" w14:textId="77777777" w:rsidR="00BE1421" w:rsidRPr="0071232B" w:rsidRDefault="00BE1421" w:rsidP="005762AB">
            <w:pPr>
              <w:pStyle w:val="EMEANormal"/>
              <w:rPr>
                <w:lang w:val="en-GB"/>
              </w:rPr>
            </w:pPr>
            <w:r w:rsidRPr="0071232B">
              <w:rPr>
                <w:lang w:val="en-GB"/>
              </w:rPr>
              <w:t>Caution should be exercised in administering Kaletra</w:t>
            </w:r>
            <w:r>
              <w:rPr>
                <w:lang w:val="en-GB"/>
              </w:rPr>
              <w:t xml:space="preserve"> with </w:t>
            </w:r>
            <w:r w:rsidRPr="0071232B">
              <w:rPr>
                <w:lang w:val="en-GB"/>
              </w:rPr>
              <w:t>bosentan.</w:t>
            </w:r>
          </w:p>
          <w:p w14:paraId="4277A228" w14:textId="77777777" w:rsidR="00BE1421" w:rsidRPr="0071232B" w:rsidRDefault="00BE1421" w:rsidP="00502F87">
            <w:pPr>
              <w:pStyle w:val="EMEANormal"/>
            </w:pPr>
            <w:r w:rsidRPr="0071232B">
              <w:rPr>
                <w:bCs/>
              </w:rPr>
              <w:t xml:space="preserve">When </w:t>
            </w:r>
            <w:r>
              <w:rPr>
                <w:bCs/>
              </w:rPr>
              <w:t xml:space="preserve">Kaletra is </w:t>
            </w:r>
            <w:r w:rsidRPr="0071232B">
              <w:rPr>
                <w:bCs/>
              </w:rPr>
              <w:t xml:space="preserve">administered concomitantly with </w:t>
            </w:r>
            <w:r w:rsidRPr="00285200">
              <w:t>bosentan</w:t>
            </w:r>
            <w:r w:rsidRPr="0071232B">
              <w:rPr>
                <w:bCs/>
              </w:rPr>
              <w:t xml:space="preserve">, the </w:t>
            </w:r>
            <w:r>
              <w:rPr>
                <w:bCs/>
              </w:rPr>
              <w:t>efficacy of the HIV therapy should be monitored and patients should be closely observed for bosentan toxicity, especially during the first week of co</w:t>
            </w:r>
            <w:r>
              <w:rPr>
                <w:bCs/>
              </w:rPr>
              <w:noBreakHyphen/>
              <w:t>administration</w:t>
            </w:r>
            <w:r w:rsidRPr="0071232B">
              <w:rPr>
                <w:bCs/>
              </w:rPr>
              <w:t xml:space="preserve">. </w:t>
            </w:r>
            <w:r>
              <w:rPr>
                <w:bCs/>
              </w:rPr>
              <w:t xml:space="preserve"> </w:t>
            </w:r>
          </w:p>
        </w:tc>
      </w:tr>
      <w:tr w:rsidR="00BE1421" w:rsidRPr="00342F7C" w14:paraId="4709252B" w14:textId="77777777" w:rsidTr="008F531F">
        <w:tc>
          <w:tcPr>
            <w:tcW w:w="2400" w:type="dxa"/>
            <w:tcBorders>
              <w:top w:val="single" w:sz="4" w:space="0" w:color="auto"/>
              <w:left w:val="single" w:sz="4" w:space="0" w:color="auto"/>
              <w:bottom w:val="single" w:sz="4" w:space="0" w:color="auto"/>
              <w:right w:val="single" w:sz="4" w:space="0" w:color="auto"/>
            </w:tcBorders>
          </w:tcPr>
          <w:p w14:paraId="1C2A2818" w14:textId="77777777" w:rsidR="00BE1421" w:rsidRDefault="00BE1421" w:rsidP="006029D2">
            <w:pPr>
              <w:pStyle w:val="EMEANormal"/>
              <w:rPr>
                <w:lang w:val="en-GB"/>
              </w:rPr>
            </w:pPr>
            <w:r>
              <w:rPr>
                <w:lang w:val="en-GB"/>
              </w:rPr>
              <w:t>Riociguat</w:t>
            </w:r>
          </w:p>
        </w:tc>
        <w:tc>
          <w:tcPr>
            <w:tcW w:w="3240" w:type="dxa"/>
            <w:gridSpan w:val="2"/>
            <w:tcBorders>
              <w:top w:val="single" w:sz="4" w:space="0" w:color="auto"/>
              <w:left w:val="single" w:sz="4" w:space="0" w:color="auto"/>
              <w:bottom w:val="single" w:sz="4" w:space="0" w:color="auto"/>
              <w:right w:val="single" w:sz="4" w:space="0" w:color="auto"/>
            </w:tcBorders>
          </w:tcPr>
          <w:p w14:paraId="1850DBEB" w14:textId="77777777" w:rsidR="00BE1421" w:rsidRDefault="00BE1421" w:rsidP="006029D2">
            <w:pPr>
              <w:pStyle w:val="EMEANormal"/>
              <w:rPr>
                <w:lang w:val="en-GB"/>
              </w:rPr>
            </w:pPr>
            <w:r>
              <w:rPr>
                <w:lang w:val="en-GB"/>
              </w:rPr>
              <w:t>Serum concentrations may be increased due to CYP3A and P</w:t>
            </w:r>
            <w:r>
              <w:rPr>
                <w:lang w:val="en-GB"/>
              </w:rPr>
              <w:noBreakHyphen/>
              <w:t>gp inhibition by lopinavir/ritonavir.</w:t>
            </w:r>
          </w:p>
        </w:tc>
        <w:tc>
          <w:tcPr>
            <w:tcW w:w="3432" w:type="dxa"/>
            <w:gridSpan w:val="2"/>
            <w:tcBorders>
              <w:top w:val="single" w:sz="4" w:space="0" w:color="auto"/>
              <w:left w:val="single" w:sz="4" w:space="0" w:color="auto"/>
              <w:bottom w:val="single" w:sz="4" w:space="0" w:color="auto"/>
              <w:right w:val="single" w:sz="4" w:space="0" w:color="auto"/>
            </w:tcBorders>
          </w:tcPr>
          <w:p w14:paraId="71117D84" w14:textId="77777777" w:rsidR="00BE1421" w:rsidRPr="0071232B" w:rsidRDefault="00BE1421" w:rsidP="00502F87">
            <w:pPr>
              <w:pStyle w:val="EMEANormal"/>
              <w:rPr>
                <w:lang w:val="en-GB"/>
              </w:rPr>
            </w:pPr>
            <w:r>
              <w:rPr>
                <w:lang w:val="en-GB"/>
              </w:rPr>
              <w:t>The co</w:t>
            </w:r>
            <w:r>
              <w:rPr>
                <w:lang w:val="en-GB"/>
              </w:rPr>
              <w:noBreakHyphen/>
              <w:t>administration of riociguat with Kaletra is not recommended (see section 4.4 and refer to riociguat SmPC).</w:t>
            </w:r>
          </w:p>
        </w:tc>
      </w:tr>
      <w:tr w:rsidR="00BE1421" w:rsidRPr="00342F7C" w14:paraId="6E2F5EA4"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44E3B1F8" w14:textId="77777777" w:rsidR="00BE1421" w:rsidRPr="00342F7C" w:rsidRDefault="00BE1421" w:rsidP="00793515">
            <w:pPr>
              <w:pStyle w:val="EMEANormal"/>
              <w:keepNext/>
              <w:rPr>
                <w:i/>
                <w:iCs/>
                <w:lang w:val="en-GB"/>
              </w:rPr>
            </w:pPr>
            <w:r w:rsidRPr="00342F7C">
              <w:rPr>
                <w:i/>
                <w:iCs/>
                <w:lang w:val="en-GB"/>
              </w:rPr>
              <w:t>Other medicinal products</w:t>
            </w:r>
          </w:p>
        </w:tc>
      </w:tr>
      <w:tr w:rsidR="00BE1421" w:rsidRPr="00342F7C" w14:paraId="29623D98" w14:textId="77777777" w:rsidTr="008F531F">
        <w:tc>
          <w:tcPr>
            <w:tcW w:w="9072" w:type="dxa"/>
            <w:gridSpan w:val="5"/>
            <w:tcBorders>
              <w:top w:val="single" w:sz="4" w:space="0" w:color="auto"/>
              <w:left w:val="single" w:sz="4" w:space="0" w:color="auto"/>
              <w:bottom w:val="single" w:sz="4" w:space="0" w:color="auto"/>
              <w:right w:val="single" w:sz="4" w:space="0" w:color="auto"/>
            </w:tcBorders>
          </w:tcPr>
          <w:p w14:paraId="2A4EBAD5" w14:textId="77777777" w:rsidR="00BE1421" w:rsidRPr="00342F7C" w:rsidRDefault="00BE1421" w:rsidP="00793515">
            <w:pPr>
              <w:pStyle w:val="EMEANormal"/>
              <w:keepNext/>
              <w:rPr>
                <w:iCs/>
                <w:lang w:val="en-GB"/>
              </w:rPr>
            </w:pPr>
            <w:r w:rsidRPr="00342F7C">
              <w:rPr>
                <w:lang w:val="en-GB"/>
              </w:rPr>
              <w:t>Based on known metabolic profiles, clinically significant interactions are not expected between Kaletra and dapsone, trimethoprim/sulfamethoxazole, azithromycin or fluconazole.</w:t>
            </w:r>
          </w:p>
        </w:tc>
      </w:tr>
    </w:tbl>
    <w:p w14:paraId="38E1BD3F" w14:textId="77777777" w:rsidR="00751C7E" w:rsidRPr="00793515" w:rsidRDefault="00751C7E" w:rsidP="003439BF">
      <w:pPr>
        <w:pStyle w:val="EMEAHeading2SPC"/>
        <w:spacing w:beforeLines="0" w:before="0" w:afterLines="0" w:after="0"/>
        <w:rPr>
          <w:rFonts w:ascii="Times New Roman" w:hAnsi="Times New Roman"/>
          <w:b w:val="0"/>
          <w:lang w:val="en-GB"/>
        </w:rPr>
      </w:pPr>
    </w:p>
    <w:p w14:paraId="4725E93C" w14:textId="77777777" w:rsidR="00D7303D" w:rsidRPr="00793515" w:rsidRDefault="00266A4D" w:rsidP="003439BF">
      <w:pPr>
        <w:pStyle w:val="EMEAHeading2SPC"/>
        <w:spacing w:beforeLines="0" w:before="0" w:afterLines="0" w:after="0"/>
        <w:rPr>
          <w:rFonts w:ascii="Times New Roman" w:hAnsi="Times New Roman"/>
          <w:b w:val="0"/>
          <w:lang w:val="en-GB"/>
        </w:rPr>
      </w:pPr>
      <w:r>
        <w:rPr>
          <w:rFonts w:ascii="Times New Roman" w:hAnsi="Times New Roman"/>
          <w:lang w:val="en-GB"/>
        </w:rPr>
        <w:t>4.6</w:t>
      </w:r>
      <w:r w:rsidR="00D7303D" w:rsidRPr="00342F7C">
        <w:rPr>
          <w:rFonts w:ascii="Times New Roman" w:hAnsi="Times New Roman"/>
          <w:lang w:val="en-GB"/>
        </w:rPr>
        <w:tab/>
        <w:t>Fertility, pregnancy and lactation</w:t>
      </w:r>
    </w:p>
    <w:p w14:paraId="14718A5A" w14:textId="77777777" w:rsidR="00751C7E" w:rsidRPr="00751C7E" w:rsidRDefault="00751C7E" w:rsidP="003439BF">
      <w:pPr>
        <w:pStyle w:val="EMEANormal"/>
        <w:rPr>
          <w:lang w:val="en-GB"/>
        </w:rPr>
      </w:pPr>
    </w:p>
    <w:p w14:paraId="62D55338" w14:textId="77777777" w:rsidR="00D7303D" w:rsidRPr="00342F7C" w:rsidRDefault="00D7303D" w:rsidP="003439BF">
      <w:pPr>
        <w:pStyle w:val="EMEANormal"/>
        <w:rPr>
          <w:u w:val="single"/>
          <w:lang w:val="en-GB"/>
        </w:rPr>
      </w:pPr>
      <w:r w:rsidRPr="00342F7C">
        <w:rPr>
          <w:u w:val="single"/>
          <w:lang w:val="en-GB"/>
        </w:rPr>
        <w:t>Pregnancy</w:t>
      </w:r>
    </w:p>
    <w:p w14:paraId="2CE671D9" w14:textId="77777777" w:rsidR="00D7303D" w:rsidRDefault="00D7303D" w:rsidP="003439BF">
      <w:pPr>
        <w:pStyle w:val="EMEANormal"/>
        <w:rPr>
          <w:lang w:val="en-GB"/>
        </w:rPr>
      </w:pPr>
      <w:r w:rsidRPr="00342F7C">
        <w:rPr>
          <w:lang w:val="en-GB"/>
        </w:rPr>
        <w:t>As a general rule, when deciding to use antiretroviral agents for the treatment of HIV infection in pregnant women and consequently for reducing the risk of HIV vertical transmission to the newborn, the animal data as well as the clinical experience in pregnant women should be taken into account in order to characterise the safety for the foetus.</w:t>
      </w:r>
    </w:p>
    <w:p w14:paraId="1FAA57E4" w14:textId="77777777" w:rsidR="00E9743C" w:rsidRDefault="00E9743C" w:rsidP="00C54149">
      <w:pPr>
        <w:pStyle w:val="EMEANormal"/>
        <w:rPr>
          <w:lang w:val="en-GB"/>
        </w:rPr>
      </w:pPr>
    </w:p>
    <w:p w14:paraId="64FA994C" w14:textId="77777777" w:rsidR="00E9743C" w:rsidRPr="00E9743C" w:rsidRDefault="00E9743C" w:rsidP="00C54149">
      <w:pPr>
        <w:pStyle w:val="EMEANormal"/>
        <w:rPr>
          <w:lang w:val="en-GB"/>
        </w:rPr>
      </w:pPr>
      <w:r w:rsidRPr="00E9743C">
        <w:t xml:space="preserve">Lopinavir/ritonavir has been evaluated in </w:t>
      </w:r>
      <w:r w:rsidR="00444B6C">
        <w:t>over 3000</w:t>
      </w:r>
      <w:r w:rsidRPr="00E9743C">
        <w:t xml:space="preserve"> women during pregnancy, including over 1000 during the first trimester.</w:t>
      </w:r>
    </w:p>
    <w:p w14:paraId="7CD7DFC8" w14:textId="77777777" w:rsidR="00D7303D" w:rsidRPr="00342F7C" w:rsidRDefault="00D7303D" w:rsidP="00C54149">
      <w:pPr>
        <w:pStyle w:val="EMEANormal"/>
        <w:rPr>
          <w:u w:val="single"/>
          <w:lang w:val="en-GB"/>
        </w:rPr>
      </w:pPr>
    </w:p>
    <w:p w14:paraId="00B1006F" w14:textId="77777777" w:rsidR="00E9743C" w:rsidRPr="00E9743C" w:rsidRDefault="00D7303D" w:rsidP="003439BF">
      <w:pPr>
        <w:pStyle w:val="EMEANormal"/>
        <w:keepNext/>
        <w:keepLines/>
      </w:pPr>
      <w:r w:rsidRPr="00342F7C">
        <w:rPr>
          <w:lang w:val="en-GB"/>
        </w:rPr>
        <w:t>In post</w:t>
      </w:r>
      <w:r w:rsidRPr="00342F7C">
        <w:rPr>
          <w:lang w:val="en-GB"/>
        </w:rPr>
        <w:noBreakHyphen/>
        <w:t xml:space="preserve">marketing surveillance through the Antiretroviral Pregnancy Registry, established since January 1989, an increased risk of birth defects exposures with Kaletra has not been reported among over </w:t>
      </w:r>
      <w:r w:rsidR="00E9743C">
        <w:rPr>
          <w:lang w:val="en-GB"/>
        </w:rPr>
        <w:t>1000</w:t>
      </w:r>
      <w:r w:rsidR="00E9743C" w:rsidRPr="00342F7C">
        <w:rPr>
          <w:lang w:val="en-GB"/>
        </w:rPr>
        <w:t xml:space="preserve"> </w:t>
      </w:r>
      <w:r w:rsidRPr="00342F7C">
        <w:rPr>
          <w:lang w:val="en-GB"/>
        </w:rPr>
        <w:t>women exposed during the first trimester.  The prevalence of birth defects after any trimester exposure to lopinavir is comparable to the prevalence observed in the general population.  No pattern of birth defects suggestive of a common etiology was seen.  Studies in animals have shown reproductive toxicity (see section 5.3).  Based on the data mentioned, the malformative risk is unlikely in humans.</w:t>
      </w:r>
      <w:r w:rsidR="00E9743C" w:rsidRPr="00E9743C">
        <w:rPr>
          <w:lang w:val="en-GB"/>
        </w:rPr>
        <w:t xml:space="preserve">  </w:t>
      </w:r>
      <w:r w:rsidR="00E9743C" w:rsidRPr="00E9743C">
        <w:t>Lopinavir can be used during pregnancy if clinically needed.</w:t>
      </w:r>
    </w:p>
    <w:p w14:paraId="216A50B5" w14:textId="77777777" w:rsidR="00D7303D" w:rsidRPr="00342F7C" w:rsidRDefault="00D7303D">
      <w:pPr>
        <w:pStyle w:val="EMEANormal"/>
        <w:rPr>
          <w:lang w:val="en-GB"/>
        </w:rPr>
      </w:pPr>
    </w:p>
    <w:p w14:paraId="06A6F3F2" w14:textId="77777777" w:rsidR="00D7303D" w:rsidRPr="00342F7C" w:rsidRDefault="00D7303D">
      <w:pPr>
        <w:pStyle w:val="EMEANormal"/>
        <w:rPr>
          <w:u w:val="single"/>
          <w:lang w:val="en-GB"/>
        </w:rPr>
      </w:pPr>
      <w:r w:rsidRPr="00342F7C">
        <w:rPr>
          <w:u w:val="single"/>
          <w:lang w:val="en-GB"/>
        </w:rPr>
        <w:t>Breastfeeding</w:t>
      </w:r>
    </w:p>
    <w:p w14:paraId="4DE92EC4" w14:textId="77777777" w:rsidR="00D7303D" w:rsidRPr="00342F7C" w:rsidRDefault="00D7303D" w:rsidP="00DA0BCD">
      <w:pPr>
        <w:pStyle w:val="EMEANormal"/>
        <w:rPr>
          <w:lang w:val="en-GB"/>
        </w:rPr>
      </w:pPr>
      <w:r w:rsidRPr="00342F7C">
        <w:rPr>
          <w:lang w:val="en-GB"/>
        </w:rPr>
        <w:t xml:space="preserve">Studies in rats revealed that lopinavir is excreted in the milk.  It is not known whether this medicinal product is excreted in human milk.  As a general rule, it is recommended that mothers infected by HIV do not breastfeed their babies under any circumstances in order to avoid transmission of HIV. </w:t>
      </w:r>
    </w:p>
    <w:p w14:paraId="05B3FEF8" w14:textId="77777777" w:rsidR="00D7303D" w:rsidRPr="00342F7C" w:rsidRDefault="00D7303D" w:rsidP="00DA0BCD">
      <w:pPr>
        <w:pStyle w:val="EMEANormal"/>
        <w:rPr>
          <w:u w:val="single"/>
          <w:lang w:val="en-GB"/>
        </w:rPr>
      </w:pPr>
    </w:p>
    <w:p w14:paraId="65491F26" w14:textId="77777777" w:rsidR="00D7303D" w:rsidRPr="00342F7C" w:rsidRDefault="00D7303D" w:rsidP="00DA0BCD">
      <w:pPr>
        <w:pStyle w:val="EMEANormal"/>
        <w:rPr>
          <w:u w:val="single"/>
          <w:lang w:val="en-GB"/>
        </w:rPr>
      </w:pPr>
      <w:r w:rsidRPr="00342F7C">
        <w:rPr>
          <w:u w:val="single"/>
          <w:lang w:val="en-GB"/>
        </w:rPr>
        <w:t>Fertility</w:t>
      </w:r>
    </w:p>
    <w:p w14:paraId="413CD157" w14:textId="77777777" w:rsidR="00D7303D" w:rsidRDefault="00D7303D" w:rsidP="00DA0BCD">
      <w:pPr>
        <w:pStyle w:val="EMEANormal"/>
        <w:rPr>
          <w:lang w:val="en-GB"/>
        </w:rPr>
      </w:pPr>
      <w:r w:rsidRPr="00342F7C">
        <w:rPr>
          <w:lang w:val="en-GB"/>
        </w:rPr>
        <w:t>Animal studies have shown no effects on fertility.  No human data on the effect of lopinavir/ritonavir on fertility are available.</w:t>
      </w:r>
    </w:p>
    <w:p w14:paraId="5537DCF5" w14:textId="77777777" w:rsidR="00751C7E" w:rsidRPr="00342F7C" w:rsidRDefault="00751C7E" w:rsidP="00DA0BCD">
      <w:pPr>
        <w:pStyle w:val="EMEANormal"/>
        <w:rPr>
          <w:lang w:val="en-GB"/>
        </w:rPr>
      </w:pPr>
    </w:p>
    <w:p w14:paraId="5B24817D" w14:textId="77777777" w:rsidR="00D7303D" w:rsidRDefault="00266A4D" w:rsidP="00751C7E">
      <w:pPr>
        <w:pStyle w:val="EMEAHeading2SPC"/>
        <w:spacing w:beforeLines="0" w:before="0" w:afterLines="0" w:after="0"/>
        <w:rPr>
          <w:rFonts w:ascii="Times New Roman" w:hAnsi="Times New Roman"/>
          <w:lang w:val="en-GB"/>
        </w:rPr>
      </w:pPr>
      <w:r>
        <w:rPr>
          <w:rFonts w:ascii="Times New Roman" w:hAnsi="Times New Roman"/>
          <w:lang w:val="en-GB"/>
        </w:rPr>
        <w:t>4.7</w:t>
      </w:r>
      <w:r w:rsidR="00D7303D" w:rsidRPr="00342F7C">
        <w:rPr>
          <w:rFonts w:ascii="Times New Roman" w:hAnsi="Times New Roman"/>
          <w:lang w:val="en-GB"/>
        </w:rPr>
        <w:tab/>
        <w:t>Effects on ability to drive and use machines</w:t>
      </w:r>
    </w:p>
    <w:p w14:paraId="22887420" w14:textId="77777777" w:rsidR="00751C7E" w:rsidRPr="00751C7E" w:rsidRDefault="00751C7E" w:rsidP="00751C7E">
      <w:pPr>
        <w:pStyle w:val="EMEANormal"/>
        <w:rPr>
          <w:lang w:val="en-GB"/>
        </w:rPr>
      </w:pPr>
    </w:p>
    <w:p w14:paraId="67DBAFB0" w14:textId="77777777" w:rsidR="00D7303D" w:rsidRDefault="00D7303D">
      <w:pPr>
        <w:pStyle w:val="EMEANormal"/>
        <w:rPr>
          <w:lang w:val="en-GB"/>
        </w:rPr>
      </w:pPr>
      <w:r w:rsidRPr="00342F7C">
        <w:rPr>
          <w:lang w:val="en-GB"/>
        </w:rPr>
        <w:t>No studies on the effects on the ability to drive and use machines have been performed.  Patients should be informed that nausea has been reported during treatment with Kaletra (see section 4.8).</w:t>
      </w:r>
    </w:p>
    <w:p w14:paraId="71EFD863" w14:textId="77777777" w:rsidR="00751C7E" w:rsidRPr="00342F7C" w:rsidRDefault="00751C7E">
      <w:pPr>
        <w:pStyle w:val="EMEANormal"/>
        <w:rPr>
          <w:lang w:val="en-GB"/>
        </w:rPr>
      </w:pPr>
    </w:p>
    <w:p w14:paraId="194D4BEC" w14:textId="77777777" w:rsidR="00D7303D" w:rsidRDefault="00266A4D" w:rsidP="00751C7E">
      <w:pPr>
        <w:pStyle w:val="EMEAHeading2SPC"/>
        <w:spacing w:beforeLines="0" w:before="0" w:afterLines="0" w:after="0"/>
        <w:rPr>
          <w:rFonts w:ascii="Times New Roman" w:hAnsi="Times New Roman"/>
          <w:lang w:val="en-GB"/>
        </w:rPr>
      </w:pPr>
      <w:r>
        <w:rPr>
          <w:rFonts w:ascii="Times New Roman" w:hAnsi="Times New Roman"/>
          <w:lang w:val="en-GB"/>
        </w:rPr>
        <w:t>4.8</w:t>
      </w:r>
      <w:r w:rsidR="00D7303D" w:rsidRPr="00342F7C">
        <w:rPr>
          <w:rFonts w:ascii="Times New Roman" w:hAnsi="Times New Roman"/>
          <w:lang w:val="en-GB"/>
        </w:rPr>
        <w:tab/>
        <w:t xml:space="preserve">Undesirable effects </w:t>
      </w:r>
    </w:p>
    <w:p w14:paraId="45665D3F" w14:textId="77777777" w:rsidR="00751C7E" w:rsidRPr="00751C7E" w:rsidRDefault="00751C7E" w:rsidP="00751C7E">
      <w:pPr>
        <w:pStyle w:val="EMEANormal"/>
        <w:rPr>
          <w:lang w:val="en-GB"/>
        </w:rPr>
      </w:pPr>
    </w:p>
    <w:p w14:paraId="031422CA" w14:textId="77777777" w:rsidR="00D7303D" w:rsidRPr="00342F7C" w:rsidRDefault="00D7303D" w:rsidP="00A94B17">
      <w:pPr>
        <w:pStyle w:val="EMEANormal"/>
        <w:rPr>
          <w:u w:val="single"/>
          <w:lang w:val="en-GB"/>
        </w:rPr>
      </w:pPr>
      <w:r w:rsidRPr="00342F7C">
        <w:rPr>
          <w:u w:val="single"/>
          <w:lang w:val="en-GB"/>
        </w:rPr>
        <w:t>a. Summary of the safety profile</w:t>
      </w:r>
    </w:p>
    <w:p w14:paraId="36875E40" w14:textId="77777777" w:rsidR="00D7303D" w:rsidRPr="00342F7C" w:rsidRDefault="00D7303D">
      <w:pPr>
        <w:pStyle w:val="EMEANormal"/>
        <w:rPr>
          <w:lang w:val="en-GB"/>
        </w:rPr>
      </w:pPr>
    </w:p>
    <w:p w14:paraId="02377FF1" w14:textId="77777777" w:rsidR="00D7303D" w:rsidRPr="00342F7C" w:rsidRDefault="00D7303D">
      <w:pPr>
        <w:pStyle w:val="EMEANormal"/>
        <w:rPr>
          <w:lang w:val="en-GB"/>
        </w:rPr>
      </w:pPr>
      <w:r w:rsidRPr="00342F7C">
        <w:rPr>
          <w:lang w:val="en-GB"/>
        </w:rPr>
        <w:t>The safety of Kaletra has been investigated in over 2600 patients in Phase II</w:t>
      </w:r>
      <w:r w:rsidRPr="00342F7C">
        <w:rPr>
          <w:lang w:val="en-GB"/>
        </w:rPr>
        <w:noBreakHyphen/>
        <w:t>IV clinical trials, of which over 700 have received a dose of 800/200 mg (6 capsules or 4 tablets) once daily.  Along with nucleoside reverse transcriptase inhibitors (NRTIs), in some studies, Kaletra was used in combination with efavirenz or nevirapine.</w:t>
      </w:r>
    </w:p>
    <w:p w14:paraId="2633FDFE" w14:textId="77777777" w:rsidR="00D7303D" w:rsidRPr="00342F7C" w:rsidRDefault="00D7303D">
      <w:pPr>
        <w:pStyle w:val="EMEANormal"/>
        <w:rPr>
          <w:lang w:val="en-GB"/>
        </w:rPr>
      </w:pPr>
    </w:p>
    <w:p w14:paraId="33A3D105" w14:textId="77777777" w:rsidR="00D7303D" w:rsidRPr="00342F7C" w:rsidRDefault="00D7303D">
      <w:pPr>
        <w:pStyle w:val="EMEANormal"/>
        <w:rPr>
          <w:lang w:val="en-GB"/>
        </w:rPr>
      </w:pPr>
      <w:r w:rsidRPr="00342F7C">
        <w:rPr>
          <w:lang w:val="en-GB"/>
        </w:rPr>
        <w:t>The most common adverse reactions related to Kaletra therapy during clinical trials were diarrhoea</w:t>
      </w:r>
      <w:r w:rsidRPr="00342F7C">
        <w:rPr>
          <w:szCs w:val="22"/>
          <w:lang w:val="en-GB"/>
        </w:rPr>
        <w:t>, nausea, vomiting, hypertriglyceridaemia and hypercholesterolemia</w:t>
      </w:r>
      <w:r w:rsidRPr="00342F7C">
        <w:rPr>
          <w:lang w:val="en-GB"/>
        </w:rPr>
        <w:t>.  The risk of diarrhoea may be greater with once</w:t>
      </w:r>
      <w:r w:rsidR="00002FFE">
        <w:rPr>
          <w:lang w:val="en-GB"/>
        </w:rPr>
        <w:noBreakHyphen/>
      </w:r>
      <w:r w:rsidRPr="00342F7C">
        <w:rPr>
          <w:lang w:val="en-GB"/>
        </w:rPr>
        <w:t xml:space="preserve">daily dosing of Kaletra.  </w:t>
      </w:r>
      <w:r w:rsidRPr="00342F7C">
        <w:rPr>
          <w:szCs w:val="22"/>
          <w:lang w:val="en-GB"/>
        </w:rPr>
        <w:t>Diarrhoea, nausea and vomiting may occur at the beginning of the treatment while hypertriglyceridaemia and hypercholesterolemia may occur later.  Treatment emergent adverse events led to premature study discontinuation for 7% of subjects from Phase II</w:t>
      </w:r>
      <w:r w:rsidRPr="00342F7C">
        <w:rPr>
          <w:szCs w:val="22"/>
          <w:lang w:val="en-GB"/>
        </w:rPr>
        <w:noBreakHyphen/>
        <w:t>IV studies.</w:t>
      </w:r>
    </w:p>
    <w:p w14:paraId="2E966BD5" w14:textId="77777777" w:rsidR="00D7303D" w:rsidRPr="00342F7C" w:rsidRDefault="00D7303D">
      <w:pPr>
        <w:pStyle w:val="EMEANormal"/>
        <w:rPr>
          <w:lang w:val="en-GB"/>
        </w:rPr>
      </w:pPr>
    </w:p>
    <w:p w14:paraId="5BB39B00" w14:textId="77777777" w:rsidR="00D7303D" w:rsidRDefault="00D7303D">
      <w:pPr>
        <w:pStyle w:val="EMEANormal"/>
        <w:rPr>
          <w:lang w:val="en-GB"/>
        </w:rPr>
      </w:pPr>
      <w:r w:rsidRPr="00342F7C">
        <w:rPr>
          <w:lang w:val="en-GB"/>
        </w:rPr>
        <w:t>It is important to note that cases of pancreatitis have been reported in patients receiving Kaletra, including those who developed hypertriglyceridaemia.  Furthermore, rare increases in PR interval have been reported during Kaletra therapy (see section 4.4).</w:t>
      </w:r>
    </w:p>
    <w:p w14:paraId="144E39ED" w14:textId="77777777" w:rsidR="00751C7E" w:rsidRPr="00342F7C" w:rsidRDefault="00751C7E">
      <w:pPr>
        <w:pStyle w:val="EMEANormal"/>
        <w:rPr>
          <w:lang w:val="en-GB"/>
        </w:rPr>
      </w:pPr>
    </w:p>
    <w:p w14:paraId="1810F44B" w14:textId="77777777" w:rsidR="00D7303D" w:rsidRDefault="00D7303D" w:rsidP="00751C7E">
      <w:pPr>
        <w:pStyle w:val="EMEAHeadingItalic"/>
        <w:spacing w:beforeLines="0" w:before="0" w:afterLines="0" w:after="0"/>
        <w:rPr>
          <w:i w:val="0"/>
          <w:u w:val="single"/>
          <w:lang w:val="en-GB"/>
        </w:rPr>
      </w:pPr>
      <w:r w:rsidRPr="00342F7C">
        <w:rPr>
          <w:i w:val="0"/>
          <w:u w:val="single"/>
          <w:lang w:val="en-GB"/>
        </w:rPr>
        <w:t>b. Tabulated list of adverse reactions</w:t>
      </w:r>
    </w:p>
    <w:p w14:paraId="5D78A7C1" w14:textId="77777777" w:rsidR="00751C7E" w:rsidRPr="00751C7E" w:rsidRDefault="00751C7E" w:rsidP="00751C7E">
      <w:pPr>
        <w:pStyle w:val="EMEANormal"/>
        <w:rPr>
          <w:lang w:val="en-GB"/>
        </w:rPr>
      </w:pPr>
    </w:p>
    <w:p w14:paraId="78C86E07" w14:textId="77777777" w:rsidR="00D7303D" w:rsidRDefault="00D7303D" w:rsidP="00751C7E">
      <w:pPr>
        <w:pStyle w:val="EMEAHeadingItalic"/>
        <w:spacing w:beforeLines="0" w:before="0" w:afterLines="0" w:after="0"/>
        <w:rPr>
          <w:szCs w:val="22"/>
          <w:lang w:val="en-GB"/>
        </w:rPr>
      </w:pPr>
      <w:r w:rsidRPr="00342F7C">
        <w:rPr>
          <w:lang w:val="en-GB"/>
        </w:rPr>
        <w:t>Adverse reactions</w:t>
      </w:r>
      <w:r w:rsidRPr="00342F7C">
        <w:rPr>
          <w:szCs w:val="22"/>
          <w:lang w:val="en-GB"/>
        </w:rPr>
        <w:t xml:space="preserve"> from clinical trials and post-marketing experience in adult and paediatric patients:</w:t>
      </w:r>
    </w:p>
    <w:p w14:paraId="3C31F75B" w14:textId="77777777" w:rsidR="00751C7E" w:rsidRPr="00751C7E" w:rsidRDefault="00751C7E" w:rsidP="00751C7E">
      <w:pPr>
        <w:pStyle w:val="EMEANormal"/>
        <w:rPr>
          <w:lang w:val="en-GB"/>
        </w:rPr>
      </w:pPr>
    </w:p>
    <w:p w14:paraId="63EB3ECA" w14:textId="77777777" w:rsidR="00D7303D" w:rsidRPr="005A7D58" w:rsidRDefault="00D7303D">
      <w:pPr>
        <w:rPr>
          <w:bCs/>
          <w:sz w:val="22"/>
          <w:szCs w:val="22"/>
        </w:rPr>
      </w:pPr>
      <w:r w:rsidRPr="00342F7C">
        <w:rPr>
          <w:sz w:val="22"/>
        </w:rPr>
        <w:t>The following events have been identified as adverse reactions.  The frequency category includes all reported events of moderate to severe intensity, regardless of the individual causality assessment.</w:t>
      </w:r>
      <w:r w:rsidRPr="00342F7C">
        <w:rPr>
          <w:sz w:val="22"/>
          <w:szCs w:val="20"/>
        </w:rPr>
        <w:t xml:space="preserve">  </w:t>
      </w:r>
      <w:r w:rsidRPr="00342F7C">
        <w:rPr>
          <w:bCs/>
          <w:sz w:val="22"/>
          <w:szCs w:val="20"/>
        </w:rPr>
        <w:t xml:space="preserve">The adverse reactions are displayed by system organ class.  Within each frequency grouping, undesirable effects are presented in order of decreasing seriousness: very common (≥ 1/10), common (≥ 1/100 </w:t>
      </w:r>
      <w:r w:rsidRPr="005A7D58">
        <w:rPr>
          <w:bCs/>
          <w:sz w:val="22"/>
          <w:szCs w:val="22"/>
        </w:rPr>
        <w:t>to &lt; 1/10), uncommon (≥ 1/1000 to &lt; 1/100)</w:t>
      </w:r>
      <w:r w:rsidR="002B6A81" w:rsidRPr="005A7D58">
        <w:rPr>
          <w:bCs/>
          <w:sz w:val="22"/>
          <w:szCs w:val="22"/>
        </w:rPr>
        <w:t>,</w:t>
      </w:r>
      <w:r w:rsidRPr="005A7D58">
        <w:rPr>
          <w:bCs/>
          <w:sz w:val="22"/>
          <w:szCs w:val="22"/>
        </w:rPr>
        <w:t xml:space="preserve"> </w:t>
      </w:r>
      <w:r w:rsidR="0099677F" w:rsidRPr="005A7D58">
        <w:rPr>
          <w:bCs/>
          <w:sz w:val="22"/>
          <w:szCs w:val="22"/>
        </w:rPr>
        <w:t>rare (≥1/10,000 to &lt;1/1000)</w:t>
      </w:r>
      <w:r w:rsidR="002B6A81" w:rsidRPr="005A7D58">
        <w:rPr>
          <w:bCs/>
          <w:sz w:val="22"/>
          <w:szCs w:val="22"/>
        </w:rPr>
        <w:t xml:space="preserve"> and </w:t>
      </w:r>
      <w:r w:rsidR="002B6A81" w:rsidRPr="005A7D58">
        <w:rPr>
          <w:color w:val="000000"/>
          <w:sz w:val="22"/>
          <w:szCs w:val="22"/>
        </w:rPr>
        <w:t>not known (cannot be estimated from the available data)</w:t>
      </w:r>
      <w:r w:rsidRPr="005A7D58">
        <w:rPr>
          <w:bCs/>
          <w:sz w:val="22"/>
          <w:szCs w:val="22"/>
        </w:rPr>
        <w:t>.</w:t>
      </w:r>
    </w:p>
    <w:p w14:paraId="52D4B854" w14:textId="77777777" w:rsidR="00D7303D" w:rsidRPr="00342F7C" w:rsidRDefault="00D7303D">
      <w:pPr>
        <w:pStyle w:val="EMEANormal"/>
        <w:tabs>
          <w:tab w:val="clear" w:pos="562"/>
          <w:tab w:val="left" w:pos="7340"/>
        </w:tabs>
        <w:suppressAutoHyphens w:val="0"/>
        <w:rPr>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9"/>
        <w:gridCol w:w="1657"/>
        <w:gridCol w:w="4374"/>
      </w:tblGrid>
      <w:tr w:rsidR="00D7303D" w:rsidRPr="00342F7C" w14:paraId="176FD5C0" w14:textId="77777777" w:rsidTr="00E4141B">
        <w:trPr>
          <w:cantSplit/>
        </w:trPr>
        <w:tc>
          <w:tcPr>
            <w:tcW w:w="9060" w:type="dxa"/>
            <w:gridSpan w:val="3"/>
            <w:tcBorders>
              <w:top w:val="single" w:sz="4" w:space="0" w:color="auto"/>
              <w:left w:val="single" w:sz="4" w:space="0" w:color="auto"/>
              <w:bottom w:val="single" w:sz="4" w:space="0" w:color="auto"/>
              <w:right w:val="single" w:sz="4" w:space="0" w:color="auto"/>
            </w:tcBorders>
          </w:tcPr>
          <w:p w14:paraId="45B04C67" w14:textId="77777777" w:rsidR="00D7303D" w:rsidRPr="00342F7C" w:rsidRDefault="00D7303D" w:rsidP="003439BF">
            <w:pPr>
              <w:pStyle w:val="EMEANormal"/>
              <w:keepNext/>
              <w:spacing w:before="120" w:after="120"/>
              <w:jc w:val="center"/>
              <w:rPr>
                <w:b/>
                <w:bCs/>
                <w:szCs w:val="22"/>
                <w:lang w:val="en-GB"/>
              </w:rPr>
            </w:pPr>
            <w:r w:rsidRPr="00342F7C">
              <w:rPr>
                <w:b/>
                <w:bCs/>
                <w:szCs w:val="22"/>
                <w:lang w:val="en-GB"/>
              </w:rPr>
              <w:t>Undesirable effects in clinical studies and post-marketing in adult patients</w:t>
            </w:r>
          </w:p>
        </w:tc>
      </w:tr>
      <w:tr w:rsidR="00D7303D" w:rsidRPr="00342F7C" w14:paraId="651DE232" w14:textId="77777777" w:rsidTr="00E4141B">
        <w:trPr>
          <w:cantSplit/>
        </w:trPr>
        <w:tc>
          <w:tcPr>
            <w:tcW w:w="3029" w:type="dxa"/>
          </w:tcPr>
          <w:p w14:paraId="3867E16B" w14:textId="77777777" w:rsidR="00D7303D" w:rsidRPr="00342F7C" w:rsidRDefault="00D7303D" w:rsidP="003439BF">
            <w:pPr>
              <w:pStyle w:val="EMEANormal"/>
              <w:keepNext/>
              <w:spacing w:before="120" w:after="120"/>
              <w:jc w:val="center"/>
              <w:rPr>
                <w:b/>
                <w:bCs/>
                <w:szCs w:val="22"/>
                <w:lang w:val="en-GB"/>
              </w:rPr>
            </w:pPr>
            <w:r w:rsidRPr="00342F7C">
              <w:rPr>
                <w:b/>
                <w:bCs/>
                <w:szCs w:val="22"/>
                <w:lang w:val="en-GB"/>
              </w:rPr>
              <w:t>System organ class</w:t>
            </w:r>
          </w:p>
        </w:tc>
        <w:tc>
          <w:tcPr>
            <w:tcW w:w="1657" w:type="dxa"/>
            <w:tcBorders>
              <w:bottom w:val="single" w:sz="4" w:space="0" w:color="auto"/>
            </w:tcBorders>
          </w:tcPr>
          <w:p w14:paraId="043FA855" w14:textId="77777777" w:rsidR="00D7303D" w:rsidRPr="00342F7C" w:rsidRDefault="00D7303D" w:rsidP="003439BF">
            <w:pPr>
              <w:pStyle w:val="EMEANormal"/>
              <w:keepNext/>
              <w:spacing w:before="120" w:after="120"/>
              <w:jc w:val="center"/>
              <w:rPr>
                <w:b/>
                <w:bCs/>
                <w:szCs w:val="22"/>
                <w:lang w:val="en-GB"/>
              </w:rPr>
            </w:pPr>
            <w:r w:rsidRPr="00342F7C">
              <w:rPr>
                <w:b/>
                <w:bCs/>
                <w:szCs w:val="22"/>
                <w:lang w:val="en-GB"/>
              </w:rPr>
              <w:t>Frequency</w:t>
            </w:r>
          </w:p>
        </w:tc>
        <w:tc>
          <w:tcPr>
            <w:tcW w:w="4374" w:type="dxa"/>
            <w:tcBorders>
              <w:bottom w:val="single" w:sz="4" w:space="0" w:color="auto"/>
            </w:tcBorders>
          </w:tcPr>
          <w:p w14:paraId="19296BEB" w14:textId="77777777" w:rsidR="00D7303D" w:rsidRPr="00342F7C" w:rsidRDefault="00D7303D" w:rsidP="003439BF">
            <w:pPr>
              <w:pStyle w:val="EMEANormal"/>
              <w:keepNext/>
              <w:spacing w:before="120" w:after="120"/>
              <w:jc w:val="center"/>
              <w:rPr>
                <w:b/>
                <w:bCs/>
                <w:szCs w:val="22"/>
                <w:lang w:val="en-GB"/>
              </w:rPr>
            </w:pPr>
            <w:r w:rsidRPr="00342F7C">
              <w:rPr>
                <w:b/>
                <w:bCs/>
                <w:szCs w:val="22"/>
                <w:lang w:val="en-GB"/>
              </w:rPr>
              <w:t>Adverse reaction</w:t>
            </w:r>
          </w:p>
        </w:tc>
      </w:tr>
      <w:tr w:rsidR="00D7303D" w:rsidRPr="00342F7C" w14:paraId="0E7C1F7F" w14:textId="77777777" w:rsidTr="00E4141B">
        <w:trPr>
          <w:cantSplit/>
        </w:trPr>
        <w:tc>
          <w:tcPr>
            <w:tcW w:w="3029" w:type="dxa"/>
            <w:vMerge w:val="restart"/>
          </w:tcPr>
          <w:p w14:paraId="467B9179" w14:textId="77777777" w:rsidR="00D7303D" w:rsidRPr="00342F7C" w:rsidRDefault="00D7303D" w:rsidP="00C50403">
            <w:pPr>
              <w:pStyle w:val="EMEANormal"/>
              <w:rPr>
                <w:bCs/>
                <w:szCs w:val="22"/>
                <w:lang w:val="en-GB"/>
              </w:rPr>
            </w:pPr>
            <w:r w:rsidRPr="00342F7C">
              <w:rPr>
                <w:bCs/>
                <w:szCs w:val="22"/>
                <w:lang w:val="en-GB"/>
              </w:rPr>
              <w:t>Infections and infestations</w:t>
            </w:r>
          </w:p>
        </w:tc>
        <w:tc>
          <w:tcPr>
            <w:tcW w:w="1657" w:type="dxa"/>
            <w:tcBorders>
              <w:bottom w:val="nil"/>
            </w:tcBorders>
          </w:tcPr>
          <w:p w14:paraId="0D88ABB9" w14:textId="77777777" w:rsidR="00D7303D" w:rsidRPr="00342F7C" w:rsidRDefault="00D7303D" w:rsidP="00C50403">
            <w:pPr>
              <w:pStyle w:val="EMEANormal"/>
              <w:rPr>
                <w:bCs/>
                <w:szCs w:val="22"/>
                <w:lang w:val="en-GB"/>
              </w:rPr>
            </w:pPr>
            <w:r w:rsidRPr="00342F7C">
              <w:rPr>
                <w:bCs/>
                <w:szCs w:val="22"/>
                <w:lang w:val="en-GB"/>
              </w:rPr>
              <w:t>Very common</w:t>
            </w:r>
          </w:p>
        </w:tc>
        <w:tc>
          <w:tcPr>
            <w:tcW w:w="4374" w:type="dxa"/>
            <w:tcBorders>
              <w:bottom w:val="nil"/>
            </w:tcBorders>
          </w:tcPr>
          <w:p w14:paraId="4F3086BD" w14:textId="77777777" w:rsidR="00D7303D" w:rsidRPr="00342F7C" w:rsidRDefault="00D7303D" w:rsidP="00C50403">
            <w:pPr>
              <w:pStyle w:val="EMEANormal"/>
              <w:rPr>
                <w:bCs/>
                <w:szCs w:val="22"/>
                <w:lang w:val="en-GB"/>
              </w:rPr>
            </w:pPr>
            <w:r w:rsidRPr="00342F7C">
              <w:rPr>
                <w:bCs/>
                <w:szCs w:val="22"/>
                <w:lang w:val="en-GB"/>
              </w:rPr>
              <w:t>Upper respiratory tract infection</w:t>
            </w:r>
          </w:p>
          <w:p w14:paraId="13ADD2C9" w14:textId="77777777" w:rsidR="00D7303D" w:rsidRPr="00342F7C" w:rsidRDefault="00D7303D" w:rsidP="00C50403">
            <w:pPr>
              <w:pStyle w:val="EMEANormal"/>
              <w:rPr>
                <w:bCs/>
                <w:szCs w:val="22"/>
                <w:lang w:val="en-GB"/>
              </w:rPr>
            </w:pPr>
          </w:p>
        </w:tc>
      </w:tr>
      <w:tr w:rsidR="00D7303D" w:rsidRPr="00342F7C" w14:paraId="23A05225" w14:textId="77777777" w:rsidTr="00E4141B">
        <w:trPr>
          <w:cantSplit/>
        </w:trPr>
        <w:tc>
          <w:tcPr>
            <w:tcW w:w="3029" w:type="dxa"/>
            <w:vMerge/>
          </w:tcPr>
          <w:p w14:paraId="4AD100A3" w14:textId="77777777" w:rsidR="00D7303D" w:rsidRPr="00342F7C" w:rsidRDefault="00D7303D" w:rsidP="00C50403">
            <w:pPr>
              <w:pStyle w:val="EMEANormal"/>
              <w:rPr>
                <w:b/>
                <w:bCs/>
                <w:szCs w:val="22"/>
                <w:lang w:val="en-GB"/>
              </w:rPr>
            </w:pPr>
          </w:p>
        </w:tc>
        <w:tc>
          <w:tcPr>
            <w:tcW w:w="1657" w:type="dxa"/>
            <w:tcBorders>
              <w:top w:val="nil"/>
              <w:bottom w:val="single" w:sz="4" w:space="0" w:color="auto"/>
            </w:tcBorders>
          </w:tcPr>
          <w:p w14:paraId="4F123B37" w14:textId="77777777" w:rsidR="00D7303D" w:rsidRPr="00342F7C" w:rsidRDefault="00D7303D" w:rsidP="00C50403">
            <w:pPr>
              <w:pStyle w:val="EMEANormal"/>
              <w:rPr>
                <w:bCs/>
                <w:szCs w:val="22"/>
                <w:lang w:val="en-GB"/>
              </w:rPr>
            </w:pPr>
            <w:r w:rsidRPr="00342F7C">
              <w:rPr>
                <w:bCs/>
                <w:szCs w:val="22"/>
                <w:lang w:val="en-GB"/>
              </w:rPr>
              <w:t>Common</w:t>
            </w:r>
          </w:p>
        </w:tc>
        <w:tc>
          <w:tcPr>
            <w:tcW w:w="4374" w:type="dxa"/>
            <w:tcBorders>
              <w:top w:val="nil"/>
              <w:bottom w:val="single" w:sz="4" w:space="0" w:color="auto"/>
            </w:tcBorders>
          </w:tcPr>
          <w:p w14:paraId="09768A32" w14:textId="77777777" w:rsidR="00D7303D" w:rsidRPr="00342F7C" w:rsidRDefault="00D7303D" w:rsidP="00C50403">
            <w:pPr>
              <w:pStyle w:val="EMEANormal"/>
              <w:rPr>
                <w:bCs/>
                <w:szCs w:val="22"/>
                <w:lang w:val="en-GB"/>
              </w:rPr>
            </w:pPr>
            <w:r w:rsidRPr="00342F7C">
              <w:rPr>
                <w:szCs w:val="22"/>
                <w:lang w:val="en-GB"/>
              </w:rPr>
              <w:t>Lower respiratory tract infection, skin infections including cellulitis, folliculitis and furuncle</w:t>
            </w:r>
          </w:p>
        </w:tc>
      </w:tr>
      <w:tr w:rsidR="00D7303D" w:rsidRPr="00342F7C" w14:paraId="59CEC035" w14:textId="77777777" w:rsidTr="00E4141B">
        <w:trPr>
          <w:cantSplit/>
          <w:trHeight w:val="510"/>
        </w:trPr>
        <w:tc>
          <w:tcPr>
            <w:tcW w:w="3029" w:type="dxa"/>
          </w:tcPr>
          <w:p w14:paraId="587C0ED6" w14:textId="77777777" w:rsidR="00D7303D" w:rsidRPr="00342F7C" w:rsidRDefault="00D7303D" w:rsidP="00C50403">
            <w:pPr>
              <w:pStyle w:val="EMEANormal"/>
              <w:tabs>
                <w:tab w:val="clear" w:pos="562"/>
                <w:tab w:val="left" w:pos="7340"/>
              </w:tabs>
              <w:suppressAutoHyphens w:val="0"/>
              <w:rPr>
                <w:szCs w:val="22"/>
                <w:lang w:val="en-GB"/>
              </w:rPr>
            </w:pPr>
            <w:r w:rsidRPr="00342F7C">
              <w:rPr>
                <w:szCs w:val="22"/>
                <w:lang w:val="en-GB"/>
              </w:rPr>
              <w:t>Blood and lymphatic system disorders</w:t>
            </w:r>
          </w:p>
        </w:tc>
        <w:tc>
          <w:tcPr>
            <w:tcW w:w="1657" w:type="dxa"/>
          </w:tcPr>
          <w:p w14:paraId="2A5206D4" w14:textId="77777777" w:rsidR="00D7303D" w:rsidRPr="00342F7C" w:rsidRDefault="00D7303D" w:rsidP="00C50403">
            <w:pPr>
              <w:pStyle w:val="EMEANormal"/>
              <w:jc w:val="both"/>
              <w:rPr>
                <w:szCs w:val="22"/>
                <w:lang w:val="en-GB"/>
              </w:rPr>
            </w:pPr>
            <w:r w:rsidRPr="00342F7C">
              <w:rPr>
                <w:szCs w:val="22"/>
                <w:lang w:val="en-GB"/>
              </w:rPr>
              <w:t>Common</w:t>
            </w:r>
          </w:p>
        </w:tc>
        <w:tc>
          <w:tcPr>
            <w:tcW w:w="4374" w:type="dxa"/>
          </w:tcPr>
          <w:p w14:paraId="27DCB9C0" w14:textId="77777777" w:rsidR="00D7303D" w:rsidRPr="00342F7C" w:rsidRDefault="00D7303D" w:rsidP="00C50403">
            <w:pPr>
              <w:pStyle w:val="EMEANormal"/>
              <w:tabs>
                <w:tab w:val="left" w:pos="980"/>
              </w:tabs>
              <w:rPr>
                <w:szCs w:val="22"/>
                <w:lang w:val="en-GB"/>
              </w:rPr>
            </w:pPr>
            <w:r w:rsidRPr="00342F7C">
              <w:rPr>
                <w:szCs w:val="22"/>
                <w:lang w:val="en-GB"/>
              </w:rPr>
              <w:t>Anaemia, leucopenia, neutropenia, lymphadenopathy</w:t>
            </w:r>
          </w:p>
        </w:tc>
      </w:tr>
      <w:tr w:rsidR="00D7303D" w:rsidRPr="00342F7C" w14:paraId="3D39DC15" w14:textId="77777777" w:rsidTr="00E4141B">
        <w:trPr>
          <w:cantSplit/>
        </w:trPr>
        <w:tc>
          <w:tcPr>
            <w:tcW w:w="3029" w:type="dxa"/>
            <w:vMerge w:val="restart"/>
          </w:tcPr>
          <w:p w14:paraId="6BB099B4" w14:textId="77777777" w:rsidR="00D7303D" w:rsidRPr="00342F7C" w:rsidRDefault="00D7303D" w:rsidP="00C50403">
            <w:pPr>
              <w:pStyle w:val="EMEANormal"/>
              <w:tabs>
                <w:tab w:val="clear" w:pos="562"/>
                <w:tab w:val="left" w:pos="7340"/>
              </w:tabs>
              <w:suppressAutoHyphens w:val="0"/>
              <w:rPr>
                <w:szCs w:val="22"/>
                <w:lang w:val="en-GB"/>
              </w:rPr>
            </w:pPr>
            <w:r w:rsidRPr="00342F7C">
              <w:rPr>
                <w:szCs w:val="22"/>
                <w:lang w:val="en-GB"/>
              </w:rPr>
              <w:t>Immune system disorders</w:t>
            </w:r>
          </w:p>
        </w:tc>
        <w:tc>
          <w:tcPr>
            <w:tcW w:w="1657" w:type="dxa"/>
            <w:tcBorders>
              <w:top w:val="single" w:sz="4" w:space="0" w:color="auto"/>
              <w:bottom w:val="nil"/>
            </w:tcBorders>
          </w:tcPr>
          <w:p w14:paraId="7105702B" w14:textId="77777777" w:rsidR="00D7303D" w:rsidRPr="00342F7C" w:rsidRDefault="00D7303D" w:rsidP="00C50403">
            <w:pPr>
              <w:pStyle w:val="EMEANormal"/>
              <w:rPr>
                <w:szCs w:val="22"/>
                <w:lang w:val="en-GB"/>
              </w:rPr>
            </w:pPr>
            <w:r w:rsidRPr="00342F7C">
              <w:rPr>
                <w:szCs w:val="22"/>
                <w:lang w:val="en-GB"/>
              </w:rPr>
              <w:t>Common</w:t>
            </w:r>
          </w:p>
        </w:tc>
        <w:tc>
          <w:tcPr>
            <w:tcW w:w="4374" w:type="dxa"/>
            <w:tcBorders>
              <w:top w:val="single" w:sz="4" w:space="0" w:color="auto"/>
              <w:bottom w:val="nil"/>
            </w:tcBorders>
          </w:tcPr>
          <w:p w14:paraId="78AD2378" w14:textId="77777777" w:rsidR="00D7303D" w:rsidRPr="00342F7C" w:rsidRDefault="00D7303D" w:rsidP="00560786">
            <w:pPr>
              <w:pStyle w:val="EMEANormal"/>
              <w:rPr>
                <w:szCs w:val="22"/>
                <w:lang w:val="en-GB"/>
              </w:rPr>
            </w:pPr>
            <w:r w:rsidRPr="00342F7C">
              <w:rPr>
                <w:szCs w:val="22"/>
                <w:lang w:val="en-GB"/>
              </w:rPr>
              <w:t>Hypersensitivity including urticaria and angioedema</w:t>
            </w:r>
          </w:p>
          <w:p w14:paraId="2536AA8E" w14:textId="77777777" w:rsidR="00D7303D" w:rsidRPr="00342F7C" w:rsidRDefault="00D7303D" w:rsidP="00C50403">
            <w:pPr>
              <w:pStyle w:val="EMEANormal"/>
              <w:rPr>
                <w:szCs w:val="22"/>
                <w:lang w:val="en-GB"/>
              </w:rPr>
            </w:pPr>
          </w:p>
        </w:tc>
      </w:tr>
      <w:tr w:rsidR="00D7303D" w:rsidRPr="00342F7C" w14:paraId="39A84365" w14:textId="77777777" w:rsidTr="00E4141B">
        <w:trPr>
          <w:cantSplit/>
        </w:trPr>
        <w:tc>
          <w:tcPr>
            <w:tcW w:w="3029" w:type="dxa"/>
            <w:vMerge/>
          </w:tcPr>
          <w:p w14:paraId="6FBCEAF1" w14:textId="77777777" w:rsidR="00D7303D" w:rsidRPr="00342F7C" w:rsidRDefault="00D7303D" w:rsidP="00C50403">
            <w:pPr>
              <w:pStyle w:val="EMEANormal"/>
              <w:tabs>
                <w:tab w:val="clear" w:pos="562"/>
                <w:tab w:val="left" w:pos="7340"/>
              </w:tabs>
              <w:suppressAutoHyphens w:val="0"/>
              <w:rPr>
                <w:szCs w:val="22"/>
                <w:lang w:val="en-GB"/>
              </w:rPr>
            </w:pPr>
          </w:p>
        </w:tc>
        <w:tc>
          <w:tcPr>
            <w:tcW w:w="1657" w:type="dxa"/>
            <w:tcBorders>
              <w:top w:val="nil"/>
              <w:bottom w:val="single" w:sz="4" w:space="0" w:color="auto"/>
            </w:tcBorders>
          </w:tcPr>
          <w:p w14:paraId="3D8E0D2C" w14:textId="77777777" w:rsidR="00D7303D" w:rsidRPr="00342F7C" w:rsidRDefault="00D7303D" w:rsidP="00C50403">
            <w:pPr>
              <w:pStyle w:val="EMEANormal"/>
              <w:rPr>
                <w:szCs w:val="22"/>
                <w:lang w:val="en-GB"/>
              </w:rPr>
            </w:pPr>
            <w:r w:rsidRPr="00342F7C">
              <w:rPr>
                <w:szCs w:val="22"/>
                <w:lang w:val="en-GB"/>
              </w:rPr>
              <w:t>Uncommon</w:t>
            </w:r>
          </w:p>
        </w:tc>
        <w:tc>
          <w:tcPr>
            <w:tcW w:w="4374" w:type="dxa"/>
            <w:tcBorders>
              <w:top w:val="nil"/>
              <w:bottom w:val="single" w:sz="4" w:space="0" w:color="auto"/>
            </w:tcBorders>
          </w:tcPr>
          <w:p w14:paraId="0D9C20F0" w14:textId="77777777" w:rsidR="00D7303D" w:rsidRPr="00342F7C" w:rsidRDefault="00D7303D" w:rsidP="00C50403">
            <w:pPr>
              <w:pStyle w:val="EMEANormal"/>
              <w:rPr>
                <w:szCs w:val="22"/>
                <w:lang w:val="en-GB"/>
              </w:rPr>
            </w:pPr>
            <w:r w:rsidRPr="00342F7C">
              <w:rPr>
                <w:szCs w:val="22"/>
                <w:lang w:val="en-GB"/>
              </w:rPr>
              <w:t xml:space="preserve">Immune </w:t>
            </w:r>
            <w:r w:rsidR="0076580C" w:rsidRPr="0076580C">
              <w:rPr>
                <w:lang w:val="en-GB"/>
              </w:rPr>
              <w:t>reconstitution inflammatory</w:t>
            </w:r>
            <w:r w:rsidR="0076580C" w:rsidRPr="00FC25FF">
              <w:rPr>
                <w:i/>
                <w:lang w:val="en-GB"/>
              </w:rPr>
              <w:t xml:space="preserve"> </w:t>
            </w:r>
            <w:r w:rsidRPr="00342F7C">
              <w:rPr>
                <w:szCs w:val="22"/>
                <w:lang w:val="en-GB"/>
              </w:rPr>
              <w:t>syndrome</w:t>
            </w:r>
          </w:p>
        </w:tc>
      </w:tr>
      <w:tr w:rsidR="00D7303D" w:rsidRPr="00342F7C" w14:paraId="00120EB3" w14:textId="77777777" w:rsidTr="00E4141B">
        <w:trPr>
          <w:cantSplit/>
          <w:trHeight w:val="278"/>
        </w:trPr>
        <w:tc>
          <w:tcPr>
            <w:tcW w:w="3029" w:type="dxa"/>
          </w:tcPr>
          <w:p w14:paraId="072E59FA" w14:textId="77777777" w:rsidR="00D7303D" w:rsidRPr="00342F7C" w:rsidRDefault="00D7303D" w:rsidP="00C50403">
            <w:pPr>
              <w:pStyle w:val="EMEANormal"/>
              <w:tabs>
                <w:tab w:val="clear" w:pos="562"/>
                <w:tab w:val="left" w:pos="7340"/>
              </w:tabs>
              <w:suppressAutoHyphens w:val="0"/>
              <w:rPr>
                <w:szCs w:val="22"/>
                <w:lang w:val="en-GB"/>
              </w:rPr>
            </w:pPr>
            <w:r w:rsidRPr="00342F7C">
              <w:rPr>
                <w:szCs w:val="22"/>
                <w:lang w:val="en-GB"/>
              </w:rPr>
              <w:t>Endocrine disorders</w:t>
            </w:r>
          </w:p>
        </w:tc>
        <w:tc>
          <w:tcPr>
            <w:tcW w:w="1657" w:type="dxa"/>
            <w:tcBorders>
              <w:top w:val="single" w:sz="4" w:space="0" w:color="auto"/>
            </w:tcBorders>
          </w:tcPr>
          <w:p w14:paraId="183E8EF5" w14:textId="77777777" w:rsidR="00D7303D" w:rsidRPr="00342F7C" w:rsidRDefault="00D7303D" w:rsidP="00C50403">
            <w:pPr>
              <w:pStyle w:val="EMEANormal"/>
              <w:tabs>
                <w:tab w:val="clear" w:pos="562"/>
                <w:tab w:val="left" w:pos="7340"/>
              </w:tabs>
              <w:suppressAutoHyphens w:val="0"/>
              <w:rPr>
                <w:szCs w:val="22"/>
                <w:lang w:val="en-GB"/>
              </w:rPr>
            </w:pPr>
            <w:r w:rsidRPr="00342F7C">
              <w:rPr>
                <w:szCs w:val="22"/>
                <w:lang w:val="en-GB"/>
              </w:rPr>
              <w:t>Uncommon</w:t>
            </w:r>
          </w:p>
        </w:tc>
        <w:tc>
          <w:tcPr>
            <w:tcW w:w="4374" w:type="dxa"/>
            <w:tcBorders>
              <w:top w:val="single" w:sz="4" w:space="0" w:color="auto"/>
            </w:tcBorders>
          </w:tcPr>
          <w:p w14:paraId="32FF1D41" w14:textId="77777777" w:rsidR="00D7303D" w:rsidRPr="00342F7C" w:rsidRDefault="00D7303D" w:rsidP="00C50403">
            <w:pPr>
              <w:pStyle w:val="EMEANormal"/>
              <w:tabs>
                <w:tab w:val="clear" w:pos="562"/>
                <w:tab w:val="left" w:pos="7340"/>
              </w:tabs>
              <w:suppressAutoHyphens w:val="0"/>
              <w:rPr>
                <w:szCs w:val="22"/>
                <w:lang w:val="en-GB"/>
              </w:rPr>
            </w:pPr>
            <w:r w:rsidRPr="00342F7C">
              <w:rPr>
                <w:szCs w:val="22"/>
                <w:lang w:val="en-GB"/>
              </w:rPr>
              <w:t>Hypogonadism</w:t>
            </w:r>
            <w:r w:rsidRPr="00342F7C" w:rsidDel="00C35CC3">
              <w:rPr>
                <w:szCs w:val="22"/>
                <w:lang w:val="en-GB"/>
              </w:rPr>
              <w:t xml:space="preserve"> </w:t>
            </w:r>
          </w:p>
        </w:tc>
      </w:tr>
      <w:tr w:rsidR="00D7303D" w:rsidRPr="00342F7C" w14:paraId="203487AC" w14:textId="77777777" w:rsidTr="00E4141B">
        <w:trPr>
          <w:cantSplit/>
        </w:trPr>
        <w:tc>
          <w:tcPr>
            <w:tcW w:w="3029" w:type="dxa"/>
            <w:vMerge w:val="restart"/>
          </w:tcPr>
          <w:p w14:paraId="4FCA9276" w14:textId="77777777" w:rsidR="00D7303D" w:rsidRPr="00342F7C" w:rsidRDefault="00D7303D" w:rsidP="00C50403">
            <w:pPr>
              <w:pStyle w:val="EMEANormal"/>
              <w:tabs>
                <w:tab w:val="clear" w:pos="562"/>
                <w:tab w:val="left" w:pos="7340"/>
              </w:tabs>
              <w:suppressAutoHyphens w:val="0"/>
              <w:rPr>
                <w:szCs w:val="22"/>
                <w:lang w:val="en-GB"/>
              </w:rPr>
            </w:pPr>
            <w:r w:rsidRPr="00342F7C">
              <w:rPr>
                <w:szCs w:val="22"/>
                <w:lang w:val="en-GB"/>
              </w:rPr>
              <w:t>Metabolism and nutrition disorders</w:t>
            </w:r>
          </w:p>
        </w:tc>
        <w:tc>
          <w:tcPr>
            <w:tcW w:w="1657" w:type="dxa"/>
            <w:tcBorders>
              <w:top w:val="single" w:sz="4" w:space="0" w:color="auto"/>
              <w:bottom w:val="nil"/>
            </w:tcBorders>
          </w:tcPr>
          <w:p w14:paraId="2961A3DE" w14:textId="77777777" w:rsidR="00D7303D" w:rsidRPr="00342F7C" w:rsidRDefault="00D7303D" w:rsidP="00C50403">
            <w:pPr>
              <w:pStyle w:val="EMEANormal"/>
              <w:tabs>
                <w:tab w:val="clear" w:pos="562"/>
                <w:tab w:val="left" w:pos="7340"/>
              </w:tabs>
              <w:suppressAutoHyphens w:val="0"/>
              <w:rPr>
                <w:szCs w:val="22"/>
                <w:lang w:val="en-GB"/>
              </w:rPr>
            </w:pPr>
            <w:r w:rsidRPr="00342F7C">
              <w:rPr>
                <w:szCs w:val="22"/>
                <w:lang w:val="en-GB"/>
              </w:rPr>
              <w:t>Common</w:t>
            </w:r>
          </w:p>
        </w:tc>
        <w:tc>
          <w:tcPr>
            <w:tcW w:w="4374" w:type="dxa"/>
            <w:tcBorders>
              <w:top w:val="single" w:sz="4" w:space="0" w:color="auto"/>
              <w:bottom w:val="nil"/>
            </w:tcBorders>
          </w:tcPr>
          <w:p w14:paraId="21D84B73" w14:textId="77777777" w:rsidR="00D7303D" w:rsidRPr="00342F7C" w:rsidRDefault="00D7303D" w:rsidP="00C50403">
            <w:pPr>
              <w:pStyle w:val="EMEANormal"/>
              <w:tabs>
                <w:tab w:val="clear" w:pos="562"/>
                <w:tab w:val="left" w:pos="7340"/>
              </w:tabs>
              <w:suppressAutoHyphens w:val="0"/>
              <w:rPr>
                <w:szCs w:val="22"/>
                <w:lang w:val="en-GB"/>
              </w:rPr>
            </w:pPr>
            <w:r w:rsidRPr="00342F7C">
              <w:rPr>
                <w:szCs w:val="22"/>
                <w:lang w:val="en-GB"/>
              </w:rPr>
              <w:t>Blood glucose disorders including diabetes mellitus, hypertriglyceridaemia, hypercholesterolemia, weight decreased, decreased appetite</w:t>
            </w:r>
            <w:r w:rsidRPr="00342F7C" w:rsidDel="00C35CC3">
              <w:rPr>
                <w:szCs w:val="22"/>
                <w:lang w:val="en-GB"/>
              </w:rPr>
              <w:t xml:space="preserve"> </w:t>
            </w:r>
          </w:p>
          <w:p w14:paraId="01D33F6A" w14:textId="77777777" w:rsidR="00D7303D" w:rsidRPr="00342F7C" w:rsidRDefault="00D7303D" w:rsidP="00C50403">
            <w:pPr>
              <w:pStyle w:val="EMEANormal"/>
              <w:tabs>
                <w:tab w:val="clear" w:pos="562"/>
                <w:tab w:val="left" w:pos="7340"/>
              </w:tabs>
              <w:suppressAutoHyphens w:val="0"/>
              <w:rPr>
                <w:szCs w:val="22"/>
                <w:lang w:val="en-GB"/>
              </w:rPr>
            </w:pPr>
          </w:p>
        </w:tc>
      </w:tr>
      <w:tr w:rsidR="00D7303D" w:rsidRPr="00342F7C" w14:paraId="16EE5944" w14:textId="77777777" w:rsidTr="00E4141B">
        <w:trPr>
          <w:cantSplit/>
        </w:trPr>
        <w:tc>
          <w:tcPr>
            <w:tcW w:w="3029" w:type="dxa"/>
            <w:vMerge/>
          </w:tcPr>
          <w:p w14:paraId="1A4593E0" w14:textId="77777777" w:rsidR="00D7303D" w:rsidRPr="00342F7C" w:rsidRDefault="00D7303D" w:rsidP="00C50403">
            <w:pPr>
              <w:pStyle w:val="EMEANormal"/>
              <w:tabs>
                <w:tab w:val="clear" w:pos="562"/>
                <w:tab w:val="left" w:pos="7340"/>
              </w:tabs>
              <w:suppressAutoHyphens w:val="0"/>
              <w:rPr>
                <w:szCs w:val="22"/>
                <w:lang w:val="en-GB"/>
              </w:rPr>
            </w:pPr>
          </w:p>
        </w:tc>
        <w:tc>
          <w:tcPr>
            <w:tcW w:w="1657" w:type="dxa"/>
            <w:tcBorders>
              <w:top w:val="nil"/>
              <w:bottom w:val="single" w:sz="4" w:space="0" w:color="auto"/>
            </w:tcBorders>
          </w:tcPr>
          <w:p w14:paraId="7A46C04E" w14:textId="77777777" w:rsidR="00D7303D" w:rsidRPr="00342F7C" w:rsidRDefault="00D7303D" w:rsidP="00C50403">
            <w:pPr>
              <w:pStyle w:val="EMEANormal"/>
              <w:tabs>
                <w:tab w:val="clear" w:pos="562"/>
                <w:tab w:val="left" w:pos="7340"/>
              </w:tabs>
              <w:suppressAutoHyphens w:val="0"/>
              <w:rPr>
                <w:szCs w:val="22"/>
                <w:lang w:val="en-GB"/>
              </w:rPr>
            </w:pPr>
            <w:r w:rsidRPr="00342F7C">
              <w:rPr>
                <w:szCs w:val="22"/>
                <w:lang w:val="en-GB"/>
              </w:rPr>
              <w:t>Uncommon</w:t>
            </w:r>
          </w:p>
        </w:tc>
        <w:tc>
          <w:tcPr>
            <w:tcW w:w="4374" w:type="dxa"/>
            <w:tcBorders>
              <w:top w:val="nil"/>
              <w:bottom w:val="single" w:sz="4" w:space="0" w:color="auto"/>
            </w:tcBorders>
          </w:tcPr>
          <w:p w14:paraId="074C5891" w14:textId="77777777" w:rsidR="00D7303D" w:rsidRPr="00342F7C" w:rsidRDefault="00D7303D" w:rsidP="00C50403">
            <w:pPr>
              <w:pStyle w:val="EMEANormal"/>
              <w:tabs>
                <w:tab w:val="clear" w:pos="562"/>
                <w:tab w:val="left" w:pos="7340"/>
              </w:tabs>
              <w:suppressAutoHyphens w:val="0"/>
              <w:rPr>
                <w:szCs w:val="22"/>
                <w:lang w:val="en-GB"/>
              </w:rPr>
            </w:pPr>
            <w:r w:rsidRPr="00342F7C">
              <w:rPr>
                <w:szCs w:val="22"/>
                <w:lang w:val="en-GB"/>
              </w:rPr>
              <w:t>Weight increased, increased appetite</w:t>
            </w:r>
          </w:p>
        </w:tc>
      </w:tr>
      <w:tr w:rsidR="00D7303D" w:rsidRPr="00342F7C" w14:paraId="5BE23733" w14:textId="77777777" w:rsidTr="00E4141B">
        <w:trPr>
          <w:cantSplit/>
        </w:trPr>
        <w:tc>
          <w:tcPr>
            <w:tcW w:w="3029" w:type="dxa"/>
            <w:vMerge w:val="restart"/>
          </w:tcPr>
          <w:p w14:paraId="50E34E15" w14:textId="77777777" w:rsidR="00D7303D" w:rsidRPr="00342F7C" w:rsidRDefault="00D7303D" w:rsidP="00C50403">
            <w:pPr>
              <w:pStyle w:val="EMEANormal"/>
              <w:tabs>
                <w:tab w:val="clear" w:pos="562"/>
                <w:tab w:val="left" w:pos="7340"/>
              </w:tabs>
              <w:suppressAutoHyphens w:val="0"/>
              <w:rPr>
                <w:szCs w:val="22"/>
                <w:lang w:val="en-GB"/>
              </w:rPr>
            </w:pPr>
            <w:r w:rsidRPr="00342F7C">
              <w:rPr>
                <w:szCs w:val="22"/>
                <w:lang w:val="en-GB"/>
              </w:rPr>
              <w:t>Psychiatric disorders</w:t>
            </w:r>
          </w:p>
        </w:tc>
        <w:tc>
          <w:tcPr>
            <w:tcW w:w="1657" w:type="dxa"/>
            <w:tcBorders>
              <w:top w:val="single" w:sz="4" w:space="0" w:color="auto"/>
              <w:bottom w:val="nil"/>
            </w:tcBorders>
          </w:tcPr>
          <w:p w14:paraId="3B37674D" w14:textId="77777777" w:rsidR="00D7303D" w:rsidRPr="00342F7C" w:rsidRDefault="00D7303D" w:rsidP="00C50403">
            <w:pPr>
              <w:pStyle w:val="EMEANormal"/>
              <w:rPr>
                <w:szCs w:val="22"/>
                <w:lang w:val="en-GB"/>
              </w:rPr>
            </w:pPr>
            <w:r w:rsidRPr="00342F7C">
              <w:rPr>
                <w:szCs w:val="22"/>
                <w:lang w:val="en-GB"/>
              </w:rPr>
              <w:t>Common</w:t>
            </w:r>
          </w:p>
        </w:tc>
        <w:tc>
          <w:tcPr>
            <w:tcW w:w="4374" w:type="dxa"/>
            <w:tcBorders>
              <w:top w:val="single" w:sz="4" w:space="0" w:color="auto"/>
              <w:bottom w:val="nil"/>
            </w:tcBorders>
          </w:tcPr>
          <w:p w14:paraId="5782CF7C" w14:textId="77777777" w:rsidR="00D7303D" w:rsidRPr="00342F7C" w:rsidRDefault="00D7303D" w:rsidP="00560786">
            <w:pPr>
              <w:pStyle w:val="EMEANormal"/>
              <w:rPr>
                <w:szCs w:val="22"/>
                <w:lang w:val="en-GB"/>
              </w:rPr>
            </w:pPr>
            <w:r w:rsidRPr="00342F7C">
              <w:rPr>
                <w:szCs w:val="22"/>
                <w:lang w:val="en-GB"/>
              </w:rPr>
              <w:t>Anxiety</w:t>
            </w:r>
          </w:p>
          <w:p w14:paraId="505EB212" w14:textId="77777777" w:rsidR="00D7303D" w:rsidRPr="00342F7C" w:rsidRDefault="00D7303D" w:rsidP="00C50403">
            <w:pPr>
              <w:pStyle w:val="EMEANormal"/>
              <w:rPr>
                <w:szCs w:val="22"/>
                <w:lang w:val="en-GB"/>
              </w:rPr>
            </w:pPr>
          </w:p>
        </w:tc>
      </w:tr>
      <w:tr w:rsidR="00D7303D" w:rsidRPr="00342F7C" w14:paraId="056CFBF4" w14:textId="77777777" w:rsidTr="00E4141B">
        <w:trPr>
          <w:cantSplit/>
        </w:trPr>
        <w:tc>
          <w:tcPr>
            <w:tcW w:w="3029" w:type="dxa"/>
            <w:vMerge/>
          </w:tcPr>
          <w:p w14:paraId="106C977E" w14:textId="77777777" w:rsidR="00D7303D" w:rsidRPr="00342F7C" w:rsidRDefault="00D7303D" w:rsidP="00C50403">
            <w:pPr>
              <w:pStyle w:val="EMEANormal"/>
              <w:tabs>
                <w:tab w:val="clear" w:pos="562"/>
                <w:tab w:val="left" w:pos="7340"/>
              </w:tabs>
              <w:suppressAutoHyphens w:val="0"/>
              <w:rPr>
                <w:szCs w:val="22"/>
                <w:lang w:val="en-GB"/>
              </w:rPr>
            </w:pPr>
          </w:p>
        </w:tc>
        <w:tc>
          <w:tcPr>
            <w:tcW w:w="1657" w:type="dxa"/>
            <w:tcBorders>
              <w:top w:val="nil"/>
              <w:bottom w:val="single" w:sz="4" w:space="0" w:color="auto"/>
            </w:tcBorders>
          </w:tcPr>
          <w:p w14:paraId="30FC68D5" w14:textId="77777777" w:rsidR="00D7303D" w:rsidRPr="00342F7C" w:rsidRDefault="00D7303D" w:rsidP="00C50403">
            <w:pPr>
              <w:pStyle w:val="EMEANormal"/>
              <w:rPr>
                <w:szCs w:val="22"/>
                <w:lang w:val="en-GB"/>
              </w:rPr>
            </w:pPr>
            <w:r w:rsidRPr="00342F7C">
              <w:rPr>
                <w:szCs w:val="22"/>
                <w:lang w:val="en-GB"/>
              </w:rPr>
              <w:t>Uncommon</w:t>
            </w:r>
          </w:p>
        </w:tc>
        <w:tc>
          <w:tcPr>
            <w:tcW w:w="4374" w:type="dxa"/>
            <w:tcBorders>
              <w:top w:val="nil"/>
              <w:bottom w:val="single" w:sz="4" w:space="0" w:color="auto"/>
            </w:tcBorders>
          </w:tcPr>
          <w:p w14:paraId="5E4E85B9" w14:textId="77777777" w:rsidR="00D7303D" w:rsidRPr="00342F7C" w:rsidRDefault="00D7303D" w:rsidP="00C50403">
            <w:pPr>
              <w:pStyle w:val="EMEANormal"/>
              <w:rPr>
                <w:szCs w:val="22"/>
                <w:lang w:val="en-GB"/>
              </w:rPr>
            </w:pPr>
            <w:r w:rsidRPr="00342F7C">
              <w:rPr>
                <w:szCs w:val="22"/>
                <w:lang w:val="en-GB"/>
              </w:rPr>
              <w:t>Abnormal dreams, libido decreased</w:t>
            </w:r>
          </w:p>
        </w:tc>
      </w:tr>
      <w:tr w:rsidR="00D7303D" w:rsidRPr="00342F7C" w14:paraId="1E394345" w14:textId="77777777" w:rsidTr="00E4141B">
        <w:trPr>
          <w:cantSplit/>
        </w:trPr>
        <w:tc>
          <w:tcPr>
            <w:tcW w:w="3029" w:type="dxa"/>
            <w:vMerge w:val="restart"/>
          </w:tcPr>
          <w:p w14:paraId="410A68C7" w14:textId="77777777" w:rsidR="00D7303D" w:rsidRPr="00342F7C" w:rsidRDefault="00D7303D" w:rsidP="00C50403">
            <w:pPr>
              <w:pStyle w:val="EMEANormal"/>
              <w:tabs>
                <w:tab w:val="clear" w:pos="562"/>
                <w:tab w:val="left" w:pos="7340"/>
              </w:tabs>
              <w:suppressAutoHyphens w:val="0"/>
              <w:rPr>
                <w:szCs w:val="22"/>
                <w:lang w:val="en-GB"/>
              </w:rPr>
            </w:pPr>
            <w:r w:rsidRPr="00342F7C">
              <w:rPr>
                <w:szCs w:val="22"/>
                <w:lang w:val="en-GB"/>
              </w:rPr>
              <w:t>Nervous system disorders</w:t>
            </w:r>
          </w:p>
        </w:tc>
        <w:tc>
          <w:tcPr>
            <w:tcW w:w="1657" w:type="dxa"/>
            <w:tcBorders>
              <w:top w:val="single" w:sz="4" w:space="0" w:color="auto"/>
              <w:bottom w:val="nil"/>
            </w:tcBorders>
          </w:tcPr>
          <w:p w14:paraId="4762696B" w14:textId="77777777" w:rsidR="00D7303D" w:rsidRPr="00342F7C" w:rsidRDefault="00D7303D" w:rsidP="00C50403">
            <w:pPr>
              <w:pStyle w:val="EMEANormal"/>
              <w:rPr>
                <w:szCs w:val="22"/>
                <w:lang w:val="en-GB"/>
              </w:rPr>
            </w:pPr>
            <w:r w:rsidRPr="00342F7C">
              <w:rPr>
                <w:szCs w:val="22"/>
                <w:lang w:val="en-GB"/>
              </w:rPr>
              <w:t>Common</w:t>
            </w:r>
          </w:p>
        </w:tc>
        <w:tc>
          <w:tcPr>
            <w:tcW w:w="4374" w:type="dxa"/>
            <w:tcBorders>
              <w:top w:val="single" w:sz="4" w:space="0" w:color="auto"/>
              <w:bottom w:val="nil"/>
            </w:tcBorders>
          </w:tcPr>
          <w:p w14:paraId="25730085" w14:textId="77777777" w:rsidR="00D7303D" w:rsidRPr="00342F7C" w:rsidRDefault="00D7303D" w:rsidP="00560786">
            <w:pPr>
              <w:pStyle w:val="EMEANormal"/>
              <w:rPr>
                <w:szCs w:val="22"/>
                <w:lang w:val="en-GB"/>
              </w:rPr>
            </w:pPr>
            <w:r w:rsidRPr="00342F7C">
              <w:rPr>
                <w:szCs w:val="22"/>
                <w:lang w:val="en-GB"/>
              </w:rPr>
              <w:t>Headache (including migraine), neuropathy (including peripheral neuropathy), dizziness, insomnia</w:t>
            </w:r>
          </w:p>
          <w:p w14:paraId="47E7AF34" w14:textId="77777777" w:rsidR="00D7303D" w:rsidRPr="00342F7C" w:rsidRDefault="00D7303D" w:rsidP="00C50403">
            <w:pPr>
              <w:pStyle w:val="EMEANormal"/>
              <w:rPr>
                <w:szCs w:val="22"/>
                <w:lang w:val="en-GB"/>
              </w:rPr>
            </w:pPr>
          </w:p>
        </w:tc>
      </w:tr>
      <w:tr w:rsidR="00D7303D" w:rsidRPr="00342F7C" w14:paraId="2C189A31" w14:textId="77777777" w:rsidTr="00E4141B">
        <w:trPr>
          <w:cantSplit/>
          <w:trHeight w:val="503"/>
        </w:trPr>
        <w:tc>
          <w:tcPr>
            <w:tcW w:w="3029" w:type="dxa"/>
            <w:vMerge/>
          </w:tcPr>
          <w:p w14:paraId="15D67EB1" w14:textId="77777777" w:rsidR="00D7303D" w:rsidRPr="00342F7C" w:rsidRDefault="00D7303D" w:rsidP="00C50403">
            <w:pPr>
              <w:pStyle w:val="EMEANormal"/>
              <w:tabs>
                <w:tab w:val="clear" w:pos="562"/>
                <w:tab w:val="left" w:pos="7340"/>
              </w:tabs>
              <w:suppressAutoHyphens w:val="0"/>
              <w:rPr>
                <w:szCs w:val="22"/>
                <w:lang w:val="en-GB"/>
              </w:rPr>
            </w:pPr>
          </w:p>
        </w:tc>
        <w:tc>
          <w:tcPr>
            <w:tcW w:w="1657" w:type="dxa"/>
            <w:tcBorders>
              <w:top w:val="nil"/>
            </w:tcBorders>
          </w:tcPr>
          <w:p w14:paraId="60C710DC" w14:textId="77777777" w:rsidR="00D7303D" w:rsidRPr="00342F7C" w:rsidRDefault="00D7303D" w:rsidP="00C50403">
            <w:pPr>
              <w:pStyle w:val="EMEANormal"/>
              <w:rPr>
                <w:szCs w:val="22"/>
                <w:lang w:val="en-GB"/>
              </w:rPr>
            </w:pPr>
            <w:r w:rsidRPr="00342F7C">
              <w:rPr>
                <w:szCs w:val="22"/>
                <w:lang w:val="en-GB"/>
              </w:rPr>
              <w:t>Uncommon</w:t>
            </w:r>
          </w:p>
        </w:tc>
        <w:tc>
          <w:tcPr>
            <w:tcW w:w="4374" w:type="dxa"/>
            <w:tcBorders>
              <w:top w:val="nil"/>
            </w:tcBorders>
          </w:tcPr>
          <w:p w14:paraId="4FDEA97A" w14:textId="77777777" w:rsidR="00D7303D" w:rsidRPr="00342F7C" w:rsidRDefault="00D7303D" w:rsidP="00C50403">
            <w:pPr>
              <w:pStyle w:val="EMEANormal"/>
              <w:rPr>
                <w:szCs w:val="22"/>
                <w:lang w:val="en-GB"/>
              </w:rPr>
            </w:pPr>
            <w:r w:rsidRPr="00342F7C">
              <w:rPr>
                <w:szCs w:val="22"/>
                <w:lang w:val="en-GB"/>
              </w:rPr>
              <w:t xml:space="preserve">Cerebrovascular accident, convulsion, dysgeusia, ageusia, tremor </w:t>
            </w:r>
          </w:p>
        </w:tc>
      </w:tr>
      <w:tr w:rsidR="00D7303D" w:rsidRPr="00342F7C" w14:paraId="63F1D5E5" w14:textId="77777777" w:rsidTr="00E4141B">
        <w:tc>
          <w:tcPr>
            <w:tcW w:w="3029" w:type="dxa"/>
          </w:tcPr>
          <w:p w14:paraId="46E020B8" w14:textId="77777777" w:rsidR="00D7303D" w:rsidRPr="00342F7C" w:rsidRDefault="00D7303D" w:rsidP="00C50403">
            <w:pPr>
              <w:pStyle w:val="EMEANormal"/>
              <w:tabs>
                <w:tab w:val="clear" w:pos="562"/>
                <w:tab w:val="left" w:pos="7340"/>
              </w:tabs>
              <w:suppressAutoHyphens w:val="0"/>
              <w:rPr>
                <w:szCs w:val="22"/>
                <w:lang w:val="en-GB"/>
              </w:rPr>
            </w:pPr>
            <w:r w:rsidRPr="00342F7C">
              <w:rPr>
                <w:szCs w:val="22"/>
                <w:lang w:val="en-GB"/>
              </w:rPr>
              <w:t>Eye disorders</w:t>
            </w:r>
          </w:p>
        </w:tc>
        <w:tc>
          <w:tcPr>
            <w:tcW w:w="1657" w:type="dxa"/>
          </w:tcPr>
          <w:p w14:paraId="1F54014C" w14:textId="77777777" w:rsidR="00D7303D" w:rsidRPr="00342F7C" w:rsidRDefault="00D7303D" w:rsidP="00C50403">
            <w:pPr>
              <w:pStyle w:val="EMEANormal"/>
              <w:rPr>
                <w:szCs w:val="22"/>
                <w:lang w:val="en-GB"/>
              </w:rPr>
            </w:pPr>
            <w:r w:rsidRPr="00342F7C">
              <w:rPr>
                <w:szCs w:val="22"/>
                <w:lang w:val="en-GB"/>
              </w:rPr>
              <w:t>Uncommon</w:t>
            </w:r>
          </w:p>
        </w:tc>
        <w:tc>
          <w:tcPr>
            <w:tcW w:w="4374" w:type="dxa"/>
          </w:tcPr>
          <w:p w14:paraId="74C27AE7" w14:textId="77777777" w:rsidR="00D7303D" w:rsidRPr="00342F7C" w:rsidRDefault="00D7303D" w:rsidP="00C50403">
            <w:pPr>
              <w:pStyle w:val="EMEANormal"/>
              <w:rPr>
                <w:szCs w:val="22"/>
                <w:lang w:val="en-GB"/>
              </w:rPr>
            </w:pPr>
            <w:r w:rsidRPr="00342F7C">
              <w:rPr>
                <w:szCs w:val="22"/>
                <w:lang w:val="en-GB"/>
              </w:rPr>
              <w:t>Visual impairment</w:t>
            </w:r>
          </w:p>
        </w:tc>
      </w:tr>
      <w:tr w:rsidR="00D7303D" w:rsidRPr="00342F7C" w14:paraId="7F3BAE22" w14:textId="77777777" w:rsidTr="00E4141B">
        <w:trPr>
          <w:cantSplit/>
          <w:trHeight w:val="282"/>
        </w:trPr>
        <w:tc>
          <w:tcPr>
            <w:tcW w:w="3029" w:type="dxa"/>
          </w:tcPr>
          <w:p w14:paraId="4FA79446" w14:textId="77777777" w:rsidR="00D7303D" w:rsidRPr="00342F7C" w:rsidRDefault="00D7303D" w:rsidP="00C50403">
            <w:pPr>
              <w:pStyle w:val="EMEANormal"/>
              <w:tabs>
                <w:tab w:val="clear" w:pos="562"/>
                <w:tab w:val="left" w:pos="7340"/>
              </w:tabs>
              <w:suppressAutoHyphens w:val="0"/>
              <w:rPr>
                <w:szCs w:val="22"/>
                <w:lang w:val="en-GB"/>
              </w:rPr>
            </w:pPr>
            <w:r w:rsidRPr="00342F7C">
              <w:rPr>
                <w:szCs w:val="22"/>
                <w:lang w:val="en-GB"/>
              </w:rPr>
              <w:t>Ear and labyrinth disorders</w:t>
            </w:r>
          </w:p>
        </w:tc>
        <w:tc>
          <w:tcPr>
            <w:tcW w:w="1657" w:type="dxa"/>
            <w:tcBorders>
              <w:top w:val="single" w:sz="4" w:space="0" w:color="auto"/>
            </w:tcBorders>
          </w:tcPr>
          <w:p w14:paraId="6AF0125A" w14:textId="77777777" w:rsidR="00D7303D" w:rsidRPr="00342F7C" w:rsidRDefault="00D7303D" w:rsidP="00C50403">
            <w:pPr>
              <w:pStyle w:val="EMEANormal"/>
              <w:rPr>
                <w:szCs w:val="22"/>
                <w:lang w:val="en-GB"/>
              </w:rPr>
            </w:pPr>
            <w:r w:rsidRPr="00342F7C">
              <w:rPr>
                <w:szCs w:val="22"/>
                <w:lang w:val="en-GB"/>
              </w:rPr>
              <w:t>Uncommon</w:t>
            </w:r>
          </w:p>
        </w:tc>
        <w:tc>
          <w:tcPr>
            <w:tcW w:w="4374" w:type="dxa"/>
            <w:tcBorders>
              <w:top w:val="single" w:sz="4" w:space="0" w:color="auto"/>
            </w:tcBorders>
          </w:tcPr>
          <w:p w14:paraId="16FCE722" w14:textId="77777777" w:rsidR="00D7303D" w:rsidRPr="00342F7C" w:rsidRDefault="00D7303D" w:rsidP="00C50403">
            <w:pPr>
              <w:pStyle w:val="EMEANormal"/>
              <w:rPr>
                <w:szCs w:val="22"/>
                <w:lang w:val="en-GB"/>
              </w:rPr>
            </w:pPr>
            <w:r w:rsidRPr="00342F7C">
              <w:rPr>
                <w:szCs w:val="22"/>
                <w:lang w:val="en-GB"/>
              </w:rPr>
              <w:t>Tinnitus, vertigo</w:t>
            </w:r>
          </w:p>
        </w:tc>
      </w:tr>
      <w:tr w:rsidR="00D7303D" w:rsidRPr="00342F7C" w14:paraId="06CF1AC2" w14:textId="77777777" w:rsidTr="00E4141B">
        <w:trPr>
          <w:cantSplit/>
          <w:trHeight w:val="770"/>
        </w:trPr>
        <w:tc>
          <w:tcPr>
            <w:tcW w:w="3029" w:type="dxa"/>
          </w:tcPr>
          <w:p w14:paraId="2F9443B1" w14:textId="77777777" w:rsidR="00D7303D" w:rsidRPr="00342F7C" w:rsidRDefault="00D7303D" w:rsidP="00C50403">
            <w:pPr>
              <w:pStyle w:val="EMEANormal"/>
              <w:tabs>
                <w:tab w:val="clear" w:pos="562"/>
                <w:tab w:val="left" w:pos="7340"/>
              </w:tabs>
              <w:suppressAutoHyphens w:val="0"/>
              <w:rPr>
                <w:szCs w:val="22"/>
                <w:lang w:val="en-GB"/>
              </w:rPr>
            </w:pPr>
            <w:r w:rsidRPr="00342F7C">
              <w:rPr>
                <w:szCs w:val="22"/>
                <w:lang w:val="en-GB"/>
              </w:rPr>
              <w:t>Cardiac disorders</w:t>
            </w:r>
          </w:p>
        </w:tc>
        <w:tc>
          <w:tcPr>
            <w:tcW w:w="1657" w:type="dxa"/>
          </w:tcPr>
          <w:p w14:paraId="65F5A228" w14:textId="77777777" w:rsidR="00D7303D" w:rsidRPr="00342F7C" w:rsidRDefault="00D7303D" w:rsidP="00C50403">
            <w:pPr>
              <w:pStyle w:val="EMEANormal"/>
              <w:rPr>
                <w:szCs w:val="22"/>
                <w:lang w:val="en-GB"/>
              </w:rPr>
            </w:pPr>
            <w:r w:rsidRPr="00342F7C">
              <w:rPr>
                <w:szCs w:val="22"/>
                <w:lang w:val="en-GB"/>
              </w:rPr>
              <w:t>Uncommon</w:t>
            </w:r>
          </w:p>
        </w:tc>
        <w:tc>
          <w:tcPr>
            <w:tcW w:w="4374" w:type="dxa"/>
          </w:tcPr>
          <w:p w14:paraId="1B5AD5F7" w14:textId="77777777" w:rsidR="00D7303D" w:rsidRPr="00342F7C" w:rsidRDefault="00D7303D" w:rsidP="00C50403">
            <w:pPr>
              <w:pStyle w:val="EMEANormal"/>
              <w:rPr>
                <w:szCs w:val="22"/>
                <w:lang w:val="en-GB"/>
              </w:rPr>
            </w:pPr>
            <w:r w:rsidRPr="00342F7C">
              <w:rPr>
                <w:szCs w:val="22"/>
                <w:lang w:val="en-GB"/>
              </w:rPr>
              <w:t>Atherosclerosis such as myocardial infarction, atrioventricular block, tricuspid valve incompetence</w:t>
            </w:r>
          </w:p>
        </w:tc>
      </w:tr>
      <w:tr w:rsidR="00D7303D" w:rsidRPr="00342F7C" w14:paraId="47772CE4" w14:textId="77777777" w:rsidTr="00E4141B">
        <w:trPr>
          <w:cantSplit/>
        </w:trPr>
        <w:tc>
          <w:tcPr>
            <w:tcW w:w="3029" w:type="dxa"/>
            <w:vMerge w:val="restart"/>
          </w:tcPr>
          <w:p w14:paraId="52423687" w14:textId="77777777" w:rsidR="00D7303D" w:rsidRPr="00342F7C" w:rsidRDefault="00D7303D" w:rsidP="00C50403">
            <w:pPr>
              <w:pStyle w:val="EMEANormal"/>
              <w:tabs>
                <w:tab w:val="left" w:pos="7340"/>
              </w:tabs>
              <w:rPr>
                <w:szCs w:val="22"/>
                <w:lang w:val="en-GB"/>
              </w:rPr>
            </w:pPr>
            <w:r w:rsidRPr="00342F7C">
              <w:rPr>
                <w:szCs w:val="22"/>
                <w:lang w:val="en-GB"/>
              </w:rPr>
              <w:t>Vascular disorders</w:t>
            </w:r>
          </w:p>
        </w:tc>
        <w:tc>
          <w:tcPr>
            <w:tcW w:w="1657" w:type="dxa"/>
            <w:tcBorders>
              <w:top w:val="single" w:sz="4" w:space="0" w:color="auto"/>
              <w:bottom w:val="nil"/>
            </w:tcBorders>
          </w:tcPr>
          <w:p w14:paraId="5132BFC5" w14:textId="77777777" w:rsidR="00D7303D" w:rsidRPr="00342F7C" w:rsidRDefault="00D7303D" w:rsidP="00C50403">
            <w:pPr>
              <w:pStyle w:val="EMEANormal"/>
              <w:rPr>
                <w:szCs w:val="22"/>
                <w:lang w:val="en-GB"/>
              </w:rPr>
            </w:pPr>
            <w:r w:rsidRPr="00342F7C">
              <w:rPr>
                <w:szCs w:val="22"/>
                <w:lang w:val="en-GB"/>
              </w:rPr>
              <w:t>Common</w:t>
            </w:r>
          </w:p>
        </w:tc>
        <w:tc>
          <w:tcPr>
            <w:tcW w:w="4374" w:type="dxa"/>
            <w:tcBorders>
              <w:top w:val="single" w:sz="4" w:space="0" w:color="auto"/>
              <w:bottom w:val="nil"/>
            </w:tcBorders>
          </w:tcPr>
          <w:p w14:paraId="22F3C388" w14:textId="77777777" w:rsidR="00D7303D" w:rsidRPr="00342F7C" w:rsidRDefault="00D7303D" w:rsidP="00C50403">
            <w:pPr>
              <w:pStyle w:val="EMEANormal"/>
              <w:rPr>
                <w:szCs w:val="22"/>
                <w:lang w:val="en-GB"/>
              </w:rPr>
            </w:pPr>
            <w:r w:rsidRPr="00342F7C">
              <w:rPr>
                <w:szCs w:val="22"/>
                <w:lang w:val="en-GB"/>
              </w:rPr>
              <w:t>Hypertension</w:t>
            </w:r>
            <w:r w:rsidRPr="00342F7C" w:rsidDel="00C35CC3">
              <w:rPr>
                <w:szCs w:val="22"/>
                <w:lang w:val="en-GB"/>
              </w:rPr>
              <w:t xml:space="preserve"> </w:t>
            </w:r>
          </w:p>
          <w:p w14:paraId="7CA0FF83" w14:textId="77777777" w:rsidR="00D7303D" w:rsidRPr="00342F7C" w:rsidRDefault="00D7303D" w:rsidP="00C50403">
            <w:pPr>
              <w:pStyle w:val="EMEANormal"/>
              <w:rPr>
                <w:szCs w:val="22"/>
                <w:lang w:val="en-GB"/>
              </w:rPr>
            </w:pPr>
          </w:p>
        </w:tc>
      </w:tr>
      <w:tr w:rsidR="00D7303D" w:rsidRPr="00342F7C" w14:paraId="39D4C6B8" w14:textId="77777777" w:rsidTr="00E4141B">
        <w:trPr>
          <w:cantSplit/>
        </w:trPr>
        <w:tc>
          <w:tcPr>
            <w:tcW w:w="3029" w:type="dxa"/>
            <w:vMerge/>
          </w:tcPr>
          <w:p w14:paraId="4201FAAC" w14:textId="77777777" w:rsidR="00D7303D" w:rsidRPr="00342F7C" w:rsidRDefault="00D7303D" w:rsidP="00C50403">
            <w:pPr>
              <w:pStyle w:val="EMEANormal"/>
              <w:tabs>
                <w:tab w:val="clear" w:pos="562"/>
                <w:tab w:val="left" w:pos="7340"/>
              </w:tabs>
              <w:suppressAutoHyphens w:val="0"/>
              <w:rPr>
                <w:szCs w:val="22"/>
                <w:lang w:val="en-GB"/>
              </w:rPr>
            </w:pPr>
          </w:p>
        </w:tc>
        <w:tc>
          <w:tcPr>
            <w:tcW w:w="1657" w:type="dxa"/>
            <w:tcBorders>
              <w:top w:val="nil"/>
              <w:bottom w:val="single" w:sz="4" w:space="0" w:color="auto"/>
            </w:tcBorders>
          </w:tcPr>
          <w:p w14:paraId="60FA7C23" w14:textId="77777777" w:rsidR="00D7303D" w:rsidRPr="00342F7C" w:rsidRDefault="00D7303D" w:rsidP="00C50403">
            <w:pPr>
              <w:pStyle w:val="EMEANormal"/>
              <w:rPr>
                <w:szCs w:val="22"/>
                <w:lang w:val="en-GB"/>
              </w:rPr>
            </w:pPr>
            <w:r w:rsidRPr="00342F7C">
              <w:rPr>
                <w:szCs w:val="22"/>
                <w:lang w:val="en-GB"/>
              </w:rPr>
              <w:t>Uncommon</w:t>
            </w:r>
          </w:p>
        </w:tc>
        <w:tc>
          <w:tcPr>
            <w:tcW w:w="4374" w:type="dxa"/>
            <w:tcBorders>
              <w:top w:val="nil"/>
              <w:bottom w:val="single" w:sz="4" w:space="0" w:color="auto"/>
            </w:tcBorders>
          </w:tcPr>
          <w:p w14:paraId="04793AE3" w14:textId="77777777" w:rsidR="00D7303D" w:rsidRPr="00342F7C" w:rsidDel="00D53477" w:rsidRDefault="00D7303D" w:rsidP="00C50403">
            <w:pPr>
              <w:pStyle w:val="EMEANormal"/>
              <w:rPr>
                <w:szCs w:val="22"/>
                <w:lang w:val="en-GB"/>
              </w:rPr>
            </w:pPr>
            <w:r w:rsidRPr="00342F7C">
              <w:rPr>
                <w:szCs w:val="22"/>
                <w:lang w:val="en-GB"/>
              </w:rPr>
              <w:t>Deep vein thrombosis</w:t>
            </w:r>
          </w:p>
        </w:tc>
      </w:tr>
      <w:tr w:rsidR="00D7303D" w:rsidRPr="00342F7C" w14:paraId="7F674A23" w14:textId="77777777" w:rsidTr="00E4141B">
        <w:trPr>
          <w:cantSplit/>
        </w:trPr>
        <w:tc>
          <w:tcPr>
            <w:tcW w:w="3029" w:type="dxa"/>
            <w:vMerge w:val="restart"/>
          </w:tcPr>
          <w:p w14:paraId="32D859C9" w14:textId="77777777" w:rsidR="00D7303D" w:rsidRPr="00342F7C" w:rsidRDefault="00D7303D" w:rsidP="00793515">
            <w:pPr>
              <w:pStyle w:val="EMEANormal"/>
              <w:keepNext/>
              <w:tabs>
                <w:tab w:val="clear" w:pos="562"/>
                <w:tab w:val="left" w:pos="7340"/>
              </w:tabs>
              <w:suppressAutoHyphens w:val="0"/>
              <w:rPr>
                <w:szCs w:val="22"/>
                <w:lang w:val="en-GB"/>
              </w:rPr>
            </w:pPr>
            <w:r w:rsidRPr="00342F7C">
              <w:rPr>
                <w:szCs w:val="22"/>
                <w:lang w:val="en-GB"/>
              </w:rPr>
              <w:t>Gastrointestinal disorders</w:t>
            </w:r>
          </w:p>
        </w:tc>
        <w:tc>
          <w:tcPr>
            <w:tcW w:w="1657" w:type="dxa"/>
            <w:tcBorders>
              <w:top w:val="single" w:sz="4" w:space="0" w:color="auto"/>
              <w:bottom w:val="nil"/>
            </w:tcBorders>
          </w:tcPr>
          <w:p w14:paraId="30F93ECD" w14:textId="77777777" w:rsidR="00D7303D" w:rsidRPr="00342F7C" w:rsidRDefault="00D7303D" w:rsidP="00793515">
            <w:pPr>
              <w:pStyle w:val="EMEANormal"/>
              <w:keepNext/>
              <w:rPr>
                <w:szCs w:val="22"/>
                <w:lang w:val="en-GB"/>
              </w:rPr>
            </w:pPr>
            <w:r w:rsidRPr="00342F7C">
              <w:rPr>
                <w:szCs w:val="22"/>
                <w:lang w:val="en-GB"/>
              </w:rPr>
              <w:t>Very common</w:t>
            </w:r>
          </w:p>
          <w:p w14:paraId="64EAFC96" w14:textId="77777777" w:rsidR="00D7303D" w:rsidRPr="00342F7C" w:rsidRDefault="00D7303D" w:rsidP="00793515">
            <w:pPr>
              <w:pStyle w:val="EMEANormal"/>
              <w:keepNext/>
              <w:rPr>
                <w:szCs w:val="22"/>
                <w:lang w:val="en-GB"/>
              </w:rPr>
            </w:pPr>
          </w:p>
        </w:tc>
        <w:tc>
          <w:tcPr>
            <w:tcW w:w="4374" w:type="dxa"/>
            <w:tcBorders>
              <w:top w:val="single" w:sz="4" w:space="0" w:color="auto"/>
              <w:bottom w:val="nil"/>
            </w:tcBorders>
          </w:tcPr>
          <w:p w14:paraId="25E8F696" w14:textId="77777777" w:rsidR="00D7303D" w:rsidRPr="00342F7C" w:rsidRDefault="00D7303D" w:rsidP="00793515">
            <w:pPr>
              <w:pStyle w:val="EMEANormal"/>
              <w:keepNext/>
              <w:rPr>
                <w:szCs w:val="22"/>
                <w:lang w:val="en-GB"/>
              </w:rPr>
            </w:pPr>
            <w:r w:rsidRPr="00342F7C">
              <w:rPr>
                <w:szCs w:val="22"/>
                <w:lang w:val="en-GB"/>
              </w:rPr>
              <w:t>Diarrhoea, nausea</w:t>
            </w:r>
          </w:p>
          <w:p w14:paraId="7548A823" w14:textId="77777777" w:rsidR="00D7303D" w:rsidRPr="00342F7C" w:rsidRDefault="00D7303D" w:rsidP="00793515">
            <w:pPr>
              <w:pStyle w:val="EMEANormal"/>
              <w:keepNext/>
              <w:rPr>
                <w:szCs w:val="22"/>
                <w:lang w:val="en-GB"/>
              </w:rPr>
            </w:pPr>
          </w:p>
        </w:tc>
      </w:tr>
      <w:tr w:rsidR="00D7303D" w:rsidRPr="00342F7C" w14:paraId="40826C7B" w14:textId="77777777" w:rsidTr="00E4141B">
        <w:trPr>
          <w:cantSplit/>
        </w:trPr>
        <w:tc>
          <w:tcPr>
            <w:tcW w:w="3029" w:type="dxa"/>
            <w:vMerge/>
          </w:tcPr>
          <w:p w14:paraId="389411A2" w14:textId="77777777" w:rsidR="00D7303D" w:rsidRPr="00342F7C" w:rsidRDefault="00D7303D" w:rsidP="00793515">
            <w:pPr>
              <w:pStyle w:val="EMEANormal"/>
              <w:keepNext/>
              <w:tabs>
                <w:tab w:val="clear" w:pos="562"/>
                <w:tab w:val="left" w:pos="7340"/>
              </w:tabs>
              <w:suppressAutoHyphens w:val="0"/>
              <w:rPr>
                <w:szCs w:val="22"/>
                <w:lang w:val="en-GB"/>
              </w:rPr>
            </w:pPr>
          </w:p>
        </w:tc>
        <w:tc>
          <w:tcPr>
            <w:tcW w:w="1657" w:type="dxa"/>
            <w:tcBorders>
              <w:top w:val="nil"/>
              <w:bottom w:val="nil"/>
            </w:tcBorders>
          </w:tcPr>
          <w:p w14:paraId="23754381" w14:textId="77777777" w:rsidR="00D7303D" w:rsidRPr="00342F7C" w:rsidRDefault="00D7303D" w:rsidP="00793515">
            <w:pPr>
              <w:pStyle w:val="EMEANormal"/>
              <w:keepNext/>
              <w:rPr>
                <w:szCs w:val="22"/>
                <w:lang w:val="en-GB"/>
              </w:rPr>
            </w:pPr>
            <w:r w:rsidRPr="00342F7C">
              <w:rPr>
                <w:szCs w:val="22"/>
                <w:lang w:val="en-GB"/>
              </w:rPr>
              <w:t>Common</w:t>
            </w:r>
          </w:p>
        </w:tc>
        <w:tc>
          <w:tcPr>
            <w:tcW w:w="4374" w:type="dxa"/>
            <w:tcBorders>
              <w:top w:val="nil"/>
              <w:bottom w:val="nil"/>
            </w:tcBorders>
          </w:tcPr>
          <w:p w14:paraId="64AB628F" w14:textId="77777777" w:rsidR="00D7303D" w:rsidRPr="00342F7C" w:rsidRDefault="00D7303D" w:rsidP="00793515">
            <w:pPr>
              <w:pStyle w:val="EMEANormal"/>
              <w:keepNext/>
              <w:rPr>
                <w:szCs w:val="22"/>
                <w:lang w:val="en-GB"/>
              </w:rPr>
            </w:pPr>
            <w:r w:rsidRPr="00342F7C">
              <w:rPr>
                <w:szCs w:val="22"/>
                <w:lang w:val="en-GB"/>
              </w:rPr>
              <w:t>Pancreatitis</w:t>
            </w:r>
            <w:r w:rsidRPr="00342F7C">
              <w:rPr>
                <w:szCs w:val="22"/>
                <w:vertAlign w:val="superscript"/>
                <w:lang w:val="en-GB"/>
              </w:rPr>
              <w:t>1</w:t>
            </w:r>
            <w:r w:rsidRPr="00342F7C">
              <w:rPr>
                <w:szCs w:val="22"/>
                <w:lang w:val="en-GB"/>
              </w:rPr>
              <w:t>, vomiting, gastrooesophageal reflux disease, gastroenteritis and colitis, abdominal pain (upper and lower), abdominal distension, dyspepsia, haemorrhoids, flatulence</w:t>
            </w:r>
          </w:p>
          <w:p w14:paraId="1DF0F8B8" w14:textId="77777777" w:rsidR="00D7303D" w:rsidRPr="00342F7C" w:rsidRDefault="00D7303D" w:rsidP="00793515">
            <w:pPr>
              <w:pStyle w:val="EMEANormal"/>
              <w:keepNext/>
              <w:rPr>
                <w:szCs w:val="22"/>
                <w:lang w:val="en-GB"/>
              </w:rPr>
            </w:pPr>
          </w:p>
        </w:tc>
      </w:tr>
      <w:tr w:rsidR="00D7303D" w:rsidRPr="00342F7C" w14:paraId="46B54E62" w14:textId="77777777" w:rsidTr="00E4141B">
        <w:trPr>
          <w:cantSplit/>
          <w:trHeight w:val="1052"/>
        </w:trPr>
        <w:tc>
          <w:tcPr>
            <w:tcW w:w="3029" w:type="dxa"/>
            <w:vMerge/>
          </w:tcPr>
          <w:p w14:paraId="66888904" w14:textId="77777777" w:rsidR="00D7303D" w:rsidRPr="00342F7C" w:rsidRDefault="00D7303D" w:rsidP="00C50403">
            <w:pPr>
              <w:pStyle w:val="EMEANormal"/>
              <w:tabs>
                <w:tab w:val="clear" w:pos="562"/>
                <w:tab w:val="left" w:pos="7340"/>
              </w:tabs>
              <w:suppressAutoHyphens w:val="0"/>
              <w:rPr>
                <w:szCs w:val="22"/>
                <w:lang w:val="en-GB"/>
              </w:rPr>
            </w:pPr>
          </w:p>
        </w:tc>
        <w:tc>
          <w:tcPr>
            <w:tcW w:w="1657" w:type="dxa"/>
            <w:tcBorders>
              <w:top w:val="nil"/>
            </w:tcBorders>
          </w:tcPr>
          <w:p w14:paraId="1EFD5298" w14:textId="77777777" w:rsidR="00D7303D" w:rsidRPr="00342F7C" w:rsidRDefault="00D7303D" w:rsidP="00C50403">
            <w:pPr>
              <w:pStyle w:val="EMEANormal"/>
              <w:rPr>
                <w:szCs w:val="22"/>
                <w:lang w:val="en-GB"/>
              </w:rPr>
            </w:pPr>
            <w:r w:rsidRPr="00342F7C">
              <w:rPr>
                <w:szCs w:val="22"/>
                <w:lang w:val="en-GB"/>
              </w:rPr>
              <w:t>Uncommon</w:t>
            </w:r>
          </w:p>
        </w:tc>
        <w:tc>
          <w:tcPr>
            <w:tcW w:w="4374" w:type="dxa"/>
            <w:tcBorders>
              <w:top w:val="nil"/>
            </w:tcBorders>
          </w:tcPr>
          <w:p w14:paraId="77565986" w14:textId="77777777" w:rsidR="00D7303D" w:rsidRPr="00342F7C" w:rsidRDefault="00D7303D" w:rsidP="00852B54">
            <w:pPr>
              <w:pStyle w:val="EMEANormal"/>
              <w:rPr>
                <w:szCs w:val="22"/>
                <w:lang w:val="en-GB"/>
              </w:rPr>
            </w:pPr>
            <w:r w:rsidRPr="00342F7C">
              <w:rPr>
                <w:szCs w:val="22"/>
                <w:lang w:val="en-GB"/>
              </w:rPr>
              <w:t>Gastrointestinal haemorrhage including gastrointestinal ulcer, duodenitis, gastritis and rectal haemorrhage, stomatitis and oral ulcers, faecal incontinence, constipation, dry mouth</w:t>
            </w:r>
          </w:p>
        </w:tc>
      </w:tr>
      <w:tr w:rsidR="00D7303D" w:rsidRPr="00342F7C" w14:paraId="1C130892" w14:textId="77777777" w:rsidTr="00E4141B">
        <w:tc>
          <w:tcPr>
            <w:tcW w:w="3029" w:type="dxa"/>
            <w:vMerge w:val="restart"/>
          </w:tcPr>
          <w:p w14:paraId="348CE43D" w14:textId="77777777" w:rsidR="00D7303D" w:rsidRPr="00342F7C" w:rsidRDefault="00D7303D" w:rsidP="00C50403">
            <w:pPr>
              <w:pStyle w:val="EMEANormal"/>
              <w:tabs>
                <w:tab w:val="clear" w:pos="562"/>
                <w:tab w:val="left" w:pos="7340"/>
              </w:tabs>
              <w:suppressAutoHyphens w:val="0"/>
              <w:rPr>
                <w:szCs w:val="22"/>
                <w:lang w:val="en-GB"/>
              </w:rPr>
            </w:pPr>
            <w:r w:rsidRPr="00342F7C">
              <w:rPr>
                <w:szCs w:val="22"/>
                <w:lang w:val="en-GB"/>
              </w:rPr>
              <w:t>Hepatobiliary disorders</w:t>
            </w:r>
          </w:p>
        </w:tc>
        <w:tc>
          <w:tcPr>
            <w:tcW w:w="1657" w:type="dxa"/>
            <w:tcBorders>
              <w:bottom w:val="nil"/>
            </w:tcBorders>
          </w:tcPr>
          <w:p w14:paraId="1C1CBB73" w14:textId="77777777" w:rsidR="00D7303D" w:rsidRPr="00342F7C" w:rsidRDefault="00D7303D" w:rsidP="00C50403">
            <w:pPr>
              <w:pStyle w:val="EMEANormal"/>
              <w:rPr>
                <w:szCs w:val="22"/>
                <w:lang w:val="en-GB"/>
              </w:rPr>
            </w:pPr>
            <w:r w:rsidRPr="00342F7C">
              <w:rPr>
                <w:szCs w:val="22"/>
                <w:lang w:val="en-GB"/>
              </w:rPr>
              <w:t>Common</w:t>
            </w:r>
          </w:p>
        </w:tc>
        <w:tc>
          <w:tcPr>
            <w:tcW w:w="4374" w:type="dxa"/>
            <w:tcBorders>
              <w:bottom w:val="nil"/>
            </w:tcBorders>
          </w:tcPr>
          <w:p w14:paraId="154FE29A" w14:textId="77777777" w:rsidR="00D7303D" w:rsidRPr="00342F7C" w:rsidRDefault="00D7303D" w:rsidP="00560786">
            <w:pPr>
              <w:pStyle w:val="EMEANormal"/>
              <w:rPr>
                <w:szCs w:val="22"/>
                <w:lang w:val="en-GB"/>
              </w:rPr>
            </w:pPr>
            <w:r w:rsidRPr="00342F7C">
              <w:rPr>
                <w:szCs w:val="22"/>
                <w:lang w:val="en-GB"/>
              </w:rPr>
              <w:t>Hepatitis including AST, ALT and GGT increases</w:t>
            </w:r>
          </w:p>
          <w:p w14:paraId="34B4EDC9" w14:textId="77777777" w:rsidR="00D7303D" w:rsidRPr="00342F7C" w:rsidRDefault="00D7303D" w:rsidP="00C50403">
            <w:pPr>
              <w:pStyle w:val="EMEANormal"/>
              <w:rPr>
                <w:szCs w:val="22"/>
                <w:lang w:val="en-GB"/>
              </w:rPr>
            </w:pPr>
          </w:p>
        </w:tc>
      </w:tr>
      <w:tr w:rsidR="00D7303D" w:rsidRPr="00342F7C" w14:paraId="4BAD158D" w14:textId="77777777" w:rsidTr="00E4141B">
        <w:trPr>
          <w:trHeight w:val="808"/>
        </w:trPr>
        <w:tc>
          <w:tcPr>
            <w:tcW w:w="3029" w:type="dxa"/>
            <w:vMerge/>
          </w:tcPr>
          <w:p w14:paraId="213C86A2" w14:textId="77777777" w:rsidR="00D7303D" w:rsidRPr="00342F7C" w:rsidRDefault="00D7303D" w:rsidP="00C50403">
            <w:pPr>
              <w:pStyle w:val="EMEANormal"/>
              <w:tabs>
                <w:tab w:val="clear" w:pos="562"/>
                <w:tab w:val="left" w:pos="7340"/>
              </w:tabs>
              <w:suppressAutoHyphens w:val="0"/>
              <w:rPr>
                <w:szCs w:val="22"/>
                <w:lang w:val="en-GB"/>
              </w:rPr>
            </w:pPr>
          </w:p>
        </w:tc>
        <w:tc>
          <w:tcPr>
            <w:tcW w:w="1657" w:type="dxa"/>
            <w:tcBorders>
              <w:top w:val="nil"/>
              <w:bottom w:val="nil"/>
            </w:tcBorders>
          </w:tcPr>
          <w:p w14:paraId="2A05B42B" w14:textId="77777777" w:rsidR="00D7303D" w:rsidRPr="00342F7C" w:rsidRDefault="00D7303D" w:rsidP="00C50403">
            <w:pPr>
              <w:pStyle w:val="EMEANormal"/>
              <w:rPr>
                <w:szCs w:val="22"/>
                <w:lang w:val="en-GB"/>
              </w:rPr>
            </w:pPr>
            <w:r w:rsidRPr="00342F7C">
              <w:rPr>
                <w:szCs w:val="22"/>
                <w:lang w:val="en-GB"/>
              </w:rPr>
              <w:t>Uncommon</w:t>
            </w:r>
          </w:p>
        </w:tc>
        <w:tc>
          <w:tcPr>
            <w:tcW w:w="4374" w:type="dxa"/>
            <w:tcBorders>
              <w:top w:val="nil"/>
              <w:bottom w:val="nil"/>
            </w:tcBorders>
          </w:tcPr>
          <w:p w14:paraId="37DD9BC1" w14:textId="77777777" w:rsidR="00D7303D" w:rsidRPr="00342F7C" w:rsidRDefault="0099677F" w:rsidP="00C50403">
            <w:pPr>
              <w:pStyle w:val="EMEANormal"/>
              <w:rPr>
                <w:szCs w:val="22"/>
                <w:lang w:val="en-GB"/>
              </w:rPr>
            </w:pPr>
            <w:r>
              <w:rPr>
                <w:szCs w:val="22"/>
                <w:lang w:val="en-GB"/>
              </w:rPr>
              <w:t>Jaundice, h</w:t>
            </w:r>
            <w:r w:rsidR="00D7303D" w:rsidRPr="00342F7C">
              <w:rPr>
                <w:szCs w:val="22"/>
                <w:lang w:val="en-GB"/>
              </w:rPr>
              <w:t>epatic steatosis, hepatomegaly, cholangitis, hyperbilirubinemia</w:t>
            </w:r>
          </w:p>
        </w:tc>
      </w:tr>
      <w:tr w:rsidR="00D7303D" w:rsidRPr="00342F7C" w14:paraId="5C2A554F" w14:textId="77777777" w:rsidTr="00E4141B">
        <w:trPr>
          <w:cantSplit/>
        </w:trPr>
        <w:tc>
          <w:tcPr>
            <w:tcW w:w="3029" w:type="dxa"/>
            <w:vMerge w:val="restart"/>
          </w:tcPr>
          <w:p w14:paraId="4A20A547" w14:textId="77777777" w:rsidR="00D7303D" w:rsidRPr="00342F7C" w:rsidRDefault="00D7303D" w:rsidP="00C50403">
            <w:pPr>
              <w:pStyle w:val="EMEANormal"/>
              <w:tabs>
                <w:tab w:val="clear" w:pos="562"/>
                <w:tab w:val="left" w:pos="7340"/>
              </w:tabs>
              <w:suppressAutoHyphens w:val="0"/>
              <w:rPr>
                <w:szCs w:val="22"/>
                <w:lang w:val="en-GB"/>
              </w:rPr>
            </w:pPr>
            <w:r w:rsidRPr="00342F7C">
              <w:rPr>
                <w:szCs w:val="22"/>
                <w:lang w:val="en-GB"/>
              </w:rPr>
              <w:t>Skin and subcutaneous tissue disorders</w:t>
            </w:r>
          </w:p>
        </w:tc>
        <w:tc>
          <w:tcPr>
            <w:tcW w:w="1657" w:type="dxa"/>
            <w:tcBorders>
              <w:top w:val="single" w:sz="4" w:space="0" w:color="auto"/>
              <w:bottom w:val="nil"/>
            </w:tcBorders>
          </w:tcPr>
          <w:p w14:paraId="61717393" w14:textId="77777777" w:rsidR="00D7303D" w:rsidRPr="00342F7C" w:rsidRDefault="00D7303D" w:rsidP="00C50403">
            <w:pPr>
              <w:pStyle w:val="EMEANormal"/>
              <w:rPr>
                <w:szCs w:val="22"/>
                <w:lang w:val="en-GB"/>
              </w:rPr>
            </w:pPr>
            <w:r w:rsidRPr="00342F7C">
              <w:rPr>
                <w:szCs w:val="22"/>
                <w:lang w:val="en-GB"/>
              </w:rPr>
              <w:t>Common</w:t>
            </w:r>
          </w:p>
          <w:p w14:paraId="586BC5FD" w14:textId="77777777" w:rsidR="00D7303D" w:rsidRPr="00342F7C" w:rsidRDefault="00D7303D" w:rsidP="00C50403">
            <w:pPr>
              <w:pStyle w:val="EMEANormal"/>
              <w:rPr>
                <w:szCs w:val="22"/>
                <w:lang w:val="en-GB"/>
              </w:rPr>
            </w:pPr>
          </w:p>
        </w:tc>
        <w:tc>
          <w:tcPr>
            <w:tcW w:w="4374" w:type="dxa"/>
            <w:tcBorders>
              <w:top w:val="single" w:sz="4" w:space="0" w:color="auto"/>
              <w:bottom w:val="nil"/>
            </w:tcBorders>
          </w:tcPr>
          <w:p w14:paraId="399750DB" w14:textId="77777777" w:rsidR="00D7303D" w:rsidRPr="00342F7C" w:rsidRDefault="00CA7C65" w:rsidP="00560786">
            <w:pPr>
              <w:pStyle w:val="EMEANormal"/>
              <w:rPr>
                <w:szCs w:val="22"/>
                <w:lang w:val="en-GB"/>
              </w:rPr>
            </w:pPr>
            <w:r>
              <w:rPr>
                <w:szCs w:val="22"/>
                <w:lang w:val="en-GB"/>
              </w:rPr>
              <w:t>R</w:t>
            </w:r>
            <w:r w:rsidR="00D7303D" w:rsidRPr="00342F7C">
              <w:rPr>
                <w:szCs w:val="22"/>
                <w:lang w:val="en-GB"/>
              </w:rPr>
              <w:t>ash including maculopapular rash, dermatitis/rash including eczema and seborrheic dermatitis, night sweats, prurit</w:t>
            </w:r>
            <w:r w:rsidR="007079E7" w:rsidRPr="0026037D">
              <w:rPr>
                <w:szCs w:val="22"/>
                <w:lang w:val="en-GB"/>
              </w:rPr>
              <w:t>u</w:t>
            </w:r>
            <w:r w:rsidR="00D7303D" w:rsidRPr="0026037D">
              <w:rPr>
                <w:szCs w:val="22"/>
                <w:lang w:val="en-GB"/>
              </w:rPr>
              <w:t>s</w:t>
            </w:r>
          </w:p>
          <w:p w14:paraId="7D05A225" w14:textId="77777777" w:rsidR="00D7303D" w:rsidRPr="00342F7C" w:rsidRDefault="00D7303D" w:rsidP="00C50403">
            <w:pPr>
              <w:pStyle w:val="EMEANormal"/>
              <w:rPr>
                <w:szCs w:val="22"/>
                <w:lang w:val="en-GB"/>
              </w:rPr>
            </w:pPr>
          </w:p>
        </w:tc>
      </w:tr>
      <w:tr w:rsidR="00D7303D" w:rsidRPr="00342F7C" w14:paraId="2DF31886" w14:textId="77777777" w:rsidTr="00E4141B">
        <w:trPr>
          <w:cantSplit/>
        </w:trPr>
        <w:tc>
          <w:tcPr>
            <w:tcW w:w="3029" w:type="dxa"/>
            <w:vMerge/>
          </w:tcPr>
          <w:p w14:paraId="5F1798E1" w14:textId="77777777" w:rsidR="00D7303D" w:rsidRPr="00342F7C" w:rsidRDefault="00D7303D" w:rsidP="00C50403">
            <w:pPr>
              <w:pStyle w:val="EMEANormal"/>
              <w:tabs>
                <w:tab w:val="clear" w:pos="562"/>
                <w:tab w:val="left" w:pos="7340"/>
              </w:tabs>
              <w:suppressAutoHyphens w:val="0"/>
              <w:rPr>
                <w:szCs w:val="22"/>
                <w:lang w:val="en-GB"/>
              </w:rPr>
            </w:pPr>
          </w:p>
        </w:tc>
        <w:tc>
          <w:tcPr>
            <w:tcW w:w="1657" w:type="dxa"/>
            <w:tcBorders>
              <w:top w:val="nil"/>
              <w:bottom w:val="nil"/>
            </w:tcBorders>
          </w:tcPr>
          <w:p w14:paraId="2750E022" w14:textId="77777777" w:rsidR="00D7303D" w:rsidRPr="00342F7C" w:rsidRDefault="00D7303D" w:rsidP="00C50403">
            <w:pPr>
              <w:pStyle w:val="EMEANormal"/>
              <w:rPr>
                <w:szCs w:val="22"/>
                <w:lang w:val="en-GB"/>
              </w:rPr>
            </w:pPr>
            <w:r w:rsidRPr="00342F7C">
              <w:rPr>
                <w:szCs w:val="22"/>
                <w:lang w:val="en-GB"/>
              </w:rPr>
              <w:t>Uncommon</w:t>
            </w:r>
          </w:p>
        </w:tc>
        <w:tc>
          <w:tcPr>
            <w:tcW w:w="4374" w:type="dxa"/>
            <w:tcBorders>
              <w:top w:val="nil"/>
              <w:bottom w:val="nil"/>
            </w:tcBorders>
          </w:tcPr>
          <w:p w14:paraId="64B33D82" w14:textId="77777777" w:rsidR="00D7303D" w:rsidRPr="00342F7C" w:rsidRDefault="00D7303D" w:rsidP="00560786">
            <w:pPr>
              <w:pStyle w:val="EMEANormal"/>
              <w:rPr>
                <w:szCs w:val="22"/>
                <w:lang w:val="en-GB"/>
              </w:rPr>
            </w:pPr>
            <w:r w:rsidRPr="00342F7C">
              <w:rPr>
                <w:szCs w:val="22"/>
                <w:lang w:val="en-GB"/>
              </w:rPr>
              <w:t>Alopecia, capillaritis, vasculitis</w:t>
            </w:r>
            <w:r w:rsidRPr="00342F7C" w:rsidDel="0070020B">
              <w:rPr>
                <w:szCs w:val="22"/>
                <w:lang w:val="en-GB"/>
              </w:rPr>
              <w:t xml:space="preserve"> </w:t>
            </w:r>
          </w:p>
          <w:p w14:paraId="4B4B972B" w14:textId="77777777" w:rsidR="00D7303D" w:rsidRPr="00342F7C" w:rsidRDefault="00D7303D" w:rsidP="00C50403">
            <w:pPr>
              <w:pStyle w:val="EMEANormal"/>
              <w:rPr>
                <w:szCs w:val="22"/>
                <w:lang w:val="en-GB"/>
              </w:rPr>
            </w:pPr>
          </w:p>
        </w:tc>
      </w:tr>
      <w:tr w:rsidR="00E83E0F" w:rsidRPr="007E1E2E" w14:paraId="4133B467" w14:textId="77777777" w:rsidTr="00E4141B">
        <w:trPr>
          <w:cantSplit/>
          <w:trHeight w:val="531"/>
        </w:trPr>
        <w:tc>
          <w:tcPr>
            <w:tcW w:w="3029" w:type="dxa"/>
            <w:vMerge/>
          </w:tcPr>
          <w:p w14:paraId="6200A698" w14:textId="77777777" w:rsidR="00E83E0F" w:rsidRPr="00342F7C" w:rsidRDefault="00E83E0F" w:rsidP="00C50403">
            <w:pPr>
              <w:pStyle w:val="EMEANormal"/>
              <w:tabs>
                <w:tab w:val="clear" w:pos="562"/>
                <w:tab w:val="left" w:pos="7340"/>
              </w:tabs>
              <w:suppressAutoHyphens w:val="0"/>
              <w:rPr>
                <w:szCs w:val="22"/>
                <w:lang w:val="en-GB"/>
              </w:rPr>
            </w:pPr>
          </w:p>
        </w:tc>
        <w:tc>
          <w:tcPr>
            <w:tcW w:w="1657" w:type="dxa"/>
            <w:tcBorders>
              <w:top w:val="nil"/>
            </w:tcBorders>
          </w:tcPr>
          <w:p w14:paraId="4E03EDDC" w14:textId="77777777" w:rsidR="00E83E0F" w:rsidRPr="00342F7C" w:rsidRDefault="0099677F" w:rsidP="00C50403">
            <w:pPr>
              <w:pStyle w:val="EMEANormal"/>
              <w:rPr>
                <w:szCs w:val="22"/>
                <w:lang w:val="en-GB"/>
              </w:rPr>
            </w:pPr>
            <w:r>
              <w:rPr>
                <w:szCs w:val="22"/>
                <w:lang w:val="en-GB"/>
              </w:rPr>
              <w:t>Rare</w:t>
            </w:r>
          </w:p>
        </w:tc>
        <w:tc>
          <w:tcPr>
            <w:tcW w:w="4374" w:type="dxa"/>
            <w:tcBorders>
              <w:top w:val="nil"/>
            </w:tcBorders>
          </w:tcPr>
          <w:p w14:paraId="07C8E632" w14:textId="77777777" w:rsidR="00E83E0F" w:rsidRPr="007E1E2E" w:rsidRDefault="00E83E0F" w:rsidP="00011F6A">
            <w:pPr>
              <w:pStyle w:val="EMEANormal"/>
              <w:rPr>
                <w:szCs w:val="22"/>
                <w:lang w:val="fr-FR"/>
              </w:rPr>
            </w:pPr>
            <w:r w:rsidRPr="007E1E2E">
              <w:rPr>
                <w:szCs w:val="22"/>
                <w:lang w:val="fr-FR"/>
              </w:rPr>
              <w:t>Stevens</w:t>
            </w:r>
            <w:r w:rsidRPr="007E1E2E">
              <w:rPr>
                <w:szCs w:val="22"/>
                <w:lang w:val="fr-FR"/>
              </w:rPr>
              <w:noBreakHyphen/>
              <w:t>Johnson syndrome, erythema multiforme</w:t>
            </w:r>
          </w:p>
        </w:tc>
      </w:tr>
      <w:tr w:rsidR="00E83E0F" w:rsidRPr="00342F7C" w14:paraId="22D405C2" w14:textId="77777777" w:rsidTr="00E4141B">
        <w:trPr>
          <w:cantSplit/>
        </w:trPr>
        <w:tc>
          <w:tcPr>
            <w:tcW w:w="3029" w:type="dxa"/>
            <w:vMerge w:val="restart"/>
          </w:tcPr>
          <w:p w14:paraId="779C9BA5" w14:textId="77777777" w:rsidR="00E83E0F" w:rsidRPr="00342F7C" w:rsidRDefault="00E83E0F" w:rsidP="00C50403">
            <w:pPr>
              <w:pStyle w:val="EMEANormal"/>
              <w:tabs>
                <w:tab w:val="clear" w:pos="562"/>
                <w:tab w:val="left" w:pos="7340"/>
              </w:tabs>
              <w:suppressAutoHyphens w:val="0"/>
              <w:rPr>
                <w:szCs w:val="22"/>
                <w:lang w:val="en-GB"/>
              </w:rPr>
            </w:pPr>
            <w:r w:rsidRPr="00342F7C">
              <w:rPr>
                <w:szCs w:val="22"/>
                <w:lang w:val="en-GB"/>
              </w:rPr>
              <w:t>Musculoskeletal and connective tissue disorders</w:t>
            </w:r>
          </w:p>
        </w:tc>
        <w:tc>
          <w:tcPr>
            <w:tcW w:w="1657" w:type="dxa"/>
            <w:tcBorders>
              <w:top w:val="single" w:sz="4" w:space="0" w:color="auto"/>
              <w:bottom w:val="nil"/>
            </w:tcBorders>
          </w:tcPr>
          <w:p w14:paraId="4E0C0D0A" w14:textId="77777777" w:rsidR="00E83E0F" w:rsidRPr="00342F7C" w:rsidRDefault="00E83E0F" w:rsidP="00C50403">
            <w:pPr>
              <w:pStyle w:val="EMEANormal"/>
              <w:rPr>
                <w:szCs w:val="22"/>
                <w:lang w:val="en-GB"/>
              </w:rPr>
            </w:pPr>
            <w:r w:rsidRPr="00342F7C">
              <w:rPr>
                <w:szCs w:val="22"/>
                <w:lang w:val="en-GB"/>
              </w:rPr>
              <w:t>Common</w:t>
            </w:r>
          </w:p>
        </w:tc>
        <w:tc>
          <w:tcPr>
            <w:tcW w:w="4374" w:type="dxa"/>
            <w:tcBorders>
              <w:top w:val="single" w:sz="4" w:space="0" w:color="auto"/>
              <w:bottom w:val="nil"/>
            </w:tcBorders>
          </w:tcPr>
          <w:p w14:paraId="3F5D1B77" w14:textId="77777777" w:rsidR="00E83E0F" w:rsidRPr="00342F7C" w:rsidRDefault="00E83E0F" w:rsidP="00560786">
            <w:pPr>
              <w:pStyle w:val="EMEANormal"/>
              <w:rPr>
                <w:szCs w:val="22"/>
                <w:lang w:val="en-GB"/>
              </w:rPr>
            </w:pPr>
            <w:r w:rsidRPr="00342F7C">
              <w:rPr>
                <w:szCs w:val="22"/>
                <w:lang w:val="en-GB"/>
              </w:rPr>
              <w:t xml:space="preserve">Myalgia, </w:t>
            </w:r>
            <w:r w:rsidRPr="00342F7C">
              <w:rPr>
                <w:lang w:val="en-GB"/>
              </w:rPr>
              <w:t>musculoskeletal pain including arthralgia and back pain, muscle disorders such as weakness and spasms</w:t>
            </w:r>
          </w:p>
          <w:p w14:paraId="71F36E1B" w14:textId="77777777" w:rsidR="00E83E0F" w:rsidRPr="00342F7C" w:rsidRDefault="00E83E0F" w:rsidP="00C50403">
            <w:pPr>
              <w:pStyle w:val="EMEANormal"/>
              <w:rPr>
                <w:szCs w:val="22"/>
                <w:lang w:val="en-GB"/>
              </w:rPr>
            </w:pPr>
          </w:p>
        </w:tc>
      </w:tr>
      <w:tr w:rsidR="00E83E0F" w:rsidRPr="00342F7C" w14:paraId="34CF88CD" w14:textId="77777777" w:rsidTr="00E4141B">
        <w:trPr>
          <w:cantSplit/>
        </w:trPr>
        <w:tc>
          <w:tcPr>
            <w:tcW w:w="3029" w:type="dxa"/>
            <w:vMerge/>
          </w:tcPr>
          <w:p w14:paraId="3AEDB85F" w14:textId="77777777" w:rsidR="00E83E0F" w:rsidRPr="00342F7C" w:rsidRDefault="00E83E0F" w:rsidP="00C50403">
            <w:pPr>
              <w:pStyle w:val="EMEANormal"/>
              <w:tabs>
                <w:tab w:val="clear" w:pos="562"/>
                <w:tab w:val="left" w:pos="7340"/>
              </w:tabs>
              <w:suppressAutoHyphens w:val="0"/>
              <w:rPr>
                <w:szCs w:val="22"/>
                <w:lang w:val="en-GB"/>
              </w:rPr>
            </w:pPr>
          </w:p>
        </w:tc>
        <w:tc>
          <w:tcPr>
            <w:tcW w:w="1657" w:type="dxa"/>
            <w:tcBorders>
              <w:top w:val="nil"/>
              <w:bottom w:val="single" w:sz="4" w:space="0" w:color="auto"/>
            </w:tcBorders>
          </w:tcPr>
          <w:p w14:paraId="4CC6E6A2" w14:textId="77777777" w:rsidR="00E83E0F" w:rsidRPr="00342F7C" w:rsidRDefault="00E83E0F" w:rsidP="00C50403">
            <w:pPr>
              <w:pStyle w:val="EMEANormal"/>
              <w:rPr>
                <w:szCs w:val="22"/>
                <w:lang w:val="en-GB"/>
              </w:rPr>
            </w:pPr>
            <w:r w:rsidRPr="00342F7C">
              <w:rPr>
                <w:szCs w:val="22"/>
                <w:lang w:val="en-GB"/>
              </w:rPr>
              <w:t>Uncommon</w:t>
            </w:r>
          </w:p>
        </w:tc>
        <w:tc>
          <w:tcPr>
            <w:tcW w:w="4374" w:type="dxa"/>
            <w:tcBorders>
              <w:top w:val="nil"/>
              <w:bottom w:val="single" w:sz="4" w:space="0" w:color="auto"/>
            </w:tcBorders>
          </w:tcPr>
          <w:p w14:paraId="058AB1B1" w14:textId="77777777" w:rsidR="00E83E0F" w:rsidRPr="00342F7C" w:rsidRDefault="00E83E0F" w:rsidP="00C50403">
            <w:pPr>
              <w:pStyle w:val="EMEANormal"/>
              <w:rPr>
                <w:szCs w:val="22"/>
                <w:lang w:val="en-GB"/>
              </w:rPr>
            </w:pPr>
            <w:r w:rsidRPr="00342F7C">
              <w:rPr>
                <w:szCs w:val="22"/>
                <w:lang w:val="en-GB"/>
              </w:rPr>
              <w:t>Rhabdomyolysis, osteonecrosis</w:t>
            </w:r>
          </w:p>
        </w:tc>
      </w:tr>
      <w:tr w:rsidR="00E83E0F" w:rsidRPr="005A7D58" w14:paraId="2674DCAF" w14:textId="77777777" w:rsidTr="00E4141B">
        <w:tc>
          <w:tcPr>
            <w:tcW w:w="3029" w:type="dxa"/>
          </w:tcPr>
          <w:p w14:paraId="18BFEE7A" w14:textId="77777777" w:rsidR="00E83E0F" w:rsidRPr="005A7D58" w:rsidRDefault="00E83E0F" w:rsidP="00C50403">
            <w:pPr>
              <w:pStyle w:val="EMEANormal"/>
              <w:tabs>
                <w:tab w:val="clear" w:pos="562"/>
                <w:tab w:val="left" w:pos="7340"/>
              </w:tabs>
              <w:suppressAutoHyphens w:val="0"/>
              <w:rPr>
                <w:szCs w:val="22"/>
                <w:lang w:val="en-GB"/>
              </w:rPr>
            </w:pPr>
            <w:r w:rsidRPr="005A7D58">
              <w:rPr>
                <w:szCs w:val="22"/>
                <w:lang w:val="en-GB"/>
              </w:rPr>
              <w:t>Renal and urinary disorders</w:t>
            </w:r>
          </w:p>
        </w:tc>
        <w:tc>
          <w:tcPr>
            <w:tcW w:w="1657" w:type="dxa"/>
          </w:tcPr>
          <w:p w14:paraId="162C752C" w14:textId="77777777" w:rsidR="00E83E0F" w:rsidRPr="005A7D58" w:rsidRDefault="00E83E0F" w:rsidP="00C50403">
            <w:pPr>
              <w:pStyle w:val="EMEANormal"/>
              <w:rPr>
                <w:szCs w:val="22"/>
                <w:lang w:val="en-GB"/>
              </w:rPr>
            </w:pPr>
            <w:r w:rsidRPr="005A7D58">
              <w:rPr>
                <w:szCs w:val="22"/>
                <w:lang w:val="en-GB"/>
              </w:rPr>
              <w:t>Uncommon</w:t>
            </w:r>
          </w:p>
          <w:p w14:paraId="4297CAF6" w14:textId="77777777" w:rsidR="002B6A81" w:rsidRPr="005A7D58" w:rsidRDefault="002B6A81" w:rsidP="00C50403">
            <w:pPr>
              <w:pStyle w:val="EMEANormal"/>
              <w:rPr>
                <w:szCs w:val="22"/>
                <w:lang w:val="en-GB"/>
              </w:rPr>
            </w:pPr>
          </w:p>
          <w:p w14:paraId="54521F20" w14:textId="77777777" w:rsidR="002B6A81" w:rsidRPr="005A7D58" w:rsidRDefault="002B6A81" w:rsidP="00C50403">
            <w:pPr>
              <w:pStyle w:val="EMEANormal"/>
              <w:rPr>
                <w:szCs w:val="22"/>
                <w:lang w:val="en-GB"/>
              </w:rPr>
            </w:pPr>
          </w:p>
          <w:p w14:paraId="6D80EDB5" w14:textId="77777777" w:rsidR="002B6A81" w:rsidRPr="005A7D58" w:rsidRDefault="002B6A81" w:rsidP="00C50403">
            <w:pPr>
              <w:pStyle w:val="EMEANormal"/>
              <w:rPr>
                <w:szCs w:val="22"/>
                <w:lang w:val="en-GB"/>
              </w:rPr>
            </w:pPr>
            <w:r w:rsidRPr="005A7D58">
              <w:rPr>
                <w:szCs w:val="22"/>
                <w:lang w:val="en-GB"/>
              </w:rPr>
              <w:t>Not known</w:t>
            </w:r>
          </w:p>
        </w:tc>
        <w:tc>
          <w:tcPr>
            <w:tcW w:w="4374" w:type="dxa"/>
          </w:tcPr>
          <w:p w14:paraId="062C25DA" w14:textId="77777777" w:rsidR="00E83E0F" w:rsidRPr="005A7D58" w:rsidRDefault="00E83E0F" w:rsidP="00C50403">
            <w:pPr>
              <w:pStyle w:val="EMEANormal"/>
              <w:rPr>
                <w:szCs w:val="22"/>
                <w:lang w:val="en-GB"/>
              </w:rPr>
            </w:pPr>
            <w:r w:rsidRPr="005A7D58">
              <w:rPr>
                <w:szCs w:val="22"/>
                <w:lang w:val="en-GB"/>
              </w:rPr>
              <w:t>Creatinine clearance decreased, nephritis, haematuria</w:t>
            </w:r>
          </w:p>
          <w:p w14:paraId="66B4E1A7" w14:textId="77777777" w:rsidR="002B6A81" w:rsidRPr="005A7D58" w:rsidRDefault="002B6A81" w:rsidP="00C50403">
            <w:pPr>
              <w:pStyle w:val="EMEANormal"/>
              <w:rPr>
                <w:szCs w:val="22"/>
                <w:lang w:val="en-GB"/>
              </w:rPr>
            </w:pPr>
          </w:p>
          <w:p w14:paraId="4441AC1E" w14:textId="77777777" w:rsidR="002B6A81" w:rsidRPr="005A7D58" w:rsidRDefault="002B6A81" w:rsidP="00C50403">
            <w:pPr>
              <w:pStyle w:val="EMEANormal"/>
              <w:rPr>
                <w:szCs w:val="22"/>
                <w:lang w:val="en-GB"/>
              </w:rPr>
            </w:pPr>
            <w:r w:rsidRPr="005A7D58">
              <w:rPr>
                <w:color w:val="000000"/>
                <w:szCs w:val="22"/>
              </w:rPr>
              <w:t>Nephrolithiasis</w:t>
            </w:r>
          </w:p>
        </w:tc>
      </w:tr>
      <w:tr w:rsidR="00E83E0F" w:rsidRPr="00342F7C" w14:paraId="740A14FB" w14:textId="77777777" w:rsidTr="00E4141B">
        <w:trPr>
          <w:cantSplit/>
          <w:trHeight w:val="519"/>
        </w:trPr>
        <w:tc>
          <w:tcPr>
            <w:tcW w:w="3029" w:type="dxa"/>
          </w:tcPr>
          <w:p w14:paraId="6C42DA9F" w14:textId="77777777" w:rsidR="00E83E0F" w:rsidRPr="00342F7C" w:rsidRDefault="00E83E0F" w:rsidP="00C50403">
            <w:pPr>
              <w:pStyle w:val="EMEANormal"/>
              <w:tabs>
                <w:tab w:val="clear" w:pos="562"/>
                <w:tab w:val="left" w:pos="7340"/>
              </w:tabs>
              <w:suppressAutoHyphens w:val="0"/>
              <w:rPr>
                <w:szCs w:val="22"/>
                <w:lang w:val="en-GB"/>
              </w:rPr>
            </w:pPr>
            <w:r w:rsidRPr="00342F7C">
              <w:rPr>
                <w:szCs w:val="22"/>
                <w:lang w:val="en-GB"/>
              </w:rPr>
              <w:t>Reproductive system and breast disorders</w:t>
            </w:r>
          </w:p>
        </w:tc>
        <w:tc>
          <w:tcPr>
            <w:tcW w:w="1657" w:type="dxa"/>
            <w:tcBorders>
              <w:top w:val="single" w:sz="4" w:space="0" w:color="auto"/>
            </w:tcBorders>
          </w:tcPr>
          <w:p w14:paraId="5BC9F6AD" w14:textId="77777777" w:rsidR="00E83E0F" w:rsidRPr="00342F7C" w:rsidRDefault="00E83E0F" w:rsidP="00C50403">
            <w:pPr>
              <w:pStyle w:val="EMEANormal"/>
              <w:rPr>
                <w:szCs w:val="22"/>
                <w:lang w:val="en-GB"/>
              </w:rPr>
            </w:pPr>
            <w:r w:rsidRPr="00342F7C">
              <w:rPr>
                <w:szCs w:val="22"/>
                <w:lang w:val="en-GB"/>
              </w:rPr>
              <w:t>Common</w:t>
            </w:r>
          </w:p>
        </w:tc>
        <w:tc>
          <w:tcPr>
            <w:tcW w:w="4374" w:type="dxa"/>
            <w:tcBorders>
              <w:top w:val="single" w:sz="4" w:space="0" w:color="auto"/>
            </w:tcBorders>
          </w:tcPr>
          <w:p w14:paraId="6E0940DB" w14:textId="77777777" w:rsidR="00E83E0F" w:rsidRPr="00342F7C" w:rsidRDefault="00E83E0F" w:rsidP="00C50403">
            <w:pPr>
              <w:pStyle w:val="EMEANormal"/>
              <w:rPr>
                <w:szCs w:val="22"/>
                <w:lang w:val="en-GB"/>
              </w:rPr>
            </w:pPr>
            <w:r w:rsidRPr="00342F7C">
              <w:rPr>
                <w:szCs w:val="22"/>
                <w:lang w:val="en-GB"/>
              </w:rPr>
              <w:t xml:space="preserve">Erectile dysfunction, menstrual disorders -  amenorrhoea, menorrhagia </w:t>
            </w:r>
          </w:p>
        </w:tc>
      </w:tr>
      <w:tr w:rsidR="00E83E0F" w:rsidRPr="00342F7C" w14:paraId="7F049630" w14:textId="77777777" w:rsidTr="00E4141B">
        <w:trPr>
          <w:cantSplit/>
          <w:trHeight w:val="527"/>
        </w:trPr>
        <w:tc>
          <w:tcPr>
            <w:tcW w:w="3029" w:type="dxa"/>
          </w:tcPr>
          <w:p w14:paraId="41D3D21A" w14:textId="77777777" w:rsidR="00E83E0F" w:rsidRPr="00342F7C" w:rsidRDefault="00E83E0F" w:rsidP="00C50403">
            <w:pPr>
              <w:pStyle w:val="EMEANormal"/>
              <w:tabs>
                <w:tab w:val="clear" w:pos="562"/>
                <w:tab w:val="left" w:pos="7340"/>
              </w:tabs>
              <w:suppressAutoHyphens w:val="0"/>
              <w:rPr>
                <w:szCs w:val="22"/>
                <w:lang w:val="en-GB"/>
              </w:rPr>
            </w:pPr>
            <w:r w:rsidRPr="00342F7C">
              <w:rPr>
                <w:szCs w:val="22"/>
                <w:lang w:val="en-GB"/>
              </w:rPr>
              <w:t>General disorders and administration site conditions</w:t>
            </w:r>
          </w:p>
        </w:tc>
        <w:tc>
          <w:tcPr>
            <w:tcW w:w="1657" w:type="dxa"/>
            <w:tcBorders>
              <w:top w:val="single" w:sz="4" w:space="0" w:color="auto"/>
            </w:tcBorders>
          </w:tcPr>
          <w:p w14:paraId="762FFF17" w14:textId="77777777" w:rsidR="00E83E0F" w:rsidRPr="00342F7C" w:rsidRDefault="00E83E0F" w:rsidP="00C50403">
            <w:pPr>
              <w:pStyle w:val="EMEANormal"/>
              <w:rPr>
                <w:szCs w:val="22"/>
                <w:lang w:val="en-GB"/>
              </w:rPr>
            </w:pPr>
            <w:r w:rsidRPr="00342F7C">
              <w:rPr>
                <w:szCs w:val="22"/>
                <w:lang w:val="en-GB"/>
              </w:rPr>
              <w:t>Common</w:t>
            </w:r>
          </w:p>
        </w:tc>
        <w:tc>
          <w:tcPr>
            <w:tcW w:w="4374" w:type="dxa"/>
            <w:tcBorders>
              <w:top w:val="single" w:sz="4" w:space="0" w:color="auto"/>
            </w:tcBorders>
          </w:tcPr>
          <w:p w14:paraId="2A5A18C8" w14:textId="77777777" w:rsidR="00E83E0F" w:rsidRPr="00342F7C" w:rsidRDefault="00E83E0F" w:rsidP="00560786">
            <w:pPr>
              <w:pStyle w:val="EMEANormal"/>
              <w:rPr>
                <w:szCs w:val="22"/>
                <w:lang w:val="en-GB"/>
              </w:rPr>
            </w:pPr>
            <w:r w:rsidRPr="00342F7C">
              <w:rPr>
                <w:szCs w:val="22"/>
                <w:lang w:val="en-GB"/>
              </w:rPr>
              <w:t>Fatigue including asthenia</w:t>
            </w:r>
          </w:p>
          <w:p w14:paraId="5D757B35" w14:textId="77777777" w:rsidR="00E83E0F" w:rsidRPr="00342F7C" w:rsidRDefault="00E83E0F" w:rsidP="00C50403">
            <w:pPr>
              <w:pStyle w:val="EMEANormal"/>
              <w:rPr>
                <w:szCs w:val="22"/>
                <w:lang w:val="en-GB"/>
              </w:rPr>
            </w:pPr>
          </w:p>
        </w:tc>
      </w:tr>
    </w:tbl>
    <w:p w14:paraId="6E02ABE4" w14:textId="77777777" w:rsidR="00D7303D" w:rsidRPr="00342F7C" w:rsidRDefault="00D7303D">
      <w:pPr>
        <w:pStyle w:val="EMEANormal"/>
        <w:rPr>
          <w:lang w:val="en-GB"/>
        </w:rPr>
      </w:pPr>
      <w:r w:rsidRPr="00342F7C">
        <w:rPr>
          <w:vertAlign w:val="superscript"/>
          <w:lang w:val="en-GB"/>
        </w:rPr>
        <w:t>1</w:t>
      </w:r>
      <w:r w:rsidRPr="00342F7C">
        <w:rPr>
          <w:lang w:val="en-GB"/>
        </w:rPr>
        <w:t xml:space="preserve"> See section 4.4: pancreatitis and lipids</w:t>
      </w:r>
    </w:p>
    <w:p w14:paraId="77893ECA" w14:textId="77777777" w:rsidR="00D7303D" w:rsidRPr="00342F7C" w:rsidRDefault="00D7303D">
      <w:pPr>
        <w:pStyle w:val="EMEANormal"/>
        <w:rPr>
          <w:lang w:val="en-GB"/>
        </w:rPr>
      </w:pPr>
    </w:p>
    <w:p w14:paraId="673ABA0D" w14:textId="77777777" w:rsidR="00D7303D" w:rsidRPr="00342F7C" w:rsidRDefault="00D7303D" w:rsidP="00751C7E">
      <w:pPr>
        <w:pStyle w:val="EMEANormal"/>
        <w:keepNext/>
        <w:rPr>
          <w:bCs/>
          <w:iCs/>
          <w:color w:val="000000"/>
          <w:szCs w:val="22"/>
          <w:u w:val="single"/>
          <w:lang w:val="en-GB" w:eastAsia="en-GB"/>
        </w:rPr>
      </w:pPr>
      <w:r w:rsidRPr="00342F7C">
        <w:rPr>
          <w:bCs/>
          <w:iCs/>
          <w:color w:val="000000"/>
          <w:szCs w:val="22"/>
          <w:u w:val="single"/>
          <w:lang w:val="en-GB" w:eastAsia="en-GB"/>
        </w:rPr>
        <w:t>c. Description of selected adverse reactions</w:t>
      </w:r>
    </w:p>
    <w:p w14:paraId="53006980" w14:textId="77777777" w:rsidR="00D7303D" w:rsidRPr="00342F7C" w:rsidRDefault="00D7303D" w:rsidP="00751C7E">
      <w:pPr>
        <w:pStyle w:val="EMEANormal"/>
        <w:keepNext/>
        <w:rPr>
          <w:b/>
          <w:bCs/>
          <w:i/>
          <w:iCs/>
          <w:color w:val="000000"/>
          <w:szCs w:val="22"/>
          <w:lang w:val="en-GB" w:eastAsia="en-GB"/>
        </w:rPr>
      </w:pPr>
    </w:p>
    <w:p w14:paraId="51DC391A" w14:textId="77777777" w:rsidR="00D7303D" w:rsidRPr="00342F7C" w:rsidRDefault="00D7303D" w:rsidP="00751C7E">
      <w:pPr>
        <w:pStyle w:val="EMEANormal"/>
        <w:keepNext/>
        <w:rPr>
          <w:szCs w:val="22"/>
          <w:lang w:val="en-GB"/>
        </w:rPr>
      </w:pPr>
      <w:r w:rsidRPr="00342F7C">
        <w:rPr>
          <w:szCs w:val="22"/>
          <w:lang w:val="en-GB"/>
        </w:rPr>
        <w:t>Cushing’s syndrome has been reported in patients receiving ritonavir and inhaled or intranasally administered fluticasone propionate; this could also occur with other corticosteroids metabolised via the P450 3A pathway e.g. budesonide (see section 4.4 and 4.5).</w:t>
      </w:r>
    </w:p>
    <w:p w14:paraId="08877FFA" w14:textId="77777777" w:rsidR="00D7303D" w:rsidRPr="00342F7C" w:rsidRDefault="00D7303D" w:rsidP="007E55C1">
      <w:pPr>
        <w:pStyle w:val="EMEANormal"/>
        <w:rPr>
          <w:szCs w:val="22"/>
          <w:lang w:val="en-GB"/>
        </w:rPr>
      </w:pPr>
    </w:p>
    <w:p w14:paraId="51455204" w14:textId="77777777" w:rsidR="00D7303D" w:rsidRPr="00342F7C" w:rsidRDefault="00D7303D" w:rsidP="00D13FD6">
      <w:pPr>
        <w:pStyle w:val="EMEANormal"/>
        <w:rPr>
          <w:szCs w:val="22"/>
          <w:lang w:val="en-GB"/>
        </w:rPr>
      </w:pPr>
      <w:r w:rsidRPr="00342F7C">
        <w:rPr>
          <w:szCs w:val="22"/>
          <w:lang w:val="en-GB"/>
        </w:rPr>
        <w:t>Increased creatine phosphokinase (CPK), myalgia, myositis, and rarely, rhabdomyolysis have been reported with protease inhibitors, particularly in combination with nucleoside reverse transcriptase inhibitors.</w:t>
      </w:r>
    </w:p>
    <w:p w14:paraId="6B684622" w14:textId="77777777" w:rsidR="00D7303D" w:rsidRPr="00342F7C" w:rsidRDefault="00D7303D" w:rsidP="00D13FD6">
      <w:pPr>
        <w:pStyle w:val="EMEANormal"/>
        <w:rPr>
          <w:szCs w:val="22"/>
          <w:lang w:val="en-GB"/>
        </w:rPr>
      </w:pPr>
    </w:p>
    <w:p w14:paraId="1A5768A9" w14:textId="77777777" w:rsidR="00CA7C65" w:rsidRPr="00CA7C65" w:rsidRDefault="00CA7C65" w:rsidP="00CA7C65">
      <w:pPr>
        <w:pStyle w:val="EMEANormal"/>
        <w:rPr>
          <w:szCs w:val="22"/>
          <w:u w:val="single"/>
          <w:lang w:val="en-GB"/>
        </w:rPr>
      </w:pPr>
      <w:r w:rsidRPr="00CA7C65">
        <w:rPr>
          <w:szCs w:val="22"/>
          <w:u w:val="single"/>
          <w:lang w:val="en-GB"/>
        </w:rPr>
        <w:t>Metabolic parameters</w:t>
      </w:r>
    </w:p>
    <w:p w14:paraId="2656DADC" w14:textId="77777777" w:rsidR="00D7303D" w:rsidRDefault="00CA7C65" w:rsidP="00CA7C65">
      <w:pPr>
        <w:pStyle w:val="EMEANormal"/>
        <w:rPr>
          <w:szCs w:val="22"/>
          <w:lang w:val="en-GB"/>
        </w:rPr>
      </w:pPr>
      <w:r>
        <w:rPr>
          <w:szCs w:val="22"/>
          <w:lang w:val="en-GB"/>
        </w:rPr>
        <w:t>Weight and levels of blood lipids and glucose may increase during antiretroviral therapy (see section 4.4).</w:t>
      </w:r>
    </w:p>
    <w:p w14:paraId="6D16FDFD" w14:textId="77777777" w:rsidR="00CA7C65" w:rsidRPr="00342F7C" w:rsidRDefault="00CA7C65" w:rsidP="00CA7C65">
      <w:pPr>
        <w:pStyle w:val="EMEANormal"/>
        <w:rPr>
          <w:szCs w:val="22"/>
          <w:lang w:val="en-GB"/>
        </w:rPr>
      </w:pPr>
    </w:p>
    <w:p w14:paraId="261ACB79" w14:textId="77777777" w:rsidR="00D7303D" w:rsidRPr="00342F7C" w:rsidRDefault="00D7303D" w:rsidP="00D13FD6">
      <w:pPr>
        <w:pStyle w:val="EMEANormal"/>
        <w:rPr>
          <w:szCs w:val="22"/>
          <w:lang w:val="en-GB"/>
        </w:rPr>
      </w:pPr>
      <w:r w:rsidRPr="00342F7C">
        <w:rPr>
          <w:szCs w:val="22"/>
          <w:lang w:val="en-GB"/>
        </w:rPr>
        <w:t>In HIV-infected patients with severe immune deficiency at the time of initiation of combination antiretroviral therapy (CART), an inflammatory reaction to asymptomatic or residual opportunistic infections may arise</w:t>
      </w:r>
      <w:r w:rsidRPr="00575ABB">
        <w:rPr>
          <w:szCs w:val="22"/>
          <w:lang w:val="en-GB"/>
        </w:rPr>
        <w:t xml:space="preserve">.  </w:t>
      </w:r>
      <w:r w:rsidRPr="00575ABB">
        <w:rPr>
          <w:szCs w:val="22"/>
        </w:rPr>
        <w:t>Autoimmune disorders (such as Graves’ disease</w:t>
      </w:r>
      <w:r w:rsidR="008168DF">
        <w:rPr>
          <w:szCs w:val="22"/>
        </w:rPr>
        <w:t xml:space="preserve"> </w:t>
      </w:r>
      <w:r w:rsidR="008168DF">
        <w:rPr>
          <w:lang w:val="en-GB"/>
        </w:rPr>
        <w:t>and autoimmune hepatitis</w:t>
      </w:r>
      <w:r w:rsidRPr="00575ABB">
        <w:rPr>
          <w:szCs w:val="22"/>
        </w:rPr>
        <w:t>) have also been reported; however, the reported time to onset is more variable and can occur many months after initiation of treatment</w:t>
      </w:r>
      <w:r w:rsidRPr="00342F7C">
        <w:rPr>
          <w:szCs w:val="22"/>
          <w:lang w:val="en-GB"/>
        </w:rPr>
        <w:t xml:space="preserve"> (see section 4.4).</w:t>
      </w:r>
    </w:p>
    <w:p w14:paraId="6CFC9E79" w14:textId="77777777" w:rsidR="00D7303D" w:rsidRPr="00342F7C" w:rsidRDefault="00D7303D" w:rsidP="00D13FD6">
      <w:pPr>
        <w:pStyle w:val="EMEANormal"/>
        <w:rPr>
          <w:szCs w:val="22"/>
          <w:lang w:val="en-GB"/>
        </w:rPr>
      </w:pPr>
    </w:p>
    <w:p w14:paraId="325866AB" w14:textId="77777777" w:rsidR="00D7303D" w:rsidRPr="00342F7C" w:rsidRDefault="00D7303D" w:rsidP="00D13FD6">
      <w:pPr>
        <w:pStyle w:val="EMEANormal"/>
        <w:rPr>
          <w:szCs w:val="22"/>
          <w:lang w:val="en-GB"/>
        </w:rPr>
      </w:pPr>
      <w:r w:rsidRPr="00342F7C">
        <w:rPr>
          <w:szCs w:val="22"/>
          <w:lang w:val="en-GB"/>
        </w:rPr>
        <w:t>Cases of osteonecrosis have been reported, particularly in patients with generally acknowledged risk factors, advanced HIV disease or long-term exposure to combination antiretroviral therapy (CART).  The frequency of this is unknown (see section 4.4).</w:t>
      </w:r>
    </w:p>
    <w:p w14:paraId="04677861" w14:textId="77777777" w:rsidR="00D7303D" w:rsidRPr="00342F7C" w:rsidRDefault="00D7303D" w:rsidP="00D13FD6">
      <w:pPr>
        <w:pStyle w:val="EMEANormal"/>
        <w:rPr>
          <w:szCs w:val="22"/>
          <w:lang w:val="en-GB"/>
        </w:rPr>
      </w:pPr>
    </w:p>
    <w:p w14:paraId="1081D4F1" w14:textId="77777777" w:rsidR="00D7303D" w:rsidRPr="00342F7C" w:rsidRDefault="00D7303D" w:rsidP="00D13FD6">
      <w:pPr>
        <w:autoSpaceDE w:val="0"/>
        <w:autoSpaceDN w:val="0"/>
        <w:adjustRightInd w:val="0"/>
        <w:rPr>
          <w:bCs/>
          <w:iCs/>
          <w:sz w:val="22"/>
          <w:szCs w:val="22"/>
          <w:u w:val="single"/>
        </w:rPr>
      </w:pPr>
      <w:r w:rsidRPr="00342F7C">
        <w:rPr>
          <w:bCs/>
          <w:iCs/>
          <w:sz w:val="22"/>
          <w:szCs w:val="22"/>
          <w:u w:val="single"/>
        </w:rPr>
        <w:t>d. Paediatric populations</w:t>
      </w:r>
    </w:p>
    <w:p w14:paraId="5FD2E1C3" w14:textId="77777777" w:rsidR="00D7303D" w:rsidRPr="00342F7C" w:rsidRDefault="00D7303D" w:rsidP="00D13FD6">
      <w:pPr>
        <w:pStyle w:val="BodyText"/>
        <w:suppressAutoHyphens/>
        <w:spacing w:before="0" w:after="0" w:line="240" w:lineRule="auto"/>
        <w:jc w:val="left"/>
        <w:rPr>
          <w:szCs w:val="22"/>
        </w:rPr>
      </w:pPr>
    </w:p>
    <w:p w14:paraId="382BE93B" w14:textId="77777777" w:rsidR="00402DC9" w:rsidRDefault="00D7303D" w:rsidP="00402DC9">
      <w:pPr>
        <w:pStyle w:val="EMEANormal"/>
        <w:rPr>
          <w:szCs w:val="22"/>
          <w:lang w:val="en-GB"/>
        </w:rPr>
      </w:pPr>
      <w:r w:rsidRPr="00342F7C">
        <w:rPr>
          <w:szCs w:val="22"/>
          <w:lang w:val="en-GB"/>
        </w:rPr>
        <w:t>In children 2 years of age and older, the nature of the safety profile is similar to that seen in adults (see Table in section b).</w:t>
      </w:r>
      <w:r w:rsidR="00402DC9" w:rsidRPr="00402DC9">
        <w:rPr>
          <w:szCs w:val="22"/>
          <w:lang w:val="en-GB"/>
        </w:rPr>
        <w:t xml:space="preserve"> </w:t>
      </w:r>
    </w:p>
    <w:p w14:paraId="079F4BC9" w14:textId="77777777" w:rsidR="00402DC9" w:rsidRDefault="00402DC9" w:rsidP="00402DC9">
      <w:pPr>
        <w:pStyle w:val="EMEANormal"/>
        <w:rPr>
          <w:szCs w:val="22"/>
          <w:lang w:val="en-GB"/>
        </w:rPr>
      </w:pPr>
    </w:p>
    <w:p w14:paraId="052B1F36" w14:textId="77777777" w:rsidR="00402DC9" w:rsidRPr="00402DC9" w:rsidRDefault="00402DC9" w:rsidP="00402DC9">
      <w:pPr>
        <w:pStyle w:val="EMEANormal"/>
        <w:rPr>
          <w:szCs w:val="22"/>
          <w:u w:val="single"/>
          <w:lang w:val="en-GB"/>
        </w:rPr>
      </w:pPr>
      <w:r w:rsidRPr="00402DC9">
        <w:rPr>
          <w:szCs w:val="22"/>
          <w:u w:val="single"/>
          <w:lang w:val="en-GB"/>
        </w:rPr>
        <w:t>Reporting of suspected adverse reactions</w:t>
      </w:r>
    </w:p>
    <w:p w14:paraId="62590F24" w14:textId="77777777" w:rsidR="00D7303D" w:rsidRDefault="00402DC9" w:rsidP="00402DC9">
      <w:pPr>
        <w:pStyle w:val="EMEANormal"/>
        <w:rPr>
          <w:color w:val="0000FF"/>
          <w:szCs w:val="22"/>
        </w:rPr>
      </w:pPr>
      <w:r>
        <w:rPr>
          <w:szCs w:val="22"/>
          <w:lang w:val="en-GB"/>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w:t>
      </w:r>
      <w:r>
        <w:rPr>
          <w:szCs w:val="22"/>
        </w:rPr>
        <w:t xml:space="preserve">via </w:t>
      </w:r>
      <w:r w:rsidRPr="00402DC9">
        <w:rPr>
          <w:szCs w:val="22"/>
          <w:highlight w:val="lightGray"/>
        </w:rPr>
        <w:t xml:space="preserve">the national reporting system listed in </w:t>
      </w:r>
      <w:hyperlink r:id="rId15" w:history="1">
        <w:r w:rsidRPr="00AC0B47">
          <w:rPr>
            <w:rStyle w:val="Hyperlink"/>
            <w:szCs w:val="22"/>
            <w:highlight w:val="lightGray"/>
          </w:rPr>
          <w:t>Appendix V</w:t>
        </w:r>
      </w:hyperlink>
      <w:r>
        <w:rPr>
          <w:color w:val="0000FF"/>
          <w:szCs w:val="22"/>
        </w:rPr>
        <w:t>.</w:t>
      </w:r>
    </w:p>
    <w:p w14:paraId="0DA6BE95" w14:textId="77777777" w:rsidR="00751C7E" w:rsidRPr="00342F7C" w:rsidRDefault="00751C7E" w:rsidP="00402DC9">
      <w:pPr>
        <w:pStyle w:val="EMEANormal"/>
        <w:rPr>
          <w:lang w:val="en-GB"/>
        </w:rPr>
      </w:pPr>
    </w:p>
    <w:p w14:paraId="50EA2030" w14:textId="77777777" w:rsidR="00D7303D" w:rsidRDefault="00D7303D" w:rsidP="003439BF">
      <w:pPr>
        <w:pStyle w:val="EMEAHeading2SPC"/>
        <w:keepNext/>
        <w:spacing w:beforeLines="0" w:before="0" w:afterLines="0" w:after="0"/>
        <w:rPr>
          <w:rFonts w:ascii="Times New Roman" w:hAnsi="Times New Roman"/>
          <w:lang w:val="en-GB"/>
        </w:rPr>
      </w:pPr>
      <w:r w:rsidRPr="00342F7C">
        <w:rPr>
          <w:rFonts w:ascii="Times New Roman" w:hAnsi="Times New Roman"/>
          <w:lang w:val="en-GB"/>
        </w:rPr>
        <w:t>4.9</w:t>
      </w:r>
      <w:r w:rsidRPr="00342F7C">
        <w:rPr>
          <w:rFonts w:ascii="Times New Roman" w:hAnsi="Times New Roman"/>
          <w:lang w:val="en-GB"/>
        </w:rPr>
        <w:tab/>
        <w:t>Overdose</w:t>
      </w:r>
    </w:p>
    <w:p w14:paraId="40E1A4E8" w14:textId="77777777" w:rsidR="00751C7E" w:rsidRPr="00751C7E" w:rsidRDefault="00751C7E" w:rsidP="003439BF">
      <w:pPr>
        <w:pStyle w:val="EMEANormal"/>
        <w:keepNext/>
        <w:rPr>
          <w:lang w:val="en-GB"/>
        </w:rPr>
      </w:pPr>
    </w:p>
    <w:p w14:paraId="2B803F76" w14:textId="77777777" w:rsidR="00D7303D" w:rsidRPr="00342F7C" w:rsidRDefault="00D7303D">
      <w:pPr>
        <w:pStyle w:val="EMEANormal"/>
        <w:rPr>
          <w:lang w:val="en-GB"/>
        </w:rPr>
      </w:pPr>
      <w:r w:rsidRPr="00342F7C">
        <w:rPr>
          <w:lang w:val="en-GB"/>
        </w:rPr>
        <w:t>To date, there is limited human experience of acute overdose with Kaletra.</w:t>
      </w:r>
    </w:p>
    <w:p w14:paraId="720F49E9" w14:textId="77777777" w:rsidR="00D7303D" w:rsidRPr="00342F7C" w:rsidRDefault="00D7303D">
      <w:pPr>
        <w:pStyle w:val="EMEANormal"/>
        <w:rPr>
          <w:lang w:val="en-GB"/>
        </w:rPr>
      </w:pPr>
    </w:p>
    <w:p w14:paraId="4F936AC0" w14:textId="77777777" w:rsidR="00D7303D" w:rsidRPr="00342F7C" w:rsidRDefault="00D7303D">
      <w:pPr>
        <w:pStyle w:val="EMEANormal"/>
        <w:rPr>
          <w:lang w:val="en-GB"/>
        </w:rPr>
      </w:pPr>
      <w:r w:rsidRPr="00342F7C">
        <w:rPr>
          <w:lang w:val="en-GB"/>
        </w:rPr>
        <w:t xml:space="preserve">The adverse clinical signs observed in dogs included salivation, emesis and diarrhoea/abnormal stool.  The signs of toxicity observed in mice, rats or dogs included decreased activity, ataxia, emaciation, dehydration and tremors. </w:t>
      </w:r>
    </w:p>
    <w:p w14:paraId="6573325F" w14:textId="77777777" w:rsidR="00D7303D" w:rsidRPr="00342F7C" w:rsidRDefault="00D7303D">
      <w:pPr>
        <w:pStyle w:val="EMEANormal"/>
        <w:rPr>
          <w:lang w:val="en-GB"/>
        </w:rPr>
      </w:pPr>
    </w:p>
    <w:p w14:paraId="0F605290" w14:textId="77777777" w:rsidR="00D7303D" w:rsidRDefault="00D7303D">
      <w:pPr>
        <w:pStyle w:val="EMEANormal"/>
        <w:rPr>
          <w:lang w:val="en-GB"/>
        </w:rPr>
      </w:pPr>
      <w:r w:rsidRPr="00342F7C">
        <w:rPr>
          <w:lang w:val="en-GB"/>
        </w:rPr>
        <w:t>There is no specific antidote for overdose with Kaletra.  Treatment of overdose with Kaletra is to consist of general supportive measures including monitoring of vital signs and observation of the clinical status of the patient.  If indicated, elimination of unabsorbed active substance is to be achieved by emesis or gastric lavage.  Administration of activated charcoal may also be used to aid in removal of unabsorbed active substance.  Since Kaletra is highly protein bound, dialysis is unlikely to be beneficial in significant removal of the active substance.</w:t>
      </w:r>
    </w:p>
    <w:p w14:paraId="7D4C0EF0" w14:textId="77777777" w:rsidR="00751C7E" w:rsidRDefault="00751C7E">
      <w:pPr>
        <w:pStyle w:val="EMEANormal"/>
        <w:rPr>
          <w:lang w:val="en-GB"/>
        </w:rPr>
      </w:pPr>
    </w:p>
    <w:p w14:paraId="69E608F8" w14:textId="77777777" w:rsidR="00751C7E" w:rsidRPr="00342F7C" w:rsidRDefault="00751C7E">
      <w:pPr>
        <w:pStyle w:val="EMEANormal"/>
        <w:rPr>
          <w:lang w:val="en-GB"/>
        </w:rPr>
      </w:pPr>
    </w:p>
    <w:p w14:paraId="38F2EEA2" w14:textId="77777777" w:rsidR="00D7303D" w:rsidRDefault="00266A4D" w:rsidP="003439BF">
      <w:pPr>
        <w:pStyle w:val="EMEAHeading1"/>
        <w:spacing w:beforeLines="0" w:before="0" w:afterLines="0" w:after="0"/>
        <w:rPr>
          <w:rFonts w:ascii="Times New Roman" w:hAnsi="Times New Roman"/>
          <w:lang w:val="en-GB"/>
        </w:rPr>
      </w:pPr>
      <w:r>
        <w:rPr>
          <w:rFonts w:ascii="Times New Roman" w:hAnsi="Times New Roman"/>
          <w:lang w:val="en-GB"/>
        </w:rPr>
        <w:t>5.</w:t>
      </w:r>
      <w:r w:rsidR="00D7303D" w:rsidRPr="00342F7C">
        <w:rPr>
          <w:rFonts w:ascii="Times New Roman" w:hAnsi="Times New Roman"/>
          <w:lang w:val="en-GB"/>
        </w:rPr>
        <w:tab/>
        <w:t>Pharmacological properties</w:t>
      </w:r>
    </w:p>
    <w:p w14:paraId="5AB97CD7" w14:textId="77777777" w:rsidR="00751C7E" w:rsidRPr="00751C7E" w:rsidRDefault="00751C7E" w:rsidP="003439BF">
      <w:pPr>
        <w:pStyle w:val="EMEANormal"/>
        <w:rPr>
          <w:lang w:val="en-GB"/>
        </w:rPr>
      </w:pPr>
    </w:p>
    <w:p w14:paraId="18F72298" w14:textId="77777777" w:rsidR="00D7303D" w:rsidRDefault="00266A4D" w:rsidP="003439BF">
      <w:pPr>
        <w:pStyle w:val="EMEAHeading2SPC"/>
        <w:spacing w:beforeLines="0" w:before="0" w:afterLines="0" w:after="0"/>
        <w:rPr>
          <w:rFonts w:ascii="Times New Roman" w:hAnsi="Times New Roman"/>
          <w:lang w:val="en-GB"/>
        </w:rPr>
      </w:pPr>
      <w:r>
        <w:rPr>
          <w:rFonts w:ascii="Times New Roman" w:hAnsi="Times New Roman"/>
          <w:lang w:val="en-GB"/>
        </w:rPr>
        <w:t>5.1</w:t>
      </w:r>
      <w:r w:rsidR="00D7303D" w:rsidRPr="00342F7C">
        <w:rPr>
          <w:rFonts w:ascii="Times New Roman" w:hAnsi="Times New Roman"/>
          <w:lang w:val="en-GB"/>
        </w:rPr>
        <w:tab/>
        <w:t>Pharmacodynamic properties</w:t>
      </w:r>
    </w:p>
    <w:p w14:paraId="5BF6D691" w14:textId="77777777" w:rsidR="00751C7E" w:rsidRPr="00751C7E" w:rsidRDefault="00751C7E" w:rsidP="003439BF">
      <w:pPr>
        <w:pStyle w:val="EMEANormal"/>
        <w:rPr>
          <w:lang w:val="en-GB"/>
        </w:rPr>
      </w:pPr>
    </w:p>
    <w:p w14:paraId="27925F1B" w14:textId="77777777" w:rsidR="00D7303D" w:rsidRPr="00342F7C" w:rsidRDefault="00D7303D" w:rsidP="003439BF">
      <w:pPr>
        <w:pStyle w:val="EMEANormal"/>
        <w:rPr>
          <w:lang w:val="en-GB"/>
        </w:rPr>
      </w:pPr>
      <w:r w:rsidRPr="00342F7C">
        <w:rPr>
          <w:lang w:val="en-GB"/>
        </w:rPr>
        <w:t xml:space="preserve">Pharmaco-therapeutic group: antivirals for systemic use, </w:t>
      </w:r>
      <w:r w:rsidR="00EB6A7C">
        <w:rPr>
          <w:lang w:val="en-GB"/>
        </w:rPr>
        <w:t>a</w:t>
      </w:r>
      <w:r w:rsidR="00402DC9">
        <w:t>ntivirals for treatment of HIV infections, combinations</w:t>
      </w:r>
      <w:r w:rsidRPr="00342F7C">
        <w:rPr>
          <w:lang w:val="en-GB"/>
        </w:rPr>
        <w:t xml:space="preserve">, ATC code: </w:t>
      </w:r>
      <w:r w:rsidR="0059049B">
        <w:rPr>
          <w:lang w:val="en-GB"/>
        </w:rPr>
        <w:t>J05AR10</w:t>
      </w:r>
      <w:r w:rsidRPr="00342F7C">
        <w:rPr>
          <w:lang w:val="en-GB"/>
        </w:rPr>
        <w:t xml:space="preserve"> </w:t>
      </w:r>
    </w:p>
    <w:p w14:paraId="35574DE6" w14:textId="77777777" w:rsidR="00D7303D" w:rsidRPr="00342F7C" w:rsidRDefault="00D7303D" w:rsidP="003439BF">
      <w:pPr>
        <w:pStyle w:val="EMEANormal"/>
        <w:rPr>
          <w:lang w:val="en-GB"/>
        </w:rPr>
      </w:pPr>
    </w:p>
    <w:p w14:paraId="71544825" w14:textId="77777777" w:rsidR="000306BE" w:rsidRPr="0017061C" w:rsidRDefault="00D7303D" w:rsidP="003439BF">
      <w:pPr>
        <w:pStyle w:val="EMEANormal"/>
        <w:rPr>
          <w:u w:val="single"/>
          <w:lang w:val="en-GB"/>
        </w:rPr>
      </w:pPr>
      <w:r w:rsidRPr="0017061C">
        <w:rPr>
          <w:u w:val="single"/>
          <w:lang w:val="en-GB"/>
        </w:rPr>
        <w:t>Mechanism of action</w:t>
      </w:r>
    </w:p>
    <w:p w14:paraId="49609A3E" w14:textId="77777777" w:rsidR="00D7303D" w:rsidRPr="00342F7C" w:rsidRDefault="000306BE">
      <w:pPr>
        <w:pStyle w:val="EMEANormal"/>
        <w:rPr>
          <w:lang w:val="en-GB"/>
        </w:rPr>
      </w:pPr>
      <w:r>
        <w:rPr>
          <w:lang w:val="en-GB"/>
        </w:rPr>
        <w:t>L</w:t>
      </w:r>
      <w:r w:rsidR="00D7303D" w:rsidRPr="00342F7C">
        <w:rPr>
          <w:snapToGrid w:val="0"/>
          <w:lang w:val="en-GB"/>
        </w:rPr>
        <w:t xml:space="preserve">opinavir provides the antiviral activity of Kaletra.  </w:t>
      </w:r>
      <w:r w:rsidR="00D7303D" w:rsidRPr="00342F7C">
        <w:rPr>
          <w:lang w:val="en-GB"/>
        </w:rPr>
        <w:t xml:space="preserve">Lopinavir is an inhibitor of the HIV-1 and HIV-2 proteases.  Inhibition of HIV protease prevents cleavage of the </w:t>
      </w:r>
      <w:r w:rsidR="00D7303D" w:rsidRPr="00342F7C">
        <w:rPr>
          <w:i/>
          <w:lang w:val="en-GB"/>
        </w:rPr>
        <w:t>gag-pol</w:t>
      </w:r>
      <w:r w:rsidR="00D7303D" w:rsidRPr="00342F7C">
        <w:rPr>
          <w:lang w:val="en-GB"/>
        </w:rPr>
        <w:t xml:space="preserve"> polyprotein resulting in the production of immature, non-infectious virus. </w:t>
      </w:r>
    </w:p>
    <w:p w14:paraId="1A0A1E75" w14:textId="77777777" w:rsidR="00D7303D" w:rsidRPr="00342F7C" w:rsidRDefault="00D7303D">
      <w:pPr>
        <w:pStyle w:val="EMEANormal"/>
        <w:rPr>
          <w:lang w:val="en-GB"/>
        </w:rPr>
      </w:pPr>
    </w:p>
    <w:p w14:paraId="113F317E" w14:textId="77777777" w:rsidR="000306BE" w:rsidRPr="0017061C" w:rsidRDefault="00D7303D">
      <w:pPr>
        <w:pStyle w:val="EMEANormal"/>
        <w:rPr>
          <w:iCs/>
          <w:u w:val="single"/>
          <w:lang w:val="en-GB"/>
        </w:rPr>
      </w:pPr>
      <w:r w:rsidRPr="0017061C">
        <w:rPr>
          <w:iCs/>
          <w:u w:val="single"/>
          <w:lang w:val="en-GB"/>
        </w:rPr>
        <w:t>Effects on the electrocardiogram</w:t>
      </w:r>
    </w:p>
    <w:p w14:paraId="405A7116" w14:textId="77777777" w:rsidR="00D7303D" w:rsidRPr="00342F7C" w:rsidRDefault="00D7303D">
      <w:pPr>
        <w:pStyle w:val="EMEANormal"/>
        <w:rPr>
          <w:rFonts w:eastAsia="Arial"/>
          <w:lang w:val="en-GB"/>
        </w:rPr>
      </w:pPr>
      <w:r w:rsidRPr="00342F7C">
        <w:rPr>
          <w:rFonts w:eastAsia="Arial"/>
          <w:lang w:val="en-GB"/>
        </w:rPr>
        <w:t xml:space="preserve">QTcF interval was evaluated in a randomised, placebo and active (moxifloxacin 400 mg once daily) controlled crossover study in 39 healthy adults, with 10 measurements over 12 hours on Day 3.  The maximum mean (95% upper confidence bound) differences in QTcF from placebo were 3.6 (6.3) and 13.1(15.8) for 400/100 mg twice daily and supratherapeutic 800/200 mg twice daily LPV/r, respectively.  </w:t>
      </w:r>
      <w:r w:rsidRPr="00342F7C">
        <w:rPr>
          <w:szCs w:val="22"/>
          <w:lang w:val="en-GB"/>
        </w:rPr>
        <w:t xml:space="preserve">The induced QRS interval prolongation from 6 ms to 9.5 ms with high dose lopinavir/ritonavir (800/200 mg twice daily) contributes to QT prolongation.  </w:t>
      </w:r>
      <w:r w:rsidRPr="00342F7C">
        <w:rPr>
          <w:rFonts w:eastAsia="Arial"/>
          <w:lang w:val="en-GB"/>
        </w:rPr>
        <w:t>The two regimens resulted in exposures on Day 3 which were approximately 1.5 and 3</w:t>
      </w:r>
      <w:r w:rsidRPr="00342F7C">
        <w:rPr>
          <w:rFonts w:eastAsia="Arial"/>
          <w:lang w:val="en-GB"/>
        </w:rPr>
        <w:noBreakHyphen/>
        <w:t>fold higher than those observed with recommended once</w:t>
      </w:r>
      <w:r w:rsidR="00002FFE">
        <w:rPr>
          <w:rFonts w:eastAsia="Arial"/>
          <w:lang w:val="en-GB"/>
        </w:rPr>
        <w:noBreakHyphen/>
      </w:r>
      <w:r w:rsidRPr="00342F7C">
        <w:rPr>
          <w:rFonts w:eastAsia="Arial"/>
          <w:lang w:val="en-GB"/>
        </w:rPr>
        <w:t>daily or twice</w:t>
      </w:r>
      <w:r w:rsidR="00002FFE">
        <w:rPr>
          <w:rFonts w:eastAsia="Arial"/>
          <w:lang w:val="en-GB"/>
        </w:rPr>
        <w:noBreakHyphen/>
      </w:r>
      <w:r w:rsidRPr="00342F7C">
        <w:rPr>
          <w:rFonts w:eastAsia="Arial"/>
          <w:lang w:val="en-GB"/>
        </w:rPr>
        <w:t xml:space="preserve">daily LPV/r doses at steady state.  No subject experienced an increase in QTcF of </w:t>
      </w:r>
      <w:r w:rsidRPr="00342F7C">
        <w:rPr>
          <w:rFonts w:eastAsia="Arial"/>
          <w:lang w:val="en-GB"/>
        </w:rPr>
        <w:sym w:font="Symbol" w:char="F0B3"/>
      </w:r>
      <w:r w:rsidRPr="00342F7C">
        <w:rPr>
          <w:rFonts w:eastAsia="Arial"/>
          <w:lang w:val="en-GB"/>
        </w:rPr>
        <w:t> 60 ms from baseline or a QTcF interval exceeding the potentially clinically relevant threshold of 500 ms.</w:t>
      </w:r>
    </w:p>
    <w:p w14:paraId="68B12950" w14:textId="77777777" w:rsidR="00D7303D" w:rsidRPr="00342F7C" w:rsidRDefault="00D7303D">
      <w:pPr>
        <w:pStyle w:val="EMEANormal"/>
        <w:rPr>
          <w:rFonts w:eastAsia="Arial"/>
          <w:lang w:val="en-GB"/>
        </w:rPr>
      </w:pPr>
    </w:p>
    <w:p w14:paraId="6F8AD779" w14:textId="77777777" w:rsidR="00D7303D" w:rsidRPr="00342F7C" w:rsidRDefault="00D7303D">
      <w:pPr>
        <w:pStyle w:val="EMEANormal"/>
        <w:rPr>
          <w:lang w:val="en-GB"/>
        </w:rPr>
      </w:pPr>
      <w:r w:rsidRPr="00342F7C">
        <w:rPr>
          <w:szCs w:val="14"/>
          <w:lang w:val="en-GB"/>
        </w:rPr>
        <w:t xml:space="preserve">Modest prolongation of the PR interval was also noted in subjects receiving lopinavir/ritonavir in the same study on Day 3.  </w:t>
      </w:r>
      <w:r w:rsidRPr="00342F7C">
        <w:rPr>
          <w:szCs w:val="22"/>
          <w:lang w:val="en-GB"/>
        </w:rPr>
        <w:t>The mean changes from baseline in PR interval ranged from 11.6 ms to 24.4 ms in the 12 hour interval post dose.</w:t>
      </w:r>
      <w:r w:rsidRPr="00342F7C">
        <w:rPr>
          <w:b/>
          <w:bCs/>
          <w:i/>
          <w:iCs/>
          <w:szCs w:val="22"/>
          <w:lang w:val="en-GB"/>
        </w:rPr>
        <w:t xml:space="preserve">  </w:t>
      </w:r>
      <w:r w:rsidRPr="00342F7C">
        <w:rPr>
          <w:szCs w:val="14"/>
          <w:lang w:val="en-GB"/>
        </w:rPr>
        <w:t>Maximum PR interval was 286 ms and no second or third degree heart block was observed (see section 4.4).</w:t>
      </w:r>
    </w:p>
    <w:p w14:paraId="3C792F00" w14:textId="77777777" w:rsidR="00D7303D" w:rsidRPr="00342F7C" w:rsidRDefault="00D7303D">
      <w:pPr>
        <w:pStyle w:val="EMEANormal"/>
        <w:rPr>
          <w:lang w:val="en-GB"/>
        </w:rPr>
      </w:pPr>
    </w:p>
    <w:p w14:paraId="100CD829" w14:textId="77777777" w:rsidR="000306BE" w:rsidRPr="0017061C" w:rsidRDefault="00D7303D">
      <w:pPr>
        <w:pStyle w:val="EMEANormal"/>
        <w:rPr>
          <w:u w:val="single"/>
          <w:lang w:val="en-GB"/>
        </w:rPr>
      </w:pPr>
      <w:r w:rsidRPr="0017061C">
        <w:rPr>
          <w:u w:val="single"/>
          <w:lang w:val="en-GB"/>
        </w:rPr>
        <w:t xml:space="preserve">Antiviral activity </w:t>
      </w:r>
      <w:r w:rsidRPr="009F192A">
        <w:rPr>
          <w:i/>
          <w:u w:val="single"/>
          <w:lang w:val="en-GB"/>
        </w:rPr>
        <w:t>in vitro</w:t>
      </w:r>
    </w:p>
    <w:p w14:paraId="57CD6978" w14:textId="77777777" w:rsidR="00D7303D" w:rsidRPr="00342F7C" w:rsidRDefault="000306BE">
      <w:pPr>
        <w:pStyle w:val="EMEANormal"/>
        <w:rPr>
          <w:lang w:val="en-GB"/>
        </w:rPr>
      </w:pPr>
      <w:r>
        <w:rPr>
          <w:lang w:val="en-GB"/>
        </w:rPr>
        <w:t>T</w:t>
      </w:r>
      <w:r w:rsidR="00D7303D" w:rsidRPr="00342F7C">
        <w:rPr>
          <w:lang w:val="en-GB"/>
        </w:rPr>
        <w:t xml:space="preserve">he </w:t>
      </w:r>
      <w:r w:rsidR="00D7303D" w:rsidRPr="00342F7C">
        <w:rPr>
          <w:i/>
          <w:lang w:val="en-GB"/>
        </w:rPr>
        <w:t xml:space="preserve">in vitro </w:t>
      </w:r>
      <w:r w:rsidR="00D7303D" w:rsidRPr="00342F7C">
        <w:rPr>
          <w:lang w:val="en-GB"/>
        </w:rPr>
        <w:t>antiviral activity of lopinavir against laboratory and clinical HIV strains was evaluated in acutely infected lymphoblastic cell lines and peripheral blood lymphocytes, respectively.  In the absence of human serum, the mean IC</w:t>
      </w:r>
      <w:r w:rsidR="00D7303D" w:rsidRPr="00342F7C">
        <w:rPr>
          <w:vertAlign w:val="subscript"/>
          <w:lang w:val="en-GB"/>
        </w:rPr>
        <w:t>50</w:t>
      </w:r>
      <w:r w:rsidR="00D7303D" w:rsidRPr="00342F7C">
        <w:rPr>
          <w:lang w:val="en-GB"/>
        </w:rPr>
        <w:t xml:space="preserve"> of lopinavir against five different HIV-1 laboratory strains was 19 nM.  In the absence and presence of 50% human serum, the mean IC</w:t>
      </w:r>
      <w:r w:rsidR="00D7303D" w:rsidRPr="00342F7C">
        <w:rPr>
          <w:vertAlign w:val="subscript"/>
          <w:lang w:val="en-GB"/>
        </w:rPr>
        <w:t>50</w:t>
      </w:r>
      <w:r w:rsidR="00D7303D" w:rsidRPr="00342F7C">
        <w:rPr>
          <w:lang w:val="en-GB"/>
        </w:rPr>
        <w:t xml:space="preserve"> of lopinavir against HIV-1</w:t>
      </w:r>
      <w:r w:rsidR="00D7303D" w:rsidRPr="00342F7C">
        <w:rPr>
          <w:vertAlign w:val="subscript"/>
          <w:lang w:val="en-GB"/>
        </w:rPr>
        <w:t>IIIB</w:t>
      </w:r>
      <w:r w:rsidR="00D7303D" w:rsidRPr="00342F7C">
        <w:rPr>
          <w:lang w:val="en-GB"/>
        </w:rPr>
        <w:t xml:space="preserve"> in MT4 cells was 17 nM and 102 nM, respectively.  In the absence of human serum, the mean IC</w:t>
      </w:r>
      <w:r w:rsidR="00D7303D" w:rsidRPr="00342F7C">
        <w:rPr>
          <w:vertAlign w:val="subscript"/>
          <w:lang w:val="en-GB"/>
        </w:rPr>
        <w:t>50</w:t>
      </w:r>
      <w:r w:rsidR="00D7303D" w:rsidRPr="00342F7C">
        <w:rPr>
          <w:lang w:val="en-GB"/>
        </w:rPr>
        <w:t xml:space="preserve"> of lopinavir was 6.5 nM against several HIV-1 clinical isolates.</w:t>
      </w:r>
    </w:p>
    <w:p w14:paraId="7E5412DB" w14:textId="77777777" w:rsidR="00751C7E" w:rsidRDefault="00751C7E" w:rsidP="00751C7E">
      <w:pPr>
        <w:pStyle w:val="EMEAHeadingUI"/>
        <w:spacing w:beforeLines="0" w:before="0" w:afterLines="0" w:after="0"/>
        <w:rPr>
          <w:lang w:val="en-GB"/>
        </w:rPr>
      </w:pPr>
    </w:p>
    <w:p w14:paraId="7A645BD5" w14:textId="77777777" w:rsidR="00D7303D" w:rsidRDefault="00D7303D" w:rsidP="003439BF">
      <w:pPr>
        <w:pStyle w:val="EMEAHeadingUI"/>
        <w:keepNext/>
        <w:spacing w:beforeLines="0" w:before="0" w:afterLines="0" w:after="0"/>
        <w:rPr>
          <w:lang w:val="en-GB"/>
        </w:rPr>
      </w:pPr>
      <w:r w:rsidRPr="00342F7C">
        <w:rPr>
          <w:lang w:val="en-GB"/>
        </w:rPr>
        <w:t>Resistance</w:t>
      </w:r>
    </w:p>
    <w:p w14:paraId="7723F961" w14:textId="77777777" w:rsidR="00751C7E" w:rsidRPr="00751C7E" w:rsidRDefault="00751C7E" w:rsidP="003439BF">
      <w:pPr>
        <w:pStyle w:val="EMEANormal"/>
        <w:keepNext/>
        <w:rPr>
          <w:lang w:val="en-GB"/>
        </w:rPr>
      </w:pPr>
    </w:p>
    <w:p w14:paraId="3A22F9F2" w14:textId="77777777" w:rsidR="00D7303D" w:rsidRPr="00342F7C" w:rsidRDefault="00D7303D" w:rsidP="003439BF">
      <w:pPr>
        <w:pStyle w:val="EMEANormal"/>
        <w:keepNext/>
        <w:rPr>
          <w:lang w:val="en-GB"/>
        </w:rPr>
      </w:pPr>
      <w:r w:rsidRPr="00342F7C">
        <w:rPr>
          <w:i/>
          <w:iCs/>
          <w:lang w:val="en-GB"/>
        </w:rPr>
        <w:t>In vitro selection of resistance</w:t>
      </w:r>
    </w:p>
    <w:p w14:paraId="6ADB8E8E" w14:textId="77777777" w:rsidR="00D7303D" w:rsidRPr="00342F7C" w:rsidRDefault="00D7303D" w:rsidP="003439BF">
      <w:pPr>
        <w:pStyle w:val="EMEANormal"/>
        <w:keepNext/>
        <w:rPr>
          <w:lang w:val="en-GB"/>
        </w:rPr>
      </w:pPr>
      <w:r w:rsidRPr="00342F7C">
        <w:rPr>
          <w:lang w:val="en-GB"/>
        </w:rPr>
        <w:t xml:space="preserve">HIV-1 isolates with reduced susceptibility to lopinavir have been selected </w:t>
      </w:r>
      <w:r w:rsidRPr="00342F7C">
        <w:rPr>
          <w:i/>
          <w:lang w:val="en-GB"/>
        </w:rPr>
        <w:t>in vitro</w:t>
      </w:r>
      <w:r w:rsidRPr="00342F7C">
        <w:rPr>
          <w:lang w:val="en-GB"/>
        </w:rPr>
        <w:t xml:space="preserve">.  HIV-1 has been passaged </w:t>
      </w:r>
      <w:r w:rsidRPr="00342F7C">
        <w:rPr>
          <w:i/>
          <w:lang w:val="en-GB"/>
        </w:rPr>
        <w:t>in vitro</w:t>
      </w:r>
      <w:r w:rsidRPr="00342F7C">
        <w:rPr>
          <w:lang w:val="en-GB"/>
        </w:rPr>
        <w:t xml:space="preserve"> with lopinavir alone and with lopinavir plus ritonavir at concentration ratios representing the range of plasma concentration ratios observed during Kaletra therapy.  Genotypic and phenotypic analysis of viruses selected in these passages suggest that the presence of ritonavir, at these concentration ratios, does not measurably influence the selection of lopinavir-resistant viruses.  Overall, the </w:t>
      </w:r>
      <w:r w:rsidRPr="00342F7C">
        <w:rPr>
          <w:i/>
          <w:lang w:val="en-GB"/>
        </w:rPr>
        <w:t>in vitro</w:t>
      </w:r>
      <w:r w:rsidRPr="00342F7C">
        <w:rPr>
          <w:lang w:val="en-GB"/>
        </w:rPr>
        <w:t xml:space="preserve"> characterisation of phenotypic cross-resistance between lopinavir and other protease inhibitors suggest that decreased susceptibility to lopinavir correlated closely with decreased susceptibility to ritonavir and indinavir, but did not correlate closely with decreased susceptibility to amprenavir, saquinavir, and nelfinavir.</w:t>
      </w:r>
    </w:p>
    <w:p w14:paraId="03F8CF08" w14:textId="77777777" w:rsidR="00D7303D" w:rsidRPr="00342F7C" w:rsidRDefault="00D7303D">
      <w:pPr>
        <w:pStyle w:val="EMEANormal"/>
        <w:rPr>
          <w:lang w:val="en-GB"/>
        </w:rPr>
      </w:pPr>
    </w:p>
    <w:p w14:paraId="7B2B19AE" w14:textId="77777777" w:rsidR="00D7303D" w:rsidRPr="00342F7C" w:rsidRDefault="00D7303D" w:rsidP="005E4D30">
      <w:pPr>
        <w:pStyle w:val="EMEANormal"/>
        <w:tabs>
          <w:tab w:val="clear" w:pos="562"/>
          <w:tab w:val="left" w:pos="0"/>
        </w:tabs>
        <w:rPr>
          <w:lang w:val="en-GB"/>
        </w:rPr>
      </w:pPr>
      <w:r w:rsidRPr="00342F7C">
        <w:rPr>
          <w:i/>
          <w:iCs/>
        </w:rPr>
        <w:t>Analysis of resistance in ARV-naïve patients</w:t>
      </w:r>
      <w:r w:rsidRPr="00342F7C">
        <w:rPr>
          <w:lang w:val="en-GB"/>
        </w:rPr>
        <w:t>In clinical studies with a limited number of isolates analysed, the selection of resistance to lopinavir has not been observed in naïve patients without significant protease inhibitor resistance at baseline.  See further the detailed description of the clinical studies.</w:t>
      </w:r>
    </w:p>
    <w:p w14:paraId="3F8515C2" w14:textId="77777777" w:rsidR="00D7303D" w:rsidRPr="00342F7C" w:rsidRDefault="00D7303D">
      <w:pPr>
        <w:pStyle w:val="EMEANormal"/>
        <w:tabs>
          <w:tab w:val="clear" w:pos="562"/>
        </w:tabs>
        <w:rPr>
          <w:lang w:val="en-GB"/>
        </w:rPr>
      </w:pPr>
    </w:p>
    <w:p w14:paraId="6FA07C87" w14:textId="77777777" w:rsidR="00D7303D" w:rsidRPr="00342F7C" w:rsidRDefault="00D7303D" w:rsidP="0017061C">
      <w:pPr>
        <w:pStyle w:val="EMEANormal"/>
        <w:tabs>
          <w:tab w:val="clear" w:pos="562"/>
          <w:tab w:val="left" w:pos="6360"/>
        </w:tabs>
        <w:rPr>
          <w:i/>
          <w:iCs/>
          <w:lang w:val="en-GB"/>
        </w:rPr>
      </w:pPr>
      <w:r w:rsidRPr="00342F7C">
        <w:rPr>
          <w:i/>
          <w:iCs/>
          <w:lang w:val="en-GB"/>
        </w:rPr>
        <w:t>Analysis of resistance in PI-experienced patients</w:t>
      </w:r>
    </w:p>
    <w:p w14:paraId="7AD64B10" w14:textId="77777777" w:rsidR="00D7303D" w:rsidRPr="00342F7C" w:rsidRDefault="00D7303D">
      <w:pPr>
        <w:pStyle w:val="EMEANormal"/>
        <w:tabs>
          <w:tab w:val="clear" w:pos="562"/>
          <w:tab w:val="left" w:pos="0"/>
        </w:tabs>
        <w:rPr>
          <w:lang w:val="en-GB"/>
        </w:rPr>
      </w:pPr>
      <w:r w:rsidRPr="00342F7C">
        <w:rPr>
          <w:lang w:val="en-GB"/>
        </w:rPr>
        <w:t xml:space="preserve">The selection of resistance to lopinavir in patients having failed prior protease inhibitor therapy was characterised by analysing the longitudinal isolates from 19 protease inhibitor-experienced subjects in 2 Phase II and one Phase III studies who either experienced incomplete virologic suppression or viral rebound subsequent to initial response to Kaletra and who demonstrated incremental </w:t>
      </w:r>
      <w:r w:rsidRPr="00342F7C">
        <w:rPr>
          <w:i/>
          <w:lang w:val="en-GB"/>
        </w:rPr>
        <w:t>in vitro</w:t>
      </w:r>
      <w:r w:rsidRPr="00342F7C">
        <w:rPr>
          <w:lang w:val="en-GB"/>
        </w:rPr>
        <w:t xml:space="preserve"> resistance between baseline and rebound (defined as emergence of new mutations or 2-fold change in phenotypic susceptibility to lopinavir).  Incremental resistance was most common in subjects whose baseline isolates had several protease inhibitor-associated mutations, but &lt; 40-fold reduced susceptibility to lopinavir at baseline.  Mutations V82A, I54V and M46I emerged most frequently.  Mutations L33F, I50V and V32I combined with I47V/A were also observed.  The 19 isolates demonstrated a 4.3-fold increase in IC</w:t>
      </w:r>
      <w:r w:rsidRPr="00342F7C">
        <w:rPr>
          <w:vertAlign w:val="subscript"/>
          <w:lang w:val="en-GB"/>
        </w:rPr>
        <w:t>50</w:t>
      </w:r>
      <w:r w:rsidRPr="00342F7C">
        <w:rPr>
          <w:lang w:val="en-GB"/>
        </w:rPr>
        <w:t xml:space="preserve"> compared to baseline isolates (from 6.2- to 43-fold, compared to wild-type virus).</w:t>
      </w:r>
    </w:p>
    <w:p w14:paraId="0A0AA71E" w14:textId="77777777" w:rsidR="00D7303D" w:rsidRPr="00342F7C" w:rsidRDefault="00D7303D">
      <w:pPr>
        <w:pStyle w:val="EMEANormal"/>
        <w:rPr>
          <w:lang w:val="en-GB"/>
        </w:rPr>
      </w:pPr>
    </w:p>
    <w:p w14:paraId="55B9D894" w14:textId="77777777" w:rsidR="00D7303D" w:rsidRPr="00342F7C" w:rsidRDefault="00D7303D">
      <w:pPr>
        <w:pStyle w:val="EMEANormal"/>
        <w:rPr>
          <w:lang w:val="en-GB"/>
        </w:rPr>
      </w:pPr>
      <w:r w:rsidRPr="00342F7C">
        <w:rPr>
          <w:lang w:val="en-GB"/>
        </w:rPr>
        <w:t xml:space="preserve">Genotypic correlates of reduced phenotypic susceptibility to lopinavir in viruses selected by other protease inhibitors.  The </w:t>
      </w:r>
      <w:r w:rsidRPr="00342F7C">
        <w:rPr>
          <w:i/>
          <w:lang w:val="en-GB"/>
        </w:rPr>
        <w:t>in vitro</w:t>
      </w:r>
      <w:r w:rsidRPr="00342F7C">
        <w:rPr>
          <w:lang w:val="en-GB"/>
        </w:rPr>
        <w:t xml:space="preserve"> antiviral activity of lopinavir against 112 clinical isolates taken from patients failing therapy with one or more protease inhibitors was assessed.  Within this panel, the following mutations in HIV protease were associated with reduced </w:t>
      </w:r>
      <w:r w:rsidRPr="00342F7C">
        <w:rPr>
          <w:i/>
          <w:lang w:val="en-GB"/>
        </w:rPr>
        <w:t>in vitro</w:t>
      </w:r>
      <w:r w:rsidRPr="00342F7C">
        <w:rPr>
          <w:lang w:val="en-GB"/>
        </w:rPr>
        <w:t xml:space="preserve"> susceptibility to lopinavir: L10F/I/R/V, K20M/R, L24I, M46I/L, F53L, I54L/T/V, L63P, A71I/L/T/V, V82A/F/T, I84V and L90M.  The median EC</w:t>
      </w:r>
      <w:r w:rsidRPr="00342F7C">
        <w:rPr>
          <w:vertAlign w:val="subscript"/>
          <w:lang w:val="en-GB"/>
        </w:rPr>
        <w:t>50</w:t>
      </w:r>
      <w:r w:rsidRPr="00342F7C">
        <w:rPr>
          <w:lang w:val="en-GB"/>
        </w:rPr>
        <w:t xml:space="preserve"> of lopinavir against isolates with 0 − 3, 4 − 5, 6 − 7 and 8 − 10 mutations at the above amino acid positions was 0.8, 2.7 13.5 and 44.0-fold higher than the EC</w:t>
      </w:r>
      <w:r w:rsidRPr="00342F7C">
        <w:rPr>
          <w:vertAlign w:val="subscript"/>
          <w:lang w:val="en-GB"/>
        </w:rPr>
        <w:t>50</w:t>
      </w:r>
      <w:r w:rsidRPr="00342F7C">
        <w:rPr>
          <w:lang w:val="en-GB"/>
        </w:rPr>
        <w:t xml:space="preserve"> against wild type HIV, respectively.  The 16 viruses that displayed &gt; 20-fold change in susceptibility all contained mutations at positions 10, 54, 63 plus 82 and/or 84.  In addition, they contained a median of 3 mutations at amino acid positions 20, 24, 46, 53, 71 and 90.  </w:t>
      </w:r>
      <w:r w:rsidRPr="00342F7C">
        <w:rPr>
          <w:szCs w:val="22"/>
          <w:lang w:val="en-GB"/>
        </w:rPr>
        <w:t>In addition to the mutations described above, mutations V32I and I47A have been observed in rebound isolates with reduced lopinavir susceptibility from protease inhibitor experienced patients receiving Kaletra therapy</w:t>
      </w:r>
      <w:r w:rsidRPr="00342F7C">
        <w:rPr>
          <w:lang w:val="en-GB"/>
        </w:rPr>
        <w:t>, and mutations I47A and L76V have been observed in rebound isolates with reduced lopinavir susceptibility from patients receiving Kaletra therapy.</w:t>
      </w:r>
    </w:p>
    <w:p w14:paraId="55B685D3" w14:textId="77777777" w:rsidR="00D7303D" w:rsidRPr="00342F7C" w:rsidRDefault="00D7303D">
      <w:pPr>
        <w:pStyle w:val="EMEANormal"/>
        <w:rPr>
          <w:lang w:val="en-GB"/>
        </w:rPr>
      </w:pPr>
    </w:p>
    <w:p w14:paraId="5638C43F" w14:textId="77777777" w:rsidR="00D7303D" w:rsidRPr="00342F7C" w:rsidRDefault="00D7303D">
      <w:pPr>
        <w:pStyle w:val="EMEANormal"/>
        <w:rPr>
          <w:lang w:val="en-GB"/>
        </w:rPr>
      </w:pPr>
      <w:r w:rsidRPr="00342F7C">
        <w:rPr>
          <w:lang w:val="en-GB"/>
        </w:rPr>
        <w:t>Conclusions regarding the relevance of particular mutations or mutational patterns are subject to change with additional data, and it is recommended to always consult current interpretation systems for analysing resistance test results.</w:t>
      </w:r>
    </w:p>
    <w:p w14:paraId="5ACD817F" w14:textId="77777777" w:rsidR="00D7303D" w:rsidRPr="00342F7C" w:rsidRDefault="00D7303D">
      <w:pPr>
        <w:pStyle w:val="EMEANormal"/>
        <w:rPr>
          <w:lang w:val="en-GB"/>
        </w:rPr>
      </w:pPr>
    </w:p>
    <w:p w14:paraId="18EDD276" w14:textId="77777777" w:rsidR="000306BE" w:rsidRDefault="00D7303D">
      <w:pPr>
        <w:pStyle w:val="EMEANormal"/>
        <w:rPr>
          <w:lang w:val="en-GB"/>
        </w:rPr>
      </w:pPr>
      <w:r w:rsidRPr="00342F7C">
        <w:rPr>
          <w:i/>
          <w:lang w:val="en-GB"/>
        </w:rPr>
        <w:t>Antiviral activity of Kaletra in patients failing protease inhibitor therapy</w:t>
      </w:r>
    </w:p>
    <w:p w14:paraId="76AFACDD" w14:textId="77777777" w:rsidR="00D7303D" w:rsidRPr="00342F7C" w:rsidRDefault="000306BE">
      <w:pPr>
        <w:pStyle w:val="EMEANormal"/>
        <w:rPr>
          <w:lang w:val="en-GB"/>
        </w:rPr>
      </w:pPr>
      <w:r>
        <w:rPr>
          <w:lang w:val="en-GB"/>
        </w:rPr>
        <w:t>T</w:t>
      </w:r>
      <w:r w:rsidR="00D7303D" w:rsidRPr="00342F7C">
        <w:rPr>
          <w:lang w:val="en-GB"/>
        </w:rPr>
        <w:t xml:space="preserve">he clinical relevance of reduced </w:t>
      </w:r>
      <w:r w:rsidR="00D7303D" w:rsidRPr="00342F7C">
        <w:rPr>
          <w:i/>
          <w:lang w:val="en-GB"/>
        </w:rPr>
        <w:t>in vitro</w:t>
      </w:r>
      <w:r w:rsidR="00D7303D" w:rsidRPr="00342F7C">
        <w:rPr>
          <w:lang w:val="en-GB"/>
        </w:rPr>
        <w:t xml:space="preserve"> susceptibility to lopinavir has been examined by assessing the virologic response to Kaletra therapy, with respect to baseline viral genotype and phenotype, in 56 patients previous failing therapy with multiple protease inhibitors.  The EC</w:t>
      </w:r>
      <w:r w:rsidR="00D7303D" w:rsidRPr="00342F7C">
        <w:rPr>
          <w:vertAlign w:val="subscript"/>
          <w:lang w:val="en-GB"/>
        </w:rPr>
        <w:t>50</w:t>
      </w:r>
      <w:r w:rsidR="00D7303D" w:rsidRPr="00342F7C">
        <w:rPr>
          <w:lang w:val="en-GB"/>
        </w:rPr>
        <w:t xml:space="preserve"> of lopinavir against the 56 baseline viral isolates ranged from 0.6 to 96-fold higher than the EC</w:t>
      </w:r>
      <w:r w:rsidR="00D7303D" w:rsidRPr="00342F7C">
        <w:rPr>
          <w:vertAlign w:val="subscript"/>
          <w:lang w:val="en-GB"/>
        </w:rPr>
        <w:t>50</w:t>
      </w:r>
      <w:r w:rsidR="00D7303D" w:rsidRPr="00342F7C">
        <w:rPr>
          <w:lang w:val="en-GB"/>
        </w:rPr>
        <w:t xml:space="preserve"> against wild type HIV.  After 48 weeks of treatment with Kaletra, efavirenz and nucleoside reverse transcriptase inhibitors, plasma HIV RNA </w:t>
      </w:r>
      <w:r w:rsidR="00D7303D" w:rsidRPr="00342F7C">
        <w:rPr>
          <w:snapToGrid w:val="0"/>
          <w:lang w:val="en-GB"/>
        </w:rPr>
        <w:sym w:font="Symbol" w:char="F0A3"/>
      </w:r>
      <w:r w:rsidR="00D7303D" w:rsidRPr="00342F7C">
        <w:rPr>
          <w:snapToGrid w:val="0"/>
          <w:lang w:val="en-GB"/>
        </w:rPr>
        <w:t> </w:t>
      </w:r>
      <w:r w:rsidR="00D7303D" w:rsidRPr="00342F7C">
        <w:rPr>
          <w:lang w:val="en-GB"/>
        </w:rPr>
        <w:t>400 copies/ml was observed in 93% (25/27), 73% (11/15), and 25% (2/8) of patients with &lt; 10</w:t>
      </w:r>
      <w:r w:rsidR="00D7303D" w:rsidRPr="00342F7C">
        <w:rPr>
          <w:lang w:val="en-GB"/>
        </w:rPr>
        <w:noBreakHyphen/>
        <w:t>fold, 10 to 40-fold, and &gt; 40</w:t>
      </w:r>
      <w:r w:rsidR="00D7303D" w:rsidRPr="00342F7C">
        <w:rPr>
          <w:lang w:val="en-GB"/>
        </w:rPr>
        <w:noBreakHyphen/>
        <w:t xml:space="preserve">fold reduced susceptibility to lopinavir at baseline, respectively.  In addition, virologic response was observed in 91% (21/23), 71% (15/21) and 33% (2/6) patients with 0 − 5, 6 − 7, and 8 − 10 mutations of the above mutations in HIV protease associated with reduced </w:t>
      </w:r>
      <w:r w:rsidR="00D7303D" w:rsidRPr="00342F7C">
        <w:rPr>
          <w:i/>
          <w:lang w:val="en-GB"/>
        </w:rPr>
        <w:t>in vitro</w:t>
      </w:r>
      <w:r w:rsidR="00D7303D" w:rsidRPr="00342F7C">
        <w:rPr>
          <w:lang w:val="en-GB"/>
        </w:rPr>
        <w:t xml:space="preserve"> susceptibility to lopinavir.  Since these patients had not previously been exposed to either Kaletra or efavirenz, part of the response may be attributed to the antiviral activity of efavirenz, particularly in patients harbouring highly lopinavir resistant virus.  The study did not contain a control arm of patients not receiving Kaletra.</w:t>
      </w:r>
    </w:p>
    <w:p w14:paraId="4C879CBC" w14:textId="77777777" w:rsidR="00D7303D" w:rsidRPr="00342F7C" w:rsidRDefault="00D7303D">
      <w:pPr>
        <w:pStyle w:val="EMEANormal"/>
        <w:rPr>
          <w:lang w:val="en-GB"/>
        </w:rPr>
      </w:pPr>
    </w:p>
    <w:p w14:paraId="0994BB48" w14:textId="77777777" w:rsidR="000306BE" w:rsidRDefault="00D7303D">
      <w:pPr>
        <w:pStyle w:val="EMEANormal"/>
        <w:rPr>
          <w:lang w:val="en-GB"/>
        </w:rPr>
      </w:pPr>
      <w:r w:rsidRPr="0017061C">
        <w:rPr>
          <w:iCs/>
          <w:u w:val="single"/>
          <w:lang w:val="en-GB"/>
        </w:rPr>
        <w:t>Cross</w:t>
      </w:r>
      <w:r w:rsidRPr="0017061C">
        <w:rPr>
          <w:iCs/>
          <w:u w:val="single"/>
          <w:lang w:val="en-GB"/>
        </w:rPr>
        <w:noBreakHyphen/>
        <w:t>resistance</w:t>
      </w:r>
      <w:r w:rsidRPr="00342F7C">
        <w:rPr>
          <w:lang w:val="en-GB"/>
        </w:rPr>
        <w:t xml:space="preserve"> </w:t>
      </w:r>
    </w:p>
    <w:p w14:paraId="29E16A9C" w14:textId="77777777" w:rsidR="00D7303D" w:rsidRDefault="00D7303D">
      <w:pPr>
        <w:pStyle w:val="EMEANormal"/>
        <w:rPr>
          <w:lang w:val="en-GB"/>
        </w:rPr>
      </w:pPr>
      <w:r w:rsidRPr="00342F7C">
        <w:rPr>
          <w:lang w:val="en-GB"/>
        </w:rPr>
        <w:t>Activity of other protease inhibitors against isolates that developed incremental resistance to lopinavir after Kaletra therapy in protease inhibitor experienced patients: The presence of cross resistance to other protease inhibitors was analysed in 18 rebound i</w:t>
      </w:r>
      <w:r w:rsidRPr="00342F7C">
        <w:rPr>
          <w:szCs w:val="22"/>
          <w:lang w:val="en-GB"/>
        </w:rPr>
        <w:t xml:space="preserve">solates that had demonstrated evolution of resistance to lopinavir during 3 </w:t>
      </w:r>
      <w:r w:rsidRPr="00342F7C">
        <w:rPr>
          <w:lang w:val="en-GB"/>
        </w:rPr>
        <w:t xml:space="preserve">Phase </w:t>
      </w:r>
      <w:r w:rsidRPr="00342F7C">
        <w:rPr>
          <w:szCs w:val="22"/>
          <w:lang w:val="en-GB"/>
        </w:rPr>
        <w:t xml:space="preserve">II and one </w:t>
      </w:r>
      <w:r w:rsidRPr="00342F7C">
        <w:rPr>
          <w:lang w:val="en-GB"/>
        </w:rPr>
        <w:t xml:space="preserve">Phase </w:t>
      </w:r>
      <w:r w:rsidRPr="00342F7C">
        <w:rPr>
          <w:szCs w:val="22"/>
          <w:lang w:val="en-GB"/>
        </w:rPr>
        <w:t>III studies of Kaletra in protease inhibitor-experienced patients.  The median fold IC</w:t>
      </w:r>
      <w:r w:rsidRPr="00342F7C">
        <w:rPr>
          <w:szCs w:val="22"/>
          <w:vertAlign w:val="subscript"/>
          <w:lang w:val="en-GB"/>
        </w:rPr>
        <w:t>50</w:t>
      </w:r>
      <w:r w:rsidRPr="00342F7C">
        <w:rPr>
          <w:szCs w:val="22"/>
          <w:lang w:val="en-GB"/>
        </w:rPr>
        <w:t xml:space="preserve"> of lopinavir for these 18 isolates at baseline and rebound was 6.9- and 63-fold, respectively, compared to wild type virus.  In general, rebound isolates either retained (if cross-resistant at baseline) or developed significant cross-resistance to indinavir, saquinavir and atazanavir.  Modest decreases in amprenavir activity were noted with a median increase of IC</w:t>
      </w:r>
      <w:r w:rsidRPr="00342F7C">
        <w:rPr>
          <w:szCs w:val="22"/>
          <w:vertAlign w:val="subscript"/>
          <w:lang w:val="en-GB"/>
        </w:rPr>
        <w:t xml:space="preserve">50 </w:t>
      </w:r>
      <w:r w:rsidRPr="00342F7C">
        <w:rPr>
          <w:szCs w:val="22"/>
          <w:lang w:val="en-GB"/>
        </w:rPr>
        <w:t>from 3.7- to 8-fold in the baseline and rebound isolates, respectively.  Isolates retained susceptibility to tipranavir with a median increase of IC</w:t>
      </w:r>
      <w:r w:rsidRPr="00342F7C">
        <w:rPr>
          <w:szCs w:val="22"/>
          <w:vertAlign w:val="subscript"/>
          <w:lang w:val="en-GB"/>
        </w:rPr>
        <w:t>50</w:t>
      </w:r>
      <w:r w:rsidRPr="00342F7C">
        <w:rPr>
          <w:szCs w:val="22"/>
          <w:lang w:val="en-GB"/>
        </w:rPr>
        <w:t xml:space="preserve"> in baseline and rebound isolates of 1.9- and 1.8–fold, respectively, compared to wild type virus.  </w:t>
      </w:r>
      <w:r w:rsidRPr="00342F7C">
        <w:rPr>
          <w:lang w:val="en-GB"/>
        </w:rPr>
        <w:t>Please refer to the Aptivus Summary of Product Characteristics for additional information on the use of tipranavir, including genotypic predictors of response, in treatment of lopinavir-resistant HIV-1 infection.</w:t>
      </w:r>
    </w:p>
    <w:p w14:paraId="47C3B804" w14:textId="77777777" w:rsidR="00751C7E" w:rsidRPr="00342F7C" w:rsidRDefault="00751C7E">
      <w:pPr>
        <w:pStyle w:val="EMEANormal"/>
        <w:rPr>
          <w:lang w:val="en-GB"/>
        </w:rPr>
      </w:pPr>
    </w:p>
    <w:p w14:paraId="3A774706" w14:textId="77777777" w:rsidR="00D7303D" w:rsidRPr="0017061C" w:rsidRDefault="00D7303D" w:rsidP="00751C7E">
      <w:pPr>
        <w:pStyle w:val="EMEAHeadingUI"/>
        <w:spacing w:beforeLines="0" w:before="0" w:afterLines="0" w:after="0"/>
        <w:rPr>
          <w:i w:val="0"/>
          <w:lang w:val="en-GB"/>
        </w:rPr>
      </w:pPr>
      <w:r w:rsidRPr="0017061C">
        <w:rPr>
          <w:i w:val="0"/>
          <w:lang w:val="en-GB"/>
        </w:rPr>
        <w:t>Clinical results</w:t>
      </w:r>
    </w:p>
    <w:p w14:paraId="0CEC754B" w14:textId="77777777" w:rsidR="00D7303D" w:rsidRDefault="00D7303D">
      <w:pPr>
        <w:pStyle w:val="EMEANormal"/>
        <w:rPr>
          <w:lang w:val="en-GB"/>
        </w:rPr>
      </w:pPr>
      <w:r w:rsidRPr="00342F7C">
        <w:rPr>
          <w:lang w:val="en-GB"/>
        </w:rPr>
        <w:t xml:space="preserve">The effects of Kaletra (in combination with other antiretroviral agents) on biological markers (plasma HIV RNA levels and CD4+ T-cell counts) have been investigated in controlled studies of Kaletra of 48 to 360 weeks duration.  </w:t>
      </w:r>
    </w:p>
    <w:p w14:paraId="665C75FE" w14:textId="77777777" w:rsidR="00751C7E" w:rsidRPr="00342F7C" w:rsidRDefault="00751C7E">
      <w:pPr>
        <w:pStyle w:val="EMEANormal"/>
        <w:rPr>
          <w:lang w:val="en-GB"/>
        </w:rPr>
      </w:pPr>
    </w:p>
    <w:p w14:paraId="04277083" w14:textId="77777777" w:rsidR="00D7303D" w:rsidRDefault="00D7303D" w:rsidP="00751C7E">
      <w:pPr>
        <w:pStyle w:val="EMEAHeadingItalic"/>
        <w:spacing w:beforeLines="0" w:before="0" w:afterLines="0" w:after="0"/>
        <w:rPr>
          <w:lang w:val="en-GB"/>
        </w:rPr>
      </w:pPr>
      <w:r w:rsidRPr="00342F7C">
        <w:rPr>
          <w:lang w:val="en-GB"/>
        </w:rPr>
        <w:t>Adult Use</w:t>
      </w:r>
    </w:p>
    <w:p w14:paraId="7813FFE4" w14:textId="77777777" w:rsidR="00751C7E" w:rsidRPr="00751C7E" w:rsidRDefault="00751C7E" w:rsidP="00751C7E">
      <w:pPr>
        <w:pStyle w:val="EMEANormal"/>
        <w:rPr>
          <w:lang w:val="en-GB"/>
        </w:rPr>
      </w:pPr>
    </w:p>
    <w:p w14:paraId="324CD7C6" w14:textId="77777777" w:rsidR="00D7303D" w:rsidRPr="0017061C" w:rsidRDefault="00D7303D" w:rsidP="00751C7E">
      <w:pPr>
        <w:pStyle w:val="EMEAHeadingUnderline"/>
        <w:spacing w:beforeLines="0" w:before="0" w:afterLines="0" w:after="0"/>
        <w:rPr>
          <w:u w:val="none"/>
          <w:lang w:val="en-GB"/>
        </w:rPr>
      </w:pPr>
      <w:r w:rsidRPr="0017061C">
        <w:rPr>
          <w:u w:val="none"/>
          <w:lang w:val="en-GB"/>
        </w:rPr>
        <w:t>Patients without prior antiretroviral therapy</w:t>
      </w:r>
    </w:p>
    <w:p w14:paraId="48FE89D7" w14:textId="77777777" w:rsidR="00751C7E" w:rsidRPr="00751C7E" w:rsidRDefault="00751C7E" w:rsidP="00751C7E">
      <w:pPr>
        <w:pStyle w:val="EMEANormal"/>
        <w:rPr>
          <w:lang w:val="en-GB"/>
        </w:rPr>
      </w:pPr>
    </w:p>
    <w:p w14:paraId="67FADECF" w14:textId="77777777" w:rsidR="00D7303D" w:rsidRPr="00342F7C" w:rsidRDefault="00D7303D" w:rsidP="00A94414">
      <w:pPr>
        <w:pStyle w:val="EMEANormal"/>
        <w:rPr>
          <w:lang w:val="en-GB"/>
        </w:rPr>
      </w:pPr>
      <w:r w:rsidRPr="00342F7C">
        <w:rPr>
          <w:lang w:val="en-GB"/>
        </w:rPr>
        <w:t>Study M98-863 was a randomised, double-blind trial of 653 antiretroviral treatment naïve patients investigating Kaletra (400/100 mg twice daily) compared to nelfinavir (750 mg three times daily) plus stavudine and lamivudine.  Mean baseline CD4+ T-cell count was 259 cells/mm</w:t>
      </w:r>
      <w:r w:rsidRPr="00342F7C">
        <w:rPr>
          <w:vertAlign w:val="superscript"/>
          <w:lang w:val="en-GB"/>
        </w:rPr>
        <w:t>3</w:t>
      </w:r>
      <w:r w:rsidRPr="00342F7C">
        <w:rPr>
          <w:lang w:val="en-GB"/>
        </w:rPr>
        <w:t xml:space="preserve"> (range: 2 to 949 cells/ mm</w:t>
      </w:r>
      <w:r w:rsidRPr="00342F7C">
        <w:rPr>
          <w:vertAlign w:val="superscript"/>
          <w:lang w:val="en-GB"/>
        </w:rPr>
        <w:t>3</w:t>
      </w:r>
      <w:r w:rsidRPr="00342F7C">
        <w:rPr>
          <w:lang w:val="en-GB"/>
        </w:rPr>
        <w:t>) and mean baseline plasma HIV-1 RNA was 4.9 log</w:t>
      </w:r>
      <w:r w:rsidRPr="00342F7C">
        <w:rPr>
          <w:vertAlign w:val="subscript"/>
          <w:lang w:val="en-GB"/>
        </w:rPr>
        <w:t>10 </w:t>
      </w:r>
      <w:r w:rsidRPr="00342F7C">
        <w:rPr>
          <w:lang w:val="en-GB"/>
        </w:rPr>
        <w:t>copies/ml (range: 2.6 to 6.8 log</w:t>
      </w:r>
      <w:r w:rsidRPr="00342F7C">
        <w:rPr>
          <w:vertAlign w:val="subscript"/>
          <w:lang w:val="en-GB"/>
        </w:rPr>
        <w:t>10 </w:t>
      </w:r>
      <w:r w:rsidRPr="00342F7C">
        <w:rPr>
          <w:lang w:val="en-GB"/>
        </w:rPr>
        <w:t xml:space="preserve">copies/ml).  </w:t>
      </w:r>
    </w:p>
    <w:p w14:paraId="1E42A602" w14:textId="77777777" w:rsidR="00D7303D" w:rsidRPr="00342F7C" w:rsidRDefault="00D7303D" w:rsidP="00A94414">
      <w:pPr>
        <w:pStyle w:val="EMEANormal"/>
        <w:rPr>
          <w:lang w:val="en-GB"/>
        </w:rPr>
      </w:pPr>
    </w:p>
    <w:p w14:paraId="7DE76966" w14:textId="77777777" w:rsidR="00D7303D" w:rsidRPr="00342F7C" w:rsidRDefault="00D7303D" w:rsidP="00031BBD">
      <w:pPr>
        <w:pStyle w:val="EMEANormal"/>
        <w:keepNext/>
        <w:rPr>
          <w:lang w:val="en-GB"/>
        </w:rPr>
      </w:pPr>
      <w:r w:rsidRPr="00342F7C">
        <w:rPr>
          <w:lang w:val="en-GB"/>
        </w:rPr>
        <w:t>Table 1</w:t>
      </w:r>
    </w:p>
    <w:p w14:paraId="31C3639E" w14:textId="77777777" w:rsidR="00D7303D" w:rsidRPr="00342F7C" w:rsidRDefault="00D7303D" w:rsidP="00031BBD">
      <w:pPr>
        <w:pStyle w:val="EMEANormal"/>
        <w:keepNext/>
        <w:rPr>
          <w:lang w:val="en-GB"/>
        </w:rPr>
      </w:pPr>
    </w:p>
    <w:tbl>
      <w:tblPr>
        <w:tblW w:w="7730"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0"/>
        <w:gridCol w:w="2520"/>
        <w:gridCol w:w="2210"/>
      </w:tblGrid>
      <w:tr w:rsidR="00D7303D" w:rsidRPr="00342F7C" w14:paraId="12DEFC18" w14:textId="77777777" w:rsidTr="008541E3">
        <w:tc>
          <w:tcPr>
            <w:tcW w:w="7730" w:type="dxa"/>
            <w:gridSpan w:val="3"/>
          </w:tcPr>
          <w:p w14:paraId="2FD17E17" w14:textId="77777777" w:rsidR="00D7303D" w:rsidRPr="00342F7C" w:rsidRDefault="00D7303D" w:rsidP="00031BBD">
            <w:pPr>
              <w:pStyle w:val="EMEANormal"/>
              <w:keepNext/>
              <w:spacing w:before="120" w:after="120"/>
              <w:jc w:val="center"/>
              <w:rPr>
                <w:lang w:val="en-GB"/>
              </w:rPr>
            </w:pPr>
            <w:r w:rsidRPr="00342F7C">
              <w:rPr>
                <w:b/>
                <w:lang w:val="en-GB"/>
              </w:rPr>
              <w:t>Outcomes at Week 48: Study M98-863</w:t>
            </w:r>
          </w:p>
        </w:tc>
      </w:tr>
      <w:tr w:rsidR="00D7303D" w:rsidRPr="00342F7C" w14:paraId="34AC19AA" w14:textId="77777777" w:rsidTr="008541E3">
        <w:tc>
          <w:tcPr>
            <w:tcW w:w="3000" w:type="dxa"/>
          </w:tcPr>
          <w:p w14:paraId="0F79DFFE" w14:textId="77777777" w:rsidR="00D7303D" w:rsidRPr="00342F7C" w:rsidRDefault="00D7303D" w:rsidP="00031BBD">
            <w:pPr>
              <w:pStyle w:val="EMEANormal"/>
              <w:keepNext/>
              <w:rPr>
                <w:lang w:val="en-GB"/>
              </w:rPr>
            </w:pPr>
          </w:p>
        </w:tc>
        <w:tc>
          <w:tcPr>
            <w:tcW w:w="2520" w:type="dxa"/>
          </w:tcPr>
          <w:p w14:paraId="5192BA63" w14:textId="77777777" w:rsidR="00D7303D" w:rsidRPr="00342F7C" w:rsidRDefault="00D7303D" w:rsidP="00031BBD">
            <w:pPr>
              <w:pStyle w:val="EMEANormal"/>
              <w:keepNext/>
              <w:jc w:val="center"/>
              <w:rPr>
                <w:lang w:val="en-GB"/>
              </w:rPr>
            </w:pPr>
            <w:r w:rsidRPr="00342F7C">
              <w:rPr>
                <w:b/>
                <w:lang w:val="en-GB"/>
              </w:rPr>
              <w:t>Kaletra (N=326)</w:t>
            </w:r>
          </w:p>
        </w:tc>
        <w:tc>
          <w:tcPr>
            <w:tcW w:w="2210" w:type="dxa"/>
          </w:tcPr>
          <w:p w14:paraId="05053AC4" w14:textId="77777777" w:rsidR="00D7303D" w:rsidRPr="00342F7C" w:rsidRDefault="00D7303D" w:rsidP="00031BBD">
            <w:pPr>
              <w:pStyle w:val="EMEANormal"/>
              <w:keepNext/>
              <w:jc w:val="center"/>
              <w:rPr>
                <w:lang w:val="en-GB"/>
              </w:rPr>
            </w:pPr>
            <w:r w:rsidRPr="00342F7C">
              <w:rPr>
                <w:b/>
                <w:lang w:val="en-GB"/>
              </w:rPr>
              <w:t>Nelfinavir (N=327)</w:t>
            </w:r>
          </w:p>
        </w:tc>
      </w:tr>
      <w:tr w:rsidR="00D7303D" w:rsidRPr="00342F7C" w14:paraId="52049782" w14:textId="77777777" w:rsidTr="008541E3">
        <w:tc>
          <w:tcPr>
            <w:tcW w:w="3000" w:type="dxa"/>
          </w:tcPr>
          <w:p w14:paraId="49616BE5" w14:textId="77777777" w:rsidR="00D7303D" w:rsidRPr="00342F7C" w:rsidRDefault="00D7303D" w:rsidP="00031BBD">
            <w:pPr>
              <w:pStyle w:val="EMEANormal"/>
              <w:keepNext/>
              <w:rPr>
                <w:lang w:val="en-GB"/>
              </w:rPr>
            </w:pPr>
            <w:r w:rsidRPr="00342F7C">
              <w:rPr>
                <w:lang w:val="en-GB"/>
              </w:rPr>
              <w:t>HIV RNA &lt; 400 copies/ml*</w:t>
            </w:r>
          </w:p>
        </w:tc>
        <w:tc>
          <w:tcPr>
            <w:tcW w:w="2520" w:type="dxa"/>
          </w:tcPr>
          <w:p w14:paraId="39750190" w14:textId="77777777" w:rsidR="00D7303D" w:rsidRPr="00342F7C" w:rsidRDefault="00D7303D" w:rsidP="00031BBD">
            <w:pPr>
              <w:pStyle w:val="EMEANormal"/>
              <w:keepNext/>
              <w:jc w:val="center"/>
              <w:rPr>
                <w:lang w:val="en-GB"/>
              </w:rPr>
            </w:pPr>
            <w:r w:rsidRPr="00342F7C">
              <w:rPr>
                <w:lang w:val="en-GB"/>
              </w:rPr>
              <w:t>75%</w:t>
            </w:r>
          </w:p>
        </w:tc>
        <w:tc>
          <w:tcPr>
            <w:tcW w:w="2210" w:type="dxa"/>
          </w:tcPr>
          <w:p w14:paraId="58C9D531" w14:textId="77777777" w:rsidR="00D7303D" w:rsidRPr="00342F7C" w:rsidRDefault="00D7303D" w:rsidP="00031BBD">
            <w:pPr>
              <w:pStyle w:val="EMEANormal"/>
              <w:keepNext/>
              <w:jc w:val="center"/>
              <w:rPr>
                <w:lang w:val="en-GB"/>
              </w:rPr>
            </w:pPr>
            <w:r w:rsidRPr="00342F7C">
              <w:rPr>
                <w:lang w:val="en-GB"/>
              </w:rPr>
              <w:t>63%</w:t>
            </w:r>
          </w:p>
        </w:tc>
      </w:tr>
      <w:tr w:rsidR="00D7303D" w:rsidRPr="00342F7C" w14:paraId="2266B193" w14:textId="77777777" w:rsidTr="008541E3">
        <w:tc>
          <w:tcPr>
            <w:tcW w:w="3000" w:type="dxa"/>
          </w:tcPr>
          <w:p w14:paraId="153546D9" w14:textId="77777777" w:rsidR="00D7303D" w:rsidRPr="00342F7C" w:rsidRDefault="00D7303D" w:rsidP="00031BBD">
            <w:pPr>
              <w:pStyle w:val="EMEANormal"/>
              <w:keepNext/>
              <w:rPr>
                <w:lang w:val="en-GB"/>
              </w:rPr>
            </w:pPr>
            <w:r w:rsidRPr="00342F7C">
              <w:rPr>
                <w:lang w:val="en-GB"/>
              </w:rPr>
              <w:t>HIV RNA &lt; 50 copies/ml*†</w:t>
            </w:r>
          </w:p>
        </w:tc>
        <w:tc>
          <w:tcPr>
            <w:tcW w:w="2520" w:type="dxa"/>
          </w:tcPr>
          <w:p w14:paraId="37EBA689" w14:textId="77777777" w:rsidR="00D7303D" w:rsidRPr="00342F7C" w:rsidRDefault="00D7303D" w:rsidP="00031BBD">
            <w:pPr>
              <w:pStyle w:val="EMEANormal"/>
              <w:keepNext/>
              <w:jc w:val="center"/>
              <w:rPr>
                <w:lang w:val="en-GB"/>
              </w:rPr>
            </w:pPr>
            <w:r w:rsidRPr="00342F7C">
              <w:rPr>
                <w:lang w:val="en-GB"/>
              </w:rPr>
              <w:t>67%</w:t>
            </w:r>
          </w:p>
        </w:tc>
        <w:tc>
          <w:tcPr>
            <w:tcW w:w="2210" w:type="dxa"/>
          </w:tcPr>
          <w:p w14:paraId="666095FB" w14:textId="77777777" w:rsidR="00D7303D" w:rsidRPr="00342F7C" w:rsidRDefault="00D7303D" w:rsidP="00031BBD">
            <w:pPr>
              <w:pStyle w:val="EMEANormal"/>
              <w:keepNext/>
              <w:jc w:val="center"/>
              <w:rPr>
                <w:lang w:val="en-GB"/>
              </w:rPr>
            </w:pPr>
            <w:r w:rsidRPr="00342F7C">
              <w:rPr>
                <w:lang w:val="en-GB"/>
              </w:rPr>
              <w:t>52%</w:t>
            </w:r>
          </w:p>
        </w:tc>
      </w:tr>
      <w:tr w:rsidR="00D7303D" w:rsidRPr="00342F7C" w14:paraId="653FB66C" w14:textId="77777777" w:rsidTr="008541E3">
        <w:tc>
          <w:tcPr>
            <w:tcW w:w="3000" w:type="dxa"/>
          </w:tcPr>
          <w:p w14:paraId="58B723C0" w14:textId="77777777" w:rsidR="00D7303D" w:rsidRPr="00342F7C" w:rsidRDefault="00D7303D" w:rsidP="00031BBD">
            <w:pPr>
              <w:pStyle w:val="EMEANormal"/>
              <w:keepNext/>
              <w:rPr>
                <w:lang w:val="en-GB"/>
              </w:rPr>
            </w:pPr>
            <w:r w:rsidRPr="00342F7C">
              <w:rPr>
                <w:lang w:val="en-GB"/>
              </w:rPr>
              <w:t>Mean increase from baseline in CD4+</w:t>
            </w:r>
            <w:r w:rsidRPr="00342F7C">
              <w:rPr>
                <w:vertAlign w:val="subscript"/>
                <w:lang w:val="en-GB"/>
              </w:rPr>
              <w:t xml:space="preserve"> </w:t>
            </w:r>
            <w:r w:rsidRPr="00342F7C">
              <w:rPr>
                <w:lang w:val="en-GB"/>
              </w:rPr>
              <w:t>T-cell count (cells/mm</w:t>
            </w:r>
            <w:r w:rsidRPr="00342F7C">
              <w:rPr>
                <w:vertAlign w:val="superscript"/>
                <w:lang w:val="en-GB"/>
              </w:rPr>
              <w:t>3</w:t>
            </w:r>
            <w:r w:rsidRPr="00342F7C">
              <w:rPr>
                <w:lang w:val="en-GB"/>
              </w:rPr>
              <w:t>)</w:t>
            </w:r>
          </w:p>
        </w:tc>
        <w:tc>
          <w:tcPr>
            <w:tcW w:w="2520" w:type="dxa"/>
          </w:tcPr>
          <w:p w14:paraId="04E3644E" w14:textId="77777777" w:rsidR="00D7303D" w:rsidRPr="00342F7C" w:rsidRDefault="00D7303D" w:rsidP="00031BBD">
            <w:pPr>
              <w:pStyle w:val="EMEANormal"/>
              <w:keepNext/>
              <w:jc w:val="center"/>
              <w:rPr>
                <w:lang w:val="en-GB"/>
              </w:rPr>
            </w:pPr>
            <w:r w:rsidRPr="00342F7C">
              <w:rPr>
                <w:lang w:val="en-GB"/>
              </w:rPr>
              <w:t>207</w:t>
            </w:r>
          </w:p>
        </w:tc>
        <w:tc>
          <w:tcPr>
            <w:tcW w:w="2210" w:type="dxa"/>
          </w:tcPr>
          <w:p w14:paraId="228BB8DD" w14:textId="77777777" w:rsidR="00D7303D" w:rsidRPr="00342F7C" w:rsidRDefault="00D7303D" w:rsidP="00031BBD">
            <w:pPr>
              <w:pStyle w:val="EMEANormal"/>
              <w:keepNext/>
              <w:jc w:val="center"/>
              <w:rPr>
                <w:lang w:val="en-GB"/>
              </w:rPr>
            </w:pPr>
            <w:r w:rsidRPr="00342F7C">
              <w:rPr>
                <w:lang w:val="en-GB"/>
              </w:rPr>
              <w:t>195</w:t>
            </w:r>
          </w:p>
        </w:tc>
      </w:tr>
    </w:tbl>
    <w:p w14:paraId="584639A8" w14:textId="77777777" w:rsidR="00D7303D" w:rsidRPr="00342F7C" w:rsidRDefault="00D7303D" w:rsidP="00031BBD">
      <w:pPr>
        <w:pStyle w:val="EMEANormal"/>
        <w:keepNext/>
        <w:ind w:left="600"/>
        <w:rPr>
          <w:lang w:val="en-GB"/>
        </w:rPr>
      </w:pPr>
      <w:r w:rsidRPr="00342F7C">
        <w:rPr>
          <w:lang w:val="en-GB"/>
        </w:rPr>
        <w:t xml:space="preserve">* intent to treat analysis where patients with missing values are considered virologic failures </w:t>
      </w:r>
    </w:p>
    <w:p w14:paraId="191EB581" w14:textId="77777777" w:rsidR="00D7303D" w:rsidRPr="00342F7C" w:rsidRDefault="00D7303D" w:rsidP="00031BBD">
      <w:pPr>
        <w:pStyle w:val="EMEANormal"/>
        <w:keepNext/>
        <w:ind w:left="600"/>
        <w:rPr>
          <w:lang w:val="en-GB"/>
        </w:rPr>
      </w:pPr>
      <w:r w:rsidRPr="00342F7C">
        <w:rPr>
          <w:lang w:val="en-GB"/>
        </w:rPr>
        <w:t>† p &lt; 0.001</w:t>
      </w:r>
    </w:p>
    <w:p w14:paraId="4A25D6AD" w14:textId="77777777" w:rsidR="00D7303D" w:rsidRPr="00342F7C" w:rsidRDefault="00D7303D" w:rsidP="00A94414">
      <w:pPr>
        <w:pStyle w:val="EMEANormal"/>
        <w:tabs>
          <w:tab w:val="clear" w:pos="562"/>
          <w:tab w:val="left" w:pos="0"/>
        </w:tabs>
        <w:rPr>
          <w:lang w:val="en-GB"/>
        </w:rPr>
      </w:pPr>
    </w:p>
    <w:p w14:paraId="28A98942" w14:textId="77777777" w:rsidR="00D7303D" w:rsidRPr="00342F7C" w:rsidRDefault="00D7303D" w:rsidP="00A94414">
      <w:pPr>
        <w:pStyle w:val="EMEANormal"/>
        <w:rPr>
          <w:lang w:val="en-GB"/>
        </w:rPr>
      </w:pPr>
      <w:r w:rsidRPr="00342F7C">
        <w:rPr>
          <w:lang w:val="en-GB"/>
        </w:rPr>
        <w:t>One-hundred thirteen nelfinavir-treated patients and 74 lopinavir/ritonavir-treated patients had an HIV RNA above 400 copies/ml while on treatment from Week 24 through Week 96.  Of these, isolates from 96 nelfinavir-treated patients and 51 lopinavir/ritonavir-treated patients could be amplified for resistance testing.  Resistance to nelfinavir, defined as the presence of the D30N or L90M mutation in protease, was observed in 41/96 (43%) patients.  Resistance to lopinavir, defined as the presence of any primary or active site mutations in protease (see above), was observed in 0/51 (0%) patients.  Lack of resistance to lopinavir was confirmed by phenotypic analysis.</w:t>
      </w:r>
    </w:p>
    <w:p w14:paraId="0B037DB9" w14:textId="77777777" w:rsidR="00D7303D" w:rsidRPr="00342F7C" w:rsidRDefault="00D7303D">
      <w:pPr>
        <w:pStyle w:val="EMEANormal"/>
        <w:rPr>
          <w:lang w:val="en-GB"/>
        </w:rPr>
      </w:pPr>
    </w:p>
    <w:p w14:paraId="1FFAE665" w14:textId="77777777" w:rsidR="00D7303D" w:rsidRPr="00342F7C" w:rsidRDefault="00D7303D" w:rsidP="00F84BD1">
      <w:pPr>
        <w:pStyle w:val="EMEANormal"/>
        <w:rPr>
          <w:lang w:val="en-GB"/>
        </w:rPr>
      </w:pPr>
      <w:r w:rsidRPr="00342F7C">
        <w:rPr>
          <w:lang w:val="en-GB"/>
        </w:rPr>
        <w:t xml:space="preserve">Study M05-730 was a randomised, open-label, multicentre trial comparing treatment with Kaletra 800/200 mg once daily plus tenofovir DF and emtricitabine versus Kaletra 400/100 mg twice daily plus tenofovir DF and emtricitabine in 664 antiretroviral treatment-naïve patients.  </w:t>
      </w:r>
      <w:r w:rsidRPr="00342F7C">
        <w:rPr>
          <w:rFonts w:cs="Arial"/>
          <w:lang w:val="en-GB"/>
        </w:rPr>
        <w:t xml:space="preserve">Given the pharmacokinetic interaction between Kaletra and tenofovir (see section 4.5), the results of this study might not be strictly extrapolable when other backbone regimens are used with Kaletra. </w:t>
      </w:r>
      <w:r w:rsidRPr="00342F7C">
        <w:rPr>
          <w:lang w:val="en-GB"/>
        </w:rPr>
        <w:t xml:space="preserve"> Patients were randomised in a 1:1 ratio to receive either Kaletra 800/200 mg once daily (n = 333) or Kaletra 400/100 mg twice daily (n = 331).  Further stratification within each group was 1:1 (tablet versus soft capsule).  Patients were administered either the tablet or the soft capsule formulation for 8 weeks, after which all patients were administered the tablet formulation once daily or twice daily for the remainder of the study.  Patients were administered emtricitabine 200 mg once daily and tenofovir DF 300 mg once daily</w:t>
      </w:r>
      <w:r w:rsidR="000B35E1">
        <w:rPr>
          <w:lang w:val="en-GB"/>
        </w:rPr>
        <w:t xml:space="preserve"> (equivalent to 245 mg tenofovir disoproxil)</w:t>
      </w:r>
      <w:r w:rsidRPr="00342F7C">
        <w:rPr>
          <w:lang w:val="en-GB"/>
        </w:rPr>
        <w:t>.  Protocol defined non-inferiority of once</w:t>
      </w:r>
      <w:r w:rsidR="00002FFE">
        <w:rPr>
          <w:lang w:val="en-GB"/>
        </w:rPr>
        <w:noBreakHyphen/>
      </w:r>
      <w:r w:rsidRPr="00342F7C">
        <w:rPr>
          <w:lang w:val="en-GB"/>
        </w:rPr>
        <w:t>daily dosing compared with twice</w:t>
      </w:r>
      <w:r w:rsidR="00002FFE">
        <w:rPr>
          <w:lang w:val="en-GB"/>
        </w:rPr>
        <w:noBreakHyphen/>
      </w:r>
      <w:r w:rsidRPr="00342F7C">
        <w:rPr>
          <w:lang w:val="en-GB"/>
        </w:rPr>
        <w:t>daily dosing was demonstrated if the lower bound of the 95% confidence interval for the difference in proportion of subjects responding (once daily minus twice daily) excluded -12% at Week 48.  Mean age of patients enrolled was 39 years (range: 19 to 71); 75% were Caucasian, and 78% were male.  Mean baseline CD4+ T-cell count was 216 cells/mm3 (range: 20 to 775 cells/mm</w:t>
      </w:r>
      <w:r w:rsidRPr="00342F7C">
        <w:rPr>
          <w:vertAlign w:val="superscript"/>
          <w:lang w:val="en-GB"/>
        </w:rPr>
        <w:t>3</w:t>
      </w:r>
      <w:r w:rsidRPr="00342F7C">
        <w:rPr>
          <w:lang w:val="en-GB"/>
        </w:rPr>
        <w:t>) and mean baseline plasma HIV-1 RNA was 5.0 log</w:t>
      </w:r>
      <w:r w:rsidRPr="00342F7C">
        <w:rPr>
          <w:vertAlign w:val="subscript"/>
          <w:lang w:val="en-GB"/>
        </w:rPr>
        <w:t>10</w:t>
      </w:r>
      <w:r w:rsidRPr="00342F7C">
        <w:rPr>
          <w:lang w:val="en-GB"/>
        </w:rPr>
        <w:t> copies/ml (range: 1.7 to 7.0 log</w:t>
      </w:r>
      <w:r w:rsidRPr="00342F7C">
        <w:rPr>
          <w:vertAlign w:val="subscript"/>
          <w:lang w:val="en-GB"/>
        </w:rPr>
        <w:t>10</w:t>
      </w:r>
      <w:r w:rsidRPr="00342F7C">
        <w:rPr>
          <w:lang w:val="en-GB"/>
        </w:rPr>
        <w:t xml:space="preserve"> copies/ml).  </w:t>
      </w:r>
    </w:p>
    <w:p w14:paraId="77656F67" w14:textId="77777777" w:rsidR="00D7303D" w:rsidRPr="00342F7C" w:rsidRDefault="00D7303D" w:rsidP="009C05AC">
      <w:pPr>
        <w:pStyle w:val="EMEANormal"/>
        <w:rPr>
          <w:rFonts w:cs="Arial"/>
          <w:lang w:val="en-GB"/>
        </w:rPr>
      </w:pPr>
    </w:p>
    <w:p w14:paraId="096FC3E6" w14:textId="77777777" w:rsidR="00D7303D" w:rsidRPr="00342F7C" w:rsidRDefault="00D7303D" w:rsidP="00751C7E">
      <w:pPr>
        <w:pStyle w:val="EMEANormal"/>
        <w:keepNext/>
        <w:rPr>
          <w:rFonts w:cs="Arial"/>
          <w:lang w:val="en-GB"/>
        </w:rPr>
      </w:pPr>
      <w:r w:rsidRPr="00342F7C">
        <w:rPr>
          <w:rFonts w:cs="Arial"/>
          <w:lang w:val="en-GB"/>
        </w:rPr>
        <w:t>Table 2</w:t>
      </w:r>
    </w:p>
    <w:p w14:paraId="1FBAFD3D" w14:textId="77777777" w:rsidR="00D7303D" w:rsidRPr="00342F7C" w:rsidRDefault="00D7303D" w:rsidP="00751C7E">
      <w:pPr>
        <w:pStyle w:val="EMEANormal"/>
        <w:keepNext/>
        <w:rPr>
          <w:rFonts w:cs="Arial"/>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960"/>
        <w:gridCol w:w="994"/>
        <w:gridCol w:w="1286"/>
        <w:gridCol w:w="960"/>
        <w:gridCol w:w="960"/>
        <w:gridCol w:w="1332"/>
      </w:tblGrid>
      <w:tr w:rsidR="00D7303D" w:rsidRPr="00342F7C" w14:paraId="6A869426" w14:textId="77777777" w:rsidTr="00A94414">
        <w:tc>
          <w:tcPr>
            <w:tcW w:w="8880" w:type="dxa"/>
            <w:gridSpan w:val="7"/>
          </w:tcPr>
          <w:p w14:paraId="6391C6DA" w14:textId="77777777" w:rsidR="00D7303D" w:rsidRPr="00342F7C" w:rsidRDefault="00D7303D" w:rsidP="00751C7E">
            <w:pPr>
              <w:keepNext/>
              <w:spacing w:before="120" w:after="120"/>
              <w:jc w:val="center"/>
              <w:rPr>
                <w:b/>
                <w:sz w:val="22"/>
                <w:szCs w:val="22"/>
              </w:rPr>
            </w:pPr>
            <w:r w:rsidRPr="00342F7C">
              <w:rPr>
                <w:b/>
                <w:sz w:val="22"/>
                <w:szCs w:val="22"/>
              </w:rPr>
              <w:t>Virologic Response of Study Subjects at Week 48 and Week 96</w:t>
            </w:r>
          </w:p>
        </w:tc>
      </w:tr>
      <w:tr w:rsidR="00D7303D" w:rsidRPr="00342F7C" w14:paraId="5FB4B124" w14:textId="77777777" w:rsidTr="00A94414">
        <w:tc>
          <w:tcPr>
            <w:tcW w:w="2388" w:type="dxa"/>
          </w:tcPr>
          <w:p w14:paraId="47EE78C7" w14:textId="77777777" w:rsidR="00D7303D" w:rsidRPr="00342F7C" w:rsidRDefault="00D7303D" w:rsidP="00751C7E">
            <w:pPr>
              <w:keepNext/>
              <w:rPr>
                <w:b/>
                <w:sz w:val="22"/>
                <w:szCs w:val="22"/>
              </w:rPr>
            </w:pPr>
          </w:p>
        </w:tc>
        <w:tc>
          <w:tcPr>
            <w:tcW w:w="3240" w:type="dxa"/>
            <w:gridSpan w:val="3"/>
          </w:tcPr>
          <w:p w14:paraId="229C579E" w14:textId="77777777" w:rsidR="00D7303D" w:rsidRPr="00342F7C" w:rsidRDefault="00D7303D" w:rsidP="00751C7E">
            <w:pPr>
              <w:keepNext/>
              <w:ind w:hanging="108"/>
              <w:jc w:val="center"/>
              <w:rPr>
                <w:b/>
                <w:sz w:val="22"/>
                <w:szCs w:val="22"/>
              </w:rPr>
            </w:pPr>
            <w:r w:rsidRPr="00342F7C">
              <w:rPr>
                <w:b/>
                <w:sz w:val="22"/>
                <w:szCs w:val="22"/>
              </w:rPr>
              <w:t>Week 48</w:t>
            </w:r>
          </w:p>
        </w:tc>
        <w:tc>
          <w:tcPr>
            <w:tcW w:w="3252" w:type="dxa"/>
            <w:gridSpan w:val="3"/>
          </w:tcPr>
          <w:p w14:paraId="62D9FC66" w14:textId="77777777" w:rsidR="00D7303D" w:rsidRPr="00342F7C" w:rsidRDefault="00D7303D" w:rsidP="00751C7E">
            <w:pPr>
              <w:keepNext/>
              <w:jc w:val="center"/>
              <w:rPr>
                <w:b/>
                <w:sz w:val="22"/>
                <w:szCs w:val="22"/>
              </w:rPr>
            </w:pPr>
            <w:r w:rsidRPr="00342F7C">
              <w:rPr>
                <w:b/>
                <w:sz w:val="22"/>
                <w:szCs w:val="22"/>
              </w:rPr>
              <w:t>Week 96</w:t>
            </w:r>
          </w:p>
        </w:tc>
      </w:tr>
      <w:tr w:rsidR="00D7303D" w:rsidRPr="00342F7C" w14:paraId="37430246" w14:textId="77777777" w:rsidTr="00A94414">
        <w:tc>
          <w:tcPr>
            <w:tcW w:w="2388" w:type="dxa"/>
          </w:tcPr>
          <w:p w14:paraId="31FC94FC" w14:textId="77777777" w:rsidR="00D7303D" w:rsidRPr="00342F7C" w:rsidRDefault="00D7303D" w:rsidP="00751C7E">
            <w:pPr>
              <w:keepNext/>
              <w:rPr>
                <w:b/>
                <w:sz w:val="22"/>
                <w:szCs w:val="22"/>
              </w:rPr>
            </w:pPr>
          </w:p>
        </w:tc>
        <w:tc>
          <w:tcPr>
            <w:tcW w:w="960" w:type="dxa"/>
          </w:tcPr>
          <w:p w14:paraId="41EC5865" w14:textId="77777777" w:rsidR="00D7303D" w:rsidRPr="00342F7C" w:rsidRDefault="00D7303D" w:rsidP="00751C7E">
            <w:pPr>
              <w:keepNext/>
              <w:jc w:val="center"/>
              <w:rPr>
                <w:b/>
                <w:sz w:val="22"/>
                <w:szCs w:val="22"/>
              </w:rPr>
            </w:pPr>
            <w:r w:rsidRPr="00342F7C">
              <w:rPr>
                <w:b/>
                <w:sz w:val="22"/>
                <w:szCs w:val="22"/>
              </w:rPr>
              <w:t>QD</w:t>
            </w:r>
          </w:p>
        </w:tc>
        <w:tc>
          <w:tcPr>
            <w:tcW w:w="994" w:type="dxa"/>
          </w:tcPr>
          <w:p w14:paraId="2307F428" w14:textId="77777777" w:rsidR="00D7303D" w:rsidRPr="00342F7C" w:rsidRDefault="00D7303D" w:rsidP="00751C7E">
            <w:pPr>
              <w:keepNext/>
              <w:jc w:val="center"/>
              <w:rPr>
                <w:b/>
                <w:sz w:val="22"/>
                <w:szCs w:val="22"/>
              </w:rPr>
            </w:pPr>
            <w:r w:rsidRPr="00342F7C">
              <w:rPr>
                <w:b/>
                <w:sz w:val="22"/>
                <w:szCs w:val="22"/>
              </w:rPr>
              <w:t xml:space="preserve">BID </w:t>
            </w:r>
          </w:p>
        </w:tc>
        <w:tc>
          <w:tcPr>
            <w:tcW w:w="1286" w:type="dxa"/>
          </w:tcPr>
          <w:p w14:paraId="032E77BB" w14:textId="77777777" w:rsidR="00D7303D" w:rsidRPr="00342F7C" w:rsidRDefault="00D7303D" w:rsidP="00751C7E">
            <w:pPr>
              <w:keepNext/>
              <w:jc w:val="center"/>
              <w:rPr>
                <w:b/>
                <w:sz w:val="22"/>
                <w:szCs w:val="22"/>
              </w:rPr>
            </w:pPr>
            <w:r w:rsidRPr="00342F7C">
              <w:rPr>
                <w:b/>
                <w:sz w:val="22"/>
                <w:szCs w:val="22"/>
              </w:rPr>
              <w:t>Difference</w:t>
            </w:r>
          </w:p>
          <w:p w14:paraId="28B3E234" w14:textId="77777777" w:rsidR="00D7303D" w:rsidRPr="00342F7C" w:rsidRDefault="00D7303D" w:rsidP="00751C7E">
            <w:pPr>
              <w:keepNext/>
              <w:jc w:val="center"/>
              <w:rPr>
                <w:b/>
                <w:sz w:val="22"/>
                <w:szCs w:val="22"/>
              </w:rPr>
            </w:pPr>
            <w:r w:rsidRPr="00342F7C">
              <w:rPr>
                <w:b/>
                <w:sz w:val="22"/>
                <w:szCs w:val="22"/>
              </w:rPr>
              <w:t>[95% CI]</w:t>
            </w:r>
          </w:p>
        </w:tc>
        <w:tc>
          <w:tcPr>
            <w:tcW w:w="960" w:type="dxa"/>
          </w:tcPr>
          <w:p w14:paraId="17F9B13F" w14:textId="77777777" w:rsidR="00D7303D" w:rsidRPr="00342F7C" w:rsidRDefault="00D7303D" w:rsidP="00751C7E">
            <w:pPr>
              <w:keepNext/>
              <w:jc w:val="center"/>
              <w:rPr>
                <w:b/>
                <w:sz w:val="22"/>
                <w:szCs w:val="22"/>
              </w:rPr>
            </w:pPr>
            <w:r w:rsidRPr="00342F7C">
              <w:rPr>
                <w:b/>
                <w:sz w:val="22"/>
                <w:szCs w:val="22"/>
              </w:rPr>
              <w:t>QD</w:t>
            </w:r>
          </w:p>
        </w:tc>
        <w:tc>
          <w:tcPr>
            <w:tcW w:w="960" w:type="dxa"/>
          </w:tcPr>
          <w:p w14:paraId="61118BE3" w14:textId="77777777" w:rsidR="00D7303D" w:rsidRPr="00342F7C" w:rsidRDefault="00D7303D" w:rsidP="00751C7E">
            <w:pPr>
              <w:keepNext/>
              <w:jc w:val="center"/>
              <w:rPr>
                <w:b/>
                <w:sz w:val="22"/>
                <w:szCs w:val="22"/>
              </w:rPr>
            </w:pPr>
            <w:r w:rsidRPr="00342F7C">
              <w:rPr>
                <w:b/>
                <w:sz w:val="22"/>
                <w:szCs w:val="22"/>
              </w:rPr>
              <w:t xml:space="preserve">BID </w:t>
            </w:r>
          </w:p>
        </w:tc>
        <w:tc>
          <w:tcPr>
            <w:tcW w:w="1332" w:type="dxa"/>
          </w:tcPr>
          <w:p w14:paraId="793060AC" w14:textId="77777777" w:rsidR="00D7303D" w:rsidRPr="00342F7C" w:rsidRDefault="00D7303D" w:rsidP="00751C7E">
            <w:pPr>
              <w:keepNext/>
              <w:jc w:val="center"/>
              <w:rPr>
                <w:b/>
                <w:sz w:val="22"/>
                <w:szCs w:val="22"/>
              </w:rPr>
            </w:pPr>
            <w:r w:rsidRPr="00342F7C">
              <w:rPr>
                <w:b/>
                <w:sz w:val="22"/>
                <w:szCs w:val="22"/>
              </w:rPr>
              <w:t>Difference</w:t>
            </w:r>
          </w:p>
          <w:p w14:paraId="4FF9A530" w14:textId="77777777" w:rsidR="00D7303D" w:rsidRPr="00342F7C" w:rsidRDefault="00D7303D" w:rsidP="00751C7E">
            <w:pPr>
              <w:keepNext/>
              <w:jc w:val="center"/>
              <w:rPr>
                <w:b/>
                <w:sz w:val="22"/>
                <w:szCs w:val="22"/>
              </w:rPr>
            </w:pPr>
            <w:r w:rsidRPr="00342F7C">
              <w:rPr>
                <w:b/>
                <w:sz w:val="22"/>
                <w:szCs w:val="22"/>
              </w:rPr>
              <w:t>[95% CI]</w:t>
            </w:r>
          </w:p>
        </w:tc>
      </w:tr>
      <w:tr w:rsidR="00D7303D" w:rsidRPr="00342F7C" w14:paraId="772FB9CA" w14:textId="77777777" w:rsidTr="00A94414">
        <w:tc>
          <w:tcPr>
            <w:tcW w:w="2388" w:type="dxa"/>
          </w:tcPr>
          <w:p w14:paraId="20BAF71F" w14:textId="77777777" w:rsidR="00D7303D" w:rsidRPr="00342F7C" w:rsidRDefault="00D7303D" w:rsidP="00751C7E">
            <w:pPr>
              <w:keepNext/>
              <w:rPr>
                <w:sz w:val="22"/>
                <w:szCs w:val="22"/>
              </w:rPr>
            </w:pPr>
            <w:r w:rsidRPr="00342F7C">
              <w:rPr>
                <w:sz w:val="22"/>
                <w:szCs w:val="22"/>
              </w:rPr>
              <w:t>NC= Failure</w:t>
            </w:r>
          </w:p>
        </w:tc>
        <w:tc>
          <w:tcPr>
            <w:tcW w:w="960" w:type="dxa"/>
          </w:tcPr>
          <w:p w14:paraId="3FA722E0" w14:textId="77777777" w:rsidR="00D7303D" w:rsidRPr="00342F7C" w:rsidRDefault="00D7303D" w:rsidP="00751C7E">
            <w:pPr>
              <w:keepNext/>
              <w:jc w:val="center"/>
              <w:rPr>
                <w:sz w:val="22"/>
                <w:szCs w:val="22"/>
              </w:rPr>
            </w:pPr>
            <w:r w:rsidRPr="00342F7C">
              <w:rPr>
                <w:sz w:val="22"/>
                <w:szCs w:val="22"/>
              </w:rPr>
              <w:t>257/333</w:t>
            </w:r>
          </w:p>
          <w:p w14:paraId="09F1B136" w14:textId="77777777" w:rsidR="00D7303D" w:rsidRPr="00342F7C" w:rsidRDefault="00D7303D" w:rsidP="00751C7E">
            <w:pPr>
              <w:keepNext/>
              <w:jc w:val="center"/>
              <w:rPr>
                <w:sz w:val="22"/>
                <w:szCs w:val="22"/>
              </w:rPr>
            </w:pPr>
            <w:r w:rsidRPr="00342F7C">
              <w:rPr>
                <w:sz w:val="22"/>
                <w:szCs w:val="22"/>
              </w:rPr>
              <w:t>(77.2%)</w:t>
            </w:r>
          </w:p>
        </w:tc>
        <w:tc>
          <w:tcPr>
            <w:tcW w:w="994" w:type="dxa"/>
          </w:tcPr>
          <w:p w14:paraId="1828232F" w14:textId="77777777" w:rsidR="00D7303D" w:rsidRPr="00342F7C" w:rsidRDefault="00D7303D" w:rsidP="00751C7E">
            <w:pPr>
              <w:keepNext/>
              <w:jc w:val="center"/>
              <w:rPr>
                <w:sz w:val="22"/>
                <w:szCs w:val="22"/>
              </w:rPr>
            </w:pPr>
            <w:r w:rsidRPr="00342F7C">
              <w:rPr>
                <w:sz w:val="22"/>
                <w:szCs w:val="22"/>
              </w:rPr>
              <w:t>251/331</w:t>
            </w:r>
          </w:p>
          <w:p w14:paraId="56DA8F40" w14:textId="77777777" w:rsidR="00D7303D" w:rsidRPr="00342F7C" w:rsidRDefault="00D7303D" w:rsidP="00751C7E">
            <w:pPr>
              <w:keepNext/>
              <w:jc w:val="center"/>
              <w:rPr>
                <w:sz w:val="22"/>
                <w:szCs w:val="22"/>
              </w:rPr>
            </w:pPr>
            <w:r w:rsidRPr="00342F7C">
              <w:rPr>
                <w:sz w:val="22"/>
                <w:szCs w:val="22"/>
              </w:rPr>
              <w:t>(75.8%)</w:t>
            </w:r>
          </w:p>
        </w:tc>
        <w:tc>
          <w:tcPr>
            <w:tcW w:w="1286" w:type="dxa"/>
          </w:tcPr>
          <w:p w14:paraId="19B6678A" w14:textId="77777777" w:rsidR="00D7303D" w:rsidRPr="00342F7C" w:rsidRDefault="00D7303D" w:rsidP="00751C7E">
            <w:pPr>
              <w:keepNext/>
              <w:jc w:val="center"/>
              <w:rPr>
                <w:sz w:val="22"/>
                <w:szCs w:val="22"/>
              </w:rPr>
            </w:pPr>
            <w:r w:rsidRPr="00342F7C">
              <w:rPr>
                <w:sz w:val="22"/>
                <w:szCs w:val="22"/>
              </w:rPr>
              <w:t>1.3 %</w:t>
            </w:r>
          </w:p>
          <w:p w14:paraId="05AED215" w14:textId="77777777" w:rsidR="00D7303D" w:rsidRPr="00342F7C" w:rsidRDefault="00D7303D" w:rsidP="00751C7E">
            <w:pPr>
              <w:keepNext/>
              <w:jc w:val="center"/>
              <w:rPr>
                <w:sz w:val="22"/>
                <w:szCs w:val="22"/>
              </w:rPr>
            </w:pPr>
            <w:r w:rsidRPr="00342F7C">
              <w:rPr>
                <w:sz w:val="22"/>
                <w:szCs w:val="22"/>
              </w:rPr>
              <w:t>[-5.1, 7.8]</w:t>
            </w:r>
          </w:p>
        </w:tc>
        <w:tc>
          <w:tcPr>
            <w:tcW w:w="960" w:type="dxa"/>
          </w:tcPr>
          <w:p w14:paraId="1EBE24E8" w14:textId="77777777" w:rsidR="00D7303D" w:rsidRPr="00342F7C" w:rsidRDefault="00D7303D" w:rsidP="00751C7E">
            <w:pPr>
              <w:keepNext/>
              <w:jc w:val="center"/>
              <w:rPr>
                <w:sz w:val="22"/>
                <w:szCs w:val="22"/>
              </w:rPr>
            </w:pPr>
            <w:r w:rsidRPr="00342F7C">
              <w:rPr>
                <w:sz w:val="22"/>
                <w:szCs w:val="22"/>
              </w:rPr>
              <w:t>216/333</w:t>
            </w:r>
          </w:p>
          <w:p w14:paraId="7F9A9160" w14:textId="77777777" w:rsidR="00D7303D" w:rsidRPr="00342F7C" w:rsidRDefault="00D7303D" w:rsidP="00751C7E">
            <w:pPr>
              <w:keepNext/>
              <w:jc w:val="center"/>
              <w:rPr>
                <w:sz w:val="22"/>
                <w:szCs w:val="22"/>
              </w:rPr>
            </w:pPr>
            <w:r w:rsidRPr="00342F7C">
              <w:rPr>
                <w:sz w:val="22"/>
                <w:szCs w:val="22"/>
              </w:rPr>
              <w:t>(64.9%)</w:t>
            </w:r>
          </w:p>
        </w:tc>
        <w:tc>
          <w:tcPr>
            <w:tcW w:w="960" w:type="dxa"/>
          </w:tcPr>
          <w:p w14:paraId="67C7F972" w14:textId="77777777" w:rsidR="00D7303D" w:rsidRPr="00342F7C" w:rsidRDefault="00D7303D" w:rsidP="00751C7E">
            <w:pPr>
              <w:keepNext/>
              <w:jc w:val="center"/>
              <w:rPr>
                <w:sz w:val="22"/>
                <w:szCs w:val="22"/>
              </w:rPr>
            </w:pPr>
            <w:r w:rsidRPr="00342F7C">
              <w:rPr>
                <w:sz w:val="22"/>
                <w:szCs w:val="22"/>
              </w:rPr>
              <w:t>229/331</w:t>
            </w:r>
          </w:p>
          <w:p w14:paraId="7DB98811" w14:textId="77777777" w:rsidR="00D7303D" w:rsidRPr="00342F7C" w:rsidRDefault="00D7303D" w:rsidP="00751C7E">
            <w:pPr>
              <w:keepNext/>
              <w:jc w:val="center"/>
              <w:rPr>
                <w:sz w:val="22"/>
                <w:szCs w:val="22"/>
              </w:rPr>
            </w:pPr>
            <w:r w:rsidRPr="00342F7C">
              <w:rPr>
                <w:sz w:val="22"/>
                <w:szCs w:val="22"/>
              </w:rPr>
              <w:t>(69.2%)</w:t>
            </w:r>
          </w:p>
        </w:tc>
        <w:tc>
          <w:tcPr>
            <w:tcW w:w="1332" w:type="dxa"/>
          </w:tcPr>
          <w:p w14:paraId="51A5E577" w14:textId="77777777" w:rsidR="00D7303D" w:rsidRPr="00342F7C" w:rsidRDefault="00D7303D" w:rsidP="00751C7E">
            <w:pPr>
              <w:keepNext/>
              <w:jc w:val="center"/>
              <w:rPr>
                <w:sz w:val="22"/>
                <w:szCs w:val="22"/>
              </w:rPr>
            </w:pPr>
            <w:r w:rsidRPr="00342F7C">
              <w:rPr>
                <w:sz w:val="22"/>
                <w:szCs w:val="22"/>
              </w:rPr>
              <w:t>-4.3%</w:t>
            </w:r>
          </w:p>
          <w:p w14:paraId="6460F8A5" w14:textId="77777777" w:rsidR="00D7303D" w:rsidRPr="00342F7C" w:rsidRDefault="00D7303D" w:rsidP="00751C7E">
            <w:pPr>
              <w:keepNext/>
              <w:jc w:val="center"/>
              <w:rPr>
                <w:sz w:val="22"/>
                <w:szCs w:val="22"/>
              </w:rPr>
            </w:pPr>
            <w:r w:rsidRPr="00342F7C">
              <w:rPr>
                <w:sz w:val="22"/>
                <w:szCs w:val="22"/>
              </w:rPr>
              <w:t>[-11.5, 2.8]</w:t>
            </w:r>
          </w:p>
        </w:tc>
      </w:tr>
      <w:tr w:rsidR="00D7303D" w:rsidRPr="00342F7C" w14:paraId="3FAF8967" w14:textId="77777777" w:rsidTr="00A94414">
        <w:tc>
          <w:tcPr>
            <w:tcW w:w="2388" w:type="dxa"/>
          </w:tcPr>
          <w:p w14:paraId="7CF77124" w14:textId="77777777" w:rsidR="00D7303D" w:rsidRPr="00342F7C" w:rsidRDefault="00D7303D" w:rsidP="00751C7E">
            <w:pPr>
              <w:keepNext/>
              <w:rPr>
                <w:sz w:val="22"/>
                <w:szCs w:val="22"/>
              </w:rPr>
            </w:pPr>
            <w:r w:rsidRPr="00342F7C">
              <w:rPr>
                <w:sz w:val="22"/>
                <w:szCs w:val="22"/>
              </w:rPr>
              <w:t>Observed data</w:t>
            </w:r>
          </w:p>
        </w:tc>
        <w:tc>
          <w:tcPr>
            <w:tcW w:w="960" w:type="dxa"/>
          </w:tcPr>
          <w:p w14:paraId="3BBC6E89" w14:textId="77777777" w:rsidR="00D7303D" w:rsidRPr="00342F7C" w:rsidRDefault="00D7303D" w:rsidP="00751C7E">
            <w:pPr>
              <w:keepNext/>
              <w:jc w:val="center"/>
              <w:rPr>
                <w:sz w:val="22"/>
                <w:szCs w:val="22"/>
              </w:rPr>
            </w:pPr>
            <w:r w:rsidRPr="00342F7C">
              <w:rPr>
                <w:sz w:val="22"/>
                <w:szCs w:val="22"/>
              </w:rPr>
              <w:t>257/295</w:t>
            </w:r>
          </w:p>
          <w:p w14:paraId="46E94C5F" w14:textId="77777777" w:rsidR="00D7303D" w:rsidRPr="00342F7C" w:rsidRDefault="00D7303D" w:rsidP="00751C7E">
            <w:pPr>
              <w:keepNext/>
              <w:jc w:val="center"/>
              <w:rPr>
                <w:sz w:val="22"/>
                <w:szCs w:val="22"/>
              </w:rPr>
            </w:pPr>
            <w:r w:rsidRPr="00342F7C">
              <w:rPr>
                <w:sz w:val="22"/>
                <w:szCs w:val="22"/>
              </w:rPr>
              <w:t>(87.1%)</w:t>
            </w:r>
          </w:p>
        </w:tc>
        <w:tc>
          <w:tcPr>
            <w:tcW w:w="994" w:type="dxa"/>
          </w:tcPr>
          <w:p w14:paraId="7F23A0BD" w14:textId="77777777" w:rsidR="00D7303D" w:rsidRPr="00342F7C" w:rsidRDefault="00D7303D" w:rsidP="00751C7E">
            <w:pPr>
              <w:keepNext/>
              <w:jc w:val="center"/>
              <w:rPr>
                <w:sz w:val="22"/>
                <w:szCs w:val="22"/>
              </w:rPr>
            </w:pPr>
            <w:r w:rsidRPr="00342F7C">
              <w:rPr>
                <w:sz w:val="22"/>
                <w:szCs w:val="22"/>
              </w:rPr>
              <w:t>250/280</w:t>
            </w:r>
          </w:p>
          <w:p w14:paraId="14DA76C3" w14:textId="77777777" w:rsidR="00D7303D" w:rsidRPr="00342F7C" w:rsidRDefault="00D7303D" w:rsidP="00751C7E">
            <w:pPr>
              <w:keepNext/>
              <w:jc w:val="center"/>
              <w:rPr>
                <w:sz w:val="22"/>
                <w:szCs w:val="22"/>
              </w:rPr>
            </w:pPr>
            <w:r w:rsidRPr="00342F7C">
              <w:rPr>
                <w:sz w:val="22"/>
                <w:szCs w:val="22"/>
              </w:rPr>
              <w:t>(89.3%)</w:t>
            </w:r>
          </w:p>
        </w:tc>
        <w:tc>
          <w:tcPr>
            <w:tcW w:w="1286" w:type="dxa"/>
          </w:tcPr>
          <w:p w14:paraId="1C0AD34F" w14:textId="77777777" w:rsidR="00D7303D" w:rsidRPr="00342F7C" w:rsidRDefault="00D7303D" w:rsidP="00751C7E">
            <w:pPr>
              <w:keepNext/>
              <w:jc w:val="center"/>
              <w:rPr>
                <w:sz w:val="22"/>
                <w:szCs w:val="22"/>
              </w:rPr>
            </w:pPr>
            <w:r w:rsidRPr="00342F7C">
              <w:rPr>
                <w:sz w:val="22"/>
                <w:szCs w:val="22"/>
              </w:rPr>
              <w:t>-2.2%</w:t>
            </w:r>
          </w:p>
          <w:p w14:paraId="66594794" w14:textId="77777777" w:rsidR="00D7303D" w:rsidRPr="00342F7C" w:rsidRDefault="00D7303D" w:rsidP="00751C7E">
            <w:pPr>
              <w:keepNext/>
              <w:jc w:val="center"/>
              <w:rPr>
                <w:sz w:val="22"/>
                <w:szCs w:val="22"/>
              </w:rPr>
            </w:pPr>
            <w:r w:rsidRPr="00342F7C">
              <w:rPr>
                <w:sz w:val="22"/>
                <w:szCs w:val="22"/>
              </w:rPr>
              <w:t>[-7.4, 3.1]</w:t>
            </w:r>
          </w:p>
        </w:tc>
        <w:tc>
          <w:tcPr>
            <w:tcW w:w="960" w:type="dxa"/>
          </w:tcPr>
          <w:p w14:paraId="0A1BD65B" w14:textId="77777777" w:rsidR="00D7303D" w:rsidRPr="00342F7C" w:rsidRDefault="00D7303D" w:rsidP="00751C7E">
            <w:pPr>
              <w:keepNext/>
              <w:jc w:val="center"/>
              <w:rPr>
                <w:sz w:val="22"/>
                <w:szCs w:val="22"/>
              </w:rPr>
            </w:pPr>
            <w:r w:rsidRPr="00342F7C">
              <w:rPr>
                <w:sz w:val="22"/>
                <w:szCs w:val="22"/>
              </w:rPr>
              <w:t>216/247</w:t>
            </w:r>
          </w:p>
          <w:p w14:paraId="68FB0F83" w14:textId="77777777" w:rsidR="00D7303D" w:rsidRPr="00342F7C" w:rsidRDefault="00D7303D" w:rsidP="00751C7E">
            <w:pPr>
              <w:keepNext/>
              <w:jc w:val="center"/>
              <w:rPr>
                <w:sz w:val="22"/>
                <w:szCs w:val="22"/>
              </w:rPr>
            </w:pPr>
            <w:r w:rsidRPr="00342F7C">
              <w:rPr>
                <w:sz w:val="22"/>
                <w:szCs w:val="22"/>
              </w:rPr>
              <w:t>(87.4%)</w:t>
            </w:r>
          </w:p>
        </w:tc>
        <w:tc>
          <w:tcPr>
            <w:tcW w:w="960" w:type="dxa"/>
          </w:tcPr>
          <w:p w14:paraId="028F061C" w14:textId="77777777" w:rsidR="00D7303D" w:rsidRPr="00342F7C" w:rsidRDefault="00D7303D" w:rsidP="00751C7E">
            <w:pPr>
              <w:keepNext/>
              <w:jc w:val="center"/>
              <w:rPr>
                <w:sz w:val="22"/>
                <w:szCs w:val="22"/>
              </w:rPr>
            </w:pPr>
            <w:r w:rsidRPr="00342F7C">
              <w:rPr>
                <w:sz w:val="22"/>
                <w:szCs w:val="22"/>
              </w:rPr>
              <w:t>229/248</w:t>
            </w:r>
          </w:p>
          <w:p w14:paraId="43EA1AC4" w14:textId="77777777" w:rsidR="00D7303D" w:rsidRPr="00342F7C" w:rsidRDefault="00D7303D" w:rsidP="00751C7E">
            <w:pPr>
              <w:keepNext/>
              <w:jc w:val="center"/>
              <w:rPr>
                <w:sz w:val="22"/>
                <w:szCs w:val="22"/>
              </w:rPr>
            </w:pPr>
            <w:r w:rsidRPr="00342F7C">
              <w:rPr>
                <w:sz w:val="22"/>
                <w:szCs w:val="22"/>
              </w:rPr>
              <w:t>(92.3%)</w:t>
            </w:r>
          </w:p>
        </w:tc>
        <w:tc>
          <w:tcPr>
            <w:tcW w:w="1332" w:type="dxa"/>
          </w:tcPr>
          <w:p w14:paraId="0711ACB2" w14:textId="77777777" w:rsidR="00D7303D" w:rsidRPr="00342F7C" w:rsidRDefault="00D7303D" w:rsidP="00751C7E">
            <w:pPr>
              <w:keepNext/>
              <w:jc w:val="center"/>
              <w:rPr>
                <w:sz w:val="22"/>
                <w:szCs w:val="22"/>
              </w:rPr>
            </w:pPr>
            <w:r w:rsidRPr="00342F7C">
              <w:rPr>
                <w:sz w:val="22"/>
                <w:szCs w:val="22"/>
              </w:rPr>
              <w:t>-4.9%</w:t>
            </w:r>
          </w:p>
          <w:p w14:paraId="4C1AEAD3" w14:textId="77777777" w:rsidR="00D7303D" w:rsidRPr="00342F7C" w:rsidRDefault="00D7303D" w:rsidP="00751C7E">
            <w:pPr>
              <w:keepNext/>
              <w:jc w:val="center"/>
              <w:rPr>
                <w:sz w:val="22"/>
                <w:szCs w:val="22"/>
              </w:rPr>
            </w:pPr>
            <w:r w:rsidRPr="00342F7C">
              <w:rPr>
                <w:sz w:val="22"/>
                <w:szCs w:val="22"/>
              </w:rPr>
              <w:t>[-10.2, 0.4]</w:t>
            </w:r>
          </w:p>
        </w:tc>
      </w:tr>
      <w:tr w:rsidR="00D7303D" w:rsidRPr="00342F7C" w14:paraId="596696CD" w14:textId="77777777" w:rsidTr="00A94414">
        <w:tc>
          <w:tcPr>
            <w:tcW w:w="2388" w:type="dxa"/>
          </w:tcPr>
          <w:p w14:paraId="4C370BB6" w14:textId="77777777" w:rsidR="00D7303D" w:rsidRPr="00342F7C" w:rsidRDefault="00D7303D" w:rsidP="00751C7E">
            <w:pPr>
              <w:keepNext/>
              <w:rPr>
                <w:sz w:val="22"/>
                <w:szCs w:val="22"/>
                <w:u w:val="single"/>
              </w:rPr>
            </w:pPr>
            <w:r w:rsidRPr="00342F7C">
              <w:rPr>
                <w:sz w:val="22"/>
                <w:szCs w:val="22"/>
              </w:rPr>
              <w:t>Mean increase from baseline in CD4+ T-cell count (cells/mm3)</w:t>
            </w:r>
          </w:p>
        </w:tc>
        <w:tc>
          <w:tcPr>
            <w:tcW w:w="960" w:type="dxa"/>
          </w:tcPr>
          <w:p w14:paraId="76C9100B" w14:textId="77777777" w:rsidR="00D7303D" w:rsidRPr="00342F7C" w:rsidRDefault="00D7303D" w:rsidP="00751C7E">
            <w:pPr>
              <w:keepNext/>
              <w:jc w:val="center"/>
              <w:rPr>
                <w:sz w:val="22"/>
                <w:szCs w:val="22"/>
              </w:rPr>
            </w:pPr>
            <w:r w:rsidRPr="00342F7C">
              <w:rPr>
                <w:sz w:val="22"/>
                <w:szCs w:val="22"/>
              </w:rPr>
              <w:t>186</w:t>
            </w:r>
          </w:p>
        </w:tc>
        <w:tc>
          <w:tcPr>
            <w:tcW w:w="994" w:type="dxa"/>
          </w:tcPr>
          <w:p w14:paraId="1A79686A" w14:textId="77777777" w:rsidR="00D7303D" w:rsidRPr="00342F7C" w:rsidRDefault="00D7303D" w:rsidP="00751C7E">
            <w:pPr>
              <w:keepNext/>
              <w:jc w:val="center"/>
              <w:rPr>
                <w:sz w:val="22"/>
                <w:szCs w:val="22"/>
              </w:rPr>
            </w:pPr>
            <w:r w:rsidRPr="00342F7C">
              <w:rPr>
                <w:sz w:val="22"/>
                <w:szCs w:val="22"/>
              </w:rPr>
              <w:t>198</w:t>
            </w:r>
          </w:p>
        </w:tc>
        <w:tc>
          <w:tcPr>
            <w:tcW w:w="1286" w:type="dxa"/>
          </w:tcPr>
          <w:p w14:paraId="3EA76C12" w14:textId="77777777" w:rsidR="00D7303D" w:rsidRPr="00342F7C" w:rsidRDefault="00D7303D" w:rsidP="00751C7E">
            <w:pPr>
              <w:keepNext/>
              <w:jc w:val="center"/>
              <w:rPr>
                <w:sz w:val="22"/>
                <w:szCs w:val="22"/>
              </w:rPr>
            </w:pPr>
          </w:p>
        </w:tc>
        <w:tc>
          <w:tcPr>
            <w:tcW w:w="960" w:type="dxa"/>
          </w:tcPr>
          <w:p w14:paraId="37E9C5E8" w14:textId="77777777" w:rsidR="00D7303D" w:rsidRPr="00342F7C" w:rsidRDefault="00D7303D" w:rsidP="00751C7E">
            <w:pPr>
              <w:keepNext/>
              <w:jc w:val="center"/>
              <w:rPr>
                <w:sz w:val="22"/>
                <w:szCs w:val="22"/>
              </w:rPr>
            </w:pPr>
            <w:r w:rsidRPr="00342F7C">
              <w:rPr>
                <w:sz w:val="22"/>
                <w:szCs w:val="22"/>
              </w:rPr>
              <w:t>238</w:t>
            </w:r>
          </w:p>
        </w:tc>
        <w:tc>
          <w:tcPr>
            <w:tcW w:w="960" w:type="dxa"/>
          </w:tcPr>
          <w:p w14:paraId="1E5A272E" w14:textId="77777777" w:rsidR="00D7303D" w:rsidRPr="00342F7C" w:rsidRDefault="00D7303D" w:rsidP="00751C7E">
            <w:pPr>
              <w:keepNext/>
              <w:jc w:val="center"/>
              <w:rPr>
                <w:sz w:val="22"/>
                <w:szCs w:val="22"/>
              </w:rPr>
            </w:pPr>
            <w:r w:rsidRPr="00342F7C">
              <w:rPr>
                <w:sz w:val="22"/>
                <w:szCs w:val="22"/>
              </w:rPr>
              <w:t>254</w:t>
            </w:r>
          </w:p>
        </w:tc>
        <w:tc>
          <w:tcPr>
            <w:tcW w:w="1332" w:type="dxa"/>
          </w:tcPr>
          <w:p w14:paraId="039DD7A5" w14:textId="77777777" w:rsidR="00D7303D" w:rsidRPr="00342F7C" w:rsidRDefault="00D7303D" w:rsidP="00751C7E">
            <w:pPr>
              <w:keepNext/>
              <w:jc w:val="center"/>
              <w:rPr>
                <w:sz w:val="22"/>
                <w:szCs w:val="22"/>
              </w:rPr>
            </w:pPr>
          </w:p>
        </w:tc>
      </w:tr>
    </w:tbl>
    <w:p w14:paraId="4FB429B6" w14:textId="77777777" w:rsidR="00D7303D" w:rsidRPr="00342F7C" w:rsidRDefault="00D7303D" w:rsidP="00A94414">
      <w:pPr>
        <w:pStyle w:val="EMEANormal"/>
        <w:rPr>
          <w:lang w:val="en-GB"/>
        </w:rPr>
      </w:pPr>
    </w:p>
    <w:p w14:paraId="4DB112E4" w14:textId="77777777" w:rsidR="00D7303D" w:rsidRPr="00342F7C" w:rsidRDefault="00D7303D" w:rsidP="00A94414">
      <w:pPr>
        <w:pStyle w:val="EMEANormal"/>
        <w:rPr>
          <w:lang w:val="en-GB"/>
        </w:rPr>
      </w:pPr>
      <w:r w:rsidRPr="00342F7C">
        <w:rPr>
          <w:lang w:val="en-GB"/>
        </w:rPr>
        <w:t>Through Week 96, genotypic resistance testing results were available from 25 patients in the QD group and 26 patients in the BID group who had incomplete virologic response.  In the QD group, no patient demonstrated lopinavir resistance, and in the BID group, 1 patient who had significant protease inhibitor resistance at baseline demonstrated additional lopinavir resistance on study.</w:t>
      </w:r>
    </w:p>
    <w:p w14:paraId="1D2EA4A0" w14:textId="77777777" w:rsidR="00D7303D" w:rsidRPr="00342F7C" w:rsidRDefault="00D7303D">
      <w:pPr>
        <w:pStyle w:val="EMEANormal"/>
        <w:rPr>
          <w:lang w:val="en-GB"/>
        </w:rPr>
      </w:pPr>
    </w:p>
    <w:p w14:paraId="216E41E7" w14:textId="77777777" w:rsidR="00D7303D" w:rsidRPr="00342F7C" w:rsidRDefault="00D7303D">
      <w:pPr>
        <w:pStyle w:val="EMEANormal"/>
        <w:rPr>
          <w:lang w:val="en-GB"/>
        </w:rPr>
      </w:pPr>
      <w:r w:rsidRPr="00342F7C">
        <w:rPr>
          <w:lang w:val="en-GB"/>
        </w:rPr>
        <w:t xml:space="preserve">Sustained virological response to Kaletra (in combination with nucleoside/nucleotide reverse transcriptase inhibitors) has been also observed in a small Phase II study (M97-720) through 360 weeks of treatment.  One hundred patients were originally treated with Kaletra in the study (including 51 patients receiving 400/100 mg twice daily and 49 patients at either 200/100 mg twice daily or 400/200 mg twice daily).  All patients converted to open-label Kaletra at the 400/100 mg twice daily dose between week 48 and week 72.  </w:t>
      </w:r>
      <w:r w:rsidRPr="00342F7C">
        <w:rPr>
          <w:color w:val="000000"/>
          <w:lang w:val="en-GB"/>
        </w:rPr>
        <w:t>Thirty</w:t>
      </w:r>
      <w:r w:rsidRPr="00342F7C">
        <w:rPr>
          <w:color w:val="000000"/>
          <w:lang w:val="en-GB"/>
        </w:rPr>
        <w:noBreakHyphen/>
        <w:t xml:space="preserve">nine patients (39%) discontinued the study, including 16 (16%) discontinuations due to adverse events, one of which was associated with a death.  </w:t>
      </w:r>
      <w:r w:rsidRPr="00342F7C">
        <w:rPr>
          <w:lang w:val="en-GB"/>
        </w:rPr>
        <w:t>Sixty</w:t>
      </w:r>
      <w:r w:rsidRPr="00342F7C">
        <w:rPr>
          <w:lang w:val="en-GB"/>
        </w:rPr>
        <w:noBreakHyphen/>
        <w:t>one patients completed the study (35 patients received the recommended 400/100 mg twice</w:t>
      </w:r>
      <w:r w:rsidR="004F2509">
        <w:rPr>
          <w:lang w:val="en-GB"/>
        </w:rPr>
        <w:noBreakHyphen/>
      </w:r>
      <w:r w:rsidRPr="00342F7C">
        <w:rPr>
          <w:lang w:val="en-GB"/>
        </w:rPr>
        <w:t xml:space="preserve">daily dose throughout the study).  </w:t>
      </w:r>
    </w:p>
    <w:p w14:paraId="1DE3021A" w14:textId="77777777" w:rsidR="00D7303D" w:rsidRPr="00342F7C" w:rsidRDefault="00D7303D" w:rsidP="00A94414">
      <w:pPr>
        <w:pStyle w:val="EMEANormal"/>
        <w:rPr>
          <w:lang w:val="en-GB"/>
        </w:rPr>
      </w:pPr>
    </w:p>
    <w:p w14:paraId="28D4685A" w14:textId="77777777" w:rsidR="00D7303D" w:rsidRPr="00342F7C" w:rsidRDefault="00D7303D" w:rsidP="00047BED">
      <w:pPr>
        <w:pStyle w:val="EMEANormal"/>
        <w:keepNext/>
        <w:rPr>
          <w:lang w:val="en-GB"/>
        </w:rPr>
      </w:pPr>
      <w:r w:rsidRPr="00342F7C">
        <w:rPr>
          <w:lang w:val="en-GB"/>
        </w:rPr>
        <w:t>Table 3</w:t>
      </w:r>
    </w:p>
    <w:p w14:paraId="77B4146A" w14:textId="77777777" w:rsidR="00D7303D" w:rsidRPr="00342F7C" w:rsidRDefault="00D7303D" w:rsidP="00047BED">
      <w:pPr>
        <w:pStyle w:val="EMEANormal"/>
        <w:keepNext/>
        <w:rPr>
          <w:lang w:val="en-GB"/>
        </w:rPr>
      </w:pPr>
    </w:p>
    <w:tbl>
      <w:tblPr>
        <w:tblW w:w="8040" w:type="dxa"/>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0"/>
        <w:gridCol w:w="2160"/>
      </w:tblGrid>
      <w:tr w:rsidR="00D7303D" w:rsidRPr="00342F7C" w14:paraId="1AE0D447" w14:textId="77777777" w:rsidTr="008541E3">
        <w:tc>
          <w:tcPr>
            <w:tcW w:w="8040" w:type="dxa"/>
            <w:gridSpan w:val="2"/>
          </w:tcPr>
          <w:p w14:paraId="528030E6" w14:textId="77777777" w:rsidR="00D7303D" w:rsidRPr="00342F7C" w:rsidRDefault="00D7303D" w:rsidP="00047BED">
            <w:pPr>
              <w:pStyle w:val="EMEANormal"/>
              <w:keepNext/>
              <w:spacing w:before="120" w:after="120"/>
              <w:jc w:val="center"/>
              <w:rPr>
                <w:lang w:val="en-GB"/>
              </w:rPr>
            </w:pPr>
            <w:r w:rsidRPr="00342F7C">
              <w:rPr>
                <w:b/>
                <w:lang w:val="en-GB"/>
              </w:rPr>
              <w:t>Outcomes at Week 360: Study M97-720</w:t>
            </w:r>
          </w:p>
        </w:tc>
      </w:tr>
      <w:tr w:rsidR="00D7303D" w:rsidRPr="00342F7C" w14:paraId="5505DDAB" w14:textId="77777777" w:rsidTr="008541E3">
        <w:tc>
          <w:tcPr>
            <w:tcW w:w="5880" w:type="dxa"/>
          </w:tcPr>
          <w:p w14:paraId="3E3C70C6" w14:textId="77777777" w:rsidR="00D7303D" w:rsidRPr="00342F7C" w:rsidRDefault="00D7303D" w:rsidP="00047BED">
            <w:pPr>
              <w:pStyle w:val="EMEANormal"/>
              <w:keepNext/>
              <w:jc w:val="center"/>
              <w:rPr>
                <w:lang w:val="en-GB"/>
              </w:rPr>
            </w:pPr>
          </w:p>
        </w:tc>
        <w:tc>
          <w:tcPr>
            <w:tcW w:w="2160" w:type="dxa"/>
          </w:tcPr>
          <w:p w14:paraId="2FBF329F" w14:textId="77777777" w:rsidR="00D7303D" w:rsidRPr="00342F7C" w:rsidRDefault="00D7303D" w:rsidP="00047BED">
            <w:pPr>
              <w:pStyle w:val="EMEANormal"/>
              <w:keepNext/>
              <w:jc w:val="center"/>
              <w:rPr>
                <w:lang w:val="en-GB"/>
              </w:rPr>
            </w:pPr>
            <w:r w:rsidRPr="00342F7C">
              <w:rPr>
                <w:b/>
                <w:lang w:val="en-GB"/>
              </w:rPr>
              <w:t>Kaletra (N=100)</w:t>
            </w:r>
          </w:p>
        </w:tc>
      </w:tr>
      <w:tr w:rsidR="00D7303D" w:rsidRPr="00342F7C" w14:paraId="06CE2209" w14:textId="77777777" w:rsidTr="008541E3">
        <w:tc>
          <w:tcPr>
            <w:tcW w:w="5880" w:type="dxa"/>
          </w:tcPr>
          <w:p w14:paraId="5D15D624" w14:textId="77777777" w:rsidR="00D7303D" w:rsidRPr="00342F7C" w:rsidRDefault="00D7303D" w:rsidP="00047BED">
            <w:pPr>
              <w:pStyle w:val="EMEANormal"/>
              <w:keepNext/>
              <w:rPr>
                <w:lang w:val="en-GB"/>
              </w:rPr>
            </w:pPr>
            <w:r w:rsidRPr="00342F7C">
              <w:rPr>
                <w:lang w:val="en-GB"/>
              </w:rPr>
              <w:t>HIV RNA &lt; 400 copies/ml</w:t>
            </w:r>
          </w:p>
        </w:tc>
        <w:tc>
          <w:tcPr>
            <w:tcW w:w="2160" w:type="dxa"/>
          </w:tcPr>
          <w:p w14:paraId="29C507EF" w14:textId="77777777" w:rsidR="00D7303D" w:rsidRPr="00342F7C" w:rsidRDefault="00D7303D" w:rsidP="00047BED">
            <w:pPr>
              <w:pStyle w:val="EMEANormal"/>
              <w:keepNext/>
              <w:jc w:val="center"/>
              <w:rPr>
                <w:lang w:val="en-GB"/>
              </w:rPr>
            </w:pPr>
            <w:r w:rsidRPr="00342F7C">
              <w:rPr>
                <w:lang w:val="en-GB"/>
              </w:rPr>
              <w:t>61%</w:t>
            </w:r>
          </w:p>
        </w:tc>
      </w:tr>
      <w:tr w:rsidR="00D7303D" w:rsidRPr="00342F7C" w14:paraId="652502CB" w14:textId="77777777" w:rsidTr="008541E3">
        <w:tc>
          <w:tcPr>
            <w:tcW w:w="5880" w:type="dxa"/>
          </w:tcPr>
          <w:p w14:paraId="2CFC6E51" w14:textId="77777777" w:rsidR="00D7303D" w:rsidRPr="00342F7C" w:rsidRDefault="00D7303D" w:rsidP="00047BED">
            <w:pPr>
              <w:pStyle w:val="EMEANormal"/>
              <w:keepNext/>
              <w:rPr>
                <w:lang w:val="en-GB"/>
              </w:rPr>
            </w:pPr>
            <w:r w:rsidRPr="00342F7C">
              <w:rPr>
                <w:lang w:val="en-GB"/>
              </w:rPr>
              <w:t>HIV RNA &lt; 50 copies/ml</w:t>
            </w:r>
          </w:p>
        </w:tc>
        <w:tc>
          <w:tcPr>
            <w:tcW w:w="2160" w:type="dxa"/>
          </w:tcPr>
          <w:p w14:paraId="6B20D1FF" w14:textId="77777777" w:rsidR="00D7303D" w:rsidRPr="00342F7C" w:rsidRDefault="00D7303D" w:rsidP="00047BED">
            <w:pPr>
              <w:pStyle w:val="EMEANormal"/>
              <w:keepNext/>
              <w:jc w:val="center"/>
              <w:rPr>
                <w:lang w:val="en-GB"/>
              </w:rPr>
            </w:pPr>
            <w:r w:rsidRPr="00342F7C">
              <w:rPr>
                <w:lang w:val="en-GB"/>
              </w:rPr>
              <w:t>59%</w:t>
            </w:r>
          </w:p>
        </w:tc>
      </w:tr>
      <w:tr w:rsidR="00D7303D" w:rsidRPr="00342F7C" w14:paraId="2032912A" w14:textId="77777777" w:rsidTr="008541E3">
        <w:tc>
          <w:tcPr>
            <w:tcW w:w="5880" w:type="dxa"/>
          </w:tcPr>
          <w:p w14:paraId="57E919F5" w14:textId="77777777" w:rsidR="00D7303D" w:rsidRPr="00342F7C" w:rsidRDefault="00D7303D" w:rsidP="00047BED">
            <w:pPr>
              <w:pStyle w:val="EMEANormal"/>
              <w:keepNext/>
              <w:rPr>
                <w:lang w:val="en-GB"/>
              </w:rPr>
            </w:pPr>
            <w:r w:rsidRPr="00342F7C">
              <w:rPr>
                <w:lang w:val="en-GB"/>
              </w:rPr>
              <w:t>Mean increase from baseline in CD4+ T-cell count (cells/mm</w:t>
            </w:r>
            <w:r w:rsidRPr="00342F7C">
              <w:rPr>
                <w:vertAlign w:val="superscript"/>
                <w:lang w:val="en-GB"/>
              </w:rPr>
              <w:t>3</w:t>
            </w:r>
            <w:r w:rsidRPr="00342F7C">
              <w:rPr>
                <w:lang w:val="en-GB"/>
              </w:rPr>
              <w:t>)</w:t>
            </w:r>
          </w:p>
        </w:tc>
        <w:tc>
          <w:tcPr>
            <w:tcW w:w="2160" w:type="dxa"/>
          </w:tcPr>
          <w:p w14:paraId="2495C1A5" w14:textId="77777777" w:rsidR="00D7303D" w:rsidRPr="00342F7C" w:rsidRDefault="00D7303D" w:rsidP="00047BED">
            <w:pPr>
              <w:pStyle w:val="EMEANormal"/>
              <w:keepNext/>
              <w:jc w:val="center"/>
              <w:rPr>
                <w:lang w:val="en-GB"/>
              </w:rPr>
            </w:pPr>
            <w:r w:rsidRPr="00342F7C">
              <w:rPr>
                <w:lang w:val="en-GB"/>
              </w:rPr>
              <w:t>501</w:t>
            </w:r>
          </w:p>
        </w:tc>
      </w:tr>
    </w:tbl>
    <w:p w14:paraId="4EF7B0E7" w14:textId="77777777" w:rsidR="00D7303D" w:rsidRPr="00342F7C" w:rsidRDefault="00D7303D" w:rsidP="00047BED">
      <w:pPr>
        <w:pStyle w:val="EMEANormal"/>
        <w:keepNext/>
        <w:rPr>
          <w:lang w:val="en-GB"/>
        </w:rPr>
      </w:pPr>
    </w:p>
    <w:p w14:paraId="0F4A740C" w14:textId="77777777" w:rsidR="00D7303D" w:rsidRDefault="00D7303D" w:rsidP="00A94414">
      <w:pPr>
        <w:pStyle w:val="EMEANormal"/>
        <w:rPr>
          <w:lang w:val="en-GB"/>
        </w:rPr>
      </w:pPr>
      <w:r w:rsidRPr="00342F7C">
        <w:rPr>
          <w:lang w:val="en-GB"/>
        </w:rPr>
        <w:t>Through 360 weeks of treatment, genotypic analysis of viral isolates was successfully conducted in 19 of 28 patients with confirmed HIV RNA above 400 copies/ml revealed no primary or active site mutations in protease (amino acids at positions 8, 30, 32, 46, 47, 48, 50, 82, 84 and 90) or protease inhibitor phenotypic resistance</w:t>
      </w:r>
    </w:p>
    <w:p w14:paraId="3652B9F1" w14:textId="77777777" w:rsidR="00751C7E" w:rsidRPr="00342F7C" w:rsidRDefault="00751C7E" w:rsidP="00A94414">
      <w:pPr>
        <w:pStyle w:val="EMEANormal"/>
        <w:rPr>
          <w:lang w:val="en-GB"/>
        </w:rPr>
      </w:pPr>
    </w:p>
    <w:p w14:paraId="1EB41444" w14:textId="77777777" w:rsidR="00D7303D" w:rsidRPr="0017061C" w:rsidRDefault="00D7303D" w:rsidP="00751C7E">
      <w:pPr>
        <w:pStyle w:val="EMEAHeadingUnderline"/>
        <w:spacing w:beforeLines="0" w:before="0" w:afterLines="0" w:after="0"/>
        <w:rPr>
          <w:u w:val="none"/>
          <w:lang w:val="en-GB"/>
        </w:rPr>
      </w:pPr>
      <w:r w:rsidRPr="0017061C">
        <w:rPr>
          <w:u w:val="none"/>
          <w:lang w:val="en-GB"/>
        </w:rPr>
        <w:t>Patients with prior antiretroviral therapy</w:t>
      </w:r>
    </w:p>
    <w:p w14:paraId="7D7A33A4" w14:textId="77777777" w:rsidR="00751C7E" w:rsidRPr="00751C7E" w:rsidRDefault="00751C7E" w:rsidP="00751C7E">
      <w:pPr>
        <w:pStyle w:val="EMEANormal"/>
        <w:rPr>
          <w:lang w:val="en-GB"/>
        </w:rPr>
      </w:pPr>
    </w:p>
    <w:p w14:paraId="541C0A98" w14:textId="77777777" w:rsidR="00D7303D" w:rsidRPr="00342F7C" w:rsidRDefault="00D7303D" w:rsidP="00761A72">
      <w:pPr>
        <w:pStyle w:val="EMEANormal"/>
        <w:rPr>
          <w:szCs w:val="22"/>
          <w:lang w:val="en-GB"/>
        </w:rPr>
      </w:pPr>
      <w:r w:rsidRPr="00342F7C">
        <w:rPr>
          <w:szCs w:val="22"/>
          <w:lang w:val="en-GB"/>
        </w:rPr>
        <w:t>M06-802 was a randomised open-label study comparing the safety, tolerability and antiviral activity of once</w:t>
      </w:r>
      <w:r w:rsidR="004F2509">
        <w:rPr>
          <w:szCs w:val="22"/>
          <w:lang w:val="en-GB"/>
        </w:rPr>
        <w:noBreakHyphen/>
      </w:r>
      <w:r w:rsidRPr="00342F7C">
        <w:rPr>
          <w:szCs w:val="22"/>
          <w:lang w:val="en-GB"/>
        </w:rPr>
        <w:t>daily and twice</w:t>
      </w:r>
      <w:r w:rsidR="00136AEA">
        <w:rPr>
          <w:szCs w:val="22"/>
          <w:lang w:val="en-GB"/>
        </w:rPr>
        <w:noBreakHyphen/>
      </w:r>
      <w:r w:rsidRPr="00342F7C">
        <w:rPr>
          <w:szCs w:val="22"/>
          <w:lang w:val="en-GB"/>
        </w:rPr>
        <w:t>daily dosing of lopinavir/ritonavir tablets in 599 subjects with detectable viral loads while receiving their current antiviral therapy.  Patients had not been on prior lopinavir/ritonavir therapy.  They were randomised in a 1:1 ratio to receive either lopinavir/ritonavir 800/200 mg once daily (n = 300) or lopinavir/ritonavir 400/100 mg twice daily (n = 299).  Patients were administered at least two nucleoside/nucleotide reverse transcriptase inhibitors selected by the investigator.  The enrolled population was moderately PI-experienced with more than half of patients having never received prior PI and around 80% of patients presenting a viral strain with less than 3 PI mutations.  Mean age of patients enrolled was 41 years (range: 21 to 73); 51% were Caucasian and 66% were male.  Mean baseline CD4+ T-cell count was 254 cells/mm</w:t>
      </w:r>
      <w:r w:rsidRPr="00342F7C">
        <w:rPr>
          <w:szCs w:val="22"/>
          <w:vertAlign w:val="superscript"/>
          <w:lang w:val="en-GB"/>
        </w:rPr>
        <w:t>3</w:t>
      </w:r>
      <w:r w:rsidRPr="00342F7C">
        <w:rPr>
          <w:szCs w:val="22"/>
          <w:lang w:val="en-GB"/>
        </w:rPr>
        <w:t xml:space="preserve"> (range: 4 to 952 cells/mm</w:t>
      </w:r>
      <w:r w:rsidRPr="00342F7C">
        <w:rPr>
          <w:szCs w:val="22"/>
          <w:vertAlign w:val="superscript"/>
          <w:lang w:val="en-GB"/>
        </w:rPr>
        <w:t>3</w:t>
      </w:r>
      <w:r w:rsidRPr="00342F7C">
        <w:rPr>
          <w:szCs w:val="22"/>
          <w:lang w:val="en-GB"/>
        </w:rPr>
        <w:t>) and mean baseline plasma HIV-1 RNA was 4.3 log</w:t>
      </w:r>
      <w:r w:rsidRPr="00342F7C">
        <w:rPr>
          <w:szCs w:val="22"/>
          <w:vertAlign w:val="subscript"/>
          <w:lang w:val="en-GB"/>
        </w:rPr>
        <w:t>10</w:t>
      </w:r>
      <w:r w:rsidRPr="00342F7C">
        <w:rPr>
          <w:szCs w:val="22"/>
          <w:lang w:val="en-GB"/>
        </w:rPr>
        <w:t> copies/ml (range: 1.7 to 6.6 log</w:t>
      </w:r>
      <w:r w:rsidRPr="00342F7C">
        <w:rPr>
          <w:szCs w:val="22"/>
          <w:vertAlign w:val="subscript"/>
          <w:lang w:val="en-GB"/>
        </w:rPr>
        <w:t>10</w:t>
      </w:r>
      <w:r w:rsidRPr="00342F7C">
        <w:rPr>
          <w:szCs w:val="22"/>
          <w:lang w:val="en-GB"/>
        </w:rPr>
        <w:t> copies/ml).  Around 85% of patients had a viral load of &lt; 100,000 copies/ml.</w:t>
      </w:r>
    </w:p>
    <w:p w14:paraId="52CF5856" w14:textId="77777777" w:rsidR="00D7303D" w:rsidRPr="00342F7C" w:rsidRDefault="00D7303D" w:rsidP="00761A72">
      <w:pPr>
        <w:pStyle w:val="EMEANormal"/>
        <w:rPr>
          <w:szCs w:val="22"/>
          <w:lang w:val="en-GB"/>
        </w:rPr>
      </w:pPr>
    </w:p>
    <w:p w14:paraId="777CC364" w14:textId="77777777" w:rsidR="00D7303D" w:rsidRPr="00342F7C" w:rsidRDefault="00D7303D" w:rsidP="00761A72">
      <w:pPr>
        <w:pStyle w:val="EMEANormal"/>
        <w:rPr>
          <w:szCs w:val="22"/>
          <w:lang w:val="en-GB"/>
        </w:rPr>
      </w:pPr>
      <w:r w:rsidRPr="00342F7C">
        <w:rPr>
          <w:szCs w:val="22"/>
          <w:lang w:val="en-GB"/>
        </w:rPr>
        <w:t>Table 4</w:t>
      </w:r>
    </w:p>
    <w:p w14:paraId="0860BF9A" w14:textId="77777777" w:rsidR="00D7303D" w:rsidRPr="00342F7C" w:rsidRDefault="00D7303D" w:rsidP="00B51433">
      <w:pPr>
        <w:pStyle w:val="EMEANormal"/>
        <w:rPr>
          <w:szCs w:val="22"/>
          <w:lang w:val="en-GB"/>
        </w:rPr>
      </w:pPr>
    </w:p>
    <w:tbl>
      <w:tblPr>
        <w:tblW w:w="0" w:type="auto"/>
        <w:jc w:val="center"/>
        <w:tblLayout w:type="fixed"/>
        <w:tblCellMar>
          <w:left w:w="0" w:type="dxa"/>
          <w:right w:w="0" w:type="dxa"/>
        </w:tblCellMar>
        <w:tblLook w:val="00A0" w:firstRow="1" w:lastRow="0" w:firstColumn="1" w:lastColumn="0" w:noHBand="0" w:noVBand="0"/>
      </w:tblPr>
      <w:tblGrid>
        <w:gridCol w:w="2987"/>
        <w:gridCol w:w="1200"/>
        <w:gridCol w:w="1080"/>
        <w:gridCol w:w="1617"/>
      </w:tblGrid>
      <w:tr w:rsidR="00D7303D" w:rsidRPr="00342F7C" w14:paraId="4B56E39C" w14:textId="77777777" w:rsidTr="001C4CD7">
        <w:trPr>
          <w:jc w:val="center"/>
        </w:trPr>
        <w:tc>
          <w:tcPr>
            <w:tcW w:w="6884" w:type="dxa"/>
            <w:gridSpan w:val="4"/>
            <w:tcBorders>
              <w:top w:val="single" w:sz="6" w:space="0" w:color="000000"/>
              <w:left w:val="single" w:sz="6" w:space="0" w:color="000000"/>
              <w:bottom w:val="single" w:sz="6" w:space="0" w:color="000000"/>
              <w:right w:val="single" w:sz="6" w:space="0" w:color="000000"/>
            </w:tcBorders>
          </w:tcPr>
          <w:p w14:paraId="02A33C8F" w14:textId="77777777" w:rsidR="00D7303D" w:rsidRPr="00342F7C" w:rsidRDefault="00D7303D" w:rsidP="001C4CD7">
            <w:pPr>
              <w:pStyle w:val="EMEANormal"/>
              <w:spacing w:before="120" w:after="120"/>
              <w:jc w:val="center"/>
              <w:rPr>
                <w:b/>
                <w:bCs/>
                <w:color w:val="000000"/>
                <w:szCs w:val="22"/>
                <w:lang w:val="en-GB"/>
              </w:rPr>
            </w:pPr>
            <w:r w:rsidRPr="00342F7C">
              <w:rPr>
                <w:b/>
                <w:bCs/>
                <w:color w:val="000000"/>
                <w:szCs w:val="22"/>
                <w:lang w:val="en-GB"/>
              </w:rPr>
              <w:t>Virologic Response of Study Subjects at Week 48 Study 802</w:t>
            </w:r>
          </w:p>
        </w:tc>
      </w:tr>
      <w:tr w:rsidR="00D7303D" w:rsidRPr="00342F7C" w14:paraId="56D58626" w14:textId="77777777" w:rsidTr="001C4CD7">
        <w:trPr>
          <w:jc w:val="center"/>
        </w:trPr>
        <w:tc>
          <w:tcPr>
            <w:tcW w:w="2987" w:type="dxa"/>
            <w:tcBorders>
              <w:top w:val="single" w:sz="6" w:space="0" w:color="000000"/>
              <w:left w:val="single" w:sz="6" w:space="0" w:color="000000"/>
              <w:bottom w:val="single" w:sz="6" w:space="0" w:color="000000"/>
              <w:right w:val="single" w:sz="6" w:space="0" w:color="000000"/>
            </w:tcBorders>
          </w:tcPr>
          <w:p w14:paraId="5F66B136" w14:textId="77777777" w:rsidR="00D7303D" w:rsidRPr="00342F7C" w:rsidRDefault="00D7303D" w:rsidP="001C4CD7">
            <w:pPr>
              <w:pStyle w:val="EMEANormal"/>
              <w:rPr>
                <w:b/>
                <w:bCs/>
                <w:color w:val="000000"/>
                <w:szCs w:val="22"/>
                <w:lang w:val="en-GB"/>
              </w:rPr>
            </w:pPr>
          </w:p>
        </w:tc>
        <w:tc>
          <w:tcPr>
            <w:tcW w:w="1200" w:type="dxa"/>
            <w:tcBorders>
              <w:top w:val="single" w:sz="6" w:space="0" w:color="000000"/>
              <w:left w:val="single" w:sz="6" w:space="0" w:color="000000"/>
              <w:bottom w:val="single" w:sz="6" w:space="0" w:color="000000"/>
              <w:right w:val="single" w:sz="6" w:space="0" w:color="000000"/>
            </w:tcBorders>
          </w:tcPr>
          <w:p w14:paraId="01A957C9" w14:textId="77777777" w:rsidR="00D7303D" w:rsidRPr="00342F7C" w:rsidRDefault="00D7303D" w:rsidP="001C4CD7">
            <w:pPr>
              <w:pStyle w:val="EMEANormal"/>
              <w:jc w:val="center"/>
              <w:rPr>
                <w:b/>
                <w:bCs/>
                <w:color w:val="000000"/>
                <w:szCs w:val="22"/>
                <w:lang w:val="en-GB"/>
              </w:rPr>
            </w:pPr>
            <w:r w:rsidRPr="00342F7C">
              <w:rPr>
                <w:b/>
                <w:bCs/>
                <w:color w:val="000000"/>
                <w:szCs w:val="22"/>
                <w:lang w:val="en-GB"/>
              </w:rPr>
              <w:t>QD</w:t>
            </w:r>
          </w:p>
        </w:tc>
        <w:tc>
          <w:tcPr>
            <w:tcW w:w="1080" w:type="dxa"/>
            <w:tcBorders>
              <w:top w:val="single" w:sz="6" w:space="0" w:color="000000"/>
              <w:left w:val="single" w:sz="6" w:space="0" w:color="000000"/>
              <w:bottom w:val="single" w:sz="6" w:space="0" w:color="000000"/>
              <w:right w:val="single" w:sz="6" w:space="0" w:color="000000"/>
            </w:tcBorders>
          </w:tcPr>
          <w:p w14:paraId="58997476" w14:textId="77777777" w:rsidR="00D7303D" w:rsidRPr="00342F7C" w:rsidRDefault="00D7303D" w:rsidP="001C4CD7">
            <w:pPr>
              <w:pStyle w:val="EMEANormal"/>
              <w:jc w:val="center"/>
              <w:rPr>
                <w:b/>
                <w:bCs/>
                <w:color w:val="000000"/>
                <w:szCs w:val="22"/>
                <w:lang w:val="en-GB"/>
              </w:rPr>
            </w:pPr>
            <w:r w:rsidRPr="00342F7C">
              <w:rPr>
                <w:b/>
                <w:bCs/>
                <w:color w:val="000000"/>
                <w:szCs w:val="22"/>
                <w:lang w:val="en-GB"/>
              </w:rPr>
              <w:t>BID</w:t>
            </w:r>
          </w:p>
        </w:tc>
        <w:tc>
          <w:tcPr>
            <w:tcW w:w="1617" w:type="dxa"/>
            <w:tcBorders>
              <w:top w:val="single" w:sz="6" w:space="0" w:color="000000"/>
              <w:left w:val="single" w:sz="6" w:space="0" w:color="000000"/>
              <w:bottom w:val="single" w:sz="6" w:space="0" w:color="000000"/>
              <w:right w:val="single" w:sz="6" w:space="0" w:color="000000"/>
            </w:tcBorders>
          </w:tcPr>
          <w:p w14:paraId="1215C6C9" w14:textId="77777777" w:rsidR="00D7303D" w:rsidRPr="00342F7C" w:rsidRDefault="00D7303D" w:rsidP="001C4CD7">
            <w:pPr>
              <w:pStyle w:val="EMEANormal"/>
              <w:jc w:val="center"/>
              <w:rPr>
                <w:b/>
                <w:bCs/>
                <w:color w:val="000000"/>
                <w:szCs w:val="22"/>
                <w:lang w:val="en-GB"/>
              </w:rPr>
            </w:pPr>
            <w:r w:rsidRPr="00342F7C">
              <w:rPr>
                <w:b/>
                <w:bCs/>
                <w:color w:val="000000"/>
                <w:szCs w:val="22"/>
                <w:lang w:val="en-GB"/>
              </w:rPr>
              <w:t>Difference</w:t>
            </w:r>
          </w:p>
          <w:p w14:paraId="6877CBE2" w14:textId="77777777" w:rsidR="00D7303D" w:rsidRPr="00342F7C" w:rsidRDefault="00D7303D" w:rsidP="001C4CD7">
            <w:pPr>
              <w:pStyle w:val="EMEANormal"/>
              <w:jc w:val="center"/>
              <w:rPr>
                <w:b/>
                <w:bCs/>
                <w:color w:val="000000"/>
                <w:szCs w:val="22"/>
                <w:lang w:val="en-GB"/>
              </w:rPr>
            </w:pPr>
            <w:r w:rsidRPr="00342F7C">
              <w:rPr>
                <w:b/>
                <w:bCs/>
                <w:color w:val="000000"/>
                <w:szCs w:val="22"/>
                <w:lang w:val="en-GB"/>
              </w:rPr>
              <w:t>[95% CI]</w:t>
            </w:r>
          </w:p>
        </w:tc>
      </w:tr>
      <w:tr w:rsidR="00D7303D" w:rsidRPr="00342F7C" w14:paraId="09B0A15A" w14:textId="77777777" w:rsidTr="001C4CD7">
        <w:trPr>
          <w:trHeight w:val="567"/>
          <w:jc w:val="center"/>
        </w:trPr>
        <w:tc>
          <w:tcPr>
            <w:tcW w:w="2987" w:type="dxa"/>
            <w:tcBorders>
              <w:top w:val="single" w:sz="6" w:space="0" w:color="000000"/>
              <w:left w:val="single" w:sz="6" w:space="0" w:color="000000"/>
              <w:bottom w:val="single" w:sz="6" w:space="0" w:color="000000"/>
              <w:right w:val="single" w:sz="6" w:space="0" w:color="000000"/>
            </w:tcBorders>
          </w:tcPr>
          <w:p w14:paraId="588852F8" w14:textId="77777777" w:rsidR="00D7303D" w:rsidRPr="00342F7C" w:rsidRDefault="00D7303D" w:rsidP="001C4CD7">
            <w:pPr>
              <w:pStyle w:val="EMEANormal"/>
              <w:rPr>
                <w:bCs/>
                <w:color w:val="000000"/>
                <w:szCs w:val="22"/>
                <w:lang w:val="en-GB"/>
              </w:rPr>
            </w:pPr>
            <w:r w:rsidRPr="00342F7C">
              <w:rPr>
                <w:bCs/>
                <w:color w:val="000000"/>
                <w:szCs w:val="22"/>
                <w:lang w:val="en-GB"/>
              </w:rPr>
              <w:t>NC= Failure</w:t>
            </w:r>
          </w:p>
        </w:tc>
        <w:tc>
          <w:tcPr>
            <w:tcW w:w="1200" w:type="dxa"/>
            <w:tcBorders>
              <w:top w:val="single" w:sz="6" w:space="0" w:color="000000"/>
              <w:left w:val="single" w:sz="6" w:space="0" w:color="000000"/>
              <w:bottom w:val="single" w:sz="6" w:space="0" w:color="000000"/>
              <w:right w:val="single" w:sz="6" w:space="0" w:color="000000"/>
            </w:tcBorders>
          </w:tcPr>
          <w:p w14:paraId="00E3D4E8" w14:textId="77777777" w:rsidR="00D7303D" w:rsidRPr="00342F7C" w:rsidRDefault="00D7303D" w:rsidP="001C4CD7">
            <w:pPr>
              <w:pStyle w:val="EMEANormal"/>
              <w:jc w:val="center"/>
              <w:rPr>
                <w:color w:val="000000"/>
                <w:szCs w:val="22"/>
                <w:lang w:val="en-GB"/>
              </w:rPr>
            </w:pPr>
            <w:r w:rsidRPr="00342F7C">
              <w:rPr>
                <w:color w:val="000000"/>
                <w:szCs w:val="22"/>
                <w:lang w:val="en-GB"/>
              </w:rPr>
              <w:t>171/300 (57%)</w:t>
            </w:r>
          </w:p>
        </w:tc>
        <w:tc>
          <w:tcPr>
            <w:tcW w:w="1080" w:type="dxa"/>
            <w:tcBorders>
              <w:top w:val="single" w:sz="6" w:space="0" w:color="000000"/>
              <w:left w:val="single" w:sz="6" w:space="0" w:color="000000"/>
              <w:bottom w:val="single" w:sz="6" w:space="0" w:color="000000"/>
              <w:right w:val="single" w:sz="6" w:space="0" w:color="000000"/>
            </w:tcBorders>
          </w:tcPr>
          <w:p w14:paraId="3F6B6F78" w14:textId="77777777" w:rsidR="00D7303D" w:rsidRPr="00342F7C" w:rsidRDefault="00D7303D" w:rsidP="001C4CD7">
            <w:pPr>
              <w:pStyle w:val="EMEANormal"/>
              <w:jc w:val="center"/>
              <w:rPr>
                <w:color w:val="000000"/>
                <w:szCs w:val="22"/>
                <w:lang w:val="en-GB"/>
              </w:rPr>
            </w:pPr>
            <w:r w:rsidRPr="00342F7C">
              <w:rPr>
                <w:color w:val="000000"/>
                <w:szCs w:val="22"/>
                <w:lang w:val="en-GB"/>
              </w:rPr>
              <w:t>161/299 (53.8%)</w:t>
            </w:r>
          </w:p>
        </w:tc>
        <w:tc>
          <w:tcPr>
            <w:tcW w:w="1617" w:type="dxa"/>
            <w:tcBorders>
              <w:top w:val="single" w:sz="6" w:space="0" w:color="000000"/>
              <w:left w:val="single" w:sz="6" w:space="0" w:color="000000"/>
              <w:bottom w:val="single" w:sz="6" w:space="0" w:color="000000"/>
              <w:right w:val="single" w:sz="6" w:space="0" w:color="000000"/>
            </w:tcBorders>
          </w:tcPr>
          <w:p w14:paraId="17A0285D" w14:textId="77777777" w:rsidR="00D7303D" w:rsidRPr="00342F7C" w:rsidRDefault="00D7303D" w:rsidP="001C4CD7">
            <w:pPr>
              <w:pStyle w:val="EMEANormal"/>
              <w:jc w:val="center"/>
              <w:rPr>
                <w:color w:val="000000"/>
                <w:szCs w:val="22"/>
                <w:lang w:val="en-GB"/>
              </w:rPr>
            </w:pPr>
            <w:r w:rsidRPr="00342F7C">
              <w:rPr>
                <w:color w:val="000000"/>
                <w:szCs w:val="22"/>
                <w:lang w:val="en-GB"/>
              </w:rPr>
              <w:t>3.2%</w:t>
            </w:r>
          </w:p>
          <w:p w14:paraId="76392796" w14:textId="77777777" w:rsidR="00D7303D" w:rsidRPr="00342F7C" w:rsidRDefault="00D7303D" w:rsidP="001C4CD7">
            <w:pPr>
              <w:pStyle w:val="EMEANormal"/>
              <w:jc w:val="center"/>
              <w:rPr>
                <w:color w:val="000000"/>
                <w:szCs w:val="22"/>
                <w:lang w:val="en-GB"/>
              </w:rPr>
            </w:pPr>
            <w:r w:rsidRPr="00342F7C">
              <w:rPr>
                <w:color w:val="000000"/>
                <w:szCs w:val="22"/>
                <w:lang w:val="en-GB"/>
              </w:rPr>
              <w:t>[-4.8%, 11.1%]</w:t>
            </w:r>
          </w:p>
        </w:tc>
      </w:tr>
      <w:tr w:rsidR="00D7303D" w:rsidRPr="00342F7C" w14:paraId="6626FA77" w14:textId="77777777" w:rsidTr="001C4CD7">
        <w:trPr>
          <w:trHeight w:val="519"/>
          <w:jc w:val="center"/>
        </w:trPr>
        <w:tc>
          <w:tcPr>
            <w:tcW w:w="2987" w:type="dxa"/>
            <w:tcBorders>
              <w:top w:val="single" w:sz="6" w:space="0" w:color="000000"/>
              <w:left w:val="single" w:sz="6" w:space="0" w:color="000000"/>
              <w:bottom w:val="single" w:sz="6" w:space="0" w:color="000000"/>
              <w:right w:val="single" w:sz="6" w:space="0" w:color="000000"/>
            </w:tcBorders>
          </w:tcPr>
          <w:p w14:paraId="582AB6E9" w14:textId="77777777" w:rsidR="00D7303D" w:rsidRPr="00342F7C" w:rsidRDefault="00D7303D" w:rsidP="001C4CD7">
            <w:pPr>
              <w:pStyle w:val="EMEANormal"/>
              <w:rPr>
                <w:bCs/>
                <w:color w:val="000000"/>
                <w:szCs w:val="22"/>
                <w:lang w:val="en-GB"/>
              </w:rPr>
            </w:pPr>
            <w:r w:rsidRPr="00342F7C">
              <w:rPr>
                <w:bCs/>
                <w:color w:val="000000"/>
                <w:szCs w:val="22"/>
                <w:lang w:val="en-GB"/>
              </w:rPr>
              <w:t>Observed data</w:t>
            </w:r>
          </w:p>
        </w:tc>
        <w:tc>
          <w:tcPr>
            <w:tcW w:w="1200" w:type="dxa"/>
            <w:tcBorders>
              <w:top w:val="single" w:sz="6" w:space="0" w:color="000000"/>
              <w:left w:val="single" w:sz="6" w:space="0" w:color="000000"/>
              <w:bottom w:val="single" w:sz="6" w:space="0" w:color="000000"/>
              <w:right w:val="single" w:sz="6" w:space="0" w:color="000000"/>
            </w:tcBorders>
          </w:tcPr>
          <w:p w14:paraId="79B7F1D7" w14:textId="77777777" w:rsidR="00D7303D" w:rsidRPr="00342F7C" w:rsidRDefault="00D7303D" w:rsidP="001C4CD7">
            <w:pPr>
              <w:pStyle w:val="EMEANormal"/>
              <w:jc w:val="center"/>
              <w:rPr>
                <w:color w:val="000000"/>
                <w:szCs w:val="22"/>
                <w:lang w:val="en-GB"/>
              </w:rPr>
            </w:pPr>
            <w:r w:rsidRPr="00342F7C">
              <w:rPr>
                <w:color w:val="000000"/>
                <w:szCs w:val="22"/>
                <w:lang w:val="en-GB"/>
              </w:rPr>
              <w:t>171/225 (76.0%)</w:t>
            </w:r>
          </w:p>
        </w:tc>
        <w:tc>
          <w:tcPr>
            <w:tcW w:w="1080" w:type="dxa"/>
            <w:tcBorders>
              <w:top w:val="single" w:sz="6" w:space="0" w:color="000000"/>
              <w:left w:val="single" w:sz="6" w:space="0" w:color="000000"/>
              <w:bottom w:val="single" w:sz="6" w:space="0" w:color="000000"/>
              <w:right w:val="single" w:sz="6" w:space="0" w:color="000000"/>
            </w:tcBorders>
          </w:tcPr>
          <w:p w14:paraId="20C5C636" w14:textId="77777777" w:rsidR="00D7303D" w:rsidRPr="00342F7C" w:rsidRDefault="00D7303D" w:rsidP="001C4CD7">
            <w:pPr>
              <w:pStyle w:val="EMEANormal"/>
              <w:jc w:val="center"/>
              <w:rPr>
                <w:color w:val="000000"/>
                <w:szCs w:val="22"/>
                <w:lang w:val="en-GB"/>
              </w:rPr>
            </w:pPr>
            <w:r w:rsidRPr="00342F7C">
              <w:rPr>
                <w:color w:val="000000"/>
                <w:szCs w:val="22"/>
                <w:lang w:val="en-GB"/>
              </w:rPr>
              <w:t>161/223 (72.2%)</w:t>
            </w:r>
          </w:p>
        </w:tc>
        <w:tc>
          <w:tcPr>
            <w:tcW w:w="1617" w:type="dxa"/>
            <w:tcBorders>
              <w:top w:val="single" w:sz="6" w:space="0" w:color="000000"/>
              <w:left w:val="single" w:sz="6" w:space="0" w:color="000000"/>
              <w:bottom w:val="single" w:sz="6" w:space="0" w:color="000000"/>
              <w:right w:val="single" w:sz="6" w:space="0" w:color="000000"/>
            </w:tcBorders>
          </w:tcPr>
          <w:p w14:paraId="5E51B7E4" w14:textId="77777777" w:rsidR="00D7303D" w:rsidRPr="00342F7C" w:rsidRDefault="00D7303D" w:rsidP="001C4CD7">
            <w:pPr>
              <w:pStyle w:val="EMEANormal"/>
              <w:jc w:val="center"/>
              <w:rPr>
                <w:color w:val="000000"/>
                <w:szCs w:val="22"/>
                <w:lang w:val="en-GB"/>
              </w:rPr>
            </w:pPr>
            <w:r w:rsidRPr="00342F7C">
              <w:rPr>
                <w:color w:val="000000"/>
                <w:szCs w:val="22"/>
                <w:lang w:val="en-GB"/>
              </w:rPr>
              <w:t>3.8%</w:t>
            </w:r>
          </w:p>
          <w:p w14:paraId="0008A177" w14:textId="77777777" w:rsidR="00D7303D" w:rsidRPr="00342F7C" w:rsidRDefault="00D7303D" w:rsidP="001C4CD7">
            <w:pPr>
              <w:pStyle w:val="EMEANormal"/>
              <w:jc w:val="center"/>
              <w:rPr>
                <w:color w:val="000000"/>
                <w:szCs w:val="22"/>
                <w:lang w:val="en-GB"/>
              </w:rPr>
            </w:pPr>
            <w:r w:rsidRPr="00342F7C">
              <w:rPr>
                <w:color w:val="000000"/>
                <w:szCs w:val="22"/>
                <w:lang w:val="en-GB"/>
              </w:rPr>
              <w:t>[-4.3%, 11.9%]</w:t>
            </w:r>
          </w:p>
        </w:tc>
      </w:tr>
      <w:tr w:rsidR="00D7303D" w:rsidRPr="00342F7C" w14:paraId="5C3085B4" w14:textId="77777777" w:rsidTr="001C4CD7">
        <w:trPr>
          <w:trHeight w:val="519"/>
          <w:jc w:val="center"/>
        </w:trPr>
        <w:tc>
          <w:tcPr>
            <w:tcW w:w="2987" w:type="dxa"/>
            <w:tcBorders>
              <w:top w:val="single" w:sz="6" w:space="0" w:color="000000"/>
              <w:left w:val="single" w:sz="6" w:space="0" w:color="000000"/>
              <w:bottom w:val="single" w:sz="6" w:space="0" w:color="000000"/>
              <w:right w:val="single" w:sz="6" w:space="0" w:color="000000"/>
            </w:tcBorders>
          </w:tcPr>
          <w:p w14:paraId="006395D5" w14:textId="77777777" w:rsidR="00D7303D" w:rsidRPr="00342F7C" w:rsidRDefault="00D7303D" w:rsidP="001C4CD7">
            <w:pPr>
              <w:pStyle w:val="EMEANormal"/>
              <w:rPr>
                <w:b/>
                <w:bCs/>
                <w:color w:val="000000"/>
                <w:szCs w:val="22"/>
                <w:lang w:val="en-GB"/>
              </w:rPr>
            </w:pPr>
            <w:r w:rsidRPr="00342F7C">
              <w:rPr>
                <w:lang w:val="en-GB"/>
              </w:rPr>
              <w:t>Mean increase from baseline in CD4+</w:t>
            </w:r>
            <w:r w:rsidRPr="00342F7C">
              <w:rPr>
                <w:vertAlign w:val="subscript"/>
                <w:lang w:val="en-GB"/>
              </w:rPr>
              <w:t xml:space="preserve"> </w:t>
            </w:r>
            <w:r w:rsidRPr="00342F7C">
              <w:rPr>
                <w:lang w:val="en-GB"/>
              </w:rPr>
              <w:t>T-cell count (cells/mm</w:t>
            </w:r>
            <w:r w:rsidRPr="00342F7C">
              <w:rPr>
                <w:vertAlign w:val="superscript"/>
                <w:lang w:val="en-GB"/>
              </w:rPr>
              <w:t>3</w:t>
            </w:r>
            <w:r w:rsidRPr="00342F7C">
              <w:rPr>
                <w:lang w:val="en-GB"/>
              </w:rPr>
              <w:t>)</w:t>
            </w:r>
          </w:p>
        </w:tc>
        <w:tc>
          <w:tcPr>
            <w:tcW w:w="1200" w:type="dxa"/>
            <w:tcBorders>
              <w:top w:val="single" w:sz="6" w:space="0" w:color="000000"/>
              <w:left w:val="single" w:sz="6" w:space="0" w:color="000000"/>
              <w:bottom w:val="single" w:sz="6" w:space="0" w:color="000000"/>
              <w:right w:val="single" w:sz="6" w:space="0" w:color="000000"/>
            </w:tcBorders>
          </w:tcPr>
          <w:p w14:paraId="0777AB07" w14:textId="77777777" w:rsidR="00D7303D" w:rsidRPr="00342F7C" w:rsidRDefault="00D7303D" w:rsidP="001C4CD7">
            <w:pPr>
              <w:pStyle w:val="EMEANormal"/>
              <w:jc w:val="center"/>
              <w:rPr>
                <w:color w:val="000000"/>
                <w:szCs w:val="22"/>
                <w:lang w:val="en-GB"/>
              </w:rPr>
            </w:pPr>
            <w:r w:rsidRPr="00342F7C">
              <w:rPr>
                <w:color w:val="000000"/>
                <w:szCs w:val="22"/>
                <w:lang w:val="en-GB"/>
              </w:rPr>
              <w:t>135</w:t>
            </w:r>
          </w:p>
        </w:tc>
        <w:tc>
          <w:tcPr>
            <w:tcW w:w="1080" w:type="dxa"/>
            <w:tcBorders>
              <w:top w:val="single" w:sz="6" w:space="0" w:color="000000"/>
              <w:left w:val="single" w:sz="6" w:space="0" w:color="000000"/>
              <w:bottom w:val="single" w:sz="6" w:space="0" w:color="000000"/>
              <w:right w:val="single" w:sz="6" w:space="0" w:color="000000"/>
            </w:tcBorders>
          </w:tcPr>
          <w:p w14:paraId="14E8EA30" w14:textId="77777777" w:rsidR="00D7303D" w:rsidRPr="00342F7C" w:rsidRDefault="00D7303D" w:rsidP="001C4CD7">
            <w:pPr>
              <w:pStyle w:val="EMEANormal"/>
              <w:jc w:val="center"/>
              <w:rPr>
                <w:color w:val="000000"/>
                <w:szCs w:val="22"/>
                <w:lang w:val="en-GB"/>
              </w:rPr>
            </w:pPr>
            <w:r w:rsidRPr="00342F7C">
              <w:rPr>
                <w:color w:val="000000"/>
                <w:szCs w:val="22"/>
                <w:lang w:val="en-GB"/>
              </w:rPr>
              <w:t>122</w:t>
            </w:r>
          </w:p>
        </w:tc>
        <w:tc>
          <w:tcPr>
            <w:tcW w:w="1617" w:type="dxa"/>
            <w:tcBorders>
              <w:top w:val="single" w:sz="6" w:space="0" w:color="000000"/>
              <w:left w:val="single" w:sz="6" w:space="0" w:color="000000"/>
              <w:bottom w:val="single" w:sz="6" w:space="0" w:color="000000"/>
              <w:right w:val="single" w:sz="6" w:space="0" w:color="000000"/>
            </w:tcBorders>
          </w:tcPr>
          <w:p w14:paraId="466CEF98" w14:textId="77777777" w:rsidR="00D7303D" w:rsidRPr="00342F7C" w:rsidRDefault="00D7303D" w:rsidP="001C4CD7">
            <w:pPr>
              <w:pStyle w:val="EMEANormal"/>
              <w:jc w:val="center"/>
              <w:rPr>
                <w:color w:val="000000"/>
                <w:szCs w:val="22"/>
                <w:lang w:val="en-GB"/>
              </w:rPr>
            </w:pPr>
          </w:p>
        </w:tc>
      </w:tr>
    </w:tbl>
    <w:p w14:paraId="4C8626B4" w14:textId="77777777" w:rsidR="00D7303D" w:rsidRPr="00342F7C" w:rsidRDefault="00D7303D" w:rsidP="00B51433">
      <w:pPr>
        <w:pStyle w:val="EMEANormal"/>
        <w:rPr>
          <w:lang w:val="en-GB"/>
        </w:rPr>
      </w:pPr>
    </w:p>
    <w:p w14:paraId="518798D6" w14:textId="77777777" w:rsidR="00D7303D" w:rsidRDefault="00D7303D">
      <w:pPr>
        <w:pStyle w:val="EMEANormal"/>
        <w:rPr>
          <w:lang w:val="en-GB"/>
        </w:rPr>
      </w:pPr>
      <w:r w:rsidRPr="00342F7C">
        <w:rPr>
          <w:lang w:val="en-GB"/>
        </w:rPr>
        <w:t>Through Week 48, genotypic resistance testing results were available from 75 patients in the QD group and 75 patients in the BID group who had incomplete virologic response.  In the QD group, 6/75 (8%) patients demonstrated new primary protease inhibitor mutations (codons 30, 32, 48, 50, 82, 84, 90), as did 12/77 (16%) patients in the BID group.</w:t>
      </w:r>
    </w:p>
    <w:p w14:paraId="59FF3497" w14:textId="77777777" w:rsidR="00751C7E" w:rsidRPr="00342F7C" w:rsidRDefault="00751C7E">
      <w:pPr>
        <w:pStyle w:val="EMEANormal"/>
        <w:rPr>
          <w:lang w:val="en-GB"/>
        </w:rPr>
      </w:pPr>
    </w:p>
    <w:p w14:paraId="2E915F72" w14:textId="77777777" w:rsidR="00D7303D" w:rsidRDefault="00D7303D" w:rsidP="00751C7E">
      <w:pPr>
        <w:pStyle w:val="EMEAHeadingItalic"/>
        <w:spacing w:beforeLines="0" w:before="0" w:afterLines="0" w:after="0"/>
        <w:rPr>
          <w:lang w:val="en-GB"/>
        </w:rPr>
      </w:pPr>
      <w:r w:rsidRPr="00342F7C">
        <w:rPr>
          <w:lang w:val="en-GB"/>
        </w:rPr>
        <w:t>Paediatric Use</w:t>
      </w:r>
    </w:p>
    <w:p w14:paraId="1A07630C" w14:textId="77777777" w:rsidR="00751C7E" w:rsidRPr="00751C7E" w:rsidRDefault="00751C7E" w:rsidP="00751C7E">
      <w:pPr>
        <w:pStyle w:val="EMEANormal"/>
        <w:rPr>
          <w:lang w:val="en-GB"/>
        </w:rPr>
      </w:pPr>
    </w:p>
    <w:p w14:paraId="286F738A" w14:textId="77777777" w:rsidR="00D7303D" w:rsidRPr="00342F7C" w:rsidRDefault="00D7303D">
      <w:pPr>
        <w:pStyle w:val="EMEANormal"/>
        <w:rPr>
          <w:lang w:val="en-GB"/>
        </w:rPr>
      </w:pPr>
      <w:r w:rsidRPr="00342F7C">
        <w:rPr>
          <w:lang w:val="en-GB"/>
        </w:rPr>
        <w:t>M98-940 was an open-label study of a liquid formulation of Kaletra in 100 antiretroviral naïve (44%) and experienced (56%) paediatric patients.  All patients were non-nucleoside reverse transcriptase inhibitor naïve.  Patients were randomised to either 230 mg lopinavir/57.5 mg ritonavir per m</w:t>
      </w:r>
      <w:r w:rsidRPr="00342F7C">
        <w:rPr>
          <w:vertAlign w:val="superscript"/>
          <w:lang w:val="en-GB"/>
        </w:rPr>
        <w:t>2</w:t>
      </w:r>
      <w:r w:rsidRPr="00342F7C">
        <w:rPr>
          <w:lang w:val="en-GB"/>
        </w:rPr>
        <w:t xml:space="preserve"> or 300 mg lopinavir/75 mg ritonavir per m</w:t>
      </w:r>
      <w:r w:rsidRPr="00342F7C">
        <w:rPr>
          <w:vertAlign w:val="superscript"/>
          <w:lang w:val="en-GB"/>
        </w:rPr>
        <w:t>2</w:t>
      </w:r>
      <w:r w:rsidRPr="00342F7C">
        <w:rPr>
          <w:lang w:val="en-GB"/>
        </w:rPr>
        <w:t xml:space="preserve">.  Naïve patients also received nucleoside reverse transcriptase inhibitors.  Experienced patients received nevirapine plus up to two nucleoside reverse transcriptase inhibitors.  </w:t>
      </w:r>
      <w:r w:rsidRPr="00342F7C">
        <w:rPr>
          <w:snapToGrid w:val="0"/>
          <w:lang w:val="en-GB"/>
        </w:rPr>
        <w:t>Safety, efficacy and pharmacokinetic profiles of the two dose regimens were assessed after 3 weeks of therapy in each patient.  Subsequently, all patients were continued on the 300/75 mg per m</w:t>
      </w:r>
      <w:r w:rsidRPr="00342F7C">
        <w:rPr>
          <w:snapToGrid w:val="0"/>
          <w:vertAlign w:val="superscript"/>
          <w:lang w:val="en-GB"/>
        </w:rPr>
        <w:t>2</w:t>
      </w:r>
      <w:r w:rsidRPr="00342F7C">
        <w:rPr>
          <w:snapToGrid w:val="0"/>
          <w:lang w:val="en-GB"/>
        </w:rPr>
        <w:t xml:space="preserve"> dose.</w:t>
      </w:r>
      <w:r w:rsidRPr="00342F7C">
        <w:rPr>
          <w:lang w:val="en-GB"/>
        </w:rPr>
        <w:t xml:space="preserve">  Patients had a mean age of 5 years (range 6 months to 12 years) with 14 patients less than 2 years old and 6 patients one year or less.  Mean baseline CD4+ T-cell count was 838 cells/mm</w:t>
      </w:r>
      <w:r w:rsidRPr="00342F7C">
        <w:rPr>
          <w:vertAlign w:val="superscript"/>
          <w:lang w:val="en-GB"/>
        </w:rPr>
        <w:t>3</w:t>
      </w:r>
      <w:r w:rsidRPr="00342F7C">
        <w:rPr>
          <w:lang w:val="en-GB"/>
        </w:rPr>
        <w:t xml:space="preserve"> and mean baseline plasma HIV-1 RNA was 4.7 log</w:t>
      </w:r>
      <w:r w:rsidRPr="00342F7C">
        <w:rPr>
          <w:vertAlign w:val="subscript"/>
          <w:lang w:val="en-GB"/>
        </w:rPr>
        <w:t>10 </w:t>
      </w:r>
      <w:r w:rsidRPr="00342F7C">
        <w:rPr>
          <w:lang w:val="en-GB"/>
        </w:rPr>
        <w:t xml:space="preserve">copies/ml.  </w:t>
      </w:r>
    </w:p>
    <w:p w14:paraId="56B0471A" w14:textId="77777777" w:rsidR="00D7303D" w:rsidRPr="00342F7C" w:rsidRDefault="00D7303D">
      <w:pPr>
        <w:pStyle w:val="EMEANormal"/>
        <w:rPr>
          <w:lang w:val="en-GB"/>
        </w:rPr>
      </w:pPr>
    </w:p>
    <w:p w14:paraId="43A4A5B5" w14:textId="77777777" w:rsidR="00D7303D" w:rsidRPr="00342F7C" w:rsidRDefault="00D7303D">
      <w:pPr>
        <w:pStyle w:val="EMEANormal"/>
        <w:rPr>
          <w:lang w:val="en-GB"/>
        </w:rPr>
      </w:pPr>
      <w:r w:rsidRPr="00342F7C">
        <w:rPr>
          <w:lang w:val="en-GB"/>
        </w:rPr>
        <w:t>Table 5</w:t>
      </w:r>
    </w:p>
    <w:p w14:paraId="1E75F4DC" w14:textId="77777777" w:rsidR="00D7303D" w:rsidRPr="00342F7C" w:rsidRDefault="00D7303D" w:rsidP="00B51433">
      <w:pPr>
        <w:pStyle w:val="EMEANormal"/>
        <w:rPr>
          <w:lang w:val="en-GB"/>
        </w:rPr>
      </w:pPr>
    </w:p>
    <w:tbl>
      <w:tblPr>
        <w:tblW w:w="7730"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0"/>
        <w:gridCol w:w="2520"/>
        <w:gridCol w:w="2210"/>
      </w:tblGrid>
      <w:tr w:rsidR="00D7303D" w:rsidRPr="00342F7C" w14:paraId="51B2A13D" w14:textId="77777777" w:rsidTr="008541E3">
        <w:tc>
          <w:tcPr>
            <w:tcW w:w="7730" w:type="dxa"/>
            <w:gridSpan w:val="3"/>
          </w:tcPr>
          <w:p w14:paraId="2E3F692D" w14:textId="77777777" w:rsidR="00D7303D" w:rsidRPr="00342F7C" w:rsidRDefault="00D7303D" w:rsidP="008541E3">
            <w:pPr>
              <w:pStyle w:val="EMEANormal"/>
              <w:spacing w:before="120" w:after="120"/>
              <w:jc w:val="center"/>
              <w:rPr>
                <w:lang w:val="en-GB"/>
              </w:rPr>
            </w:pPr>
            <w:r w:rsidRPr="00342F7C">
              <w:rPr>
                <w:b/>
                <w:lang w:val="en-GB"/>
              </w:rPr>
              <w:t>Outcomes at Week 48: Study M98-940</w:t>
            </w:r>
          </w:p>
        </w:tc>
      </w:tr>
      <w:tr w:rsidR="00D7303D" w:rsidRPr="00342F7C" w14:paraId="53054640" w14:textId="77777777" w:rsidTr="008541E3">
        <w:tc>
          <w:tcPr>
            <w:tcW w:w="3000" w:type="dxa"/>
          </w:tcPr>
          <w:p w14:paraId="4CE07C59" w14:textId="77777777" w:rsidR="00D7303D" w:rsidRPr="00342F7C" w:rsidRDefault="00D7303D" w:rsidP="001C4CD7">
            <w:pPr>
              <w:pStyle w:val="EMEANormal"/>
              <w:rPr>
                <w:lang w:val="en-GB"/>
              </w:rPr>
            </w:pPr>
          </w:p>
        </w:tc>
        <w:tc>
          <w:tcPr>
            <w:tcW w:w="2520" w:type="dxa"/>
          </w:tcPr>
          <w:p w14:paraId="5B0F3E58" w14:textId="77777777" w:rsidR="00D7303D" w:rsidRPr="00342F7C" w:rsidRDefault="00D7303D" w:rsidP="008541E3">
            <w:pPr>
              <w:pStyle w:val="EMEANormal"/>
              <w:jc w:val="center"/>
              <w:rPr>
                <w:lang w:val="en-GB"/>
              </w:rPr>
            </w:pPr>
            <w:r w:rsidRPr="00342F7C">
              <w:rPr>
                <w:b/>
                <w:lang w:val="en-GB"/>
              </w:rPr>
              <w:t>Antiretroviral Naïve (N=44)</w:t>
            </w:r>
          </w:p>
        </w:tc>
        <w:tc>
          <w:tcPr>
            <w:tcW w:w="2210" w:type="dxa"/>
          </w:tcPr>
          <w:p w14:paraId="72D791E7" w14:textId="77777777" w:rsidR="00D7303D" w:rsidRPr="00342F7C" w:rsidRDefault="00D7303D" w:rsidP="008541E3">
            <w:pPr>
              <w:pStyle w:val="EMEANormal"/>
              <w:jc w:val="center"/>
              <w:rPr>
                <w:lang w:val="en-GB"/>
              </w:rPr>
            </w:pPr>
            <w:r w:rsidRPr="00342F7C">
              <w:rPr>
                <w:b/>
                <w:lang w:val="en-GB"/>
              </w:rPr>
              <w:t>Antiretroviral Experienced (N=56)</w:t>
            </w:r>
          </w:p>
        </w:tc>
      </w:tr>
      <w:tr w:rsidR="00D7303D" w:rsidRPr="00342F7C" w14:paraId="3C020D6E" w14:textId="77777777" w:rsidTr="008541E3">
        <w:tc>
          <w:tcPr>
            <w:tcW w:w="3000" w:type="dxa"/>
          </w:tcPr>
          <w:p w14:paraId="0C64DE7E" w14:textId="77777777" w:rsidR="00D7303D" w:rsidRPr="00342F7C" w:rsidRDefault="00D7303D" w:rsidP="001C4CD7">
            <w:pPr>
              <w:pStyle w:val="EMEANormal"/>
              <w:rPr>
                <w:lang w:val="en-GB"/>
              </w:rPr>
            </w:pPr>
            <w:r w:rsidRPr="00342F7C">
              <w:rPr>
                <w:lang w:val="en-GB"/>
              </w:rPr>
              <w:t>HIV RNA &lt; 400 copies/ml</w:t>
            </w:r>
          </w:p>
        </w:tc>
        <w:tc>
          <w:tcPr>
            <w:tcW w:w="2520" w:type="dxa"/>
          </w:tcPr>
          <w:p w14:paraId="14B84811" w14:textId="77777777" w:rsidR="00D7303D" w:rsidRPr="00342F7C" w:rsidRDefault="00D7303D" w:rsidP="008541E3">
            <w:pPr>
              <w:pStyle w:val="EMEANormal"/>
              <w:jc w:val="center"/>
              <w:rPr>
                <w:lang w:val="en-GB"/>
              </w:rPr>
            </w:pPr>
            <w:r w:rsidRPr="00342F7C">
              <w:rPr>
                <w:lang w:val="en-GB"/>
              </w:rPr>
              <w:t>84%</w:t>
            </w:r>
          </w:p>
        </w:tc>
        <w:tc>
          <w:tcPr>
            <w:tcW w:w="2210" w:type="dxa"/>
          </w:tcPr>
          <w:p w14:paraId="7CB161CE" w14:textId="77777777" w:rsidR="00D7303D" w:rsidRPr="00342F7C" w:rsidRDefault="00D7303D" w:rsidP="008541E3">
            <w:pPr>
              <w:pStyle w:val="EMEANormal"/>
              <w:jc w:val="center"/>
              <w:rPr>
                <w:lang w:val="en-GB"/>
              </w:rPr>
            </w:pPr>
            <w:r w:rsidRPr="00342F7C">
              <w:rPr>
                <w:lang w:val="en-GB"/>
              </w:rPr>
              <w:t>75%</w:t>
            </w:r>
          </w:p>
        </w:tc>
      </w:tr>
      <w:tr w:rsidR="00D7303D" w:rsidRPr="00342F7C" w14:paraId="61112BE8" w14:textId="77777777" w:rsidTr="008541E3">
        <w:tc>
          <w:tcPr>
            <w:tcW w:w="3000" w:type="dxa"/>
          </w:tcPr>
          <w:p w14:paraId="35C9F686" w14:textId="77777777" w:rsidR="00D7303D" w:rsidRPr="00342F7C" w:rsidRDefault="00D7303D" w:rsidP="001C4CD7">
            <w:pPr>
              <w:pStyle w:val="EMEANormal"/>
              <w:rPr>
                <w:lang w:val="en-GB"/>
              </w:rPr>
            </w:pPr>
            <w:r w:rsidRPr="00342F7C">
              <w:rPr>
                <w:lang w:val="en-GB"/>
              </w:rPr>
              <w:t>Mean increase from baseline in CD4+ T-cell count (cells/mm</w:t>
            </w:r>
            <w:r w:rsidRPr="00342F7C">
              <w:rPr>
                <w:vertAlign w:val="superscript"/>
                <w:lang w:val="en-GB"/>
              </w:rPr>
              <w:t>3</w:t>
            </w:r>
            <w:r w:rsidRPr="00342F7C">
              <w:rPr>
                <w:lang w:val="en-GB"/>
              </w:rPr>
              <w:t>)</w:t>
            </w:r>
          </w:p>
        </w:tc>
        <w:tc>
          <w:tcPr>
            <w:tcW w:w="2520" w:type="dxa"/>
          </w:tcPr>
          <w:p w14:paraId="20034A0C" w14:textId="77777777" w:rsidR="00D7303D" w:rsidRPr="00342F7C" w:rsidRDefault="00D7303D" w:rsidP="008541E3">
            <w:pPr>
              <w:pStyle w:val="EMEANormal"/>
              <w:jc w:val="center"/>
              <w:rPr>
                <w:lang w:val="en-GB"/>
              </w:rPr>
            </w:pPr>
            <w:r w:rsidRPr="00342F7C">
              <w:rPr>
                <w:lang w:val="en-GB"/>
              </w:rPr>
              <w:t>404</w:t>
            </w:r>
          </w:p>
        </w:tc>
        <w:tc>
          <w:tcPr>
            <w:tcW w:w="2210" w:type="dxa"/>
          </w:tcPr>
          <w:p w14:paraId="393C8042" w14:textId="77777777" w:rsidR="00D7303D" w:rsidRPr="00342F7C" w:rsidRDefault="00D7303D" w:rsidP="008541E3">
            <w:pPr>
              <w:pStyle w:val="EMEANormal"/>
              <w:jc w:val="center"/>
              <w:rPr>
                <w:lang w:val="en-GB"/>
              </w:rPr>
            </w:pPr>
            <w:r w:rsidRPr="00342F7C">
              <w:rPr>
                <w:lang w:val="en-GB"/>
              </w:rPr>
              <w:t>284</w:t>
            </w:r>
          </w:p>
        </w:tc>
      </w:tr>
    </w:tbl>
    <w:p w14:paraId="6ACE4B81" w14:textId="77777777" w:rsidR="008261FE" w:rsidRDefault="008261FE" w:rsidP="00751C7E">
      <w:pPr>
        <w:pStyle w:val="EMEAHeading2SPC"/>
        <w:spacing w:beforeLines="0" w:before="0" w:afterLines="0" w:after="0"/>
        <w:rPr>
          <w:rFonts w:ascii="Times New Roman" w:hAnsi="Times New Roman"/>
          <w:b w:val="0"/>
          <w:lang w:val="en-GB"/>
        </w:rPr>
      </w:pPr>
    </w:p>
    <w:p w14:paraId="0733871B" w14:textId="77777777" w:rsidR="00A628A9" w:rsidRDefault="00CA08D8" w:rsidP="00751C7E">
      <w:pPr>
        <w:pStyle w:val="EMEAHeading2SPC"/>
        <w:spacing w:beforeLines="0" w:before="0" w:afterLines="0" w:after="0"/>
        <w:rPr>
          <w:rFonts w:ascii="Times New Roman" w:hAnsi="Times New Roman"/>
          <w:b w:val="0"/>
          <w:lang w:val="en-GB"/>
        </w:rPr>
      </w:pPr>
      <w:r>
        <w:rPr>
          <w:rFonts w:ascii="Times New Roman" w:hAnsi="Times New Roman"/>
          <w:b w:val="0"/>
          <w:lang w:val="en-GB"/>
        </w:rPr>
        <w:t xml:space="preserve">KONCERT/PENTA 18 is a prospective multicentre, randomised, open-label study that evaluated the pharmacokinetic profile, efficacy and safety of twice-daily versus once-daily dosing of lopinavir/ritonavir 100 mg/25 mg tablets dosed by weight as part of combination antiretroviral therapy (cART) in virologically suppressed HIV-1 infected children (n=173).  Children were eligible when they were aged &lt;18 years, ≥15 kg in weight, receiving cART that included lopinavir/ritonavir, HIV-1 ribonucleic acid (RNA) &lt;50 copies/ml for at least 24 weeks and able to swallow tablets.  At week </w:t>
      </w:r>
      <w:r w:rsidR="003C4A95">
        <w:rPr>
          <w:rFonts w:ascii="Times New Roman" w:hAnsi="Times New Roman"/>
          <w:b w:val="0"/>
          <w:lang w:val="en-GB"/>
        </w:rPr>
        <w:t>48</w:t>
      </w:r>
      <w:r>
        <w:rPr>
          <w:rFonts w:ascii="Times New Roman" w:hAnsi="Times New Roman"/>
          <w:b w:val="0"/>
          <w:lang w:val="en-GB"/>
        </w:rPr>
        <w:t>, the efficacy and safety w</w:t>
      </w:r>
      <w:r w:rsidR="009C757F">
        <w:rPr>
          <w:rFonts w:ascii="Times New Roman" w:hAnsi="Times New Roman"/>
          <w:b w:val="0"/>
          <w:lang w:val="en-GB"/>
        </w:rPr>
        <w:t>ith twice-</w:t>
      </w:r>
      <w:r>
        <w:rPr>
          <w:rFonts w:ascii="Times New Roman" w:hAnsi="Times New Roman"/>
          <w:b w:val="0"/>
          <w:lang w:val="en-GB"/>
        </w:rPr>
        <w:t xml:space="preserve">daily dosing (n=87) in the paediatric population given lopinavir/ritonavir 100 mg/25 mg tablets was consistent with the efficacy and safety findings in previous adult and paediatric studies </w:t>
      </w:r>
      <w:r w:rsidR="009C757F">
        <w:rPr>
          <w:rFonts w:ascii="Times New Roman" w:hAnsi="Times New Roman"/>
          <w:b w:val="0"/>
          <w:lang w:val="en-GB"/>
        </w:rPr>
        <w:t>using lopinavir/ritonavir twice</w:t>
      </w:r>
      <w:r w:rsidR="004F2509">
        <w:rPr>
          <w:rFonts w:ascii="Times New Roman" w:hAnsi="Times New Roman"/>
          <w:b w:val="0"/>
          <w:lang w:val="en-GB"/>
        </w:rPr>
        <w:t xml:space="preserve"> </w:t>
      </w:r>
      <w:r>
        <w:rPr>
          <w:rFonts w:ascii="Times New Roman" w:hAnsi="Times New Roman"/>
          <w:b w:val="0"/>
          <w:lang w:val="en-GB"/>
        </w:rPr>
        <w:t xml:space="preserve">daily.  The percentage of </w:t>
      </w:r>
      <w:r w:rsidR="009C757F">
        <w:rPr>
          <w:rFonts w:ascii="Times New Roman" w:hAnsi="Times New Roman"/>
          <w:b w:val="0"/>
          <w:lang w:val="en-GB"/>
        </w:rPr>
        <w:t xml:space="preserve">patients </w:t>
      </w:r>
      <w:r w:rsidR="003C4A95">
        <w:rPr>
          <w:rFonts w:ascii="Times New Roman" w:hAnsi="Times New Roman"/>
          <w:b w:val="0"/>
          <w:lang w:val="en-GB"/>
        </w:rPr>
        <w:t>with confirmed viral rebound</w:t>
      </w:r>
      <w:r>
        <w:rPr>
          <w:rFonts w:ascii="Times New Roman" w:hAnsi="Times New Roman"/>
          <w:b w:val="0"/>
          <w:lang w:val="en-GB"/>
        </w:rPr>
        <w:t xml:space="preserve"> </w:t>
      </w:r>
      <w:r w:rsidR="003C4A95">
        <w:rPr>
          <w:rFonts w:ascii="Times New Roman" w:hAnsi="Times New Roman"/>
          <w:b w:val="0"/>
          <w:lang w:val="en-GB"/>
        </w:rPr>
        <w:t>&gt;</w:t>
      </w:r>
      <w:r>
        <w:rPr>
          <w:rFonts w:ascii="Times New Roman" w:hAnsi="Times New Roman"/>
          <w:b w:val="0"/>
          <w:lang w:val="en-GB"/>
        </w:rPr>
        <w:t xml:space="preserve">50 copies/ml </w:t>
      </w:r>
      <w:r w:rsidR="003C4A95">
        <w:rPr>
          <w:rFonts w:ascii="Times New Roman" w:hAnsi="Times New Roman"/>
          <w:b w:val="0"/>
          <w:lang w:val="en-GB"/>
        </w:rPr>
        <w:t>during 48 weeks of follow-up</w:t>
      </w:r>
      <w:r>
        <w:rPr>
          <w:rFonts w:ascii="Times New Roman" w:hAnsi="Times New Roman"/>
          <w:b w:val="0"/>
          <w:lang w:val="en-GB"/>
        </w:rPr>
        <w:t xml:space="preserve"> was </w:t>
      </w:r>
      <w:r w:rsidR="003C4A95">
        <w:rPr>
          <w:rFonts w:ascii="Times New Roman" w:hAnsi="Times New Roman"/>
          <w:b w:val="0"/>
          <w:lang w:val="en-GB"/>
        </w:rPr>
        <w:t>higher</w:t>
      </w:r>
      <w:r>
        <w:rPr>
          <w:rFonts w:ascii="Times New Roman" w:hAnsi="Times New Roman"/>
          <w:b w:val="0"/>
          <w:lang w:val="en-GB"/>
        </w:rPr>
        <w:t xml:space="preserve"> in the</w:t>
      </w:r>
      <w:r w:rsidR="00591AA5">
        <w:rPr>
          <w:rFonts w:ascii="Times New Roman" w:hAnsi="Times New Roman"/>
          <w:b w:val="0"/>
          <w:lang w:val="en-GB"/>
        </w:rPr>
        <w:t xml:space="preserve"> paediatric patients receiving </w:t>
      </w:r>
      <w:r>
        <w:rPr>
          <w:rFonts w:ascii="Times New Roman" w:hAnsi="Times New Roman"/>
          <w:b w:val="0"/>
          <w:lang w:val="en-GB"/>
        </w:rPr>
        <w:t>l</w:t>
      </w:r>
      <w:r w:rsidR="009C757F">
        <w:rPr>
          <w:rFonts w:ascii="Times New Roman" w:hAnsi="Times New Roman"/>
          <w:b w:val="0"/>
          <w:lang w:val="en-GB"/>
        </w:rPr>
        <w:t>opinavir/ritonavir tablets once</w:t>
      </w:r>
      <w:r w:rsidR="004F2509">
        <w:rPr>
          <w:rFonts w:ascii="Times New Roman" w:hAnsi="Times New Roman"/>
          <w:b w:val="0"/>
          <w:lang w:val="en-GB"/>
        </w:rPr>
        <w:t xml:space="preserve"> </w:t>
      </w:r>
      <w:r>
        <w:rPr>
          <w:rFonts w:ascii="Times New Roman" w:hAnsi="Times New Roman"/>
          <w:b w:val="0"/>
          <w:lang w:val="en-GB"/>
        </w:rPr>
        <w:t>daily (</w:t>
      </w:r>
      <w:r w:rsidR="003C4A95">
        <w:rPr>
          <w:rFonts w:ascii="Times New Roman" w:hAnsi="Times New Roman"/>
          <w:b w:val="0"/>
          <w:lang w:val="en-GB"/>
        </w:rPr>
        <w:t>1</w:t>
      </w:r>
      <w:r>
        <w:rPr>
          <w:rFonts w:ascii="Times New Roman" w:hAnsi="Times New Roman"/>
          <w:b w:val="0"/>
          <w:lang w:val="en-GB"/>
        </w:rPr>
        <w:t xml:space="preserve">2%) than in </w:t>
      </w:r>
      <w:r w:rsidR="009C757F">
        <w:rPr>
          <w:rFonts w:ascii="Times New Roman" w:hAnsi="Times New Roman"/>
          <w:b w:val="0"/>
          <w:lang w:val="en-GB"/>
        </w:rPr>
        <w:t>patients receiving the twice-</w:t>
      </w:r>
      <w:r>
        <w:rPr>
          <w:rFonts w:ascii="Times New Roman" w:hAnsi="Times New Roman"/>
          <w:b w:val="0"/>
          <w:lang w:val="en-GB"/>
        </w:rPr>
        <w:t>daily dosing (</w:t>
      </w:r>
      <w:r w:rsidR="003C4A95">
        <w:rPr>
          <w:rFonts w:ascii="Times New Roman" w:hAnsi="Times New Roman"/>
          <w:b w:val="0"/>
          <w:lang w:val="en-GB"/>
        </w:rPr>
        <w:t>8</w:t>
      </w:r>
      <w:r>
        <w:rPr>
          <w:rFonts w:ascii="Times New Roman" w:hAnsi="Times New Roman"/>
          <w:b w:val="0"/>
          <w:lang w:val="en-GB"/>
        </w:rPr>
        <w:t>%, p = 0.</w:t>
      </w:r>
      <w:r w:rsidR="003C4A95">
        <w:rPr>
          <w:rFonts w:ascii="Times New Roman" w:hAnsi="Times New Roman"/>
          <w:b w:val="0"/>
          <w:lang w:val="en-GB"/>
        </w:rPr>
        <w:t>19</w:t>
      </w:r>
      <w:r>
        <w:rPr>
          <w:rFonts w:ascii="Times New Roman" w:hAnsi="Times New Roman"/>
          <w:b w:val="0"/>
          <w:lang w:val="en-GB"/>
        </w:rPr>
        <w:t>), mainly due to lower adherenc</w:t>
      </w:r>
      <w:r w:rsidR="009C757F">
        <w:rPr>
          <w:rFonts w:ascii="Times New Roman" w:hAnsi="Times New Roman"/>
          <w:b w:val="0"/>
          <w:lang w:val="en-GB"/>
        </w:rPr>
        <w:t>e in the once-</w:t>
      </w:r>
      <w:r>
        <w:rPr>
          <w:rFonts w:ascii="Times New Roman" w:hAnsi="Times New Roman"/>
          <w:b w:val="0"/>
          <w:lang w:val="en-GB"/>
        </w:rPr>
        <w:t>daily group.</w:t>
      </w:r>
      <w:r w:rsidR="009C757F">
        <w:rPr>
          <w:rFonts w:ascii="Times New Roman" w:hAnsi="Times New Roman"/>
          <w:b w:val="0"/>
          <w:lang w:val="en-GB"/>
        </w:rPr>
        <w:t xml:space="preserve">  The efficacy data favouring the twice-daily regimen are reinforced by a differential in pharmacokinetic parameters significantly favouring the twice-daily regimen (see section</w:t>
      </w:r>
      <w:r w:rsidR="003C4A95">
        <w:rPr>
          <w:rFonts w:ascii="Times New Roman" w:hAnsi="Times New Roman"/>
          <w:b w:val="0"/>
          <w:lang w:val="en-GB"/>
        </w:rPr>
        <w:t xml:space="preserve"> </w:t>
      </w:r>
      <w:r w:rsidR="009C757F">
        <w:rPr>
          <w:rFonts w:ascii="Times New Roman" w:hAnsi="Times New Roman"/>
          <w:b w:val="0"/>
          <w:lang w:val="en-GB"/>
        </w:rPr>
        <w:t>5.2).</w:t>
      </w:r>
      <w:r>
        <w:rPr>
          <w:rFonts w:ascii="Times New Roman" w:hAnsi="Times New Roman"/>
          <w:b w:val="0"/>
          <w:lang w:val="en-GB"/>
        </w:rPr>
        <w:t xml:space="preserve"> </w:t>
      </w:r>
    </w:p>
    <w:p w14:paraId="5ED2D85F" w14:textId="77777777" w:rsidR="00751C7E" w:rsidRPr="00751C7E" w:rsidRDefault="00751C7E" w:rsidP="00751C7E">
      <w:pPr>
        <w:pStyle w:val="EMEANormal"/>
        <w:rPr>
          <w:lang w:val="en-GB"/>
        </w:rPr>
      </w:pPr>
    </w:p>
    <w:p w14:paraId="59C38BE0" w14:textId="77777777" w:rsidR="00D7303D" w:rsidRDefault="00266A4D" w:rsidP="00751C7E">
      <w:pPr>
        <w:pStyle w:val="EMEAHeading2SPC"/>
        <w:spacing w:beforeLines="0" w:before="0" w:afterLines="0" w:after="0"/>
        <w:rPr>
          <w:rFonts w:ascii="Times New Roman" w:hAnsi="Times New Roman"/>
          <w:lang w:val="en-GB"/>
        </w:rPr>
      </w:pPr>
      <w:r>
        <w:rPr>
          <w:rFonts w:ascii="Times New Roman" w:hAnsi="Times New Roman"/>
          <w:lang w:val="en-GB"/>
        </w:rPr>
        <w:t>5.2</w:t>
      </w:r>
      <w:r w:rsidR="00D7303D" w:rsidRPr="00342F7C">
        <w:rPr>
          <w:rFonts w:ascii="Times New Roman" w:hAnsi="Times New Roman"/>
          <w:lang w:val="en-GB"/>
        </w:rPr>
        <w:tab/>
        <w:t>Pharmacokinetic properties</w:t>
      </w:r>
    </w:p>
    <w:p w14:paraId="3DDA08A3" w14:textId="77777777" w:rsidR="00751C7E" w:rsidRPr="00751C7E" w:rsidRDefault="00751C7E" w:rsidP="00751C7E">
      <w:pPr>
        <w:pStyle w:val="EMEANormal"/>
        <w:rPr>
          <w:lang w:val="en-GB"/>
        </w:rPr>
      </w:pPr>
    </w:p>
    <w:p w14:paraId="708A1D25" w14:textId="77777777" w:rsidR="00D7303D" w:rsidRPr="00342F7C" w:rsidRDefault="00D7303D">
      <w:pPr>
        <w:rPr>
          <w:sz w:val="22"/>
        </w:rPr>
      </w:pPr>
      <w:r w:rsidRPr="00342F7C">
        <w:rPr>
          <w:sz w:val="22"/>
        </w:rPr>
        <w:t xml:space="preserve">The pharmacokinetic properties of lopinavir co-administered with ritonavir have been evaluated in healthy adult volunteers and in HIV-infected patients; no substantial differences were observed between the two groups.  Lopinavir is essentially completely metabolised by CYP3A.  Ritonavir inhibits the metabolism of lopinavir, thereby increasing the plasma levels of lopinavir.  Across studies, administration of Kaletra 400/100 mg twice daily yields mean steady-state lopinavir plasma concentrations 15 to 20-fold higher than those of ritonavir in HIV-infected patients.  The plasma levels of ritonavir are less than 7% of those obtained after the ritonavir dose of 600 mg twice daily.  The </w:t>
      </w:r>
      <w:r w:rsidRPr="00342F7C">
        <w:rPr>
          <w:i/>
          <w:sz w:val="22"/>
        </w:rPr>
        <w:t>in vitro</w:t>
      </w:r>
      <w:r w:rsidRPr="00342F7C">
        <w:rPr>
          <w:sz w:val="22"/>
        </w:rPr>
        <w:t xml:space="preserve"> antiviral EC</w:t>
      </w:r>
      <w:r w:rsidRPr="00342F7C">
        <w:rPr>
          <w:sz w:val="22"/>
          <w:vertAlign w:val="subscript"/>
        </w:rPr>
        <w:t>50</w:t>
      </w:r>
      <w:r w:rsidRPr="00342F7C">
        <w:rPr>
          <w:sz w:val="22"/>
        </w:rPr>
        <w:t xml:space="preserve"> of lopinavir is approximately 10-fold lower than that of ritonavir.  Therefore, the antiviral activity of Kaletra is due to lopinavir.</w:t>
      </w:r>
    </w:p>
    <w:p w14:paraId="7D8CFCAA" w14:textId="77777777" w:rsidR="00D7303D" w:rsidRPr="00342F7C" w:rsidRDefault="00D7303D">
      <w:pPr>
        <w:pStyle w:val="EMEANormal"/>
        <w:rPr>
          <w:lang w:val="en-GB"/>
        </w:rPr>
      </w:pPr>
    </w:p>
    <w:p w14:paraId="24C5F913" w14:textId="77777777" w:rsidR="008261FE" w:rsidRDefault="00D7303D">
      <w:pPr>
        <w:pStyle w:val="EMEANormal"/>
        <w:rPr>
          <w:iCs/>
          <w:u w:val="single"/>
          <w:lang w:val="en-GB"/>
        </w:rPr>
      </w:pPr>
      <w:r w:rsidRPr="00342F7C">
        <w:rPr>
          <w:iCs/>
          <w:u w:val="single"/>
          <w:lang w:val="en-GB"/>
        </w:rPr>
        <w:t>Absorption</w:t>
      </w:r>
    </w:p>
    <w:p w14:paraId="59F1165B" w14:textId="77777777" w:rsidR="00D7303D" w:rsidRPr="00342F7C" w:rsidRDefault="008261FE">
      <w:pPr>
        <w:pStyle w:val="EMEANormal"/>
        <w:rPr>
          <w:lang w:val="en-GB"/>
        </w:rPr>
      </w:pPr>
      <w:r>
        <w:rPr>
          <w:lang w:val="en-GB"/>
        </w:rPr>
        <w:t>M</w:t>
      </w:r>
      <w:r w:rsidR="00D7303D" w:rsidRPr="00342F7C">
        <w:rPr>
          <w:lang w:val="en-GB"/>
        </w:rPr>
        <w:t xml:space="preserve">ultiple dosing with 400/100 mg Kaletra twice daily for 2 weeks and without meal restriction produced a mean </w:t>
      </w:r>
      <w:r w:rsidR="00D7303D" w:rsidRPr="00342F7C">
        <w:rPr>
          <w:lang w:val="en-GB"/>
        </w:rPr>
        <w:sym w:font="Symbol" w:char="F0B1"/>
      </w:r>
      <w:r w:rsidR="00D7303D" w:rsidRPr="00342F7C">
        <w:rPr>
          <w:lang w:val="en-GB"/>
        </w:rPr>
        <w:t xml:space="preserve"> SD lopinavir peak plasma concentration (C</w:t>
      </w:r>
      <w:r w:rsidR="00D7303D" w:rsidRPr="00342F7C">
        <w:rPr>
          <w:vertAlign w:val="subscript"/>
          <w:lang w:val="en-GB"/>
        </w:rPr>
        <w:t>max</w:t>
      </w:r>
      <w:r w:rsidR="00D7303D" w:rsidRPr="00342F7C">
        <w:rPr>
          <w:lang w:val="en-GB"/>
        </w:rPr>
        <w:t>) of 12.3 </w:t>
      </w:r>
      <w:r w:rsidR="00D7303D" w:rsidRPr="00342F7C">
        <w:rPr>
          <w:lang w:val="en-GB"/>
        </w:rPr>
        <w:sym w:font="Symbol" w:char="F0B1"/>
      </w:r>
      <w:r w:rsidR="00D7303D" w:rsidRPr="00342F7C">
        <w:rPr>
          <w:lang w:val="en-GB"/>
        </w:rPr>
        <w:t> 5.4 </w:t>
      </w:r>
      <w:r w:rsidR="00D7303D" w:rsidRPr="00342F7C">
        <w:rPr>
          <w:lang w:val="en-GB"/>
        </w:rPr>
        <w:sym w:font="Symbol" w:char="F06D"/>
      </w:r>
      <w:r w:rsidR="00D7303D" w:rsidRPr="00342F7C">
        <w:rPr>
          <w:lang w:val="en-GB"/>
        </w:rPr>
        <w:t>g/ml, occurring approximately 4 hours after administration.  The mean steady-state trough concentration prior to the morning dose was 8.1 </w:t>
      </w:r>
      <w:r w:rsidR="00D7303D" w:rsidRPr="00342F7C">
        <w:rPr>
          <w:lang w:val="en-GB"/>
        </w:rPr>
        <w:sym w:font="Symbol" w:char="F0B1"/>
      </w:r>
      <w:r w:rsidR="00D7303D" w:rsidRPr="00342F7C">
        <w:rPr>
          <w:lang w:val="en-GB"/>
        </w:rPr>
        <w:t> 5.7 </w:t>
      </w:r>
      <w:r w:rsidR="00D7303D" w:rsidRPr="00342F7C">
        <w:rPr>
          <w:lang w:val="en-GB"/>
        </w:rPr>
        <w:sym w:font="Symbol" w:char="F06D"/>
      </w:r>
      <w:r w:rsidR="00D7303D" w:rsidRPr="00342F7C">
        <w:rPr>
          <w:lang w:val="en-GB"/>
        </w:rPr>
        <w:t>g/ml.  Lopinavir AUC over a 12 hour dosing interval averaged 113.2 </w:t>
      </w:r>
      <w:r w:rsidR="00D7303D" w:rsidRPr="00342F7C">
        <w:rPr>
          <w:lang w:val="en-GB"/>
        </w:rPr>
        <w:sym w:font="Symbol" w:char="F0B1"/>
      </w:r>
      <w:r w:rsidR="00D7303D" w:rsidRPr="00342F7C">
        <w:rPr>
          <w:lang w:val="en-GB"/>
        </w:rPr>
        <w:t> 60.5 </w:t>
      </w:r>
      <w:r w:rsidR="00D7303D" w:rsidRPr="00342F7C">
        <w:rPr>
          <w:lang w:val="en-GB"/>
        </w:rPr>
        <w:sym w:font="Symbol" w:char="F06D"/>
      </w:r>
      <w:r w:rsidR="00D7303D" w:rsidRPr="00342F7C">
        <w:rPr>
          <w:lang w:val="en-GB"/>
        </w:rPr>
        <w:t>g</w:t>
      </w:r>
      <w:r w:rsidR="00D7303D" w:rsidRPr="00342F7C">
        <w:rPr>
          <w:lang w:val="en-GB"/>
        </w:rPr>
        <w:sym w:font="Symbol" w:char="F0B7"/>
      </w:r>
      <w:r w:rsidR="00D7303D" w:rsidRPr="00342F7C">
        <w:rPr>
          <w:lang w:val="en-GB"/>
        </w:rPr>
        <w:t>h/ml.  The absolute bioavailability of lopinavir co-formulated with ritonavir in humans has not been established.</w:t>
      </w:r>
    </w:p>
    <w:p w14:paraId="10F393B4" w14:textId="77777777" w:rsidR="00D7303D" w:rsidRPr="00342F7C" w:rsidRDefault="00D7303D">
      <w:pPr>
        <w:pStyle w:val="EMEANormal"/>
        <w:rPr>
          <w:lang w:val="en-GB"/>
        </w:rPr>
      </w:pPr>
    </w:p>
    <w:p w14:paraId="6B76106B" w14:textId="77777777" w:rsidR="008261FE" w:rsidRDefault="00D7303D">
      <w:pPr>
        <w:pStyle w:val="EMEANormal"/>
        <w:rPr>
          <w:iCs/>
          <w:u w:val="single"/>
          <w:lang w:val="en-GB"/>
        </w:rPr>
      </w:pPr>
      <w:r w:rsidRPr="00342F7C">
        <w:rPr>
          <w:iCs/>
          <w:u w:val="single"/>
          <w:lang w:val="en-GB"/>
        </w:rPr>
        <w:t>Effects of food on oral absorption</w:t>
      </w:r>
    </w:p>
    <w:p w14:paraId="2B60C345" w14:textId="77777777" w:rsidR="00D7303D" w:rsidRPr="00342F7C" w:rsidRDefault="00D7303D">
      <w:pPr>
        <w:pStyle w:val="EMEANormal"/>
        <w:rPr>
          <w:lang w:val="en-GB"/>
        </w:rPr>
      </w:pPr>
      <w:r w:rsidRPr="00342F7C">
        <w:rPr>
          <w:lang w:val="en-GB"/>
        </w:rPr>
        <w:t>Administration of a single 400/100 mg dose of Kaletra tablets under fed conditions (high fat, 872 kcal, 56% from fat) compared to fasted state was associated with no significant changes in C</w:t>
      </w:r>
      <w:r w:rsidRPr="00342F7C">
        <w:rPr>
          <w:vertAlign w:val="subscript"/>
          <w:lang w:val="en-GB"/>
        </w:rPr>
        <w:t>max</w:t>
      </w:r>
      <w:r w:rsidRPr="00342F7C">
        <w:rPr>
          <w:lang w:val="en-GB"/>
        </w:rPr>
        <w:t xml:space="preserve"> and AUC</w:t>
      </w:r>
      <w:r w:rsidRPr="00342F7C">
        <w:rPr>
          <w:vertAlign w:val="subscript"/>
          <w:lang w:val="en-GB"/>
        </w:rPr>
        <w:t>inf</w:t>
      </w:r>
      <w:r w:rsidRPr="00342F7C">
        <w:rPr>
          <w:lang w:val="en-GB"/>
        </w:rPr>
        <w:t>.  Therefore, Kaletra tablets may be taken with or without food.  Kaletra tablets have also shown less pharmacokinetic variability under all meal conditions compared to Kaletra soft capsules.</w:t>
      </w:r>
    </w:p>
    <w:p w14:paraId="3A300535" w14:textId="77777777" w:rsidR="00D7303D" w:rsidRPr="00342F7C" w:rsidRDefault="00D7303D">
      <w:pPr>
        <w:pStyle w:val="EMEANormal"/>
        <w:rPr>
          <w:lang w:val="en-GB"/>
        </w:rPr>
      </w:pPr>
    </w:p>
    <w:p w14:paraId="5F44A59B" w14:textId="77777777" w:rsidR="008261FE" w:rsidRDefault="00D7303D" w:rsidP="003439BF">
      <w:pPr>
        <w:pStyle w:val="EMEANormal"/>
        <w:keepNext/>
        <w:rPr>
          <w:iCs/>
          <w:u w:val="single"/>
          <w:lang w:val="en-GB"/>
        </w:rPr>
      </w:pPr>
      <w:r w:rsidRPr="00342F7C">
        <w:rPr>
          <w:iCs/>
          <w:u w:val="single"/>
          <w:lang w:val="en-GB"/>
        </w:rPr>
        <w:t>Distribution</w:t>
      </w:r>
    </w:p>
    <w:p w14:paraId="679225F7" w14:textId="77777777" w:rsidR="00D7303D" w:rsidRPr="00342F7C" w:rsidRDefault="008261FE" w:rsidP="003439BF">
      <w:pPr>
        <w:pStyle w:val="EMEANormal"/>
        <w:keepNext/>
        <w:rPr>
          <w:lang w:val="en-GB"/>
        </w:rPr>
      </w:pPr>
      <w:r>
        <w:rPr>
          <w:lang w:val="en-GB"/>
        </w:rPr>
        <w:t>A</w:t>
      </w:r>
      <w:r w:rsidR="00D7303D" w:rsidRPr="00342F7C">
        <w:rPr>
          <w:lang w:val="en-GB"/>
        </w:rPr>
        <w:t>t steady state, lopinavir is approximately 98 − 99% bound to serum proteins.  Lopinavir binds to both alpha-1-acid glycoprotein (AAG) and albumin however, it has a higher affinity for AAG.  At steady state, lopinavir protein binding remains constant over the range of observed concentrations after 400/100 mg Kaletra twice daily, and is similar between healthy volunteers and HIV-positive patients.</w:t>
      </w:r>
    </w:p>
    <w:p w14:paraId="6CC75BD4" w14:textId="77777777" w:rsidR="00D7303D" w:rsidRPr="00342F7C" w:rsidRDefault="00D7303D">
      <w:pPr>
        <w:pStyle w:val="EMEANormal"/>
        <w:rPr>
          <w:lang w:val="en-GB"/>
        </w:rPr>
      </w:pPr>
    </w:p>
    <w:p w14:paraId="371AD1D2" w14:textId="77777777" w:rsidR="008261FE" w:rsidRDefault="00D7303D">
      <w:pPr>
        <w:pStyle w:val="EMEANormal"/>
        <w:rPr>
          <w:iCs/>
          <w:u w:val="single"/>
          <w:lang w:val="en-GB"/>
        </w:rPr>
      </w:pPr>
      <w:r w:rsidRPr="00342F7C">
        <w:rPr>
          <w:iCs/>
          <w:u w:val="single"/>
          <w:lang w:val="en-GB"/>
        </w:rPr>
        <w:t>Biotransformation</w:t>
      </w:r>
    </w:p>
    <w:p w14:paraId="1AF03E3B" w14:textId="77777777" w:rsidR="00D7303D" w:rsidRPr="00342F7C" w:rsidRDefault="008261FE">
      <w:pPr>
        <w:pStyle w:val="EMEANormal"/>
        <w:rPr>
          <w:lang w:val="en-GB"/>
        </w:rPr>
      </w:pPr>
      <w:r>
        <w:rPr>
          <w:i/>
          <w:lang w:val="en-GB"/>
        </w:rPr>
        <w:t>I</w:t>
      </w:r>
      <w:r w:rsidR="00D7303D" w:rsidRPr="00342F7C">
        <w:rPr>
          <w:i/>
          <w:lang w:val="en-GB"/>
        </w:rPr>
        <w:t>n vitro</w:t>
      </w:r>
      <w:r w:rsidR="00D7303D" w:rsidRPr="00342F7C">
        <w:rPr>
          <w:lang w:val="en-GB"/>
        </w:rPr>
        <w:t xml:space="preserve"> experiments with human hepatic microsomes indicate that lopinavir primarily undergoes oxidative metabolism.  Lopinavir is extensively metabolised by the hepatic cytochrome P450 system, almost exclusively by isozyme CYP3A.  Ritonavir is a potent CYP3A inhibitor which inhibits the metabolism of lopinavir and therefore, increases plasma levels of lopinavir.  A </w:t>
      </w:r>
      <w:r w:rsidR="00D7303D" w:rsidRPr="00342F7C">
        <w:rPr>
          <w:vertAlign w:val="superscript"/>
          <w:lang w:val="en-GB"/>
        </w:rPr>
        <w:t>14</w:t>
      </w:r>
      <w:r w:rsidR="00D7303D" w:rsidRPr="00342F7C">
        <w:rPr>
          <w:lang w:val="en-GB"/>
        </w:rPr>
        <w:t>C</w:t>
      </w:r>
      <w:r w:rsidR="00D7303D" w:rsidRPr="00342F7C">
        <w:rPr>
          <w:lang w:val="en-GB"/>
        </w:rPr>
        <w:noBreakHyphen/>
        <w:t>lopinavir study in humans showed that 89% of the plasma radioactivity after a single 400/100 mg Kaletra dose was due to parent active substance.  At least 13 lopinavir oxidative metabolites have been identified in man.  The 4-oxo and 4-hydroxymetabolite epimeric pair are the major metabolites with antiviral activity, but comprise only minute amounts of total plasma radioactivity.  Ritonavir has been shown to induce metabolic enzymes, resulting in the induction of its own metabolism, and likely the induction of lopinavir metabolism.  Pre-dose lopinavir concentrations decline with time during multiple dosing, stabilising after approximately 10 days to 2 weeks.</w:t>
      </w:r>
    </w:p>
    <w:p w14:paraId="0D902837" w14:textId="77777777" w:rsidR="00D7303D" w:rsidRPr="00342F7C" w:rsidRDefault="00D7303D">
      <w:pPr>
        <w:pStyle w:val="EMEANormal"/>
        <w:rPr>
          <w:lang w:val="en-GB"/>
        </w:rPr>
      </w:pPr>
    </w:p>
    <w:p w14:paraId="6E638418" w14:textId="77777777" w:rsidR="008261FE" w:rsidRDefault="00D7303D">
      <w:pPr>
        <w:pStyle w:val="EMEANormal"/>
        <w:rPr>
          <w:iCs/>
          <w:u w:val="single"/>
          <w:lang w:val="en-GB"/>
        </w:rPr>
      </w:pPr>
      <w:r w:rsidRPr="00342F7C">
        <w:rPr>
          <w:iCs/>
          <w:u w:val="single"/>
          <w:lang w:val="en-GB"/>
        </w:rPr>
        <w:t>Elimination</w:t>
      </w:r>
    </w:p>
    <w:p w14:paraId="7ACF7CCF" w14:textId="77777777" w:rsidR="00D7303D" w:rsidRPr="00342F7C" w:rsidRDefault="008261FE">
      <w:pPr>
        <w:pStyle w:val="EMEANormal"/>
        <w:rPr>
          <w:lang w:val="en-GB"/>
        </w:rPr>
      </w:pPr>
      <w:r>
        <w:rPr>
          <w:lang w:val="en-GB"/>
        </w:rPr>
        <w:t>A</w:t>
      </w:r>
      <w:r w:rsidR="00D7303D" w:rsidRPr="00342F7C">
        <w:rPr>
          <w:lang w:val="en-GB"/>
        </w:rPr>
        <w:t xml:space="preserve">fter a 400/100 mg </w:t>
      </w:r>
      <w:r w:rsidR="00D7303D" w:rsidRPr="00342F7C">
        <w:rPr>
          <w:vertAlign w:val="superscript"/>
          <w:lang w:val="en-GB"/>
        </w:rPr>
        <w:t>14</w:t>
      </w:r>
      <w:r w:rsidR="00D7303D" w:rsidRPr="00342F7C">
        <w:rPr>
          <w:lang w:val="en-GB"/>
        </w:rPr>
        <w:t>C-lopinavir/ritonavir dose, approximately 10.4 </w:t>
      </w:r>
      <w:r w:rsidR="00D7303D" w:rsidRPr="00342F7C">
        <w:rPr>
          <w:lang w:val="en-GB"/>
        </w:rPr>
        <w:sym w:font="Symbol" w:char="F0B1"/>
      </w:r>
      <w:r w:rsidR="00D7303D" w:rsidRPr="00342F7C">
        <w:rPr>
          <w:lang w:val="en-GB"/>
        </w:rPr>
        <w:t> 2.3% and 82.6 </w:t>
      </w:r>
      <w:r w:rsidR="00D7303D" w:rsidRPr="00342F7C">
        <w:rPr>
          <w:lang w:val="en-GB"/>
        </w:rPr>
        <w:sym w:font="Symbol" w:char="F0B1"/>
      </w:r>
      <w:r w:rsidR="00D7303D" w:rsidRPr="00342F7C">
        <w:rPr>
          <w:lang w:val="en-GB"/>
        </w:rPr>
        <w:t xml:space="preserve"> 2.5% of an administered dose of </w:t>
      </w:r>
      <w:r w:rsidR="00D7303D" w:rsidRPr="00342F7C">
        <w:rPr>
          <w:vertAlign w:val="superscript"/>
          <w:lang w:val="en-GB"/>
        </w:rPr>
        <w:t>14</w:t>
      </w:r>
      <w:r w:rsidR="00D7303D" w:rsidRPr="00342F7C">
        <w:rPr>
          <w:lang w:val="en-GB"/>
        </w:rPr>
        <w:t>C-lopinavir can be accounted for in urine and faeces, respectively.  Unchanged lopinavir accounted for approximately 2.2% and 19.8% of the administered dose in urine and faeces, respectively.  After multiple dosing, less than 3% of the lopinavir dose is excreted unchanged in the urine.  The effective (peak to trough) half-life of lopinavir over a 12 hour dosing interval averaged 5 − 6 hours, and the apparent oral clearance (CL/F) of lopinavir is 6 to 7 l/h.</w:t>
      </w:r>
    </w:p>
    <w:p w14:paraId="04F40737" w14:textId="77777777" w:rsidR="00D7303D" w:rsidRPr="00342F7C" w:rsidRDefault="00D7303D" w:rsidP="00F84BD1">
      <w:pPr>
        <w:pStyle w:val="EMEANormal"/>
        <w:rPr>
          <w:lang w:val="en-GB"/>
        </w:rPr>
      </w:pPr>
    </w:p>
    <w:p w14:paraId="20C57FC1" w14:textId="77777777" w:rsidR="00D7303D" w:rsidRPr="00342F7C" w:rsidRDefault="00D7303D">
      <w:pPr>
        <w:pStyle w:val="EMEANormal"/>
        <w:rPr>
          <w:lang w:val="en-GB"/>
        </w:rPr>
      </w:pPr>
      <w:r w:rsidRPr="00342F7C">
        <w:rPr>
          <w:lang w:val="en-GB"/>
        </w:rPr>
        <w:t>Once</w:t>
      </w:r>
      <w:r w:rsidR="00136AEA">
        <w:rPr>
          <w:lang w:val="en-GB"/>
        </w:rPr>
        <w:noBreakHyphen/>
      </w:r>
      <w:r w:rsidRPr="00342F7C">
        <w:rPr>
          <w:lang w:val="en-GB"/>
        </w:rPr>
        <w:t>daily dosing: the pharmacokinetics of once daily Kaletra have been evaluated in HIV-infected subjects naïve to antiretroviral treatment.  Kaletra 800/200 mg was administered in combination with emtricitabine 200 mg and tenofovir DF 300 mg as part of a once</w:t>
      </w:r>
      <w:r w:rsidR="00136AEA">
        <w:rPr>
          <w:lang w:val="en-GB"/>
        </w:rPr>
        <w:noBreakHyphen/>
      </w:r>
      <w:r w:rsidRPr="00342F7C">
        <w:rPr>
          <w:lang w:val="en-GB"/>
        </w:rPr>
        <w:t>daily regimen.  Multiple dosing of 800/200 mg Kaletra once daily for 2 weeks without meal restriction (n=16) produced a mean ± SD lopinavir peak plasma concentration (C</w:t>
      </w:r>
      <w:r w:rsidRPr="00342F7C">
        <w:rPr>
          <w:vertAlign w:val="subscript"/>
          <w:lang w:val="en-GB"/>
        </w:rPr>
        <w:t>max</w:t>
      </w:r>
      <w:r w:rsidRPr="00342F7C">
        <w:rPr>
          <w:lang w:val="en-GB"/>
        </w:rPr>
        <w:t>) of 14.8 ± 3.5 </w:t>
      </w:r>
      <w:r w:rsidRPr="00342F7C">
        <w:rPr>
          <w:lang w:val="en-GB"/>
        </w:rPr>
        <w:sym w:font="Symbol" w:char="F06D"/>
      </w:r>
      <w:r w:rsidRPr="00342F7C">
        <w:rPr>
          <w:lang w:val="en-GB"/>
        </w:rPr>
        <w:t>g/ml, occurring approximately 6 hours after administration.  The mean steady-state trough concentration prior to the morning dose was 5.5 ± 5.4 </w:t>
      </w:r>
      <w:r w:rsidRPr="00342F7C">
        <w:rPr>
          <w:lang w:val="en-GB"/>
        </w:rPr>
        <w:sym w:font="Symbol" w:char="F06D"/>
      </w:r>
      <w:r w:rsidRPr="00342F7C">
        <w:rPr>
          <w:lang w:val="en-GB"/>
        </w:rPr>
        <w:t>g/ml.  Lopinavir AUC over a 24 hour dosing interval averaged 206.5 ± 89.7 </w:t>
      </w:r>
      <w:r w:rsidRPr="00342F7C">
        <w:rPr>
          <w:lang w:val="en-GB"/>
        </w:rPr>
        <w:sym w:font="Symbol" w:char="F06D"/>
      </w:r>
      <w:r w:rsidRPr="00342F7C">
        <w:rPr>
          <w:lang w:val="en-GB"/>
        </w:rPr>
        <w:t>g</w:t>
      </w:r>
      <w:r w:rsidR="002865D6" w:rsidRPr="00342F7C">
        <w:sym w:font="Symbol" w:char="F0B7"/>
      </w:r>
      <w:r w:rsidRPr="00342F7C">
        <w:rPr>
          <w:lang w:val="en-GB"/>
        </w:rPr>
        <w:t>h/ml.</w:t>
      </w:r>
    </w:p>
    <w:p w14:paraId="53C2E07C" w14:textId="77777777" w:rsidR="00D7303D" w:rsidRPr="00342F7C" w:rsidRDefault="00D7303D" w:rsidP="00E80B68">
      <w:pPr>
        <w:pStyle w:val="EMEANormal"/>
        <w:rPr>
          <w:lang w:val="en-GB"/>
        </w:rPr>
      </w:pPr>
    </w:p>
    <w:p w14:paraId="762AD8EC" w14:textId="77777777" w:rsidR="00D7303D" w:rsidRDefault="00D7303D">
      <w:pPr>
        <w:pStyle w:val="EMEANormal"/>
        <w:rPr>
          <w:rFonts w:cs="Helv"/>
          <w:bCs/>
          <w:iCs/>
          <w:lang w:val="en-GB" w:eastAsia="en-GB"/>
        </w:rPr>
      </w:pPr>
      <w:r w:rsidRPr="00342F7C">
        <w:rPr>
          <w:rFonts w:cs="Helv"/>
          <w:bCs/>
          <w:iCs/>
          <w:lang w:val="en-GB" w:eastAsia="en-GB"/>
        </w:rPr>
        <w:t>As compared to the BID regimen, the once</w:t>
      </w:r>
      <w:r w:rsidR="00136AEA">
        <w:rPr>
          <w:rFonts w:cs="Helv"/>
          <w:bCs/>
          <w:iCs/>
          <w:lang w:val="en-GB" w:eastAsia="en-GB"/>
        </w:rPr>
        <w:noBreakHyphen/>
      </w:r>
      <w:r w:rsidRPr="00342F7C">
        <w:rPr>
          <w:rFonts w:cs="Helv"/>
          <w:bCs/>
          <w:iCs/>
          <w:lang w:val="en-GB" w:eastAsia="en-GB"/>
        </w:rPr>
        <w:t>daily dosing is associated with a reduction in the C</w:t>
      </w:r>
      <w:r w:rsidRPr="00342F7C">
        <w:rPr>
          <w:rFonts w:cs="Helv"/>
          <w:bCs/>
          <w:iCs/>
          <w:vertAlign w:val="subscript"/>
          <w:lang w:val="en-GB" w:eastAsia="en-GB"/>
        </w:rPr>
        <w:t>min</w:t>
      </w:r>
      <w:r w:rsidRPr="00342F7C">
        <w:rPr>
          <w:rFonts w:cs="Helv"/>
          <w:bCs/>
          <w:iCs/>
          <w:lang w:val="en-GB" w:eastAsia="en-GB"/>
        </w:rPr>
        <w:t>/C</w:t>
      </w:r>
      <w:r w:rsidRPr="00342F7C">
        <w:rPr>
          <w:rFonts w:cs="Helv"/>
          <w:bCs/>
          <w:iCs/>
          <w:vertAlign w:val="subscript"/>
          <w:lang w:val="en-GB" w:eastAsia="en-GB"/>
        </w:rPr>
        <w:t>trough</w:t>
      </w:r>
      <w:r w:rsidRPr="00342F7C">
        <w:rPr>
          <w:rFonts w:cs="Helv"/>
          <w:bCs/>
          <w:iCs/>
          <w:lang w:val="en-GB" w:eastAsia="en-GB"/>
        </w:rPr>
        <w:t xml:space="preserve"> values of approximately 50%.  </w:t>
      </w:r>
    </w:p>
    <w:p w14:paraId="64D0DACE" w14:textId="77777777" w:rsidR="00751C7E" w:rsidRPr="00342F7C" w:rsidRDefault="00751C7E">
      <w:pPr>
        <w:pStyle w:val="EMEANormal"/>
        <w:rPr>
          <w:lang w:val="en-GB"/>
        </w:rPr>
      </w:pPr>
    </w:p>
    <w:p w14:paraId="3B670174" w14:textId="77777777" w:rsidR="00D7303D" w:rsidRPr="0017061C" w:rsidRDefault="00D7303D" w:rsidP="00751C7E">
      <w:pPr>
        <w:pStyle w:val="EMEAHeadingUI"/>
        <w:spacing w:beforeLines="0" w:before="0" w:afterLines="0" w:after="0"/>
        <w:rPr>
          <w:u w:val="none"/>
          <w:lang w:val="en-GB"/>
        </w:rPr>
      </w:pPr>
      <w:r w:rsidRPr="0017061C">
        <w:rPr>
          <w:u w:val="none"/>
          <w:lang w:val="en-GB"/>
        </w:rPr>
        <w:t>Special Populations</w:t>
      </w:r>
    </w:p>
    <w:p w14:paraId="79AF9934" w14:textId="77777777" w:rsidR="00751C7E" w:rsidRPr="00751C7E" w:rsidRDefault="00751C7E" w:rsidP="00751C7E">
      <w:pPr>
        <w:pStyle w:val="EMEANormal"/>
        <w:rPr>
          <w:lang w:val="en-GB"/>
        </w:rPr>
      </w:pPr>
    </w:p>
    <w:p w14:paraId="60954677" w14:textId="77777777" w:rsidR="00D7303D" w:rsidRDefault="00D7303D" w:rsidP="00751C7E">
      <w:pPr>
        <w:pStyle w:val="EMEAHeadingItalic"/>
        <w:spacing w:beforeLines="0" w:before="0" w:afterLines="0" w:after="0"/>
        <w:rPr>
          <w:lang w:val="en-GB"/>
        </w:rPr>
      </w:pPr>
      <w:r w:rsidRPr="00342F7C">
        <w:rPr>
          <w:lang w:val="en-GB"/>
        </w:rPr>
        <w:t>Paediatrics</w:t>
      </w:r>
    </w:p>
    <w:p w14:paraId="59BD36B2" w14:textId="77777777" w:rsidR="00D7303D" w:rsidRDefault="00E92314">
      <w:pPr>
        <w:rPr>
          <w:sz w:val="22"/>
          <w:szCs w:val="20"/>
        </w:rPr>
      </w:pPr>
      <w:r w:rsidRPr="00342F7C">
        <w:rPr>
          <w:sz w:val="22"/>
          <w:szCs w:val="20"/>
        </w:rPr>
        <w:t xml:space="preserve">There are limited pharmacokinetic data in children below 2 years of age.  </w:t>
      </w:r>
      <w:r w:rsidR="00920FC9" w:rsidRPr="001B3454">
        <w:rPr>
          <w:sz w:val="22"/>
          <w:szCs w:val="22"/>
        </w:rPr>
        <w:t>The pharmacokinetics of Kaletra 100/25</w:t>
      </w:r>
      <w:r w:rsidR="00920FC9">
        <w:rPr>
          <w:sz w:val="22"/>
          <w:szCs w:val="22"/>
        </w:rPr>
        <w:t> </w:t>
      </w:r>
      <w:r w:rsidR="00920FC9" w:rsidRPr="001B3454">
        <w:rPr>
          <w:sz w:val="22"/>
          <w:szCs w:val="22"/>
        </w:rPr>
        <w:t xml:space="preserve">mg tablet twice-daily weight-band dosing without nevirapine have been studied in a total of 53 paediatric patients. </w:t>
      </w:r>
      <w:r w:rsidR="00920FC9">
        <w:rPr>
          <w:sz w:val="22"/>
          <w:szCs w:val="22"/>
        </w:rPr>
        <w:t xml:space="preserve"> </w:t>
      </w:r>
      <w:r w:rsidR="00920FC9" w:rsidRPr="001B3454">
        <w:rPr>
          <w:sz w:val="22"/>
          <w:szCs w:val="22"/>
        </w:rPr>
        <w:t>The lopinavir mean ± standard deviation steady-state AUC, C</w:t>
      </w:r>
      <w:r w:rsidR="00920FC9" w:rsidRPr="001B3454">
        <w:rPr>
          <w:sz w:val="22"/>
          <w:szCs w:val="22"/>
          <w:vertAlign w:val="subscript"/>
        </w:rPr>
        <w:t>max</w:t>
      </w:r>
      <w:r w:rsidR="00920FC9" w:rsidRPr="001B3454">
        <w:rPr>
          <w:sz w:val="22"/>
          <w:szCs w:val="22"/>
        </w:rPr>
        <w:t xml:space="preserve"> and C</w:t>
      </w:r>
      <w:r w:rsidR="00920FC9" w:rsidRPr="002865D6">
        <w:rPr>
          <w:sz w:val="22"/>
          <w:szCs w:val="22"/>
          <w:vertAlign w:val="subscript"/>
        </w:rPr>
        <w:t>12</w:t>
      </w:r>
      <w:r w:rsidR="00920FC9">
        <w:rPr>
          <w:sz w:val="22"/>
          <w:szCs w:val="22"/>
        </w:rPr>
        <w:t xml:space="preserve"> </w:t>
      </w:r>
      <w:r w:rsidR="00920FC9" w:rsidRPr="001B3454">
        <w:rPr>
          <w:sz w:val="22"/>
          <w:szCs w:val="22"/>
        </w:rPr>
        <w:t>were 112.5</w:t>
      </w:r>
      <w:r w:rsidR="00920FC9">
        <w:rPr>
          <w:sz w:val="22"/>
          <w:szCs w:val="22"/>
        </w:rPr>
        <w:t> </w:t>
      </w:r>
      <w:r w:rsidR="00920FC9" w:rsidRPr="001B3454">
        <w:rPr>
          <w:sz w:val="22"/>
          <w:szCs w:val="22"/>
        </w:rPr>
        <w:t>±</w:t>
      </w:r>
      <w:r w:rsidR="00920FC9">
        <w:rPr>
          <w:sz w:val="22"/>
          <w:szCs w:val="22"/>
        </w:rPr>
        <w:t> </w:t>
      </w:r>
      <w:r w:rsidR="00920FC9" w:rsidRPr="001B3454">
        <w:rPr>
          <w:sz w:val="22"/>
          <w:szCs w:val="22"/>
        </w:rPr>
        <w:t>37.1</w:t>
      </w:r>
      <w:r w:rsidR="00920FC9">
        <w:rPr>
          <w:sz w:val="22"/>
          <w:szCs w:val="22"/>
        </w:rPr>
        <w:t> </w:t>
      </w:r>
      <w:r w:rsidR="00920FC9" w:rsidRPr="001B3454">
        <w:rPr>
          <w:sz w:val="22"/>
          <w:szCs w:val="22"/>
        </w:rPr>
        <w:t>μg</w:t>
      </w:r>
      <w:r w:rsidR="00920FC9" w:rsidRPr="00342F7C">
        <w:rPr>
          <w:sz w:val="22"/>
          <w:szCs w:val="20"/>
        </w:rPr>
        <w:sym w:font="Symbol" w:char="F0B7"/>
      </w:r>
      <w:r w:rsidR="00920FC9" w:rsidRPr="001B3454">
        <w:rPr>
          <w:sz w:val="22"/>
          <w:szCs w:val="22"/>
        </w:rPr>
        <w:t>h/ml, 12.4</w:t>
      </w:r>
      <w:r w:rsidR="00920FC9">
        <w:rPr>
          <w:sz w:val="22"/>
          <w:szCs w:val="22"/>
        </w:rPr>
        <w:t> </w:t>
      </w:r>
      <w:r w:rsidR="00920FC9" w:rsidRPr="001B3454">
        <w:rPr>
          <w:sz w:val="22"/>
          <w:szCs w:val="22"/>
        </w:rPr>
        <w:t>±</w:t>
      </w:r>
      <w:r w:rsidR="00920FC9">
        <w:rPr>
          <w:sz w:val="22"/>
          <w:szCs w:val="22"/>
        </w:rPr>
        <w:t> </w:t>
      </w:r>
      <w:r w:rsidR="00920FC9" w:rsidRPr="001B3454">
        <w:rPr>
          <w:sz w:val="22"/>
          <w:szCs w:val="22"/>
        </w:rPr>
        <w:t>3.5</w:t>
      </w:r>
      <w:r w:rsidR="00920FC9">
        <w:rPr>
          <w:sz w:val="22"/>
          <w:szCs w:val="22"/>
        </w:rPr>
        <w:t> </w:t>
      </w:r>
      <w:r w:rsidR="00920FC9" w:rsidRPr="001B3454">
        <w:rPr>
          <w:sz w:val="22"/>
          <w:szCs w:val="22"/>
        </w:rPr>
        <w:t>μg/ml and 5.71</w:t>
      </w:r>
      <w:r w:rsidR="00920FC9">
        <w:rPr>
          <w:sz w:val="22"/>
          <w:szCs w:val="22"/>
        </w:rPr>
        <w:t> </w:t>
      </w:r>
      <w:r w:rsidR="00920FC9" w:rsidRPr="001B3454">
        <w:rPr>
          <w:sz w:val="22"/>
          <w:szCs w:val="22"/>
        </w:rPr>
        <w:t>±</w:t>
      </w:r>
      <w:r w:rsidR="00920FC9">
        <w:rPr>
          <w:sz w:val="22"/>
          <w:szCs w:val="22"/>
        </w:rPr>
        <w:t> </w:t>
      </w:r>
      <w:r w:rsidR="00920FC9" w:rsidRPr="001B3454">
        <w:rPr>
          <w:sz w:val="22"/>
          <w:szCs w:val="22"/>
        </w:rPr>
        <w:t>2.99</w:t>
      </w:r>
      <w:r w:rsidR="00920FC9">
        <w:rPr>
          <w:sz w:val="22"/>
          <w:szCs w:val="22"/>
        </w:rPr>
        <w:t> </w:t>
      </w:r>
      <w:r w:rsidR="00920FC9" w:rsidRPr="001B3454">
        <w:rPr>
          <w:sz w:val="22"/>
          <w:szCs w:val="22"/>
        </w:rPr>
        <w:t>μg/ml, respectively. The twice-daily weight-band dosing</w:t>
      </w:r>
      <w:r w:rsidR="00920FC9">
        <w:rPr>
          <w:sz w:val="22"/>
          <w:szCs w:val="22"/>
        </w:rPr>
        <w:t xml:space="preserve"> </w:t>
      </w:r>
      <w:r w:rsidRPr="00342F7C">
        <w:rPr>
          <w:sz w:val="22"/>
          <w:szCs w:val="20"/>
        </w:rPr>
        <w:t>with</w:t>
      </w:r>
      <w:r w:rsidR="00920FC9">
        <w:rPr>
          <w:sz w:val="22"/>
          <w:szCs w:val="20"/>
        </w:rPr>
        <w:t>out</w:t>
      </w:r>
      <w:r w:rsidRPr="00342F7C">
        <w:rPr>
          <w:sz w:val="22"/>
          <w:szCs w:val="20"/>
        </w:rPr>
        <w:t xml:space="preserve"> nevirapine provided lopinavir plasma concentrations similar to those obtained in</w:t>
      </w:r>
      <w:r w:rsidRPr="00342F7C">
        <w:rPr>
          <w:sz w:val="22"/>
        </w:rPr>
        <w:t xml:space="preserve"> </w:t>
      </w:r>
      <w:r w:rsidRPr="00342F7C">
        <w:rPr>
          <w:sz w:val="22"/>
          <w:szCs w:val="20"/>
        </w:rPr>
        <w:t>adult patients receiving the 400/100 mg twice</w:t>
      </w:r>
      <w:r w:rsidR="00136AEA">
        <w:rPr>
          <w:sz w:val="22"/>
          <w:szCs w:val="20"/>
        </w:rPr>
        <w:noBreakHyphen/>
      </w:r>
      <w:r w:rsidRPr="00342F7C">
        <w:rPr>
          <w:sz w:val="22"/>
          <w:szCs w:val="20"/>
        </w:rPr>
        <w:t xml:space="preserve">daily regimen without nevirapine.  </w:t>
      </w:r>
    </w:p>
    <w:p w14:paraId="4AE820FB" w14:textId="77777777" w:rsidR="00751C7E" w:rsidRPr="00342F7C" w:rsidRDefault="00751C7E">
      <w:pPr>
        <w:rPr>
          <w:sz w:val="22"/>
          <w:szCs w:val="20"/>
        </w:rPr>
      </w:pPr>
    </w:p>
    <w:p w14:paraId="4646209D" w14:textId="77777777" w:rsidR="00D7303D" w:rsidRDefault="00D7303D" w:rsidP="003439BF">
      <w:pPr>
        <w:pStyle w:val="EMEAHeadingItalic"/>
        <w:spacing w:beforeLines="0" w:before="0" w:afterLines="0" w:after="0"/>
        <w:rPr>
          <w:lang w:val="en-GB"/>
        </w:rPr>
      </w:pPr>
      <w:r w:rsidRPr="00342F7C">
        <w:rPr>
          <w:lang w:val="en-GB"/>
        </w:rPr>
        <w:t xml:space="preserve">Gender, Race and Age  </w:t>
      </w:r>
    </w:p>
    <w:p w14:paraId="0B5E024D" w14:textId="77777777" w:rsidR="00D7303D" w:rsidRDefault="00D7303D" w:rsidP="003439BF">
      <w:pPr>
        <w:pStyle w:val="EMEANormal"/>
        <w:rPr>
          <w:lang w:val="en-GB"/>
        </w:rPr>
      </w:pPr>
      <w:r w:rsidRPr="00342F7C">
        <w:rPr>
          <w:lang w:val="en-GB"/>
        </w:rPr>
        <w:t xml:space="preserve">Kaletra pharmacokinetics have not been studied in </w:t>
      </w:r>
      <w:r w:rsidR="00D4701A">
        <w:rPr>
          <w:lang w:val="en-GB"/>
        </w:rPr>
        <w:t>older people</w:t>
      </w:r>
      <w:r w:rsidRPr="00342F7C">
        <w:rPr>
          <w:lang w:val="en-GB"/>
        </w:rPr>
        <w:t>.  No age or gender related pharmacokinetic differences have been observed in adult patients.  Pharmacokinetic differences due to race have not been identified.</w:t>
      </w:r>
    </w:p>
    <w:p w14:paraId="308B0097" w14:textId="77777777" w:rsidR="00751C7E" w:rsidRPr="00342F7C" w:rsidRDefault="00751C7E" w:rsidP="003439BF">
      <w:pPr>
        <w:pStyle w:val="EMEANormal"/>
        <w:rPr>
          <w:lang w:val="en-GB"/>
        </w:rPr>
      </w:pPr>
    </w:p>
    <w:p w14:paraId="5FA278AB" w14:textId="77777777" w:rsidR="00562D03" w:rsidRDefault="00562D03" w:rsidP="003439BF">
      <w:pPr>
        <w:pStyle w:val="EMEAHeadingItalic"/>
        <w:keepNext/>
        <w:keepLines/>
        <w:spacing w:beforeLines="0" w:before="0" w:afterLines="0" w:after="0"/>
        <w:rPr>
          <w:szCs w:val="22"/>
          <w:lang w:val="en-GB"/>
        </w:rPr>
      </w:pPr>
      <w:r w:rsidRPr="00562D03">
        <w:rPr>
          <w:szCs w:val="22"/>
          <w:lang w:val="en-GB"/>
        </w:rPr>
        <w:t>Pregnancy and postpartum</w:t>
      </w:r>
    </w:p>
    <w:p w14:paraId="76FC33D3" w14:textId="77777777" w:rsidR="00562D03" w:rsidRPr="00562D03" w:rsidRDefault="00562D03" w:rsidP="003439BF">
      <w:pPr>
        <w:pStyle w:val="EMEANormal"/>
        <w:keepNext/>
        <w:keepLines/>
        <w:rPr>
          <w:szCs w:val="22"/>
        </w:rPr>
      </w:pPr>
      <w:r w:rsidRPr="00562D03">
        <w:rPr>
          <w:szCs w:val="22"/>
        </w:rPr>
        <w:t xml:space="preserve">In an open-label pharmacokinetic study, 12 HIV-infected pregnant women who were less than 20 weeks of gestation and on combination antiretroviral therapy initially received lopinavir/ritonavir 400 mg/100 mg (two 200/50 mg tablets) twice daily up to a gestational age of 30 weeks. At 30 weeks age of gestation, the dose was increased to 500/125 mg (two 200/50 mg tablets plus one 100/25 mg tablet) twice daily until subjects were 2 weeks postpartum. Plasma concentrations of lopinavir were measured over four 12-hour periods during second trimester (20-24 weeks gestation), third trimester before dose increase (30 weeks gestation), third trimester after dose increase (32 weeks gestation), and at 8 weeks post-partum. The dose increase did not result in a significant increase in the plasma lopinavir concentration. </w:t>
      </w:r>
    </w:p>
    <w:p w14:paraId="445D2195" w14:textId="77777777" w:rsidR="00562D03" w:rsidRPr="00562D03" w:rsidRDefault="00562D03" w:rsidP="00562D03">
      <w:pPr>
        <w:pStyle w:val="EMEANormal"/>
        <w:rPr>
          <w:szCs w:val="22"/>
        </w:rPr>
      </w:pPr>
    </w:p>
    <w:p w14:paraId="43DE3BC1" w14:textId="77777777" w:rsidR="00562D03" w:rsidRPr="00562D03" w:rsidRDefault="00562D03" w:rsidP="00562D03">
      <w:pPr>
        <w:pStyle w:val="EMEANormal"/>
        <w:rPr>
          <w:szCs w:val="22"/>
        </w:rPr>
      </w:pPr>
      <w:r w:rsidRPr="00562D03">
        <w:rPr>
          <w:szCs w:val="22"/>
        </w:rPr>
        <w:t>In another open-label pharmacokinetic study, 19 HIV-infected pregnant women received lopinavir/ritonavir 400/100 mg twice daily as part of combination antiretroviral therapy during pregnancy from before conception. A series of blood samples were collected pre-dose and at intervals over the course of 12 hours in trimester 2 and trimester 3, at birth, and 4–6 weeks postpartum (in women who continued treatment post-delivery) for pharmacokinetic analysis of total and unbound levels of plasma lopinavir concentrations.</w:t>
      </w:r>
    </w:p>
    <w:p w14:paraId="3FA720CC" w14:textId="77777777" w:rsidR="00562D03" w:rsidRPr="00562D03" w:rsidRDefault="00562D03" w:rsidP="00562D03">
      <w:pPr>
        <w:pStyle w:val="EMEANormal"/>
        <w:rPr>
          <w:szCs w:val="22"/>
        </w:rPr>
      </w:pPr>
    </w:p>
    <w:p w14:paraId="09A2091B" w14:textId="77777777" w:rsidR="00562D03" w:rsidRPr="00562D03" w:rsidRDefault="00562D03" w:rsidP="00562D03">
      <w:pPr>
        <w:pStyle w:val="EMEANormal"/>
        <w:rPr>
          <w:szCs w:val="22"/>
        </w:rPr>
      </w:pPr>
      <w:r w:rsidRPr="00562D03">
        <w:rPr>
          <w:szCs w:val="22"/>
        </w:rPr>
        <w:t>The pharmacokinetic data from HIV-1 infected pregnant women receiving lopinavir/ritonavir tablets 400/100 mg twice daily are presented in Table 6 (see section 4.2).</w:t>
      </w:r>
    </w:p>
    <w:p w14:paraId="2843FFDE" w14:textId="77777777" w:rsidR="00562D03" w:rsidRPr="00562D03" w:rsidRDefault="00562D03" w:rsidP="00562D03">
      <w:pPr>
        <w:pStyle w:val="EMEANormal"/>
        <w:rPr>
          <w:szCs w:val="22"/>
        </w:rPr>
      </w:pPr>
    </w:p>
    <w:p w14:paraId="53BB9DD2" w14:textId="77777777" w:rsidR="00562D03" w:rsidRPr="00562D03" w:rsidRDefault="00562D03" w:rsidP="00562D03">
      <w:pPr>
        <w:pStyle w:val="EMEANormal"/>
        <w:rPr>
          <w:szCs w:val="22"/>
        </w:rPr>
      </w:pPr>
      <w:r w:rsidRPr="00562D03">
        <w:rPr>
          <w:szCs w:val="22"/>
        </w:rPr>
        <w:t>Table 6</w:t>
      </w:r>
    </w:p>
    <w:p w14:paraId="5FA267A4" w14:textId="77777777" w:rsidR="00562D03" w:rsidRPr="00562D03" w:rsidRDefault="00562D03" w:rsidP="00562D03">
      <w:pPr>
        <w:pStyle w:val="EMEANormal"/>
        <w:rPr>
          <w:szCs w:val="22"/>
        </w:rPr>
      </w:pPr>
    </w:p>
    <w:tbl>
      <w:tblPr>
        <w:tblW w:w="5000" w:type="pct"/>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712"/>
        <w:gridCol w:w="2247"/>
        <w:gridCol w:w="2179"/>
        <w:gridCol w:w="1922"/>
      </w:tblGrid>
      <w:tr w:rsidR="00562D03" w:rsidRPr="00420041" w14:paraId="5C238A86" w14:textId="77777777" w:rsidTr="001729CE">
        <w:trPr>
          <w:trHeight w:val="503"/>
        </w:trPr>
        <w:tc>
          <w:tcPr>
            <w:tcW w:w="9576" w:type="dxa"/>
            <w:gridSpan w:val="4"/>
            <w:tcMar>
              <w:top w:w="0" w:type="dxa"/>
              <w:left w:w="108" w:type="dxa"/>
              <w:bottom w:w="0" w:type="dxa"/>
              <w:right w:w="108" w:type="dxa"/>
            </w:tcMar>
            <w:vAlign w:val="center"/>
          </w:tcPr>
          <w:p w14:paraId="746EDD0F" w14:textId="77777777" w:rsidR="00562D03" w:rsidRPr="00562D03" w:rsidRDefault="00562D03" w:rsidP="001729CE">
            <w:pPr>
              <w:jc w:val="center"/>
              <w:rPr>
                <w:b/>
                <w:sz w:val="22"/>
                <w:szCs w:val="22"/>
              </w:rPr>
            </w:pPr>
            <w:r w:rsidRPr="00562D03">
              <w:rPr>
                <w:b/>
                <w:bCs/>
                <w:sz w:val="22"/>
                <w:szCs w:val="22"/>
              </w:rPr>
              <w:t xml:space="preserve">Mean (%CV) Steady-State Pharmacokinetic Parameters of </w:t>
            </w:r>
            <w:r w:rsidRPr="00562D03">
              <w:rPr>
                <w:b/>
                <w:sz w:val="22"/>
                <w:szCs w:val="22"/>
              </w:rPr>
              <w:t>Lopinavir</w:t>
            </w:r>
            <w:r w:rsidRPr="00562D03">
              <w:rPr>
                <w:b/>
                <w:bCs/>
                <w:sz w:val="22"/>
                <w:szCs w:val="22"/>
              </w:rPr>
              <w:t xml:space="preserve"> </w:t>
            </w:r>
            <w:r w:rsidRPr="00562D03">
              <w:rPr>
                <w:b/>
                <w:bCs/>
                <w:sz w:val="22"/>
                <w:szCs w:val="22"/>
              </w:rPr>
              <w:br/>
              <w:t>in HIV-Infected Pregnant Women</w:t>
            </w:r>
          </w:p>
        </w:tc>
      </w:tr>
      <w:tr w:rsidR="00562D03" w:rsidRPr="00420041" w14:paraId="1D1AA446" w14:textId="77777777" w:rsidTr="001729CE">
        <w:trPr>
          <w:trHeight w:val="530"/>
        </w:trPr>
        <w:tc>
          <w:tcPr>
            <w:tcW w:w="2869" w:type="dxa"/>
            <w:tcMar>
              <w:top w:w="0" w:type="dxa"/>
              <w:left w:w="108" w:type="dxa"/>
              <w:bottom w:w="0" w:type="dxa"/>
              <w:right w:w="108" w:type="dxa"/>
            </w:tcMar>
            <w:vAlign w:val="center"/>
            <w:hideMark/>
          </w:tcPr>
          <w:p w14:paraId="5A861D1B" w14:textId="77777777" w:rsidR="00562D03" w:rsidRPr="00562D03" w:rsidRDefault="00562D03" w:rsidP="001729CE">
            <w:pPr>
              <w:jc w:val="center"/>
              <w:rPr>
                <w:rFonts w:eastAsia="Calibri"/>
                <w:b/>
                <w:sz w:val="22"/>
                <w:szCs w:val="22"/>
              </w:rPr>
            </w:pPr>
            <w:r w:rsidRPr="00562D03">
              <w:rPr>
                <w:b/>
                <w:sz w:val="22"/>
                <w:szCs w:val="22"/>
              </w:rPr>
              <w:t>Pharmacokinetic</w:t>
            </w:r>
            <w:r w:rsidRPr="00562D03">
              <w:rPr>
                <w:b/>
                <w:sz w:val="22"/>
                <w:szCs w:val="22"/>
              </w:rPr>
              <w:br/>
              <w:t>Parameter</w:t>
            </w:r>
          </w:p>
        </w:tc>
        <w:tc>
          <w:tcPr>
            <w:tcW w:w="2375" w:type="dxa"/>
            <w:tcMar>
              <w:top w:w="0" w:type="dxa"/>
              <w:left w:w="108" w:type="dxa"/>
              <w:bottom w:w="0" w:type="dxa"/>
              <w:right w:w="108" w:type="dxa"/>
            </w:tcMar>
            <w:vAlign w:val="center"/>
            <w:hideMark/>
          </w:tcPr>
          <w:p w14:paraId="66177A42" w14:textId="77777777" w:rsidR="00562D03" w:rsidRPr="00562D03" w:rsidRDefault="00562D03" w:rsidP="001729CE">
            <w:pPr>
              <w:jc w:val="center"/>
              <w:rPr>
                <w:rFonts w:eastAsia="Calibri"/>
                <w:b/>
                <w:sz w:val="22"/>
                <w:szCs w:val="22"/>
              </w:rPr>
            </w:pPr>
            <w:r w:rsidRPr="00562D03">
              <w:rPr>
                <w:b/>
                <w:sz w:val="22"/>
                <w:szCs w:val="22"/>
              </w:rPr>
              <w:t>2nd Trimester</w:t>
            </w:r>
            <w:r w:rsidRPr="00562D03">
              <w:rPr>
                <w:b/>
                <w:sz w:val="22"/>
                <w:szCs w:val="22"/>
              </w:rPr>
              <w:br/>
              <w:t>n = 17*</w:t>
            </w:r>
          </w:p>
        </w:tc>
        <w:tc>
          <w:tcPr>
            <w:tcW w:w="2303" w:type="dxa"/>
            <w:tcMar>
              <w:top w:w="0" w:type="dxa"/>
              <w:left w:w="108" w:type="dxa"/>
              <w:bottom w:w="0" w:type="dxa"/>
              <w:right w:w="108" w:type="dxa"/>
            </w:tcMar>
            <w:vAlign w:val="center"/>
            <w:hideMark/>
          </w:tcPr>
          <w:p w14:paraId="2DBA33EF" w14:textId="77777777" w:rsidR="00562D03" w:rsidRPr="00562D03" w:rsidRDefault="00562D03" w:rsidP="001729CE">
            <w:pPr>
              <w:jc w:val="center"/>
              <w:rPr>
                <w:rFonts w:eastAsia="Calibri"/>
                <w:b/>
                <w:sz w:val="22"/>
                <w:szCs w:val="22"/>
              </w:rPr>
            </w:pPr>
            <w:r w:rsidRPr="00562D03">
              <w:rPr>
                <w:b/>
                <w:sz w:val="22"/>
                <w:szCs w:val="22"/>
              </w:rPr>
              <w:t>3rd Trimester</w:t>
            </w:r>
            <w:r w:rsidRPr="00562D03">
              <w:rPr>
                <w:b/>
                <w:sz w:val="22"/>
                <w:szCs w:val="22"/>
              </w:rPr>
              <w:br/>
              <w:t>n = 23</w:t>
            </w:r>
          </w:p>
        </w:tc>
        <w:tc>
          <w:tcPr>
            <w:tcW w:w="2029" w:type="dxa"/>
            <w:tcMar>
              <w:top w:w="0" w:type="dxa"/>
              <w:left w:w="108" w:type="dxa"/>
              <w:bottom w:w="0" w:type="dxa"/>
              <w:right w:w="108" w:type="dxa"/>
            </w:tcMar>
            <w:vAlign w:val="center"/>
            <w:hideMark/>
          </w:tcPr>
          <w:p w14:paraId="5B671843" w14:textId="77777777" w:rsidR="00562D03" w:rsidRPr="00562D03" w:rsidRDefault="00562D03" w:rsidP="001729CE">
            <w:pPr>
              <w:jc w:val="center"/>
              <w:rPr>
                <w:rFonts w:eastAsia="Calibri"/>
                <w:b/>
                <w:sz w:val="22"/>
                <w:szCs w:val="22"/>
              </w:rPr>
            </w:pPr>
            <w:r w:rsidRPr="00562D03">
              <w:rPr>
                <w:b/>
                <w:sz w:val="22"/>
                <w:szCs w:val="22"/>
              </w:rPr>
              <w:t>Postpartum</w:t>
            </w:r>
            <w:r w:rsidRPr="00562D03">
              <w:rPr>
                <w:b/>
                <w:sz w:val="22"/>
                <w:szCs w:val="22"/>
              </w:rPr>
              <w:br/>
              <w:t>n = 17**</w:t>
            </w:r>
          </w:p>
        </w:tc>
      </w:tr>
      <w:tr w:rsidR="00562D03" w:rsidRPr="00420041" w14:paraId="3A188D90" w14:textId="77777777" w:rsidTr="001729CE">
        <w:trPr>
          <w:trHeight w:val="255"/>
        </w:trPr>
        <w:tc>
          <w:tcPr>
            <w:tcW w:w="2869" w:type="dxa"/>
            <w:noWrap/>
            <w:tcMar>
              <w:top w:w="0" w:type="dxa"/>
              <w:left w:w="108" w:type="dxa"/>
              <w:bottom w:w="0" w:type="dxa"/>
              <w:right w:w="108" w:type="dxa"/>
            </w:tcMar>
            <w:vAlign w:val="center"/>
            <w:hideMark/>
          </w:tcPr>
          <w:p w14:paraId="221CD46B" w14:textId="77777777" w:rsidR="00562D03" w:rsidRPr="00562D03" w:rsidRDefault="00562D03" w:rsidP="001729CE">
            <w:pPr>
              <w:autoSpaceDE w:val="0"/>
              <w:autoSpaceDN w:val="0"/>
              <w:adjustRightInd w:val="0"/>
              <w:jc w:val="center"/>
              <w:rPr>
                <w:rFonts w:eastAsia="Calibri"/>
                <w:sz w:val="22"/>
                <w:szCs w:val="22"/>
              </w:rPr>
            </w:pPr>
            <w:r w:rsidRPr="00562D03">
              <w:rPr>
                <w:sz w:val="22"/>
                <w:szCs w:val="22"/>
              </w:rPr>
              <w:t>AUC</w:t>
            </w:r>
            <w:r w:rsidRPr="00562D03">
              <w:rPr>
                <w:sz w:val="22"/>
                <w:szCs w:val="22"/>
                <w:vertAlign w:val="subscript"/>
              </w:rPr>
              <w:t>0-12</w:t>
            </w:r>
            <w:r w:rsidRPr="00562D03">
              <w:rPr>
                <w:sz w:val="22"/>
                <w:szCs w:val="22"/>
              </w:rPr>
              <w:t xml:space="preserve"> μg</w:t>
            </w:r>
            <w:r w:rsidR="0023490A">
              <w:rPr>
                <w:szCs w:val="20"/>
              </w:rPr>
              <w:sym w:font="Symbol" w:char="F0B7"/>
            </w:r>
            <w:r w:rsidRPr="00562D03">
              <w:rPr>
                <w:sz w:val="22"/>
                <w:szCs w:val="22"/>
              </w:rPr>
              <w:t>hr/mL</w:t>
            </w:r>
          </w:p>
        </w:tc>
        <w:tc>
          <w:tcPr>
            <w:tcW w:w="2375" w:type="dxa"/>
            <w:noWrap/>
            <w:tcMar>
              <w:top w:w="0" w:type="dxa"/>
              <w:left w:w="108" w:type="dxa"/>
              <w:bottom w:w="0" w:type="dxa"/>
              <w:right w:w="108" w:type="dxa"/>
            </w:tcMar>
            <w:vAlign w:val="center"/>
            <w:hideMark/>
          </w:tcPr>
          <w:p w14:paraId="470DCF2F" w14:textId="77777777" w:rsidR="00562D03" w:rsidRPr="00562D03" w:rsidRDefault="00562D03" w:rsidP="001729CE">
            <w:pPr>
              <w:jc w:val="center"/>
              <w:rPr>
                <w:rFonts w:eastAsia="Calibri"/>
                <w:sz w:val="22"/>
                <w:szCs w:val="22"/>
              </w:rPr>
            </w:pPr>
            <w:r w:rsidRPr="00562D03">
              <w:rPr>
                <w:sz w:val="22"/>
                <w:szCs w:val="22"/>
              </w:rPr>
              <w:t>68.7 (20.6)</w:t>
            </w:r>
          </w:p>
        </w:tc>
        <w:tc>
          <w:tcPr>
            <w:tcW w:w="2303" w:type="dxa"/>
            <w:noWrap/>
            <w:tcMar>
              <w:top w:w="0" w:type="dxa"/>
              <w:left w:w="108" w:type="dxa"/>
              <w:bottom w:w="0" w:type="dxa"/>
              <w:right w:w="108" w:type="dxa"/>
            </w:tcMar>
            <w:vAlign w:val="center"/>
            <w:hideMark/>
          </w:tcPr>
          <w:p w14:paraId="77D20E65" w14:textId="77777777" w:rsidR="00562D03" w:rsidRPr="00562D03" w:rsidRDefault="00562D03" w:rsidP="001729CE">
            <w:pPr>
              <w:jc w:val="center"/>
              <w:rPr>
                <w:rFonts w:eastAsia="Calibri"/>
                <w:sz w:val="22"/>
                <w:szCs w:val="22"/>
              </w:rPr>
            </w:pPr>
            <w:r w:rsidRPr="00562D03">
              <w:rPr>
                <w:sz w:val="22"/>
                <w:szCs w:val="22"/>
              </w:rPr>
              <w:t>61.3 (22.7)</w:t>
            </w:r>
          </w:p>
        </w:tc>
        <w:tc>
          <w:tcPr>
            <w:tcW w:w="2029" w:type="dxa"/>
            <w:noWrap/>
            <w:tcMar>
              <w:top w:w="0" w:type="dxa"/>
              <w:left w:w="108" w:type="dxa"/>
              <w:bottom w:w="0" w:type="dxa"/>
              <w:right w:w="108" w:type="dxa"/>
            </w:tcMar>
            <w:vAlign w:val="center"/>
            <w:hideMark/>
          </w:tcPr>
          <w:p w14:paraId="507F2E1A" w14:textId="77777777" w:rsidR="00562D03" w:rsidRPr="00562D03" w:rsidRDefault="00562D03" w:rsidP="001729CE">
            <w:pPr>
              <w:jc w:val="center"/>
              <w:rPr>
                <w:rFonts w:eastAsia="Calibri"/>
                <w:sz w:val="22"/>
                <w:szCs w:val="22"/>
              </w:rPr>
            </w:pPr>
            <w:r w:rsidRPr="00562D03">
              <w:rPr>
                <w:sz w:val="22"/>
                <w:szCs w:val="22"/>
              </w:rPr>
              <w:t>94.3 (30.3)</w:t>
            </w:r>
          </w:p>
        </w:tc>
      </w:tr>
      <w:tr w:rsidR="00562D03" w:rsidRPr="00420041" w14:paraId="7E2CDEBC" w14:textId="77777777" w:rsidTr="001729CE">
        <w:trPr>
          <w:trHeight w:val="255"/>
        </w:trPr>
        <w:tc>
          <w:tcPr>
            <w:tcW w:w="2869" w:type="dxa"/>
            <w:noWrap/>
            <w:tcMar>
              <w:top w:w="0" w:type="dxa"/>
              <w:left w:w="108" w:type="dxa"/>
              <w:bottom w:w="0" w:type="dxa"/>
              <w:right w:w="108" w:type="dxa"/>
            </w:tcMar>
            <w:vAlign w:val="center"/>
            <w:hideMark/>
          </w:tcPr>
          <w:p w14:paraId="5AFB994A" w14:textId="77777777" w:rsidR="00562D03" w:rsidRPr="00562D03" w:rsidRDefault="00562D03" w:rsidP="001729CE">
            <w:pPr>
              <w:jc w:val="center"/>
              <w:rPr>
                <w:rFonts w:eastAsia="Calibri"/>
                <w:sz w:val="22"/>
                <w:szCs w:val="22"/>
              </w:rPr>
            </w:pPr>
            <w:r w:rsidRPr="00562D03">
              <w:rPr>
                <w:sz w:val="22"/>
                <w:szCs w:val="22"/>
              </w:rPr>
              <w:t>C</w:t>
            </w:r>
            <w:r w:rsidRPr="00562D03">
              <w:rPr>
                <w:sz w:val="22"/>
                <w:szCs w:val="22"/>
                <w:vertAlign w:val="subscript"/>
              </w:rPr>
              <w:t>max</w:t>
            </w:r>
          </w:p>
        </w:tc>
        <w:tc>
          <w:tcPr>
            <w:tcW w:w="2375" w:type="dxa"/>
            <w:noWrap/>
            <w:tcMar>
              <w:top w:w="0" w:type="dxa"/>
              <w:left w:w="108" w:type="dxa"/>
              <w:bottom w:w="0" w:type="dxa"/>
              <w:right w:w="108" w:type="dxa"/>
            </w:tcMar>
            <w:vAlign w:val="center"/>
            <w:hideMark/>
          </w:tcPr>
          <w:p w14:paraId="01348CC5" w14:textId="77777777" w:rsidR="00562D03" w:rsidRPr="00562D03" w:rsidRDefault="00562D03" w:rsidP="001729CE">
            <w:pPr>
              <w:jc w:val="center"/>
              <w:rPr>
                <w:rFonts w:eastAsia="Calibri"/>
                <w:sz w:val="22"/>
                <w:szCs w:val="22"/>
              </w:rPr>
            </w:pPr>
            <w:r w:rsidRPr="00562D03">
              <w:rPr>
                <w:sz w:val="22"/>
                <w:szCs w:val="22"/>
              </w:rPr>
              <w:t>7.9 (21.1)</w:t>
            </w:r>
          </w:p>
        </w:tc>
        <w:tc>
          <w:tcPr>
            <w:tcW w:w="2303" w:type="dxa"/>
            <w:noWrap/>
            <w:tcMar>
              <w:top w:w="0" w:type="dxa"/>
              <w:left w:w="108" w:type="dxa"/>
              <w:bottom w:w="0" w:type="dxa"/>
              <w:right w:w="108" w:type="dxa"/>
            </w:tcMar>
            <w:vAlign w:val="center"/>
            <w:hideMark/>
          </w:tcPr>
          <w:p w14:paraId="58090FB9" w14:textId="77777777" w:rsidR="00562D03" w:rsidRPr="00562D03" w:rsidRDefault="00562D03" w:rsidP="001729CE">
            <w:pPr>
              <w:jc w:val="center"/>
              <w:rPr>
                <w:rFonts w:eastAsia="Calibri"/>
                <w:sz w:val="22"/>
                <w:szCs w:val="22"/>
              </w:rPr>
            </w:pPr>
            <w:r w:rsidRPr="00562D03">
              <w:rPr>
                <w:sz w:val="22"/>
                <w:szCs w:val="22"/>
              </w:rPr>
              <w:t>7.5 (18.7)</w:t>
            </w:r>
          </w:p>
        </w:tc>
        <w:tc>
          <w:tcPr>
            <w:tcW w:w="2029" w:type="dxa"/>
            <w:noWrap/>
            <w:tcMar>
              <w:top w:w="0" w:type="dxa"/>
              <w:left w:w="108" w:type="dxa"/>
              <w:bottom w:w="0" w:type="dxa"/>
              <w:right w:w="108" w:type="dxa"/>
            </w:tcMar>
            <w:vAlign w:val="center"/>
            <w:hideMark/>
          </w:tcPr>
          <w:p w14:paraId="6EAD01D9" w14:textId="77777777" w:rsidR="00562D03" w:rsidRPr="00562D03" w:rsidRDefault="00562D03" w:rsidP="001729CE">
            <w:pPr>
              <w:jc w:val="center"/>
              <w:rPr>
                <w:rFonts w:eastAsia="Calibri"/>
                <w:sz w:val="22"/>
                <w:szCs w:val="22"/>
              </w:rPr>
            </w:pPr>
            <w:r w:rsidRPr="00562D03">
              <w:rPr>
                <w:sz w:val="22"/>
                <w:szCs w:val="22"/>
              </w:rPr>
              <w:t>9.8 (24.3)</w:t>
            </w:r>
          </w:p>
        </w:tc>
      </w:tr>
      <w:tr w:rsidR="00562D03" w:rsidRPr="00420041" w14:paraId="265F7B1A" w14:textId="77777777" w:rsidTr="001729CE">
        <w:trPr>
          <w:trHeight w:val="255"/>
        </w:trPr>
        <w:tc>
          <w:tcPr>
            <w:tcW w:w="2869" w:type="dxa"/>
            <w:noWrap/>
            <w:tcMar>
              <w:top w:w="0" w:type="dxa"/>
              <w:left w:w="108" w:type="dxa"/>
              <w:bottom w:w="0" w:type="dxa"/>
              <w:right w:w="108" w:type="dxa"/>
            </w:tcMar>
            <w:vAlign w:val="center"/>
            <w:hideMark/>
          </w:tcPr>
          <w:p w14:paraId="1A69CAB6" w14:textId="77777777" w:rsidR="00562D03" w:rsidRPr="00562D03" w:rsidRDefault="00562D03" w:rsidP="001729CE">
            <w:pPr>
              <w:jc w:val="center"/>
              <w:rPr>
                <w:rFonts w:eastAsia="Calibri"/>
                <w:sz w:val="22"/>
                <w:szCs w:val="22"/>
              </w:rPr>
            </w:pPr>
            <w:r w:rsidRPr="00562D03">
              <w:rPr>
                <w:sz w:val="22"/>
                <w:szCs w:val="22"/>
              </w:rPr>
              <w:t>C</w:t>
            </w:r>
            <w:r w:rsidRPr="00562D03">
              <w:rPr>
                <w:sz w:val="22"/>
                <w:szCs w:val="22"/>
                <w:vertAlign w:val="subscript"/>
              </w:rPr>
              <w:t>predose</w:t>
            </w:r>
            <w:r w:rsidRPr="00562D03">
              <w:rPr>
                <w:sz w:val="22"/>
                <w:szCs w:val="22"/>
              </w:rPr>
              <w:t xml:space="preserve"> μg /mL</w:t>
            </w:r>
          </w:p>
        </w:tc>
        <w:tc>
          <w:tcPr>
            <w:tcW w:w="2375" w:type="dxa"/>
            <w:noWrap/>
            <w:tcMar>
              <w:top w:w="0" w:type="dxa"/>
              <w:left w:w="108" w:type="dxa"/>
              <w:bottom w:w="0" w:type="dxa"/>
              <w:right w:w="108" w:type="dxa"/>
            </w:tcMar>
            <w:vAlign w:val="center"/>
            <w:hideMark/>
          </w:tcPr>
          <w:p w14:paraId="679257B2" w14:textId="77777777" w:rsidR="00562D03" w:rsidRPr="00562D03" w:rsidRDefault="00562D03" w:rsidP="001729CE">
            <w:pPr>
              <w:jc w:val="center"/>
              <w:rPr>
                <w:rFonts w:eastAsia="Calibri"/>
                <w:sz w:val="22"/>
                <w:szCs w:val="22"/>
              </w:rPr>
            </w:pPr>
            <w:r w:rsidRPr="00562D03">
              <w:rPr>
                <w:sz w:val="22"/>
                <w:szCs w:val="22"/>
              </w:rPr>
              <w:t>4.7 (25.2)</w:t>
            </w:r>
          </w:p>
        </w:tc>
        <w:tc>
          <w:tcPr>
            <w:tcW w:w="2303" w:type="dxa"/>
            <w:noWrap/>
            <w:tcMar>
              <w:top w:w="0" w:type="dxa"/>
              <w:left w:w="108" w:type="dxa"/>
              <w:bottom w:w="0" w:type="dxa"/>
              <w:right w:w="108" w:type="dxa"/>
            </w:tcMar>
            <w:vAlign w:val="center"/>
            <w:hideMark/>
          </w:tcPr>
          <w:p w14:paraId="743B2E9D" w14:textId="77777777" w:rsidR="00562D03" w:rsidRPr="00562D03" w:rsidRDefault="00562D03" w:rsidP="001729CE">
            <w:pPr>
              <w:jc w:val="center"/>
              <w:rPr>
                <w:rFonts w:eastAsia="Calibri"/>
                <w:sz w:val="22"/>
                <w:szCs w:val="22"/>
              </w:rPr>
            </w:pPr>
            <w:r w:rsidRPr="00562D03">
              <w:rPr>
                <w:sz w:val="22"/>
                <w:szCs w:val="22"/>
              </w:rPr>
              <w:t>4.3 (39.0)</w:t>
            </w:r>
          </w:p>
        </w:tc>
        <w:tc>
          <w:tcPr>
            <w:tcW w:w="2029" w:type="dxa"/>
            <w:noWrap/>
            <w:tcMar>
              <w:top w:w="0" w:type="dxa"/>
              <w:left w:w="108" w:type="dxa"/>
              <w:bottom w:w="0" w:type="dxa"/>
              <w:right w:w="108" w:type="dxa"/>
            </w:tcMar>
            <w:vAlign w:val="center"/>
            <w:hideMark/>
          </w:tcPr>
          <w:p w14:paraId="1D782CE8" w14:textId="77777777" w:rsidR="00562D03" w:rsidRPr="00562D03" w:rsidRDefault="00562D03" w:rsidP="001729CE">
            <w:pPr>
              <w:jc w:val="center"/>
              <w:rPr>
                <w:rFonts w:eastAsia="Calibri"/>
                <w:sz w:val="22"/>
                <w:szCs w:val="22"/>
              </w:rPr>
            </w:pPr>
            <w:r w:rsidRPr="00562D03">
              <w:rPr>
                <w:sz w:val="22"/>
                <w:szCs w:val="22"/>
              </w:rPr>
              <w:t>6.5 (40.4)</w:t>
            </w:r>
          </w:p>
        </w:tc>
      </w:tr>
      <w:tr w:rsidR="00562D03" w:rsidRPr="00420041" w14:paraId="4DEF337B" w14:textId="77777777" w:rsidTr="001729CE">
        <w:trPr>
          <w:trHeight w:val="255"/>
        </w:trPr>
        <w:tc>
          <w:tcPr>
            <w:tcW w:w="9576" w:type="dxa"/>
            <w:gridSpan w:val="4"/>
            <w:noWrap/>
            <w:tcMar>
              <w:top w:w="0" w:type="dxa"/>
              <w:left w:w="108" w:type="dxa"/>
              <w:bottom w:w="0" w:type="dxa"/>
              <w:right w:w="108" w:type="dxa"/>
            </w:tcMar>
            <w:vAlign w:val="center"/>
          </w:tcPr>
          <w:p w14:paraId="38025E7A" w14:textId="77777777" w:rsidR="00562D03" w:rsidRPr="00562D03" w:rsidRDefault="00562D03" w:rsidP="00751C7E">
            <w:pPr>
              <w:rPr>
                <w:sz w:val="22"/>
                <w:szCs w:val="22"/>
              </w:rPr>
            </w:pPr>
            <w:r w:rsidRPr="00562D03">
              <w:rPr>
                <w:sz w:val="22"/>
                <w:szCs w:val="22"/>
              </w:rPr>
              <w:t>*   n = 18 for C</w:t>
            </w:r>
            <w:r w:rsidRPr="00562D03">
              <w:rPr>
                <w:sz w:val="22"/>
                <w:szCs w:val="22"/>
                <w:vertAlign w:val="subscript"/>
              </w:rPr>
              <w:t>max</w:t>
            </w:r>
            <w:r w:rsidR="00751C7E">
              <w:rPr>
                <w:sz w:val="22"/>
                <w:szCs w:val="22"/>
                <w:vertAlign w:val="subscript"/>
              </w:rPr>
              <w:t xml:space="preserve">                  </w:t>
            </w:r>
            <w:r w:rsidRPr="00562D03">
              <w:rPr>
                <w:sz w:val="22"/>
                <w:szCs w:val="22"/>
              </w:rPr>
              <w:t>** n = 16 for C</w:t>
            </w:r>
            <w:r w:rsidRPr="00562D03">
              <w:rPr>
                <w:sz w:val="22"/>
                <w:szCs w:val="22"/>
                <w:vertAlign w:val="subscript"/>
              </w:rPr>
              <w:t>predose</w:t>
            </w:r>
          </w:p>
        </w:tc>
      </w:tr>
    </w:tbl>
    <w:p w14:paraId="6C96C242" w14:textId="77777777" w:rsidR="008261FE" w:rsidRDefault="008261FE" w:rsidP="00751C7E">
      <w:pPr>
        <w:pStyle w:val="EMEAHeadingItalic"/>
        <w:spacing w:beforeLines="0" w:before="0" w:afterLines="0" w:after="0"/>
        <w:rPr>
          <w:lang w:val="en-GB"/>
        </w:rPr>
      </w:pPr>
    </w:p>
    <w:p w14:paraId="6EA7503D" w14:textId="77777777" w:rsidR="00D7303D" w:rsidRDefault="00D7303D" w:rsidP="00751C7E">
      <w:pPr>
        <w:pStyle w:val="EMEAHeadingItalic"/>
        <w:spacing w:beforeLines="0" w:before="0" w:afterLines="0" w:after="0"/>
        <w:rPr>
          <w:lang w:val="en-GB"/>
        </w:rPr>
      </w:pPr>
      <w:r w:rsidRPr="00342F7C">
        <w:rPr>
          <w:lang w:val="en-GB"/>
        </w:rPr>
        <w:t xml:space="preserve">Renal Insufficiency  </w:t>
      </w:r>
    </w:p>
    <w:p w14:paraId="23BE3484" w14:textId="77777777" w:rsidR="00D7303D" w:rsidRDefault="00D7303D">
      <w:pPr>
        <w:pStyle w:val="EMEANormal"/>
        <w:rPr>
          <w:lang w:val="en-GB"/>
        </w:rPr>
      </w:pPr>
      <w:r w:rsidRPr="00342F7C">
        <w:rPr>
          <w:lang w:val="en-GB"/>
        </w:rPr>
        <w:t>Kaletra pharmacokinetics have not been studied in patients with renal insufficiency; however, since the renal clearance of lopinavir is negligible, a decrease in total body clearance is not expected in patients with renal insufficiency.</w:t>
      </w:r>
    </w:p>
    <w:p w14:paraId="52F16546" w14:textId="77777777" w:rsidR="00751C7E" w:rsidRPr="00342F7C" w:rsidRDefault="00751C7E">
      <w:pPr>
        <w:pStyle w:val="EMEANormal"/>
        <w:rPr>
          <w:lang w:val="en-GB"/>
        </w:rPr>
      </w:pPr>
    </w:p>
    <w:p w14:paraId="11C7068C" w14:textId="77777777" w:rsidR="00D7303D" w:rsidRDefault="00D7303D" w:rsidP="00751C7E">
      <w:pPr>
        <w:pStyle w:val="EMEAHeadingItalic"/>
        <w:spacing w:beforeLines="0" w:before="0" w:afterLines="0" w:after="0"/>
        <w:rPr>
          <w:lang w:val="en-GB"/>
        </w:rPr>
      </w:pPr>
      <w:r w:rsidRPr="00342F7C">
        <w:rPr>
          <w:lang w:val="en-GB"/>
        </w:rPr>
        <w:t>Hepatic Insufficiency</w:t>
      </w:r>
    </w:p>
    <w:p w14:paraId="1B52F3B7" w14:textId="77777777" w:rsidR="00D7303D" w:rsidRDefault="00D7303D">
      <w:pPr>
        <w:pStyle w:val="EMEANormal"/>
        <w:rPr>
          <w:lang w:val="en-GB"/>
        </w:rPr>
      </w:pPr>
      <w:r w:rsidRPr="00342F7C">
        <w:rPr>
          <w:lang w:val="en-GB"/>
        </w:rPr>
        <w:t>The steady state pharmacokinetic parameters of lopinavir in HIV-infected patients with mild to moderate hepatic impairment were compared with those of HIV-infected patients with normal hepatic function in a multiple dose study with lopinavir/ritonavir 400/100 mg twice daily.  A limited increase in total lopinavir concentrations of approximately 30% has been observed which is not expected to be of clinical relevance (see section 4.2).</w:t>
      </w:r>
    </w:p>
    <w:p w14:paraId="585C7890" w14:textId="77777777" w:rsidR="00751C7E" w:rsidRPr="00342F7C" w:rsidRDefault="00751C7E">
      <w:pPr>
        <w:pStyle w:val="EMEANormal"/>
        <w:rPr>
          <w:lang w:val="en-GB"/>
        </w:rPr>
      </w:pPr>
    </w:p>
    <w:p w14:paraId="6E8A1848" w14:textId="77777777" w:rsidR="00D7303D" w:rsidRDefault="00D7303D" w:rsidP="00C33D83">
      <w:pPr>
        <w:pStyle w:val="EMEAHeading2SPC"/>
        <w:keepNext/>
        <w:spacing w:beforeLines="0" w:before="0" w:afterLines="0" w:after="0"/>
        <w:rPr>
          <w:rFonts w:ascii="Times New Roman" w:hAnsi="Times New Roman"/>
          <w:lang w:val="en-GB"/>
        </w:rPr>
      </w:pPr>
      <w:r w:rsidRPr="00342F7C">
        <w:rPr>
          <w:rFonts w:ascii="Times New Roman" w:hAnsi="Times New Roman"/>
          <w:lang w:val="en-GB"/>
        </w:rPr>
        <w:t>5.3</w:t>
      </w:r>
      <w:r w:rsidRPr="00342F7C">
        <w:rPr>
          <w:rFonts w:ascii="Times New Roman" w:hAnsi="Times New Roman"/>
          <w:lang w:val="en-GB"/>
        </w:rPr>
        <w:tab/>
        <w:t>Preclinical safety data</w:t>
      </w:r>
    </w:p>
    <w:p w14:paraId="42D2788B" w14:textId="77777777" w:rsidR="00751C7E" w:rsidRPr="00751C7E" w:rsidRDefault="00751C7E" w:rsidP="00C33D83">
      <w:pPr>
        <w:pStyle w:val="EMEANormal"/>
        <w:keepNext/>
        <w:rPr>
          <w:lang w:val="en-GB"/>
        </w:rPr>
      </w:pPr>
    </w:p>
    <w:p w14:paraId="1F67460A" w14:textId="77777777" w:rsidR="00D7303D" w:rsidRPr="00342F7C" w:rsidRDefault="00D7303D" w:rsidP="00C33D83">
      <w:pPr>
        <w:pStyle w:val="EMEANormal"/>
        <w:keepNext/>
        <w:rPr>
          <w:snapToGrid w:val="0"/>
          <w:lang w:val="en-GB"/>
        </w:rPr>
      </w:pPr>
      <w:r w:rsidRPr="00342F7C">
        <w:rPr>
          <w:snapToGrid w:val="0"/>
          <w:lang w:val="en-GB"/>
        </w:rPr>
        <w:t xml:space="preserve">Repeat-dose toxicity studies in rodents and dogs identified major target organs as the liver, kidney, thyroid, spleen and circulating red blood cells.  Hepatic changes indicated cellular swelling with focal degeneration.  While exposure eliciting these changes were comparable to or below human clinical exposure, dosages in animals were over 6-fold the recommended clinical dose.  Mild renal tubular degeneration was confined to mice exposed with at least twice the recommended human exposure; the kidney was unaffected in rats and dogs.  Reduced serum thyroxin led to an increased release of TSH with resultant follicular cell hypertrophy in the thyroid glands of rats.  These changes were reversible with withdrawal of the active substance and were absent in mice and dogs.  Coombs-negative anisocytosis and poikilocytosis were observed in rats, but not in mice or dogs.  Enlarged spleens with histiocytosis were seen in rats but not other species.  Serum cholesterol was elevated in rodents but not dogs, while triglycerides were elevated only in mice. </w:t>
      </w:r>
    </w:p>
    <w:p w14:paraId="57F6A36E" w14:textId="77777777" w:rsidR="00D7303D" w:rsidRPr="00342F7C" w:rsidRDefault="00D7303D">
      <w:pPr>
        <w:pStyle w:val="EMEANormal"/>
        <w:rPr>
          <w:snapToGrid w:val="0"/>
          <w:lang w:val="en-GB"/>
        </w:rPr>
      </w:pPr>
    </w:p>
    <w:p w14:paraId="2BE89CD6" w14:textId="77777777" w:rsidR="00D7303D" w:rsidRPr="00342F7C" w:rsidRDefault="00D7303D">
      <w:pPr>
        <w:pStyle w:val="EMEANormal"/>
        <w:rPr>
          <w:lang w:val="en-GB"/>
        </w:rPr>
      </w:pPr>
      <w:r w:rsidRPr="00342F7C">
        <w:rPr>
          <w:lang w:val="en-GB"/>
        </w:rPr>
        <w:t xml:space="preserve">During </w:t>
      </w:r>
      <w:r w:rsidRPr="00342F7C">
        <w:rPr>
          <w:i/>
          <w:iCs/>
          <w:lang w:val="en-GB"/>
        </w:rPr>
        <w:t>in vitro</w:t>
      </w:r>
      <w:r w:rsidRPr="00342F7C">
        <w:rPr>
          <w:lang w:val="en-GB"/>
        </w:rPr>
        <w:t xml:space="preserve"> studies, cloned human cardiac potassium channels (HERG) were inhibited by 30% at the highest concentrations of lopinavir/ritonavir tested, corresponding to a lopinavir exposure 7-fold total and 15-fold free peak plasma levels achieved in humans at the maximum recommended therapeutic dose.  In contrast, similar concentrations of lopinavir/ritonavir demonstrated no repolarisation delay in the canine cardiac Purkinje fibres.  Lower concentrations of lopinavir/ritonavir did not produce significant potassium (HERG) current blockade.  Tissue distribution studies conducted in the rat did not suggest significant cardiac retention of the active substance; 72-hour AUC in heart was approximately 50% of measured plasma AUC.  Therefore, it is reasonable to expect that cardiac lopinavir levels would not be significantly higher than plasma levels.</w:t>
      </w:r>
    </w:p>
    <w:p w14:paraId="15D58A79" w14:textId="77777777" w:rsidR="00D7303D" w:rsidRPr="00342F7C" w:rsidRDefault="00D7303D">
      <w:pPr>
        <w:pStyle w:val="EMEANormal"/>
        <w:rPr>
          <w:snapToGrid w:val="0"/>
          <w:lang w:val="en-GB"/>
        </w:rPr>
      </w:pPr>
    </w:p>
    <w:p w14:paraId="3C2DF76F" w14:textId="77777777" w:rsidR="00D7303D" w:rsidRPr="00342F7C" w:rsidRDefault="00D7303D">
      <w:pPr>
        <w:pStyle w:val="EMEANormal"/>
        <w:rPr>
          <w:snapToGrid w:val="0"/>
          <w:lang w:val="en-GB"/>
        </w:rPr>
      </w:pPr>
      <w:r w:rsidRPr="00342F7C">
        <w:rPr>
          <w:snapToGrid w:val="0"/>
          <w:lang w:val="en-GB"/>
        </w:rPr>
        <w:t xml:space="preserve">In dogs, prominent U waves on the electrocardiogram have been observed associated with prolonged PR interval and bradycardia.  These effects have been assumed to be caused by electrolyte disturbance.  </w:t>
      </w:r>
    </w:p>
    <w:p w14:paraId="4A7A2EFF" w14:textId="77777777" w:rsidR="00D7303D" w:rsidRPr="00342F7C" w:rsidRDefault="00D7303D">
      <w:pPr>
        <w:pStyle w:val="EMEANormal"/>
        <w:rPr>
          <w:snapToGrid w:val="0"/>
          <w:lang w:val="en-GB"/>
        </w:rPr>
      </w:pPr>
    </w:p>
    <w:p w14:paraId="4C69C607" w14:textId="77777777" w:rsidR="00D7303D" w:rsidRPr="00342F7C" w:rsidRDefault="00D7303D">
      <w:pPr>
        <w:pStyle w:val="EMEANormal"/>
        <w:rPr>
          <w:snapToGrid w:val="0"/>
          <w:lang w:val="en-GB"/>
        </w:rPr>
      </w:pPr>
      <w:r w:rsidRPr="00342F7C">
        <w:rPr>
          <w:snapToGrid w:val="0"/>
          <w:lang w:val="en-GB"/>
        </w:rPr>
        <w:t xml:space="preserve">The clinical relevance of these preclinical data is unknown, however, the potential cardiac effects of this product in humans cannot be ruled out (see also sections 4.4 and 4.8). </w:t>
      </w:r>
    </w:p>
    <w:p w14:paraId="10DEC8C5" w14:textId="77777777" w:rsidR="00D7303D" w:rsidRPr="00342F7C" w:rsidRDefault="00D7303D">
      <w:pPr>
        <w:pStyle w:val="EMEANormal"/>
        <w:rPr>
          <w:lang w:val="en-GB"/>
        </w:rPr>
      </w:pPr>
    </w:p>
    <w:p w14:paraId="4DC8F952" w14:textId="77777777" w:rsidR="00D7303D" w:rsidRPr="00342F7C" w:rsidRDefault="00D7303D">
      <w:pPr>
        <w:pStyle w:val="EMEANormal"/>
        <w:rPr>
          <w:snapToGrid w:val="0"/>
          <w:lang w:val="en-GB"/>
        </w:rPr>
      </w:pPr>
      <w:r w:rsidRPr="00342F7C">
        <w:rPr>
          <w:snapToGrid w:val="0"/>
          <w:lang w:val="en-GB"/>
        </w:rPr>
        <w:t xml:space="preserve">In rats, embryofoetotoxicity (pregnancy loss, decreased foetal viability, decreased foetal body weights, increased frequency of skeletal variations) and postnatal developmental toxicity (decreased survival of pups) was observed at maternally toxic dosages.  The systemic exposure to lopinavir/ritonavir at the maternal and developmental toxic dosages was lower than the intended therapeutic exposure in humans.  </w:t>
      </w:r>
    </w:p>
    <w:p w14:paraId="32118AC4" w14:textId="77777777" w:rsidR="00D7303D" w:rsidRPr="00342F7C" w:rsidRDefault="00D7303D">
      <w:pPr>
        <w:pStyle w:val="EMEANormal"/>
        <w:rPr>
          <w:snapToGrid w:val="0"/>
          <w:lang w:val="en-GB"/>
        </w:rPr>
      </w:pPr>
    </w:p>
    <w:p w14:paraId="66056215" w14:textId="77777777" w:rsidR="00D7303D" w:rsidRPr="00342F7C" w:rsidRDefault="00D7303D">
      <w:pPr>
        <w:pStyle w:val="EMEANormal"/>
        <w:rPr>
          <w:snapToGrid w:val="0"/>
          <w:lang w:val="en-GB"/>
        </w:rPr>
      </w:pPr>
      <w:r w:rsidRPr="00342F7C">
        <w:rPr>
          <w:snapToGrid w:val="0"/>
          <w:lang w:val="en-GB"/>
        </w:rPr>
        <w:t xml:space="preserve">Long-term carcinogenicity studies of lopinavir/ritonavir in mice revealed a nongenotoxic, mitogenic induction of liver tumours, generally considered to have little relevance to human risk.  </w:t>
      </w:r>
    </w:p>
    <w:p w14:paraId="7790BA82" w14:textId="77777777" w:rsidR="00D7303D" w:rsidRPr="00342F7C" w:rsidRDefault="00D7303D">
      <w:pPr>
        <w:pStyle w:val="EMEANormal"/>
        <w:rPr>
          <w:snapToGrid w:val="0"/>
          <w:lang w:val="en-GB"/>
        </w:rPr>
      </w:pPr>
    </w:p>
    <w:p w14:paraId="0650093D" w14:textId="77777777" w:rsidR="00D7303D" w:rsidRDefault="00D7303D">
      <w:pPr>
        <w:pStyle w:val="EMEANormal"/>
        <w:rPr>
          <w:snapToGrid w:val="0"/>
          <w:lang w:val="en-GB"/>
        </w:rPr>
      </w:pPr>
      <w:r w:rsidRPr="00342F7C">
        <w:rPr>
          <w:snapToGrid w:val="0"/>
          <w:lang w:val="en-GB"/>
        </w:rPr>
        <w:t xml:space="preserve">Carcinogenicity studies in rats revealed no tumourigenic findings.  Lopinavir/ritonavir was not found to be mutagenic or clastogenic in a battery of </w:t>
      </w:r>
      <w:r w:rsidRPr="00342F7C">
        <w:rPr>
          <w:i/>
          <w:snapToGrid w:val="0"/>
          <w:lang w:val="en-GB"/>
        </w:rPr>
        <w:t>in vitro</w:t>
      </w:r>
      <w:r w:rsidRPr="00342F7C">
        <w:rPr>
          <w:snapToGrid w:val="0"/>
          <w:lang w:val="en-GB"/>
        </w:rPr>
        <w:t xml:space="preserve"> and </w:t>
      </w:r>
      <w:r w:rsidRPr="00342F7C">
        <w:rPr>
          <w:i/>
          <w:snapToGrid w:val="0"/>
          <w:lang w:val="en-GB"/>
        </w:rPr>
        <w:t>in vivo</w:t>
      </w:r>
      <w:r w:rsidRPr="00342F7C">
        <w:rPr>
          <w:snapToGrid w:val="0"/>
          <w:lang w:val="en-GB"/>
        </w:rPr>
        <w:t xml:space="preserve"> assays including the Ames bacterial reverse mutation assay, the mouse lymphoma assay, the mouse micronucleus test and chromosomal aberration assays in human lymphocytes.</w:t>
      </w:r>
    </w:p>
    <w:p w14:paraId="477F0DF3" w14:textId="77777777" w:rsidR="00751C7E" w:rsidRDefault="00751C7E">
      <w:pPr>
        <w:pStyle w:val="EMEANormal"/>
        <w:rPr>
          <w:snapToGrid w:val="0"/>
          <w:lang w:val="en-GB"/>
        </w:rPr>
      </w:pPr>
    </w:p>
    <w:p w14:paraId="7047043B" w14:textId="77777777" w:rsidR="005D4938" w:rsidRDefault="005D4938">
      <w:pPr>
        <w:pStyle w:val="EMEANormal"/>
        <w:rPr>
          <w:snapToGrid w:val="0"/>
          <w:lang w:val="en-GB"/>
        </w:rPr>
      </w:pPr>
    </w:p>
    <w:p w14:paraId="6F7A4D48" w14:textId="77777777" w:rsidR="00D7303D" w:rsidRPr="00793515" w:rsidRDefault="00D7303D" w:rsidP="00751C7E">
      <w:pPr>
        <w:pStyle w:val="EMEAHeading1"/>
        <w:spacing w:beforeLines="0" w:before="0" w:afterLines="0" w:after="0"/>
        <w:rPr>
          <w:rFonts w:ascii="Times New Roman" w:hAnsi="Times New Roman"/>
          <w:b w:val="0"/>
          <w:lang w:val="en-GB"/>
        </w:rPr>
      </w:pPr>
      <w:r w:rsidRPr="00342F7C">
        <w:rPr>
          <w:rFonts w:ascii="Times New Roman" w:hAnsi="Times New Roman"/>
          <w:lang w:val="en-GB"/>
        </w:rPr>
        <w:t>6.</w:t>
      </w:r>
      <w:r w:rsidRPr="00342F7C">
        <w:rPr>
          <w:rFonts w:ascii="Times New Roman" w:hAnsi="Times New Roman"/>
          <w:lang w:val="en-GB"/>
        </w:rPr>
        <w:tab/>
        <w:t>Pharmaceutical particulars</w:t>
      </w:r>
    </w:p>
    <w:p w14:paraId="41F3BB1E" w14:textId="77777777" w:rsidR="00751C7E" w:rsidRPr="00751C7E" w:rsidRDefault="00751C7E" w:rsidP="00751C7E">
      <w:pPr>
        <w:pStyle w:val="EMEANormal"/>
        <w:rPr>
          <w:lang w:val="en-GB"/>
        </w:rPr>
      </w:pPr>
    </w:p>
    <w:p w14:paraId="3E5E4065" w14:textId="77777777" w:rsidR="00D7303D" w:rsidRDefault="00266A4D" w:rsidP="00751C7E">
      <w:pPr>
        <w:pStyle w:val="EMEAHeading2SPC"/>
        <w:spacing w:beforeLines="0" w:before="0" w:afterLines="0" w:after="0"/>
        <w:rPr>
          <w:rFonts w:ascii="Times New Roman" w:hAnsi="Times New Roman"/>
          <w:lang w:val="en-GB"/>
        </w:rPr>
      </w:pPr>
      <w:r>
        <w:rPr>
          <w:rFonts w:ascii="Times New Roman" w:hAnsi="Times New Roman"/>
          <w:lang w:val="en-GB"/>
        </w:rPr>
        <w:t>6.1</w:t>
      </w:r>
      <w:r w:rsidR="00D7303D" w:rsidRPr="00342F7C">
        <w:rPr>
          <w:rFonts w:ascii="Times New Roman" w:hAnsi="Times New Roman"/>
          <w:lang w:val="en-GB"/>
        </w:rPr>
        <w:tab/>
        <w:t>List of excipients</w:t>
      </w:r>
    </w:p>
    <w:p w14:paraId="40D93C02" w14:textId="77777777" w:rsidR="00751C7E" w:rsidRPr="00751C7E" w:rsidRDefault="00751C7E" w:rsidP="00751C7E">
      <w:pPr>
        <w:pStyle w:val="EMEANormal"/>
        <w:rPr>
          <w:lang w:val="en-GB"/>
        </w:rPr>
      </w:pPr>
    </w:p>
    <w:p w14:paraId="68DFDFFB" w14:textId="77777777" w:rsidR="00D7303D" w:rsidRPr="00342F7C" w:rsidRDefault="00D7303D">
      <w:pPr>
        <w:pStyle w:val="EMEANormal"/>
        <w:rPr>
          <w:lang w:val="en-GB"/>
        </w:rPr>
      </w:pPr>
      <w:r w:rsidRPr="00342F7C">
        <w:rPr>
          <w:u w:val="single"/>
          <w:lang w:val="en-GB"/>
        </w:rPr>
        <w:t>Tablet contents</w:t>
      </w:r>
      <w:r w:rsidRPr="00342F7C">
        <w:rPr>
          <w:lang w:val="en-GB"/>
        </w:rPr>
        <w:t xml:space="preserve">: </w:t>
      </w:r>
    </w:p>
    <w:p w14:paraId="6FA0966B" w14:textId="77777777" w:rsidR="00D7303D" w:rsidRPr="00342F7C" w:rsidRDefault="00D7303D">
      <w:pPr>
        <w:pStyle w:val="EMEANormal"/>
        <w:rPr>
          <w:snapToGrid w:val="0"/>
          <w:lang w:val="en-GB"/>
        </w:rPr>
      </w:pPr>
      <w:r w:rsidRPr="00342F7C">
        <w:rPr>
          <w:snapToGrid w:val="0"/>
          <w:lang w:val="en-GB"/>
        </w:rPr>
        <w:t>Copovidone</w:t>
      </w:r>
    </w:p>
    <w:p w14:paraId="7EB778D5" w14:textId="77777777" w:rsidR="00D7303D" w:rsidRPr="00342F7C" w:rsidRDefault="00D7303D">
      <w:pPr>
        <w:pStyle w:val="EMEANormal"/>
        <w:rPr>
          <w:snapToGrid w:val="0"/>
          <w:lang w:val="en-GB"/>
        </w:rPr>
      </w:pPr>
      <w:r w:rsidRPr="00342F7C">
        <w:rPr>
          <w:snapToGrid w:val="0"/>
          <w:lang w:val="en-GB"/>
        </w:rPr>
        <w:t>Sorbitan laurate</w:t>
      </w:r>
    </w:p>
    <w:p w14:paraId="5FA38E38" w14:textId="4BA78722" w:rsidR="00D7303D" w:rsidRPr="00342F7C" w:rsidRDefault="00D7303D">
      <w:pPr>
        <w:pStyle w:val="EMEANormal"/>
        <w:rPr>
          <w:snapToGrid w:val="0"/>
          <w:lang w:val="en-GB"/>
        </w:rPr>
      </w:pPr>
      <w:r w:rsidRPr="00342F7C">
        <w:rPr>
          <w:snapToGrid w:val="0"/>
          <w:lang w:val="en-GB"/>
        </w:rPr>
        <w:t>Colloidal anhydrous silica</w:t>
      </w:r>
    </w:p>
    <w:p w14:paraId="2093EA83" w14:textId="77777777" w:rsidR="00D7303D" w:rsidRPr="00342F7C" w:rsidRDefault="00D7303D">
      <w:pPr>
        <w:pStyle w:val="EMEANormal"/>
        <w:rPr>
          <w:snapToGrid w:val="0"/>
          <w:lang w:val="en-GB"/>
        </w:rPr>
      </w:pPr>
      <w:r w:rsidRPr="00342F7C">
        <w:rPr>
          <w:snapToGrid w:val="0"/>
          <w:lang w:val="en-GB"/>
        </w:rPr>
        <w:t>Sodium stearyl fumarate</w:t>
      </w:r>
    </w:p>
    <w:p w14:paraId="65987A34" w14:textId="77777777" w:rsidR="00D7303D" w:rsidRPr="00342F7C" w:rsidRDefault="00D7303D">
      <w:pPr>
        <w:pStyle w:val="EMEANormal"/>
        <w:rPr>
          <w:snapToGrid w:val="0"/>
          <w:lang w:val="en-GB"/>
        </w:rPr>
      </w:pPr>
    </w:p>
    <w:p w14:paraId="25951C32" w14:textId="77777777" w:rsidR="00D7303D" w:rsidRPr="00342F7C" w:rsidRDefault="00D7303D" w:rsidP="00793515">
      <w:pPr>
        <w:pStyle w:val="EMEANormal"/>
        <w:rPr>
          <w:snapToGrid w:val="0"/>
          <w:lang w:val="en-GB"/>
        </w:rPr>
      </w:pPr>
      <w:r w:rsidRPr="00342F7C">
        <w:rPr>
          <w:snapToGrid w:val="0"/>
          <w:u w:val="single"/>
          <w:lang w:val="en-GB"/>
        </w:rPr>
        <w:t>Film-coating</w:t>
      </w:r>
      <w:r w:rsidRPr="00342F7C">
        <w:rPr>
          <w:snapToGrid w:val="0"/>
          <w:lang w:val="en-GB"/>
        </w:rPr>
        <w:t xml:space="preserve">: </w:t>
      </w:r>
    </w:p>
    <w:p w14:paraId="646774F1" w14:textId="77777777" w:rsidR="00D7303D" w:rsidRPr="00342F7C" w:rsidRDefault="00D7303D" w:rsidP="00793515">
      <w:pPr>
        <w:pStyle w:val="EMEANormal"/>
        <w:rPr>
          <w:snapToGrid w:val="0"/>
          <w:lang w:val="en-GB"/>
        </w:rPr>
      </w:pPr>
      <w:r w:rsidRPr="00342F7C">
        <w:rPr>
          <w:snapToGrid w:val="0"/>
          <w:lang w:val="en-GB"/>
        </w:rPr>
        <w:t>Polyvinyl alcohol</w:t>
      </w:r>
    </w:p>
    <w:p w14:paraId="6FFE2607" w14:textId="1EACF3D7" w:rsidR="00D7303D" w:rsidRPr="00342F7C" w:rsidRDefault="00D7303D" w:rsidP="00793515">
      <w:pPr>
        <w:pStyle w:val="EMEANormal"/>
        <w:rPr>
          <w:snapToGrid w:val="0"/>
          <w:lang w:val="en-GB"/>
        </w:rPr>
      </w:pPr>
      <w:r w:rsidRPr="00342F7C">
        <w:rPr>
          <w:snapToGrid w:val="0"/>
          <w:lang w:val="en-GB"/>
        </w:rPr>
        <w:t>Titanium dioxide</w:t>
      </w:r>
    </w:p>
    <w:p w14:paraId="0405CAA4" w14:textId="77777777" w:rsidR="00D7303D" w:rsidRPr="00342F7C" w:rsidRDefault="00D7303D" w:rsidP="00793515">
      <w:pPr>
        <w:pStyle w:val="EMEANormal"/>
        <w:rPr>
          <w:snapToGrid w:val="0"/>
          <w:lang w:val="en-GB"/>
        </w:rPr>
      </w:pPr>
      <w:r w:rsidRPr="00342F7C">
        <w:rPr>
          <w:snapToGrid w:val="0"/>
          <w:lang w:val="en-GB"/>
        </w:rPr>
        <w:t xml:space="preserve">Talc </w:t>
      </w:r>
    </w:p>
    <w:p w14:paraId="6D3B9EDC" w14:textId="6C133799" w:rsidR="00D7303D" w:rsidRPr="00342F7C" w:rsidRDefault="00D7303D" w:rsidP="00793515">
      <w:pPr>
        <w:pStyle w:val="EMEANormal"/>
        <w:rPr>
          <w:snapToGrid w:val="0"/>
          <w:lang w:val="en-GB"/>
        </w:rPr>
      </w:pPr>
      <w:r w:rsidRPr="00342F7C">
        <w:rPr>
          <w:snapToGrid w:val="0"/>
          <w:lang w:val="en-GB"/>
        </w:rPr>
        <w:t>Macrogols type 3350 (Polyethylene glycol 3350)</w:t>
      </w:r>
    </w:p>
    <w:p w14:paraId="234A6159" w14:textId="2D5DFEE4" w:rsidR="00D7303D" w:rsidRDefault="00F75737" w:rsidP="00793515">
      <w:pPr>
        <w:pStyle w:val="EMEANormal"/>
        <w:rPr>
          <w:snapToGrid w:val="0"/>
          <w:lang w:val="en-GB"/>
        </w:rPr>
      </w:pPr>
      <w:r>
        <w:rPr>
          <w:snapToGrid w:val="0"/>
          <w:lang w:val="en-GB"/>
        </w:rPr>
        <w:t>R</w:t>
      </w:r>
      <w:r w:rsidRPr="00C15E8E">
        <w:rPr>
          <w:snapToGrid w:val="0"/>
          <w:lang w:val="en-GB"/>
        </w:rPr>
        <w:t xml:space="preserve">ed </w:t>
      </w:r>
      <w:r>
        <w:rPr>
          <w:snapToGrid w:val="0"/>
          <w:lang w:val="en-GB"/>
        </w:rPr>
        <w:t xml:space="preserve">ferric </w:t>
      </w:r>
      <w:r w:rsidRPr="00C15E8E">
        <w:rPr>
          <w:snapToGrid w:val="0"/>
          <w:lang w:val="en-GB"/>
        </w:rPr>
        <w:t>oxide E172</w:t>
      </w:r>
    </w:p>
    <w:p w14:paraId="77855DE2" w14:textId="77777777" w:rsidR="00751C7E" w:rsidRPr="00342F7C" w:rsidRDefault="00751C7E" w:rsidP="00793515">
      <w:pPr>
        <w:pStyle w:val="EMEANormal"/>
        <w:rPr>
          <w:snapToGrid w:val="0"/>
          <w:lang w:val="en-GB"/>
        </w:rPr>
      </w:pPr>
    </w:p>
    <w:p w14:paraId="526F9D0A" w14:textId="77777777" w:rsidR="00D7303D" w:rsidRDefault="00266A4D" w:rsidP="00793515">
      <w:pPr>
        <w:pStyle w:val="EMEAHeading2SPC"/>
        <w:keepNext/>
        <w:spacing w:beforeLines="0" w:before="0" w:afterLines="0" w:after="0"/>
        <w:rPr>
          <w:rFonts w:ascii="Times New Roman" w:hAnsi="Times New Roman"/>
          <w:lang w:val="en-GB"/>
        </w:rPr>
      </w:pPr>
      <w:r>
        <w:rPr>
          <w:rFonts w:ascii="Times New Roman" w:hAnsi="Times New Roman"/>
          <w:lang w:val="en-GB"/>
        </w:rPr>
        <w:t>6.2</w:t>
      </w:r>
      <w:r w:rsidR="00D7303D" w:rsidRPr="00342F7C">
        <w:rPr>
          <w:rFonts w:ascii="Times New Roman" w:hAnsi="Times New Roman"/>
          <w:lang w:val="en-GB"/>
        </w:rPr>
        <w:tab/>
        <w:t>Incompatibilities</w:t>
      </w:r>
    </w:p>
    <w:p w14:paraId="1EE85EE1" w14:textId="77777777" w:rsidR="00751C7E" w:rsidRPr="00751C7E" w:rsidRDefault="00751C7E" w:rsidP="00793515">
      <w:pPr>
        <w:pStyle w:val="EMEANormal"/>
        <w:keepNext/>
        <w:rPr>
          <w:lang w:val="en-GB"/>
        </w:rPr>
      </w:pPr>
    </w:p>
    <w:p w14:paraId="538C93D6" w14:textId="77777777" w:rsidR="00D7303D" w:rsidRDefault="00D7303D" w:rsidP="00793515">
      <w:pPr>
        <w:pStyle w:val="EMEANormal"/>
        <w:keepNext/>
        <w:rPr>
          <w:lang w:val="en-GB"/>
        </w:rPr>
      </w:pPr>
      <w:r w:rsidRPr="00342F7C">
        <w:rPr>
          <w:lang w:val="en-GB"/>
        </w:rPr>
        <w:t>Not applicable.</w:t>
      </w:r>
    </w:p>
    <w:p w14:paraId="53105820" w14:textId="77777777" w:rsidR="00751C7E" w:rsidRPr="00342F7C" w:rsidRDefault="00751C7E">
      <w:pPr>
        <w:pStyle w:val="EMEANormal"/>
        <w:rPr>
          <w:lang w:val="en-GB"/>
        </w:rPr>
      </w:pPr>
    </w:p>
    <w:p w14:paraId="3511A63B" w14:textId="77777777" w:rsidR="00D7303D" w:rsidRDefault="00266A4D" w:rsidP="00751C7E">
      <w:pPr>
        <w:pStyle w:val="EMEAHeading2SPC"/>
        <w:spacing w:beforeLines="0" w:before="0" w:afterLines="0" w:after="0"/>
        <w:rPr>
          <w:rFonts w:ascii="Times New Roman" w:hAnsi="Times New Roman"/>
          <w:lang w:val="en-GB"/>
        </w:rPr>
      </w:pPr>
      <w:r>
        <w:rPr>
          <w:rFonts w:ascii="Times New Roman" w:hAnsi="Times New Roman"/>
          <w:lang w:val="en-GB"/>
        </w:rPr>
        <w:t>6.3</w:t>
      </w:r>
      <w:r w:rsidR="00D7303D" w:rsidRPr="00342F7C">
        <w:rPr>
          <w:rFonts w:ascii="Times New Roman" w:hAnsi="Times New Roman"/>
          <w:lang w:val="en-GB"/>
        </w:rPr>
        <w:tab/>
        <w:t>Shelf life</w:t>
      </w:r>
    </w:p>
    <w:p w14:paraId="012300C6" w14:textId="77777777" w:rsidR="00751C7E" w:rsidRPr="00751C7E" w:rsidRDefault="00751C7E" w:rsidP="00751C7E">
      <w:pPr>
        <w:pStyle w:val="EMEANormal"/>
        <w:rPr>
          <w:lang w:val="en-GB"/>
        </w:rPr>
      </w:pPr>
    </w:p>
    <w:p w14:paraId="36E16F84" w14:textId="77777777" w:rsidR="00D7303D" w:rsidRDefault="00D7303D">
      <w:pPr>
        <w:pStyle w:val="EMEANormal"/>
        <w:rPr>
          <w:lang w:val="en-GB"/>
        </w:rPr>
      </w:pPr>
      <w:r>
        <w:rPr>
          <w:lang w:val="en-GB"/>
        </w:rPr>
        <w:t>3</w:t>
      </w:r>
      <w:r w:rsidRPr="00342F7C">
        <w:rPr>
          <w:lang w:val="en-GB"/>
        </w:rPr>
        <w:t xml:space="preserve"> years.</w:t>
      </w:r>
    </w:p>
    <w:p w14:paraId="017FEEA7" w14:textId="77777777" w:rsidR="00751C7E" w:rsidRPr="00342F7C" w:rsidRDefault="00751C7E">
      <w:pPr>
        <w:pStyle w:val="EMEANormal"/>
        <w:rPr>
          <w:lang w:val="en-GB"/>
        </w:rPr>
      </w:pPr>
    </w:p>
    <w:p w14:paraId="23F3377D" w14:textId="77777777" w:rsidR="00D7303D" w:rsidRDefault="00266A4D" w:rsidP="00751C7E">
      <w:pPr>
        <w:pStyle w:val="EMEAHeading2SPC"/>
        <w:spacing w:beforeLines="0" w:before="0" w:afterLines="0" w:after="0"/>
        <w:rPr>
          <w:rFonts w:ascii="Times New Roman" w:hAnsi="Times New Roman"/>
          <w:lang w:val="en-GB"/>
        </w:rPr>
      </w:pPr>
      <w:r>
        <w:rPr>
          <w:rFonts w:ascii="Times New Roman" w:hAnsi="Times New Roman"/>
          <w:lang w:val="en-GB"/>
        </w:rPr>
        <w:t>6.4</w:t>
      </w:r>
      <w:r w:rsidR="00D7303D" w:rsidRPr="00342F7C">
        <w:rPr>
          <w:rFonts w:ascii="Times New Roman" w:hAnsi="Times New Roman"/>
          <w:lang w:val="en-GB"/>
        </w:rPr>
        <w:tab/>
        <w:t>Special precautions for storage</w:t>
      </w:r>
    </w:p>
    <w:p w14:paraId="44A48071" w14:textId="77777777" w:rsidR="00751C7E" w:rsidRPr="00751C7E" w:rsidRDefault="00751C7E" w:rsidP="00751C7E">
      <w:pPr>
        <w:pStyle w:val="EMEANormal"/>
        <w:rPr>
          <w:lang w:val="en-GB"/>
        </w:rPr>
      </w:pPr>
    </w:p>
    <w:p w14:paraId="75E03FB5" w14:textId="77777777" w:rsidR="00D7303D" w:rsidRDefault="00D7303D">
      <w:pPr>
        <w:pStyle w:val="EMEANormal"/>
        <w:rPr>
          <w:lang w:val="en-GB"/>
        </w:rPr>
      </w:pPr>
      <w:r w:rsidRPr="00342F7C">
        <w:rPr>
          <w:lang w:val="en-GB"/>
        </w:rPr>
        <w:t>This medicinal product does not require any special storage conditions.</w:t>
      </w:r>
    </w:p>
    <w:p w14:paraId="36F90461" w14:textId="77777777" w:rsidR="00751C7E" w:rsidRPr="00342F7C" w:rsidRDefault="00751C7E">
      <w:pPr>
        <w:pStyle w:val="EMEANormal"/>
        <w:rPr>
          <w:lang w:val="en-GB"/>
        </w:rPr>
      </w:pPr>
    </w:p>
    <w:p w14:paraId="0A29E05F" w14:textId="77777777" w:rsidR="00D7303D" w:rsidRDefault="00D7303D" w:rsidP="00751C7E">
      <w:pPr>
        <w:pStyle w:val="EMEAHeading2SPC"/>
        <w:spacing w:beforeLines="0" w:before="0" w:afterLines="0" w:after="0"/>
        <w:rPr>
          <w:rFonts w:ascii="Times New Roman" w:hAnsi="Times New Roman"/>
          <w:lang w:val="en-GB"/>
        </w:rPr>
      </w:pPr>
      <w:r w:rsidRPr="00342F7C">
        <w:rPr>
          <w:rFonts w:ascii="Times New Roman" w:hAnsi="Times New Roman"/>
          <w:lang w:val="en-GB"/>
        </w:rPr>
        <w:t>6.5</w:t>
      </w:r>
      <w:r w:rsidRPr="00342F7C">
        <w:rPr>
          <w:rFonts w:ascii="Times New Roman" w:hAnsi="Times New Roman"/>
          <w:lang w:val="en-GB"/>
        </w:rPr>
        <w:tab/>
        <w:t>Nature and content</w:t>
      </w:r>
      <w:r w:rsidR="00034F0D">
        <w:rPr>
          <w:rFonts w:ascii="Times New Roman" w:hAnsi="Times New Roman"/>
          <w:lang w:val="en-GB"/>
        </w:rPr>
        <w:t>s</w:t>
      </w:r>
      <w:r w:rsidRPr="00342F7C">
        <w:rPr>
          <w:rFonts w:ascii="Times New Roman" w:hAnsi="Times New Roman"/>
          <w:lang w:val="en-GB"/>
        </w:rPr>
        <w:t xml:space="preserve"> of container</w:t>
      </w:r>
    </w:p>
    <w:p w14:paraId="03915BE8" w14:textId="77777777" w:rsidR="00751C7E" w:rsidRPr="00751C7E" w:rsidRDefault="00751C7E" w:rsidP="00751C7E">
      <w:pPr>
        <w:pStyle w:val="EMEANormal"/>
        <w:rPr>
          <w:lang w:val="en-GB"/>
        </w:rPr>
      </w:pPr>
    </w:p>
    <w:p w14:paraId="7A7F7A04" w14:textId="77777777" w:rsidR="00634EE8" w:rsidRDefault="00D7303D">
      <w:pPr>
        <w:pStyle w:val="EMEANormal"/>
        <w:rPr>
          <w:lang w:val="en-GB"/>
        </w:rPr>
      </w:pPr>
      <w:r w:rsidRPr="00342F7C">
        <w:rPr>
          <w:lang w:val="en-GB"/>
        </w:rPr>
        <w:t xml:space="preserve">High density polyethylene (HDPE) bottles closed with propylene caps.  </w:t>
      </w:r>
    </w:p>
    <w:p w14:paraId="0778E823" w14:textId="77777777" w:rsidR="00D7303D" w:rsidRDefault="00FE71E8">
      <w:pPr>
        <w:pStyle w:val="EMEANormal"/>
        <w:rPr>
          <w:lang w:val="en-GB"/>
        </w:rPr>
      </w:pPr>
      <w:r>
        <w:rPr>
          <w:lang w:val="en-GB"/>
        </w:rPr>
        <w:t>B</w:t>
      </w:r>
      <w:r w:rsidR="00634EE8">
        <w:rPr>
          <w:lang w:val="en-GB"/>
        </w:rPr>
        <w:t xml:space="preserve">ottle containing </w:t>
      </w:r>
      <w:r w:rsidR="00D7303D" w:rsidRPr="00342F7C">
        <w:rPr>
          <w:lang w:val="en-GB"/>
        </w:rPr>
        <w:t xml:space="preserve">60 </w:t>
      </w:r>
      <w:r w:rsidR="00634EE8">
        <w:rPr>
          <w:lang w:val="en-GB"/>
        </w:rPr>
        <w:t xml:space="preserve">film-coated </w:t>
      </w:r>
      <w:r w:rsidR="00D7303D" w:rsidRPr="00342F7C">
        <w:rPr>
          <w:lang w:val="en-GB"/>
        </w:rPr>
        <w:t xml:space="preserve">tablets.  </w:t>
      </w:r>
    </w:p>
    <w:p w14:paraId="446E43C8" w14:textId="77777777" w:rsidR="00751C7E" w:rsidRPr="00342F7C" w:rsidRDefault="00751C7E">
      <w:pPr>
        <w:pStyle w:val="EMEANormal"/>
        <w:rPr>
          <w:lang w:val="en-GB"/>
        </w:rPr>
      </w:pPr>
    </w:p>
    <w:p w14:paraId="552B2AEB" w14:textId="77777777" w:rsidR="00D7303D" w:rsidRDefault="00D7303D" w:rsidP="00751C7E">
      <w:pPr>
        <w:pStyle w:val="EMEAHeading2SPC"/>
        <w:spacing w:beforeLines="0" w:before="0" w:afterLines="0" w:after="0"/>
        <w:rPr>
          <w:rFonts w:ascii="Times New Roman" w:hAnsi="Times New Roman"/>
          <w:lang w:val="en-GB"/>
        </w:rPr>
      </w:pPr>
      <w:r w:rsidRPr="00342F7C">
        <w:rPr>
          <w:rFonts w:ascii="Times New Roman" w:hAnsi="Times New Roman"/>
          <w:lang w:val="en-GB"/>
        </w:rPr>
        <w:t>6.6</w:t>
      </w:r>
      <w:r w:rsidRPr="00342F7C">
        <w:rPr>
          <w:rFonts w:ascii="Times New Roman" w:hAnsi="Times New Roman"/>
          <w:lang w:val="en-GB"/>
        </w:rPr>
        <w:tab/>
        <w:t>Special precautions for disposal</w:t>
      </w:r>
    </w:p>
    <w:p w14:paraId="741A5C59" w14:textId="77777777" w:rsidR="00751C7E" w:rsidRPr="00751C7E" w:rsidRDefault="00751C7E" w:rsidP="00751C7E">
      <w:pPr>
        <w:pStyle w:val="EMEANormal"/>
        <w:rPr>
          <w:lang w:val="en-GB"/>
        </w:rPr>
      </w:pPr>
    </w:p>
    <w:p w14:paraId="3255C083" w14:textId="77777777" w:rsidR="00D7303D" w:rsidRDefault="00D7303D">
      <w:pPr>
        <w:pStyle w:val="EMEANormal"/>
        <w:rPr>
          <w:lang w:val="en-GB"/>
        </w:rPr>
      </w:pPr>
      <w:r w:rsidRPr="00342F7C">
        <w:rPr>
          <w:lang w:val="en-GB"/>
        </w:rPr>
        <w:t>No special requirements.</w:t>
      </w:r>
    </w:p>
    <w:p w14:paraId="1EC736EF" w14:textId="77777777" w:rsidR="00751C7E" w:rsidRDefault="00751C7E">
      <w:pPr>
        <w:pStyle w:val="EMEANormal"/>
        <w:rPr>
          <w:lang w:val="en-GB"/>
        </w:rPr>
      </w:pPr>
    </w:p>
    <w:p w14:paraId="5B934464" w14:textId="77777777" w:rsidR="00751C7E" w:rsidRPr="00342F7C" w:rsidRDefault="00751C7E">
      <w:pPr>
        <w:pStyle w:val="EMEANormal"/>
        <w:rPr>
          <w:lang w:val="en-GB"/>
        </w:rPr>
      </w:pPr>
    </w:p>
    <w:p w14:paraId="3BB39ACD" w14:textId="77777777" w:rsidR="00D7303D" w:rsidRDefault="00D7303D" w:rsidP="00751C7E">
      <w:pPr>
        <w:pStyle w:val="EMEAHeading1"/>
        <w:spacing w:beforeLines="0" w:before="0" w:afterLines="0" w:after="0"/>
        <w:rPr>
          <w:rFonts w:ascii="Times New Roman" w:hAnsi="Times New Roman"/>
          <w:lang w:val="en-GB"/>
        </w:rPr>
      </w:pPr>
      <w:r w:rsidRPr="00342F7C">
        <w:rPr>
          <w:rFonts w:ascii="Times New Roman" w:hAnsi="Times New Roman"/>
          <w:lang w:val="en-GB"/>
        </w:rPr>
        <w:t>7.</w:t>
      </w:r>
      <w:r w:rsidRPr="00342F7C">
        <w:rPr>
          <w:rFonts w:ascii="Times New Roman" w:hAnsi="Times New Roman"/>
          <w:lang w:val="en-GB"/>
        </w:rPr>
        <w:tab/>
        <w:t>MARKETING AUTHORISATION HOLDER</w:t>
      </w:r>
    </w:p>
    <w:p w14:paraId="74468894" w14:textId="77777777" w:rsidR="00751C7E" w:rsidRPr="00751C7E" w:rsidRDefault="00751C7E" w:rsidP="00751C7E">
      <w:pPr>
        <w:pStyle w:val="EMEANormal"/>
        <w:rPr>
          <w:lang w:val="en-GB"/>
        </w:rPr>
      </w:pPr>
    </w:p>
    <w:p w14:paraId="50F29B5D" w14:textId="77777777" w:rsidR="00A118F7" w:rsidRPr="00A118F7" w:rsidRDefault="00A118F7" w:rsidP="00A118F7">
      <w:pPr>
        <w:keepNext/>
        <w:autoSpaceDE w:val="0"/>
        <w:autoSpaceDN w:val="0"/>
        <w:adjustRightInd w:val="0"/>
        <w:spacing w:line="240" w:lineRule="atLeast"/>
        <w:rPr>
          <w:sz w:val="22"/>
          <w:szCs w:val="22"/>
          <w:lang w:eastAsia="en-GB"/>
        </w:rPr>
      </w:pPr>
      <w:r w:rsidRPr="00A118F7">
        <w:rPr>
          <w:sz w:val="22"/>
          <w:szCs w:val="22"/>
          <w:lang w:eastAsia="en-GB"/>
        </w:rPr>
        <w:t>AbbVie Deutschland GmbH &amp; Co. KG</w:t>
      </w:r>
    </w:p>
    <w:p w14:paraId="063F1388" w14:textId="77777777" w:rsidR="00A118F7" w:rsidRPr="00A118F7" w:rsidRDefault="00A118F7" w:rsidP="00A118F7">
      <w:pPr>
        <w:keepNext/>
        <w:autoSpaceDE w:val="0"/>
        <w:autoSpaceDN w:val="0"/>
        <w:adjustRightInd w:val="0"/>
        <w:spacing w:line="240" w:lineRule="atLeast"/>
        <w:rPr>
          <w:sz w:val="22"/>
          <w:szCs w:val="22"/>
          <w:lang w:eastAsia="en-GB"/>
        </w:rPr>
      </w:pPr>
      <w:r w:rsidRPr="00A118F7">
        <w:rPr>
          <w:sz w:val="22"/>
          <w:szCs w:val="22"/>
          <w:lang w:eastAsia="en-GB"/>
        </w:rPr>
        <w:t>Knollstrasse</w:t>
      </w:r>
    </w:p>
    <w:p w14:paraId="3CDD0C97" w14:textId="77777777" w:rsidR="00A118F7" w:rsidRPr="00A118F7" w:rsidRDefault="00A118F7" w:rsidP="00A118F7">
      <w:pPr>
        <w:keepNext/>
        <w:autoSpaceDE w:val="0"/>
        <w:autoSpaceDN w:val="0"/>
        <w:adjustRightInd w:val="0"/>
        <w:spacing w:line="240" w:lineRule="atLeast"/>
        <w:rPr>
          <w:sz w:val="22"/>
          <w:szCs w:val="22"/>
          <w:lang w:eastAsia="en-GB"/>
        </w:rPr>
      </w:pPr>
      <w:r w:rsidRPr="00A118F7">
        <w:rPr>
          <w:sz w:val="22"/>
          <w:szCs w:val="22"/>
          <w:lang w:eastAsia="en-GB"/>
        </w:rPr>
        <w:t>67061 Ludwigshafen</w:t>
      </w:r>
    </w:p>
    <w:p w14:paraId="0738E1F0" w14:textId="77777777" w:rsidR="00D7303D" w:rsidRDefault="00A118F7" w:rsidP="00A118F7">
      <w:pPr>
        <w:pStyle w:val="EMEANormal"/>
        <w:rPr>
          <w:lang w:val="en-GB"/>
        </w:rPr>
      </w:pPr>
      <w:r w:rsidRPr="00A118F7">
        <w:rPr>
          <w:szCs w:val="22"/>
          <w:lang w:val="en-GB" w:eastAsia="en-GB"/>
        </w:rPr>
        <w:t>Germany</w:t>
      </w:r>
    </w:p>
    <w:p w14:paraId="2C4068F0" w14:textId="77777777" w:rsidR="00751C7E" w:rsidRDefault="00751C7E" w:rsidP="00F423D9">
      <w:pPr>
        <w:pStyle w:val="EMEANormal"/>
        <w:rPr>
          <w:lang w:val="en-GB"/>
        </w:rPr>
      </w:pPr>
    </w:p>
    <w:p w14:paraId="3E06943B" w14:textId="77777777" w:rsidR="00751C7E" w:rsidRDefault="00751C7E" w:rsidP="00F423D9">
      <w:pPr>
        <w:pStyle w:val="EMEANormal"/>
        <w:rPr>
          <w:lang w:val="en-GB"/>
        </w:rPr>
      </w:pPr>
    </w:p>
    <w:p w14:paraId="1D717B7E" w14:textId="77777777" w:rsidR="00D7303D" w:rsidRDefault="00D7303D" w:rsidP="00751C7E">
      <w:pPr>
        <w:pStyle w:val="EMEAHeading1"/>
        <w:spacing w:beforeLines="0" w:before="0" w:afterLines="0" w:after="0"/>
        <w:rPr>
          <w:rFonts w:ascii="Times New Roman" w:hAnsi="Times New Roman"/>
          <w:lang w:val="en-GB"/>
        </w:rPr>
      </w:pPr>
      <w:r w:rsidRPr="00342F7C">
        <w:rPr>
          <w:rFonts w:ascii="Times New Roman" w:hAnsi="Times New Roman"/>
          <w:lang w:val="en-GB"/>
        </w:rPr>
        <w:t>8.</w:t>
      </w:r>
      <w:r w:rsidRPr="00342F7C">
        <w:rPr>
          <w:rFonts w:ascii="Times New Roman" w:hAnsi="Times New Roman"/>
          <w:lang w:val="en-GB"/>
        </w:rPr>
        <w:tab/>
        <w:t>MARKETING AUTHORISATION NUMBERS</w:t>
      </w:r>
    </w:p>
    <w:p w14:paraId="259B655F" w14:textId="77777777" w:rsidR="00751C7E" w:rsidRPr="00751C7E" w:rsidRDefault="00751C7E" w:rsidP="00751C7E">
      <w:pPr>
        <w:pStyle w:val="EMEANormal"/>
        <w:rPr>
          <w:lang w:val="en-GB"/>
        </w:rPr>
      </w:pPr>
    </w:p>
    <w:p w14:paraId="558CA3C2" w14:textId="77777777" w:rsidR="00D7303D" w:rsidRDefault="00D7303D">
      <w:pPr>
        <w:pStyle w:val="EMEANormal"/>
        <w:rPr>
          <w:lang w:val="en-GB"/>
        </w:rPr>
      </w:pPr>
      <w:r w:rsidRPr="00342F7C">
        <w:rPr>
          <w:lang w:val="en-GB"/>
        </w:rPr>
        <w:t>EU/1/01/172/006</w:t>
      </w:r>
    </w:p>
    <w:p w14:paraId="0F7336CD" w14:textId="77777777" w:rsidR="00751C7E" w:rsidRDefault="00751C7E">
      <w:pPr>
        <w:pStyle w:val="EMEANormal"/>
        <w:rPr>
          <w:lang w:val="en-GB"/>
        </w:rPr>
      </w:pPr>
    </w:p>
    <w:p w14:paraId="520A0A79" w14:textId="77777777" w:rsidR="00751C7E" w:rsidRPr="00342F7C" w:rsidRDefault="00751C7E">
      <w:pPr>
        <w:pStyle w:val="EMEANormal"/>
        <w:rPr>
          <w:lang w:val="en-GB"/>
        </w:rPr>
      </w:pPr>
    </w:p>
    <w:p w14:paraId="6640A00B" w14:textId="77777777" w:rsidR="00D7303D" w:rsidRDefault="00266A4D" w:rsidP="00C33D83">
      <w:pPr>
        <w:pStyle w:val="EMEAHeading1"/>
        <w:spacing w:beforeLines="0" w:before="0" w:afterLines="0" w:after="0"/>
        <w:rPr>
          <w:rFonts w:ascii="Times New Roman" w:hAnsi="Times New Roman"/>
          <w:lang w:val="en-GB"/>
        </w:rPr>
      </w:pPr>
      <w:r>
        <w:rPr>
          <w:rFonts w:ascii="Times New Roman" w:hAnsi="Times New Roman"/>
          <w:lang w:val="en-GB"/>
        </w:rPr>
        <w:t>9.</w:t>
      </w:r>
      <w:r w:rsidR="00D7303D" w:rsidRPr="00342F7C">
        <w:rPr>
          <w:rFonts w:ascii="Times New Roman" w:hAnsi="Times New Roman"/>
          <w:lang w:val="en-GB"/>
        </w:rPr>
        <w:tab/>
        <w:t>Date of first authorisation/renewal of THE authorisation</w:t>
      </w:r>
    </w:p>
    <w:p w14:paraId="5848A8E6" w14:textId="77777777" w:rsidR="00751C7E" w:rsidRPr="00751C7E" w:rsidRDefault="00751C7E" w:rsidP="00C33D83">
      <w:pPr>
        <w:pStyle w:val="EMEANormal"/>
        <w:rPr>
          <w:lang w:val="en-GB"/>
        </w:rPr>
      </w:pPr>
    </w:p>
    <w:p w14:paraId="768476C3" w14:textId="77777777" w:rsidR="00D7303D" w:rsidRPr="00342F7C" w:rsidRDefault="00D7303D" w:rsidP="00C33D83">
      <w:pPr>
        <w:pStyle w:val="EMEANormal"/>
        <w:rPr>
          <w:lang w:val="en-GB"/>
        </w:rPr>
      </w:pPr>
      <w:r w:rsidRPr="00342F7C">
        <w:rPr>
          <w:lang w:val="en-GB"/>
        </w:rPr>
        <w:t>Date of first authorisation: 20 March 2001</w:t>
      </w:r>
    </w:p>
    <w:p w14:paraId="52CD16AB" w14:textId="77777777" w:rsidR="00D7303D" w:rsidRDefault="00D7303D" w:rsidP="00C33D83">
      <w:pPr>
        <w:pStyle w:val="EMEANormal"/>
        <w:rPr>
          <w:lang w:val="en-GB"/>
        </w:rPr>
      </w:pPr>
      <w:r w:rsidRPr="00342F7C">
        <w:rPr>
          <w:lang w:val="en-GB"/>
        </w:rPr>
        <w:t xml:space="preserve">Date of latest renewal: </w:t>
      </w:r>
      <w:r>
        <w:rPr>
          <w:lang w:val="en-GB"/>
        </w:rPr>
        <w:t>20 March</w:t>
      </w:r>
      <w:r w:rsidRPr="00342F7C">
        <w:rPr>
          <w:lang w:val="en-GB"/>
        </w:rPr>
        <w:t xml:space="preserve"> 2011</w:t>
      </w:r>
    </w:p>
    <w:p w14:paraId="20EB7377" w14:textId="77777777" w:rsidR="00EF465B" w:rsidRDefault="00EF465B" w:rsidP="00C33D83">
      <w:pPr>
        <w:pStyle w:val="EMEANormal"/>
        <w:rPr>
          <w:lang w:val="en-GB"/>
        </w:rPr>
      </w:pPr>
    </w:p>
    <w:p w14:paraId="03B971CD" w14:textId="77777777" w:rsidR="00EF465B" w:rsidRPr="00342F7C" w:rsidRDefault="00EF465B" w:rsidP="00C33D83">
      <w:pPr>
        <w:pStyle w:val="EMEANormal"/>
        <w:rPr>
          <w:lang w:val="en-GB"/>
        </w:rPr>
      </w:pPr>
    </w:p>
    <w:p w14:paraId="7C4F8994" w14:textId="77777777" w:rsidR="00D7303D" w:rsidRDefault="00266A4D" w:rsidP="00EF465B">
      <w:pPr>
        <w:pStyle w:val="EMEAHeading1"/>
        <w:spacing w:beforeLines="0" w:before="0" w:afterLines="0" w:after="0"/>
        <w:rPr>
          <w:rFonts w:ascii="Times New Roman" w:hAnsi="Times New Roman"/>
          <w:lang w:val="en-GB"/>
        </w:rPr>
      </w:pPr>
      <w:r>
        <w:rPr>
          <w:rFonts w:ascii="Times New Roman" w:hAnsi="Times New Roman"/>
          <w:lang w:val="en-GB"/>
        </w:rPr>
        <w:t>10.</w:t>
      </w:r>
      <w:r w:rsidR="00D7303D" w:rsidRPr="00342F7C">
        <w:rPr>
          <w:rFonts w:ascii="Times New Roman" w:hAnsi="Times New Roman"/>
          <w:lang w:val="en-GB"/>
        </w:rPr>
        <w:tab/>
        <w:t>Date of revision of the text</w:t>
      </w:r>
    </w:p>
    <w:p w14:paraId="125DF73E" w14:textId="77777777" w:rsidR="00EF465B" w:rsidRPr="00EF465B" w:rsidRDefault="00EF465B" w:rsidP="00EF465B">
      <w:pPr>
        <w:pStyle w:val="EMEANormal"/>
        <w:rPr>
          <w:lang w:val="en-GB"/>
        </w:rPr>
      </w:pPr>
    </w:p>
    <w:p w14:paraId="39E2BE65" w14:textId="77777777" w:rsidR="0081124D" w:rsidRPr="00342F7C" w:rsidRDefault="0081124D" w:rsidP="00132FBF">
      <w:pPr>
        <w:pStyle w:val="EMEANormal"/>
        <w:rPr>
          <w:iCs/>
          <w:noProof/>
          <w:szCs w:val="22"/>
          <w:lang w:val="en-GB"/>
        </w:rPr>
      </w:pPr>
    </w:p>
    <w:p w14:paraId="4AAEFD5C" w14:textId="77777777" w:rsidR="00D7303D" w:rsidRPr="00342F7C" w:rsidRDefault="00D7303D" w:rsidP="00132FBF">
      <w:pPr>
        <w:pStyle w:val="EMEANormal"/>
        <w:rPr>
          <w:lang w:val="en-GB"/>
        </w:rPr>
      </w:pPr>
      <w:r w:rsidRPr="00342F7C">
        <w:rPr>
          <w:iCs/>
          <w:noProof/>
          <w:szCs w:val="22"/>
          <w:lang w:val="en-GB"/>
        </w:rPr>
        <w:t xml:space="preserve">Detailed information on this product </w:t>
      </w:r>
      <w:r w:rsidRPr="00342F7C">
        <w:rPr>
          <w:noProof/>
          <w:szCs w:val="22"/>
          <w:lang w:val="en-GB"/>
        </w:rPr>
        <w:t xml:space="preserve">is available on the website of the European Medicines Agency </w:t>
      </w:r>
      <w:hyperlink r:id="rId16" w:history="1">
        <w:r w:rsidRPr="00342F7C">
          <w:rPr>
            <w:rStyle w:val="Hyperlink"/>
            <w:noProof/>
            <w:szCs w:val="22"/>
            <w:lang w:val="en-GB"/>
          </w:rPr>
          <w:t>http://www.ema.europa.eu</w:t>
        </w:r>
      </w:hyperlink>
    </w:p>
    <w:p w14:paraId="363A9601" w14:textId="77777777" w:rsidR="00D7303D" w:rsidRPr="00342F7C" w:rsidRDefault="00D7303D">
      <w:pPr>
        <w:pStyle w:val="EMEAHeadingLeaflet"/>
        <w:tabs>
          <w:tab w:val="clear" w:pos="562"/>
        </w:tabs>
        <w:spacing w:beforeLines="0" w:before="0" w:after="240"/>
        <w:rPr>
          <w:rFonts w:ascii="Times New Roman" w:hAnsi="Times New Roman"/>
          <w:lang w:val="en-GB"/>
        </w:rPr>
      </w:pPr>
    </w:p>
    <w:p w14:paraId="00996734" w14:textId="77777777" w:rsidR="00D7303D" w:rsidRPr="00342F7C" w:rsidRDefault="00D7303D">
      <w:pPr>
        <w:pStyle w:val="EMEANormal"/>
        <w:rPr>
          <w:lang w:val="en-GB"/>
        </w:rPr>
      </w:pPr>
      <w:r w:rsidRPr="00342F7C">
        <w:rPr>
          <w:b/>
          <w:bCs/>
          <w:lang w:val="en-GB"/>
        </w:rPr>
        <w:br w:type="page"/>
      </w:r>
    </w:p>
    <w:p w14:paraId="1818EA45" w14:textId="77777777" w:rsidR="00D7303D" w:rsidRPr="00342F7C" w:rsidRDefault="00D7303D">
      <w:pPr>
        <w:pStyle w:val="EMEANormal"/>
        <w:rPr>
          <w:lang w:val="en-GB"/>
        </w:rPr>
      </w:pPr>
    </w:p>
    <w:p w14:paraId="0EE00B46" w14:textId="77777777" w:rsidR="00D7303D" w:rsidRPr="00342F7C" w:rsidRDefault="00D7303D">
      <w:pPr>
        <w:pStyle w:val="EMEANormal"/>
        <w:rPr>
          <w:lang w:val="en-GB"/>
        </w:rPr>
      </w:pPr>
    </w:p>
    <w:p w14:paraId="441D2FDE" w14:textId="77777777" w:rsidR="00D7303D" w:rsidRPr="00342F7C" w:rsidRDefault="00D7303D">
      <w:pPr>
        <w:pStyle w:val="EMEANormal"/>
        <w:rPr>
          <w:lang w:val="en-GB"/>
        </w:rPr>
      </w:pPr>
    </w:p>
    <w:p w14:paraId="2EC23905" w14:textId="77777777" w:rsidR="00D7303D" w:rsidRPr="00342F7C" w:rsidRDefault="00D7303D">
      <w:pPr>
        <w:pStyle w:val="EMEANormal"/>
        <w:rPr>
          <w:lang w:val="en-GB"/>
        </w:rPr>
      </w:pPr>
    </w:p>
    <w:p w14:paraId="6C123D0B" w14:textId="77777777" w:rsidR="00D7303D" w:rsidRPr="00342F7C" w:rsidRDefault="00D7303D">
      <w:pPr>
        <w:pStyle w:val="EMEANormal"/>
        <w:rPr>
          <w:lang w:val="en-GB"/>
        </w:rPr>
      </w:pPr>
    </w:p>
    <w:p w14:paraId="12BCD319" w14:textId="77777777" w:rsidR="00D7303D" w:rsidRPr="00342F7C" w:rsidRDefault="00D7303D">
      <w:pPr>
        <w:pStyle w:val="EMEANormal"/>
        <w:rPr>
          <w:lang w:val="en-GB"/>
        </w:rPr>
      </w:pPr>
    </w:p>
    <w:p w14:paraId="70FB228C" w14:textId="77777777" w:rsidR="00D7303D" w:rsidRPr="00342F7C" w:rsidRDefault="00D7303D">
      <w:pPr>
        <w:pStyle w:val="EMEANormal"/>
        <w:rPr>
          <w:lang w:val="en-GB"/>
        </w:rPr>
      </w:pPr>
    </w:p>
    <w:p w14:paraId="6D694519" w14:textId="77777777" w:rsidR="00D7303D" w:rsidRPr="00342F7C" w:rsidRDefault="00D7303D">
      <w:pPr>
        <w:pStyle w:val="EMEANormal"/>
        <w:rPr>
          <w:lang w:val="en-GB"/>
        </w:rPr>
      </w:pPr>
    </w:p>
    <w:p w14:paraId="7A8CD42D" w14:textId="77777777" w:rsidR="00D7303D" w:rsidRPr="00342F7C" w:rsidRDefault="00D7303D">
      <w:pPr>
        <w:pStyle w:val="EMEANormal"/>
        <w:rPr>
          <w:lang w:val="en-GB"/>
        </w:rPr>
      </w:pPr>
    </w:p>
    <w:p w14:paraId="07B4CB8C" w14:textId="77777777" w:rsidR="00D7303D" w:rsidRPr="00342F7C" w:rsidRDefault="00D7303D">
      <w:pPr>
        <w:pStyle w:val="EMEANormal"/>
        <w:rPr>
          <w:lang w:val="en-GB"/>
        </w:rPr>
      </w:pPr>
    </w:p>
    <w:p w14:paraId="3DF15D73" w14:textId="77777777" w:rsidR="00D7303D" w:rsidRPr="00342F7C" w:rsidRDefault="00D7303D">
      <w:pPr>
        <w:pStyle w:val="EMEANormal"/>
        <w:rPr>
          <w:lang w:val="en-GB"/>
        </w:rPr>
      </w:pPr>
    </w:p>
    <w:p w14:paraId="6F9AE954" w14:textId="77777777" w:rsidR="00D7303D" w:rsidRPr="00342F7C" w:rsidRDefault="00D7303D">
      <w:pPr>
        <w:pStyle w:val="EMEANormal"/>
        <w:rPr>
          <w:lang w:val="en-GB"/>
        </w:rPr>
      </w:pPr>
    </w:p>
    <w:p w14:paraId="24F63294" w14:textId="77777777" w:rsidR="00D7303D" w:rsidRPr="00342F7C" w:rsidRDefault="00D7303D">
      <w:pPr>
        <w:pStyle w:val="EMEANormal"/>
        <w:rPr>
          <w:lang w:val="en-GB"/>
        </w:rPr>
      </w:pPr>
    </w:p>
    <w:p w14:paraId="13FF235F" w14:textId="77777777" w:rsidR="00D7303D" w:rsidRPr="00342F7C" w:rsidRDefault="00D7303D">
      <w:pPr>
        <w:pStyle w:val="EMEANormal"/>
        <w:rPr>
          <w:lang w:val="en-GB"/>
        </w:rPr>
      </w:pPr>
    </w:p>
    <w:p w14:paraId="3DFCB18E" w14:textId="77777777" w:rsidR="00D7303D" w:rsidRPr="00342F7C" w:rsidRDefault="00D7303D">
      <w:pPr>
        <w:pStyle w:val="EMEANormal"/>
        <w:rPr>
          <w:lang w:val="en-GB"/>
        </w:rPr>
      </w:pPr>
    </w:p>
    <w:p w14:paraId="22345759" w14:textId="77777777" w:rsidR="00D7303D" w:rsidRPr="00342F7C" w:rsidRDefault="00D7303D">
      <w:pPr>
        <w:pStyle w:val="EMEANormal"/>
        <w:rPr>
          <w:lang w:val="en-GB"/>
        </w:rPr>
      </w:pPr>
    </w:p>
    <w:p w14:paraId="4D07C51A" w14:textId="77777777" w:rsidR="00D7303D" w:rsidRPr="00342F7C" w:rsidRDefault="00D7303D">
      <w:pPr>
        <w:pStyle w:val="EMEANormal"/>
        <w:rPr>
          <w:lang w:val="en-GB"/>
        </w:rPr>
      </w:pPr>
    </w:p>
    <w:p w14:paraId="3E215322" w14:textId="77777777" w:rsidR="00D7303D" w:rsidRDefault="00D7303D">
      <w:pPr>
        <w:pStyle w:val="EMEANormal"/>
        <w:rPr>
          <w:lang w:val="en-GB"/>
        </w:rPr>
      </w:pPr>
    </w:p>
    <w:p w14:paraId="1F7F0D48" w14:textId="77777777" w:rsidR="00B23671" w:rsidRPr="00342F7C" w:rsidRDefault="00B23671">
      <w:pPr>
        <w:pStyle w:val="EMEANormal"/>
        <w:rPr>
          <w:lang w:val="en-GB"/>
        </w:rPr>
      </w:pPr>
    </w:p>
    <w:p w14:paraId="682D3309" w14:textId="77777777" w:rsidR="00D7303D" w:rsidRPr="00342F7C" w:rsidRDefault="00D7303D">
      <w:pPr>
        <w:pStyle w:val="EMEANormal"/>
        <w:rPr>
          <w:lang w:val="en-GB"/>
        </w:rPr>
      </w:pPr>
    </w:p>
    <w:p w14:paraId="290BBCBC" w14:textId="77777777" w:rsidR="00D7303D" w:rsidRPr="00342F7C" w:rsidRDefault="00D7303D">
      <w:pPr>
        <w:pStyle w:val="EMEANormal"/>
        <w:rPr>
          <w:lang w:val="en-GB"/>
        </w:rPr>
      </w:pPr>
    </w:p>
    <w:p w14:paraId="42543151" w14:textId="77777777" w:rsidR="00D7303D" w:rsidRPr="00342F7C" w:rsidRDefault="00D7303D">
      <w:pPr>
        <w:pStyle w:val="EMEANormal"/>
        <w:rPr>
          <w:lang w:val="en-GB"/>
        </w:rPr>
      </w:pPr>
    </w:p>
    <w:p w14:paraId="32F4D308" w14:textId="77777777" w:rsidR="00D7303D" w:rsidRPr="00342F7C" w:rsidRDefault="00D7303D">
      <w:pPr>
        <w:pStyle w:val="EMEANormal"/>
        <w:rPr>
          <w:lang w:val="en-GB"/>
        </w:rPr>
      </w:pPr>
    </w:p>
    <w:p w14:paraId="7550B53E" w14:textId="77777777" w:rsidR="00D7303D" w:rsidRPr="00342F7C" w:rsidRDefault="00D7303D">
      <w:pPr>
        <w:pStyle w:val="EMEATitle"/>
        <w:rPr>
          <w:rFonts w:ascii="Times New Roman" w:hAnsi="Times New Roman"/>
          <w:lang w:val="en-GB"/>
        </w:rPr>
      </w:pPr>
      <w:r w:rsidRPr="00342F7C">
        <w:rPr>
          <w:rFonts w:ascii="Times New Roman" w:hAnsi="Times New Roman"/>
          <w:lang w:val="en-GB"/>
        </w:rPr>
        <w:t>ANNEX II</w:t>
      </w:r>
    </w:p>
    <w:p w14:paraId="3445F579" w14:textId="77777777" w:rsidR="00D7303D" w:rsidRPr="00342F7C" w:rsidRDefault="00D7303D">
      <w:pPr>
        <w:pStyle w:val="EMEANormal"/>
        <w:rPr>
          <w:lang w:val="en-GB"/>
        </w:rPr>
      </w:pPr>
    </w:p>
    <w:p w14:paraId="7AE6F6CC" w14:textId="77777777" w:rsidR="00D7303D" w:rsidRDefault="00D7303D" w:rsidP="00CC30D0">
      <w:pPr>
        <w:pStyle w:val="Default"/>
        <w:tabs>
          <w:tab w:val="left" w:pos="1560"/>
        </w:tabs>
        <w:ind w:left="1560" w:hanging="426"/>
        <w:rPr>
          <w:b/>
          <w:bCs/>
          <w:sz w:val="22"/>
          <w:szCs w:val="22"/>
        </w:rPr>
      </w:pPr>
      <w:r>
        <w:rPr>
          <w:b/>
          <w:bCs/>
          <w:sz w:val="22"/>
          <w:szCs w:val="22"/>
        </w:rPr>
        <w:t>A.</w:t>
      </w:r>
      <w:r>
        <w:rPr>
          <w:b/>
          <w:bCs/>
          <w:sz w:val="22"/>
          <w:szCs w:val="22"/>
        </w:rPr>
        <w:tab/>
        <w:t xml:space="preserve">MANUFACTURER(S) RESPONSIBLE FOR BATCH RELEASE </w:t>
      </w:r>
    </w:p>
    <w:p w14:paraId="0996FA22" w14:textId="77777777" w:rsidR="00D7303D" w:rsidRDefault="00D7303D" w:rsidP="00CC30D0">
      <w:pPr>
        <w:pStyle w:val="Default"/>
        <w:tabs>
          <w:tab w:val="left" w:pos="1560"/>
        </w:tabs>
        <w:ind w:left="1560" w:hanging="426"/>
        <w:rPr>
          <w:sz w:val="22"/>
          <w:szCs w:val="22"/>
        </w:rPr>
      </w:pPr>
    </w:p>
    <w:p w14:paraId="00068DF2" w14:textId="77777777" w:rsidR="00D7303D" w:rsidRDefault="00D7303D" w:rsidP="00CC30D0">
      <w:pPr>
        <w:pStyle w:val="Default"/>
        <w:tabs>
          <w:tab w:val="left" w:pos="1560"/>
        </w:tabs>
        <w:ind w:left="1560" w:hanging="426"/>
        <w:rPr>
          <w:b/>
          <w:bCs/>
          <w:sz w:val="22"/>
          <w:szCs w:val="22"/>
        </w:rPr>
      </w:pPr>
      <w:r>
        <w:rPr>
          <w:b/>
          <w:bCs/>
          <w:sz w:val="22"/>
          <w:szCs w:val="22"/>
        </w:rPr>
        <w:t>B.</w:t>
      </w:r>
      <w:r>
        <w:rPr>
          <w:b/>
          <w:bCs/>
          <w:sz w:val="22"/>
          <w:szCs w:val="22"/>
        </w:rPr>
        <w:tab/>
        <w:t xml:space="preserve">CONDITIONS OR RESTRICTIONS REGARDING SUPPLY AND </w:t>
      </w:r>
    </w:p>
    <w:p w14:paraId="16803B1B" w14:textId="77777777" w:rsidR="00D7303D" w:rsidRDefault="00D7303D" w:rsidP="00CC30D0">
      <w:pPr>
        <w:pStyle w:val="Default"/>
        <w:tabs>
          <w:tab w:val="left" w:pos="1560"/>
        </w:tabs>
        <w:ind w:left="1560" w:hanging="426"/>
        <w:rPr>
          <w:b/>
          <w:bCs/>
          <w:sz w:val="22"/>
          <w:szCs w:val="22"/>
        </w:rPr>
      </w:pPr>
      <w:r>
        <w:rPr>
          <w:b/>
          <w:bCs/>
          <w:sz w:val="22"/>
          <w:szCs w:val="22"/>
        </w:rPr>
        <w:tab/>
        <w:t xml:space="preserve">USE </w:t>
      </w:r>
    </w:p>
    <w:p w14:paraId="50684B82" w14:textId="77777777" w:rsidR="00D7303D" w:rsidRDefault="00D7303D" w:rsidP="00CC30D0">
      <w:pPr>
        <w:pStyle w:val="Default"/>
        <w:tabs>
          <w:tab w:val="left" w:pos="1560"/>
        </w:tabs>
        <w:ind w:left="1560" w:hanging="426"/>
        <w:rPr>
          <w:sz w:val="22"/>
          <w:szCs w:val="22"/>
        </w:rPr>
      </w:pPr>
    </w:p>
    <w:p w14:paraId="4C259369" w14:textId="77777777" w:rsidR="00D7303D" w:rsidRDefault="00D7303D" w:rsidP="00CC30D0">
      <w:pPr>
        <w:pStyle w:val="Default"/>
        <w:tabs>
          <w:tab w:val="left" w:pos="1560"/>
        </w:tabs>
        <w:ind w:left="1560" w:hanging="426"/>
        <w:rPr>
          <w:b/>
          <w:bCs/>
          <w:sz w:val="22"/>
          <w:szCs w:val="22"/>
        </w:rPr>
      </w:pPr>
      <w:r>
        <w:rPr>
          <w:b/>
          <w:bCs/>
          <w:sz w:val="22"/>
          <w:szCs w:val="22"/>
        </w:rPr>
        <w:t xml:space="preserve">C. </w:t>
      </w:r>
      <w:r>
        <w:rPr>
          <w:b/>
          <w:bCs/>
          <w:sz w:val="22"/>
          <w:szCs w:val="22"/>
        </w:rPr>
        <w:tab/>
        <w:t xml:space="preserve">OTHER CONDITIONS AND REQUIREMENTS OF THE </w:t>
      </w:r>
    </w:p>
    <w:p w14:paraId="5894FAF6" w14:textId="77777777" w:rsidR="00D7303D" w:rsidRDefault="00D7303D" w:rsidP="00CC30D0">
      <w:pPr>
        <w:pStyle w:val="Default"/>
        <w:tabs>
          <w:tab w:val="left" w:pos="1560"/>
        </w:tabs>
        <w:ind w:left="1560" w:hanging="426"/>
        <w:rPr>
          <w:b/>
          <w:bCs/>
          <w:sz w:val="22"/>
          <w:szCs w:val="22"/>
        </w:rPr>
      </w:pPr>
      <w:r>
        <w:rPr>
          <w:b/>
          <w:bCs/>
          <w:sz w:val="22"/>
          <w:szCs w:val="22"/>
        </w:rPr>
        <w:tab/>
        <w:t xml:space="preserve">MARKETING AUTHORISATION </w:t>
      </w:r>
    </w:p>
    <w:p w14:paraId="666C84B5" w14:textId="77777777" w:rsidR="00D7303D" w:rsidRDefault="00D7303D" w:rsidP="00CC30D0">
      <w:pPr>
        <w:pStyle w:val="Default"/>
        <w:tabs>
          <w:tab w:val="left" w:pos="1560"/>
        </w:tabs>
        <w:ind w:left="1560" w:hanging="426"/>
        <w:rPr>
          <w:sz w:val="22"/>
          <w:szCs w:val="22"/>
        </w:rPr>
      </w:pPr>
    </w:p>
    <w:p w14:paraId="6C2C0FAF" w14:textId="77777777" w:rsidR="00D7303D" w:rsidRDefault="00D7303D" w:rsidP="00CC30D0">
      <w:pPr>
        <w:tabs>
          <w:tab w:val="left" w:pos="1560"/>
          <w:tab w:val="left" w:pos="1760"/>
        </w:tabs>
        <w:ind w:left="1560" w:right="990" w:hanging="426"/>
        <w:rPr>
          <w:b/>
          <w:bCs/>
          <w:sz w:val="22"/>
          <w:szCs w:val="22"/>
        </w:rPr>
      </w:pPr>
      <w:r>
        <w:rPr>
          <w:b/>
          <w:bCs/>
          <w:sz w:val="22"/>
          <w:szCs w:val="22"/>
        </w:rPr>
        <w:t xml:space="preserve">D. </w:t>
      </w:r>
      <w:r>
        <w:rPr>
          <w:b/>
          <w:bCs/>
          <w:sz w:val="22"/>
          <w:szCs w:val="22"/>
        </w:rPr>
        <w:tab/>
        <w:t>CONDITIONS OR RESTRICTIONS WITH REGARD TO THE SAFE AND EFFECTIVE USE OF THE MEDICINAL PRODUCT</w:t>
      </w:r>
    </w:p>
    <w:p w14:paraId="7162970B" w14:textId="77777777" w:rsidR="00D7303D" w:rsidRPr="00342F7C" w:rsidRDefault="00D7303D" w:rsidP="007E63B2">
      <w:pPr>
        <w:pStyle w:val="Heading2"/>
        <w:numPr>
          <w:ilvl w:val="0"/>
          <w:numId w:val="0"/>
        </w:numPr>
        <w:ind w:left="1800"/>
      </w:pPr>
    </w:p>
    <w:p w14:paraId="6E49858B" w14:textId="77777777" w:rsidR="00D7303D" w:rsidRPr="00342F7C" w:rsidRDefault="00D7303D">
      <w:pPr>
        <w:tabs>
          <w:tab w:val="left" w:pos="1760"/>
        </w:tabs>
        <w:ind w:left="1760" w:right="1416" w:hanging="626"/>
        <w:rPr>
          <w:b/>
          <w:sz w:val="22"/>
        </w:rPr>
      </w:pPr>
    </w:p>
    <w:p w14:paraId="15950BC7" w14:textId="77777777" w:rsidR="00D7303D" w:rsidRPr="003576E6" w:rsidRDefault="00D7303D" w:rsidP="005C57F6">
      <w:pPr>
        <w:pStyle w:val="BMLeftAligned"/>
        <w:rPr>
          <w:sz w:val="22"/>
          <w:szCs w:val="22"/>
        </w:rPr>
      </w:pPr>
      <w:r w:rsidRPr="00342F7C">
        <w:br w:type="page"/>
      </w:r>
      <w:r w:rsidRPr="003576E6">
        <w:rPr>
          <w:sz w:val="22"/>
          <w:szCs w:val="22"/>
        </w:rPr>
        <w:t>A.</w:t>
      </w:r>
      <w:r w:rsidRPr="003576E6">
        <w:rPr>
          <w:sz w:val="22"/>
          <w:szCs w:val="22"/>
        </w:rPr>
        <w:tab/>
        <w:t>MANUFACTUR</w:t>
      </w:r>
      <w:r>
        <w:rPr>
          <w:sz w:val="22"/>
          <w:szCs w:val="22"/>
        </w:rPr>
        <w:t>ER(S)</w:t>
      </w:r>
      <w:r w:rsidR="00031BBD">
        <w:rPr>
          <w:sz w:val="22"/>
          <w:szCs w:val="22"/>
        </w:rPr>
        <w:t xml:space="preserve"> </w:t>
      </w:r>
      <w:r w:rsidRPr="003576E6">
        <w:rPr>
          <w:sz w:val="22"/>
          <w:szCs w:val="22"/>
        </w:rPr>
        <w:t>RESPONSIBLE FOR BATCH RELEASE</w:t>
      </w:r>
    </w:p>
    <w:p w14:paraId="11F18286" w14:textId="77777777" w:rsidR="00D7303D" w:rsidRPr="003576E6" w:rsidRDefault="00D7303D">
      <w:pPr>
        <w:pStyle w:val="EMEANormal"/>
        <w:rPr>
          <w:snapToGrid w:val="0"/>
          <w:szCs w:val="22"/>
          <w:lang w:val="en-GB"/>
        </w:rPr>
      </w:pPr>
    </w:p>
    <w:p w14:paraId="79290F1D" w14:textId="77777777" w:rsidR="00D7303D" w:rsidRPr="003576E6" w:rsidRDefault="00D7303D">
      <w:pPr>
        <w:numPr>
          <w:ilvl w:val="12"/>
          <w:numId w:val="0"/>
        </w:numPr>
        <w:tabs>
          <w:tab w:val="left" w:pos="720"/>
        </w:tabs>
        <w:outlineLvl w:val="0"/>
        <w:rPr>
          <w:sz w:val="22"/>
          <w:szCs w:val="22"/>
          <w:u w:val="single"/>
        </w:rPr>
      </w:pPr>
      <w:r w:rsidRPr="003576E6">
        <w:rPr>
          <w:sz w:val="22"/>
          <w:szCs w:val="22"/>
          <w:u w:val="single"/>
        </w:rPr>
        <w:t>Name and address of the manufacturer(s) responsible for batch release</w:t>
      </w:r>
    </w:p>
    <w:p w14:paraId="3735D3D5" w14:textId="77777777" w:rsidR="00D7303D" w:rsidRPr="003576E6" w:rsidRDefault="00D7303D">
      <w:pPr>
        <w:numPr>
          <w:ilvl w:val="12"/>
          <w:numId w:val="0"/>
        </w:numPr>
        <w:tabs>
          <w:tab w:val="left" w:pos="720"/>
        </w:tabs>
        <w:rPr>
          <w:sz w:val="22"/>
          <w:szCs w:val="22"/>
        </w:rPr>
      </w:pPr>
    </w:p>
    <w:p w14:paraId="270C5571" w14:textId="77777777" w:rsidR="00D7303D" w:rsidRPr="003576E6" w:rsidRDefault="00D7303D">
      <w:pPr>
        <w:jc w:val="both"/>
        <w:rPr>
          <w:sz w:val="22"/>
          <w:szCs w:val="22"/>
        </w:rPr>
      </w:pPr>
      <w:r w:rsidRPr="003576E6">
        <w:rPr>
          <w:sz w:val="22"/>
          <w:szCs w:val="22"/>
          <w:u w:val="single"/>
        </w:rPr>
        <w:t>Kaletra oral solution:</w:t>
      </w:r>
    </w:p>
    <w:p w14:paraId="0CA51E16" w14:textId="6BD13DE5" w:rsidR="00A3479B" w:rsidRDefault="00A3479B">
      <w:pPr>
        <w:jc w:val="both"/>
        <w:rPr>
          <w:sz w:val="22"/>
          <w:szCs w:val="22"/>
        </w:rPr>
      </w:pPr>
      <w:r w:rsidRPr="00A3479B">
        <w:rPr>
          <w:sz w:val="22"/>
          <w:szCs w:val="22"/>
        </w:rPr>
        <w:t>AbbVie Logistics B.V., Zuiderzeelaan 53, 8017 JV Zwolle, The Netherlands</w:t>
      </w:r>
    </w:p>
    <w:p w14:paraId="357FDB0E" w14:textId="7FD00EB5" w:rsidR="001C2D2D" w:rsidRPr="00DA5A89" w:rsidDel="0041288F" w:rsidRDefault="001C2D2D">
      <w:pPr>
        <w:jc w:val="both"/>
        <w:rPr>
          <w:sz w:val="22"/>
          <w:szCs w:val="22"/>
        </w:rPr>
      </w:pPr>
      <w:r w:rsidRPr="00DA5A89" w:rsidDel="0041288F">
        <w:rPr>
          <w:sz w:val="22"/>
          <w:szCs w:val="22"/>
          <w:lang w:val="de-DE"/>
        </w:rPr>
        <w:t xml:space="preserve">AbbVie Deutschland GmbH &amp; Co. KG, </w:t>
      </w:r>
      <w:r w:rsidRPr="00DA5A89" w:rsidDel="0041288F">
        <w:rPr>
          <w:snapToGrid w:val="0"/>
          <w:sz w:val="22"/>
          <w:szCs w:val="22"/>
          <w:lang w:val="de-DE"/>
        </w:rPr>
        <w:t>Knollstrasse, 67061 Ludwigshafen, Germany</w:t>
      </w:r>
    </w:p>
    <w:p w14:paraId="0503703F" w14:textId="77777777" w:rsidR="00D7303D" w:rsidRPr="003576E6" w:rsidRDefault="00D7303D">
      <w:pPr>
        <w:jc w:val="both"/>
        <w:rPr>
          <w:sz w:val="22"/>
          <w:szCs w:val="22"/>
        </w:rPr>
      </w:pPr>
    </w:p>
    <w:p w14:paraId="6FF5D14A" w14:textId="01290AAF" w:rsidR="00D7303D" w:rsidRPr="002B2400" w:rsidRDefault="00D7303D">
      <w:pPr>
        <w:jc w:val="both"/>
        <w:rPr>
          <w:sz w:val="22"/>
          <w:szCs w:val="22"/>
          <w:u w:val="single"/>
          <w:lang w:val="de-DE"/>
        </w:rPr>
      </w:pPr>
      <w:r w:rsidRPr="002B2400">
        <w:rPr>
          <w:sz w:val="22"/>
          <w:szCs w:val="22"/>
          <w:u w:val="single"/>
          <w:lang w:val="de-DE"/>
        </w:rPr>
        <w:t xml:space="preserve">Kaletra </w:t>
      </w:r>
      <w:r w:rsidR="00A3479B">
        <w:rPr>
          <w:sz w:val="22"/>
          <w:szCs w:val="22"/>
          <w:u w:val="single"/>
          <w:lang w:val="de-DE"/>
        </w:rPr>
        <w:t>200 mg</w:t>
      </w:r>
      <w:r w:rsidR="00B6088D">
        <w:rPr>
          <w:sz w:val="22"/>
          <w:szCs w:val="22"/>
          <w:u w:val="single"/>
          <w:lang w:val="de-DE"/>
        </w:rPr>
        <w:t>/50 mg</w:t>
      </w:r>
      <w:r w:rsidR="00A3479B">
        <w:rPr>
          <w:sz w:val="22"/>
          <w:szCs w:val="22"/>
          <w:u w:val="single"/>
          <w:lang w:val="de-DE"/>
        </w:rPr>
        <w:t xml:space="preserve"> </w:t>
      </w:r>
      <w:r w:rsidRPr="002B2400">
        <w:rPr>
          <w:sz w:val="22"/>
          <w:szCs w:val="22"/>
          <w:u w:val="single"/>
          <w:lang w:val="de-DE"/>
        </w:rPr>
        <w:t>film-coated tablets</w:t>
      </w:r>
      <w:r w:rsidR="00A3479B">
        <w:rPr>
          <w:sz w:val="22"/>
          <w:szCs w:val="22"/>
          <w:u w:val="single"/>
          <w:lang w:val="de-DE"/>
        </w:rPr>
        <w:t xml:space="preserve"> and </w:t>
      </w:r>
      <w:r w:rsidR="00A3479B" w:rsidRPr="002B2400">
        <w:rPr>
          <w:sz w:val="22"/>
          <w:szCs w:val="22"/>
          <w:u w:val="single"/>
          <w:lang w:val="de-DE"/>
        </w:rPr>
        <w:t xml:space="preserve">Kaletra </w:t>
      </w:r>
      <w:r w:rsidR="00A3479B">
        <w:rPr>
          <w:sz w:val="22"/>
          <w:szCs w:val="22"/>
          <w:u w:val="single"/>
          <w:lang w:val="de-DE"/>
        </w:rPr>
        <w:t xml:space="preserve">100 mg/25 mg </w:t>
      </w:r>
      <w:r w:rsidR="00A3479B" w:rsidRPr="002B2400">
        <w:rPr>
          <w:sz w:val="22"/>
          <w:szCs w:val="22"/>
          <w:u w:val="single"/>
          <w:lang w:val="de-DE"/>
        </w:rPr>
        <w:t>film-coated tablets</w:t>
      </w:r>
      <w:r w:rsidRPr="002B2400">
        <w:rPr>
          <w:sz w:val="22"/>
          <w:szCs w:val="22"/>
          <w:u w:val="single"/>
          <w:lang w:val="de-DE"/>
        </w:rPr>
        <w:t>:</w:t>
      </w:r>
    </w:p>
    <w:p w14:paraId="446AEAC2" w14:textId="77777777" w:rsidR="00D7303D" w:rsidRPr="002B2400" w:rsidRDefault="00D7303D">
      <w:pPr>
        <w:jc w:val="both"/>
        <w:rPr>
          <w:snapToGrid w:val="0"/>
          <w:sz w:val="22"/>
          <w:szCs w:val="22"/>
          <w:lang w:val="de-DE"/>
        </w:rPr>
      </w:pPr>
      <w:r w:rsidRPr="002B2400">
        <w:rPr>
          <w:sz w:val="22"/>
          <w:szCs w:val="22"/>
          <w:lang w:val="de-DE"/>
        </w:rPr>
        <w:t xml:space="preserve">AbbVie Deutschland GmbH &amp; Co. KG, </w:t>
      </w:r>
      <w:r w:rsidRPr="002B2400">
        <w:rPr>
          <w:snapToGrid w:val="0"/>
          <w:sz w:val="22"/>
          <w:szCs w:val="22"/>
          <w:lang w:val="de-DE"/>
        </w:rPr>
        <w:t>Knollstrasse, 67061 Ludwigshafen, Germany</w:t>
      </w:r>
    </w:p>
    <w:p w14:paraId="54BCFD73" w14:textId="77777777" w:rsidR="00D7303D" w:rsidRPr="002B2400" w:rsidRDefault="00D7303D">
      <w:pPr>
        <w:jc w:val="both"/>
        <w:rPr>
          <w:snapToGrid w:val="0"/>
          <w:sz w:val="22"/>
          <w:szCs w:val="22"/>
          <w:lang w:val="de-DE"/>
        </w:rPr>
      </w:pPr>
    </w:p>
    <w:p w14:paraId="715410F9" w14:textId="77777777" w:rsidR="00D7303D" w:rsidRPr="003576E6" w:rsidRDefault="00D7303D" w:rsidP="00500392">
      <w:pPr>
        <w:jc w:val="both"/>
        <w:rPr>
          <w:bCs/>
          <w:snapToGrid w:val="0"/>
          <w:sz w:val="22"/>
          <w:szCs w:val="22"/>
          <w:u w:val="single"/>
        </w:rPr>
      </w:pPr>
      <w:r w:rsidRPr="003576E6">
        <w:rPr>
          <w:bCs/>
          <w:snapToGrid w:val="0"/>
          <w:sz w:val="22"/>
          <w:szCs w:val="22"/>
          <w:u w:val="single"/>
        </w:rPr>
        <w:t>Kaletra 200 mg/50 mg film-coated tablets:</w:t>
      </w:r>
    </w:p>
    <w:p w14:paraId="411C0563" w14:textId="77777777" w:rsidR="00D7303D" w:rsidRPr="003576E6" w:rsidRDefault="00D7303D" w:rsidP="00500392">
      <w:pPr>
        <w:jc w:val="both"/>
        <w:rPr>
          <w:bCs/>
          <w:sz w:val="22"/>
          <w:szCs w:val="22"/>
        </w:rPr>
      </w:pPr>
      <w:r w:rsidRPr="003576E6">
        <w:rPr>
          <w:bCs/>
          <w:sz w:val="22"/>
          <w:szCs w:val="22"/>
        </w:rPr>
        <w:t xml:space="preserve">Fournier Laboratories Ireland Limited, Carrigtwohill Business Park, Anngrove, Carrigtwohill, Co. </w:t>
      </w:r>
      <w:smartTag w:uri="urn:schemas-microsoft-com:office:smarttags" w:element="place">
        <w:smartTag w:uri="urn:schemas-microsoft-com:office:smarttags" w:element="City">
          <w:r w:rsidRPr="003576E6">
            <w:rPr>
              <w:bCs/>
              <w:sz w:val="22"/>
              <w:szCs w:val="22"/>
            </w:rPr>
            <w:t>Cork</w:t>
          </w:r>
        </w:smartTag>
        <w:r w:rsidRPr="003576E6">
          <w:rPr>
            <w:bCs/>
            <w:sz w:val="22"/>
            <w:szCs w:val="22"/>
          </w:rPr>
          <w:t xml:space="preserve">, </w:t>
        </w:r>
        <w:smartTag w:uri="urn:schemas-microsoft-com:office:smarttags" w:element="country-region">
          <w:r w:rsidRPr="003576E6">
            <w:rPr>
              <w:bCs/>
              <w:sz w:val="22"/>
              <w:szCs w:val="22"/>
            </w:rPr>
            <w:t>Ireland</w:t>
          </w:r>
        </w:smartTag>
      </w:smartTag>
    </w:p>
    <w:p w14:paraId="6B077437" w14:textId="77777777" w:rsidR="00D7303D" w:rsidRPr="003576E6" w:rsidRDefault="00D7303D">
      <w:pPr>
        <w:pStyle w:val="EMEANormal"/>
        <w:rPr>
          <w:b/>
          <w:szCs w:val="22"/>
          <w:lang w:val="en-GB"/>
        </w:rPr>
      </w:pPr>
    </w:p>
    <w:p w14:paraId="1802463D" w14:textId="77777777" w:rsidR="00D7303D" w:rsidRPr="003576E6" w:rsidRDefault="00D7303D">
      <w:pPr>
        <w:pStyle w:val="EMEANormal"/>
        <w:rPr>
          <w:szCs w:val="22"/>
          <w:lang w:val="en-GB"/>
        </w:rPr>
      </w:pPr>
      <w:r w:rsidRPr="003576E6">
        <w:rPr>
          <w:szCs w:val="22"/>
          <w:lang w:val="en-GB"/>
        </w:rPr>
        <w:t>The printed package leaflet of the medicinal product must state the name and address of the manufacturer responsible for the release of the concerned batch.</w:t>
      </w:r>
    </w:p>
    <w:p w14:paraId="2A4D4723" w14:textId="77777777" w:rsidR="00D7303D" w:rsidRPr="003576E6" w:rsidRDefault="00D7303D">
      <w:pPr>
        <w:pStyle w:val="EMEANormal"/>
        <w:rPr>
          <w:szCs w:val="22"/>
          <w:lang w:val="en-GB"/>
        </w:rPr>
      </w:pPr>
    </w:p>
    <w:p w14:paraId="71AECD4C" w14:textId="77777777" w:rsidR="00D7303D" w:rsidRPr="003576E6" w:rsidRDefault="00D7303D">
      <w:pPr>
        <w:pStyle w:val="EMEANormal"/>
        <w:rPr>
          <w:szCs w:val="22"/>
          <w:lang w:val="en-GB"/>
        </w:rPr>
      </w:pPr>
    </w:p>
    <w:p w14:paraId="5A06D6AB" w14:textId="77777777" w:rsidR="00D7303D" w:rsidRPr="003576E6" w:rsidRDefault="00D7303D" w:rsidP="005C57F6">
      <w:pPr>
        <w:pStyle w:val="BMLeftAligned"/>
        <w:rPr>
          <w:rFonts w:eastAsia="Arial Unicode MS"/>
          <w:sz w:val="22"/>
          <w:szCs w:val="22"/>
        </w:rPr>
      </w:pPr>
      <w:r w:rsidRPr="003576E6">
        <w:rPr>
          <w:sz w:val="22"/>
          <w:szCs w:val="22"/>
        </w:rPr>
        <w:t>B.</w:t>
      </w:r>
      <w:r w:rsidRPr="003576E6">
        <w:rPr>
          <w:sz w:val="22"/>
          <w:szCs w:val="22"/>
        </w:rPr>
        <w:tab/>
        <w:t xml:space="preserve">CONDITIONS </w:t>
      </w:r>
      <w:r w:rsidRPr="003576E6">
        <w:rPr>
          <w:bCs/>
          <w:sz w:val="22"/>
          <w:szCs w:val="22"/>
        </w:rPr>
        <w:t>OR RESTRICTIONS REGARDING SUPPLY AND USE</w:t>
      </w:r>
    </w:p>
    <w:p w14:paraId="536633EA" w14:textId="77777777" w:rsidR="00D7303D" w:rsidRPr="003576E6" w:rsidRDefault="00D7303D">
      <w:pPr>
        <w:pStyle w:val="EMEANormal"/>
        <w:tabs>
          <w:tab w:val="left" w:pos="600"/>
        </w:tabs>
        <w:ind w:left="600" w:hanging="600"/>
        <w:rPr>
          <w:szCs w:val="22"/>
          <w:lang w:val="en-GB"/>
        </w:rPr>
      </w:pPr>
    </w:p>
    <w:p w14:paraId="12E27107" w14:textId="77777777" w:rsidR="00D7303D" w:rsidRPr="003576E6" w:rsidRDefault="00D7303D">
      <w:pPr>
        <w:pStyle w:val="EMEANormal"/>
        <w:tabs>
          <w:tab w:val="clear" w:pos="562"/>
        </w:tabs>
        <w:rPr>
          <w:szCs w:val="22"/>
          <w:lang w:val="en-GB"/>
        </w:rPr>
      </w:pPr>
      <w:r w:rsidRPr="003576E6">
        <w:rPr>
          <w:szCs w:val="22"/>
          <w:lang w:val="en-GB"/>
        </w:rPr>
        <w:t>Medicinal product subject to medical prescription.</w:t>
      </w:r>
    </w:p>
    <w:p w14:paraId="1416C4EE" w14:textId="77777777" w:rsidR="00D7303D" w:rsidRDefault="00D7303D">
      <w:pPr>
        <w:tabs>
          <w:tab w:val="left" w:pos="600"/>
        </w:tabs>
        <w:ind w:left="600" w:hanging="600"/>
        <w:rPr>
          <w:sz w:val="22"/>
          <w:szCs w:val="22"/>
        </w:rPr>
      </w:pPr>
    </w:p>
    <w:p w14:paraId="488D9875" w14:textId="77777777" w:rsidR="00D7303D" w:rsidRPr="003576E6" w:rsidRDefault="00D7303D">
      <w:pPr>
        <w:tabs>
          <w:tab w:val="left" w:pos="600"/>
        </w:tabs>
        <w:ind w:left="600" w:hanging="600"/>
        <w:rPr>
          <w:sz w:val="22"/>
          <w:szCs w:val="22"/>
        </w:rPr>
      </w:pPr>
    </w:p>
    <w:p w14:paraId="7B1E8A9B" w14:textId="77777777" w:rsidR="00D7303D" w:rsidRPr="00EB298C" w:rsidRDefault="00266A4D" w:rsidP="00CC30D0">
      <w:pPr>
        <w:pStyle w:val="BMLeftAligned"/>
        <w:ind w:left="567" w:hanging="567"/>
        <w:rPr>
          <w:bCs/>
          <w:sz w:val="22"/>
        </w:rPr>
      </w:pPr>
      <w:r>
        <w:rPr>
          <w:bCs/>
          <w:sz w:val="22"/>
        </w:rPr>
        <w:t>C.</w:t>
      </w:r>
      <w:r w:rsidR="00D7303D" w:rsidRPr="00EB298C">
        <w:rPr>
          <w:bCs/>
          <w:sz w:val="22"/>
        </w:rPr>
        <w:tab/>
        <w:t>OTHER CONDITIONS AND REQUIREMENTS OF THE MARKETING AUTHORISATION</w:t>
      </w:r>
    </w:p>
    <w:p w14:paraId="5DB84ECC" w14:textId="77777777" w:rsidR="00D7303D" w:rsidRPr="00342F7C" w:rsidRDefault="00D7303D">
      <w:pPr>
        <w:rPr>
          <w:b/>
          <w:bCs/>
          <w:sz w:val="22"/>
          <w:szCs w:val="20"/>
        </w:rPr>
      </w:pPr>
    </w:p>
    <w:p w14:paraId="02B3D6EF" w14:textId="77777777" w:rsidR="00D7303D" w:rsidRPr="000E04C3" w:rsidRDefault="00D7303D" w:rsidP="0052761E">
      <w:pPr>
        <w:pStyle w:val="Heading4"/>
        <w:numPr>
          <w:ilvl w:val="0"/>
          <w:numId w:val="17"/>
        </w:numPr>
        <w:tabs>
          <w:tab w:val="clear" w:pos="600"/>
          <w:tab w:val="left" w:pos="567"/>
        </w:tabs>
        <w:ind w:left="567" w:hanging="567"/>
        <w:rPr>
          <w:b/>
          <w:i w:val="0"/>
        </w:rPr>
      </w:pPr>
      <w:r w:rsidRPr="000E04C3">
        <w:rPr>
          <w:b/>
          <w:i w:val="0"/>
        </w:rPr>
        <w:t xml:space="preserve">Periodic </w:t>
      </w:r>
      <w:r w:rsidR="00C56AE6">
        <w:rPr>
          <w:b/>
          <w:i w:val="0"/>
        </w:rPr>
        <w:t>s</w:t>
      </w:r>
      <w:r w:rsidRPr="000E04C3">
        <w:rPr>
          <w:b/>
          <w:i w:val="0"/>
        </w:rPr>
        <w:t xml:space="preserve">afety </w:t>
      </w:r>
      <w:r w:rsidR="00C56AE6">
        <w:rPr>
          <w:b/>
          <w:i w:val="0"/>
        </w:rPr>
        <w:t>u</w:t>
      </w:r>
      <w:r w:rsidRPr="000E04C3">
        <w:rPr>
          <w:b/>
          <w:i w:val="0"/>
        </w:rPr>
        <w:t xml:space="preserve">pdate </w:t>
      </w:r>
      <w:r w:rsidR="00C56AE6">
        <w:rPr>
          <w:b/>
          <w:i w:val="0"/>
        </w:rPr>
        <w:t>r</w:t>
      </w:r>
      <w:r w:rsidRPr="000E04C3">
        <w:rPr>
          <w:b/>
          <w:i w:val="0"/>
        </w:rPr>
        <w:t>eports</w:t>
      </w:r>
      <w:r w:rsidR="00C56AE6">
        <w:rPr>
          <w:b/>
          <w:i w:val="0"/>
        </w:rPr>
        <w:t xml:space="preserve"> (PSURs)</w:t>
      </w:r>
    </w:p>
    <w:p w14:paraId="484934BD" w14:textId="77777777" w:rsidR="00D7303D" w:rsidRPr="00342F7C" w:rsidRDefault="00D7303D" w:rsidP="00CC30D0">
      <w:pPr>
        <w:tabs>
          <w:tab w:val="left" w:pos="600"/>
        </w:tabs>
        <w:ind w:left="600" w:hanging="600"/>
        <w:rPr>
          <w:sz w:val="22"/>
        </w:rPr>
      </w:pPr>
    </w:p>
    <w:p w14:paraId="3B790D0E" w14:textId="77777777" w:rsidR="00D7303D" w:rsidRDefault="00D7303D" w:rsidP="00CC30D0">
      <w:pPr>
        <w:rPr>
          <w:sz w:val="22"/>
        </w:rPr>
      </w:pPr>
      <w:r w:rsidRPr="00342F7C">
        <w:rPr>
          <w:sz w:val="22"/>
        </w:rPr>
        <w:t xml:space="preserve">The </w:t>
      </w:r>
      <w:r>
        <w:rPr>
          <w:sz w:val="22"/>
        </w:rPr>
        <w:t xml:space="preserve">requirements </w:t>
      </w:r>
      <w:r w:rsidR="00444801">
        <w:rPr>
          <w:sz w:val="22"/>
        </w:rPr>
        <w:t xml:space="preserve">for submission of </w:t>
      </w:r>
      <w:r w:rsidR="00C56AE6">
        <w:rPr>
          <w:sz w:val="22"/>
        </w:rPr>
        <w:t xml:space="preserve">PSURs </w:t>
      </w:r>
      <w:r w:rsidR="00444801">
        <w:rPr>
          <w:sz w:val="22"/>
        </w:rPr>
        <w:t xml:space="preserve">for this medicinal product are </w:t>
      </w:r>
      <w:r>
        <w:rPr>
          <w:sz w:val="22"/>
        </w:rPr>
        <w:t xml:space="preserve">set out in the list of Union reference dates (EURD list) provided for under Article 107c(7) of Directive 2001/83/EC and </w:t>
      </w:r>
      <w:r w:rsidR="00070290">
        <w:rPr>
          <w:sz w:val="22"/>
        </w:rPr>
        <w:t xml:space="preserve">any subsequent updates </w:t>
      </w:r>
      <w:r>
        <w:rPr>
          <w:sz w:val="22"/>
        </w:rPr>
        <w:t>published on the European medicines web</w:t>
      </w:r>
      <w:r>
        <w:rPr>
          <w:sz w:val="22"/>
        </w:rPr>
        <w:noBreakHyphen/>
        <w:t>portal.</w:t>
      </w:r>
    </w:p>
    <w:p w14:paraId="2DF6AD20" w14:textId="77777777" w:rsidR="00D7303D" w:rsidRDefault="00D7303D" w:rsidP="00CC30D0">
      <w:pPr>
        <w:rPr>
          <w:sz w:val="22"/>
        </w:rPr>
      </w:pPr>
    </w:p>
    <w:p w14:paraId="6B5C72B3" w14:textId="77777777" w:rsidR="00D7303D" w:rsidRDefault="00D7303D" w:rsidP="00CC30D0">
      <w:pPr>
        <w:rPr>
          <w:sz w:val="22"/>
        </w:rPr>
      </w:pPr>
    </w:p>
    <w:p w14:paraId="54A92135" w14:textId="77777777" w:rsidR="00D7303D" w:rsidRPr="00EB298C" w:rsidRDefault="00266A4D" w:rsidP="00CC30D0">
      <w:pPr>
        <w:pStyle w:val="BMLeftAligned"/>
        <w:ind w:left="567" w:hanging="567"/>
        <w:rPr>
          <w:bCs/>
          <w:sz w:val="22"/>
        </w:rPr>
      </w:pPr>
      <w:r>
        <w:rPr>
          <w:bCs/>
          <w:sz w:val="22"/>
        </w:rPr>
        <w:t>D.</w:t>
      </w:r>
      <w:r w:rsidR="00D7303D" w:rsidRPr="00EB298C">
        <w:rPr>
          <w:bCs/>
          <w:sz w:val="22"/>
        </w:rPr>
        <w:tab/>
        <w:t xml:space="preserve">CONDITIONS OR RESTRICTIONS WITH REGARD TO THE SAFE AND EFFECTIVE USE OF THE MEDICINAL PRODUCT </w:t>
      </w:r>
    </w:p>
    <w:p w14:paraId="776BC28C" w14:textId="77777777" w:rsidR="00D7303D" w:rsidRDefault="00D7303D" w:rsidP="00CC30D0">
      <w:pPr>
        <w:pStyle w:val="Default"/>
        <w:rPr>
          <w:sz w:val="22"/>
          <w:szCs w:val="22"/>
        </w:rPr>
      </w:pPr>
    </w:p>
    <w:p w14:paraId="7C135BF5" w14:textId="77777777" w:rsidR="00D7303D" w:rsidRDefault="00D7303D" w:rsidP="0052761E">
      <w:pPr>
        <w:pStyle w:val="Default"/>
        <w:numPr>
          <w:ilvl w:val="0"/>
          <w:numId w:val="17"/>
        </w:numPr>
        <w:tabs>
          <w:tab w:val="left" w:pos="567"/>
        </w:tabs>
        <w:ind w:left="567" w:hanging="567"/>
        <w:rPr>
          <w:sz w:val="22"/>
          <w:szCs w:val="22"/>
        </w:rPr>
      </w:pPr>
      <w:r>
        <w:rPr>
          <w:b/>
          <w:bCs/>
          <w:sz w:val="22"/>
          <w:szCs w:val="22"/>
        </w:rPr>
        <w:t xml:space="preserve">Risk </w:t>
      </w:r>
      <w:r w:rsidR="00C56AE6">
        <w:rPr>
          <w:b/>
          <w:bCs/>
          <w:sz w:val="22"/>
          <w:szCs w:val="22"/>
        </w:rPr>
        <w:t>m</w:t>
      </w:r>
      <w:r>
        <w:rPr>
          <w:b/>
          <w:bCs/>
          <w:sz w:val="22"/>
          <w:szCs w:val="22"/>
        </w:rPr>
        <w:t xml:space="preserve">anagement </w:t>
      </w:r>
      <w:r w:rsidR="00C56AE6">
        <w:rPr>
          <w:b/>
          <w:bCs/>
          <w:sz w:val="22"/>
          <w:szCs w:val="22"/>
        </w:rPr>
        <w:t>p</w:t>
      </w:r>
      <w:r>
        <w:rPr>
          <w:b/>
          <w:bCs/>
          <w:sz w:val="22"/>
          <w:szCs w:val="22"/>
        </w:rPr>
        <w:t xml:space="preserve">lan (RMP) </w:t>
      </w:r>
    </w:p>
    <w:p w14:paraId="0DBBC3D0" w14:textId="77777777" w:rsidR="00D7303D" w:rsidRPr="00342F7C" w:rsidRDefault="00D7303D" w:rsidP="00CC30D0">
      <w:pPr>
        <w:rPr>
          <w:sz w:val="22"/>
        </w:rPr>
      </w:pPr>
    </w:p>
    <w:p w14:paraId="7753B523" w14:textId="77777777" w:rsidR="00D7303D" w:rsidRDefault="00D7303D">
      <w:pPr>
        <w:pStyle w:val="EMEAHeadingItalic"/>
        <w:tabs>
          <w:tab w:val="clear" w:pos="562"/>
        </w:tabs>
        <w:suppressAutoHyphens w:val="0"/>
        <w:spacing w:beforeLines="0" w:before="0" w:afterLines="0" w:after="0"/>
        <w:rPr>
          <w:i w:val="0"/>
          <w:szCs w:val="22"/>
        </w:rPr>
      </w:pPr>
      <w:r w:rsidRPr="003576E6">
        <w:rPr>
          <w:i w:val="0"/>
          <w:szCs w:val="22"/>
        </w:rPr>
        <w:t xml:space="preserve">The </w:t>
      </w:r>
      <w:r w:rsidR="00C56AE6">
        <w:rPr>
          <w:i w:val="0"/>
          <w:szCs w:val="22"/>
        </w:rPr>
        <w:t>marketing authorisation holder (</w:t>
      </w:r>
      <w:r w:rsidRPr="003576E6">
        <w:rPr>
          <w:i w:val="0"/>
          <w:szCs w:val="22"/>
        </w:rPr>
        <w:t>MAH</w:t>
      </w:r>
      <w:r w:rsidR="00C56AE6">
        <w:rPr>
          <w:i w:val="0"/>
          <w:szCs w:val="22"/>
        </w:rPr>
        <w:t>)</w:t>
      </w:r>
      <w:r w:rsidRPr="003576E6">
        <w:rPr>
          <w:i w:val="0"/>
          <w:szCs w:val="22"/>
        </w:rPr>
        <w:t xml:space="preserve"> shall perform the required pharmacovigilance activities and interventions detailed in the agreed RMP presented in Module 1.8.2 of the </w:t>
      </w:r>
      <w:r w:rsidR="00C56AE6">
        <w:rPr>
          <w:i w:val="0"/>
          <w:szCs w:val="22"/>
        </w:rPr>
        <w:t>m</w:t>
      </w:r>
      <w:r w:rsidRPr="003576E6">
        <w:rPr>
          <w:i w:val="0"/>
          <w:szCs w:val="22"/>
        </w:rPr>
        <w:t xml:space="preserve">arketing </w:t>
      </w:r>
      <w:r w:rsidR="00C56AE6">
        <w:rPr>
          <w:i w:val="0"/>
          <w:szCs w:val="22"/>
        </w:rPr>
        <w:t>a</w:t>
      </w:r>
      <w:r w:rsidRPr="003576E6">
        <w:rPr>
          <w:i w:val="0"/>
          <w:szCs w:val="22"/>
        </w:rPr>
        <w:t>uthorisation and any agreed subsequent updates of the RMP.</w:t>
      </w:r>
    </w:p>
    <w:p w14:paraId="6158F0DB" w14:textId="77777777" w:rsidR="00D7303D" w:rsidRDefault="00D7303D" w:rsidP="00CC30D0">
      <w:pPr>
        <w:pStyle w:val="EMEANormal"/>
      </w:pPr>
    </w:p>
    <w:p w14:paraId="2C1CE630" w14:textId="77777777" w:rsidR="00D7303D" w:rsidRPr="00A67A14" w:rsidRDefault="003B4CB6" w:rsidP="00070290">
      <w:pPr>
        <w:autoSpaceDE w:val="0"/>
        <w:autoSpaceDN w:val="0"/>
        <w:adjustRightInd w:val="0"/>
      </w:pPr>
      <w:r>
        <w:t>A</w:t>
      </w:r>
      <w:r w:rsidR="00D7303D">
        <w:t>n updated RMP should be submitted:</w:t>
      </w:r>
    </w:p>
    <w:p w14:paraId="6BB7971A" w14:textId="77777777" w:rsidR="00D7303D" w:rsidRDefault="00D7303D" w:rsidP="0052761E">
      <w:pPr>
        <w:numPr>
          <w:ilvl w:val="0"/>
          <w:numId w:val="17"/>
        </w:numPr>
        <w:tabs>
          <w:tab w:val="left" w:pos="709"/>
        </w:tabs>
        <w:autoSpaceDE w:val="0"/>
        <w:autoSpaceDN w:val="0"/>
        <w:adjustRightInd w:val="0"/>
        <w:spacing w:after="28"/>
        <w:rPr>
          <w:color w:val="000000"/>
          <w:sz w:val="22"/>
          <w:szCs w:val="22"/>
          <w:lang w:eastAsia="en-GB"/>
        </w:rPr>
      </w:pPr>
      <w:r w:rsidRPr="00A67A14">
        <w:rPr>
          <w:color w:val="000000"/>
          <w:sz w:val="22"/>
          <w:szCs w:val="22"/>
          <w:lang w:eastAsia="en-GB"/>
        </w:rPr>
        <w:t xml:space="preserve">At the request of the European Medicines Agency; </w:t>
      </w:r>
    </w:p>
    <w:p w14:paraId="7D2CAE36" w14:textId="77777777" w:rsidR="00D7303D" w:rsidRPr="00A67A14" w:rsidRDefault="00D7303D" w:rsidP="0052761E">
      <w:pPr>
        <w:numPr>
          <w:ilvl w:val="0"/>
          <w:numId w:val="17"/>
        </w:numPr>
        <w:tabs>
          <w:tab w:val="left" w:pos="709"/>
        </w:tabs>
        <w:autoSpaceDE w:val="0"/>
        <w:autoSpaceDN w:val="0"/>
        <w:adjustRightInd w:val="0"/>
        <w:spacing w:after="28"/>
        <w:rPr>
          <w:color w:val="000000"/>
          <w:sz w:val="22"/>
          <w:szCs w:val="22"/>
          <w:lang w:eastAsia="en-GB"/>
        </w:rPr>
      </w:pPr>
      <w:r w:rsidRPr="00A67A14">
        <w:rPr>
          <w:color w:val="000000"/>
          <w:sz w:val="22"/>
          <w:szCs w:val="22"/>
          <w:lang w:eastAsia="en-GB"/>
        </w:rPr>
        <w:t xml:space="preserve">Whenever the risk management system is modified, especially as the result of new information being received that may lead to a significant change to the benefit/risk profile or as the result of an important (pharmacovigilance or risk minimisation) milestone being reached. </w:t>
      </w:r>
    </w:p>
    <w:p w14:paraId="362451DE" w14:textId="77777777" w:rsidR="003B4CB6" w:rsidRDefault="003B4CB6" w:rsidP="00CC30D0">
      <w:pPr>
        <w:pStyle w:val="EMEANormal"/>
        <w:rPr>
          <w:iCs/>
          <w:lang w:val="en-GB"/>
        </w:rPr>
      </w:pPr>
    </w:p>
    <w:p w14:paraId="2A657C0E" w14:textId="77777777" w:rsidR="00D7303D" w:rsidRDefault="00D7303D" w:rsidP="00CC30D0">
      <w:pPr>
        <w:pStyle w:val="Default"/>
        <w:rPr>
          <w:sz w:val="22"/>
          <w:szCs w:val="22"/>
        </w:rPr>
      </w:pPr>
    </w:p>
    <w:p w14:paraId="1254E6BA" w14:textId="77777777" w:rsidR="00D7303D" w:rsidRPr="00342F7C" w:rsidRDefault="00D7303D">
      <w:pPr>
        <w:pStyle w:val="EMEANormal"/>
        <w:rPr>
          <w:lang w:val="en-GB"/>
        </w:rPr>
      </w:pPr>
    </w:p>
    <w:p w14:paraId="5E24258A" w14:textId="77777777" w:rsidR="00D7303D" w:rsidRPr="00342F7C" w:rsidRDefault="00D7303D">
      <w:pPr>
        <w:pStyle w:val="EMEANormal"/>
        <w:rPr>
          <w:lang w:val="en-GB"/>
        </w:rPr>
      </w:pPr>
    </w:p>
    <w:p w14:paraId="2BC11346" w14:textId="77777777" w:rsidR="00D7303D" w:rsidRPr="00342F7C" w:rsidRDefault="00D7303D">
      <w:pPr>
        <w:pStyle w:val="EMEANormal"/>
        <w:rPr>
          <w:lang w:val="en-GB"/>
        </w:rPr>
      </w:pPr>
    </w:p>
    <w:p w14:paraId="290D2CBD" w14:textId="77777777" w:rsidR="00277ECB" w:rsidRPr="00342F7C" w:rsidRDefault="00D7303D">
      <w:pPr>
        <w:pStyle w:val="EMEANormal"/>
        <w:rPr>
          <w:lang w:val="en-GB"/>
        </w:rPr>
      </w:pPr>
      <w:r>
        <w:rPr>
          <w:lang w:val="en-GB"/>
        </w:rPr>
        <w:br w:type="page"/>
      </w:r>
    </w:p>
    <w:p w14:paraId="797A0CFF" w14:textId="77777777" w:rsidR="00277ECB" w:rsidRPr="00342F7C" w:rsidRDefault="00277ECB">
      <w:pPr>
        <w:pStyle w:val="EMEANormal"/>
        <w:rPr>
          <w:lang w:val="en-GB"/>
        </w:rPr>
      </w:pPr>
    </w:p>
    <w:p w14:paraId="5A5197A2" w14:textId="77777777" w:rsidR="00277ECB" w:rsidRPr="00342F7C" w:rsidRDefault="00277ECB">
      <w:pPr>
        <w:pStyle w:val="EMEANormal"/>
        <w:rPr>
          <w:lang w:val="en-GB"/>
        </w:rPr>
      </w:pPr>
    </w:p>
    <w:p w14:paraId="07330B94" w14:textId="77777777" w:rsidR="00277ECB" w:rsidRPr="00342F7C" w:rsidRDefault="00277ECB">
      <w:pPr>
        <w:pStyle w:val="EMEANormal"/>
        <w:rPr>
          <w:lang w:val="en-GB"/>
        </w:rPr>
      </w:pPr>
    </w:p>
    <w:p w14:paraId="4C4FEB8E" w14:textId="77777777" w:rsidR="00277ECB" w:rsidRPr="00342F7C" w:rsidRDefault="00277ECB">
      <w:pPr>
        <w:pStyle w:val="EMEANormal"/>
        <w:rPr>
          <w:lang w:val="en-GB"/>
        </w:rPr>
      </w:pPr>
    </w:p>
    <w:p w14:paraId="310C88AB" w14:textId="77777777" w:rsidR="00277ECB" w:rsidRPr="00342F7C" w:rsidRDefault="00277ECB">
      <w:pPr>
        <w:pStyle w:val="EMEANormal"/>
        <w:rPr>
          <w:lang w:val="en-GB"/>
        </w:rPr>
      </w:pPr>
    </w:p>
    <w:p w14:paraId="48E3D90B" w14:textId="77777777" w:rsidR="00277ECB" w:rsidRPr="00342F7C" w:rsidRDefault="00277ECB">
      <w:pPr>
        <w:pStyle w:val="EMEANormal"/>
        <w:rPr>
          <w:lang w:val="en-GB"/>
        </w:rPr>
      </w:pPr>
    </w:p>
    <w:p w14:paraId="680A5B6D" w14:textId="77777777" w:rsidR="00277ECB" w:rsidRPr="00342F7C" w:rsidRDefault="00277ECB">
      <w:pPr>
        <w:pStyle w:val="EMEANormal"/>
        <w:rPr>
          <w:lang w:val="en-GB"/>
        </w:rPr>
      </w:pPr>
    </w:p>
    <w:p w14:paraId="70625C08" w14:textId="77777777" w:rsidR="00277ECB" w:rsidRPr="00342F7C" w:rsidRDefault="00277ECB">
      <w:pPr>
        <w:pStyle w:val="EMEANormal"/>
        <w:rPr>
          <w:lang w:val="en-GB"/>
        </w:rPr>
      </w:pPr>
    </w:p>
    <w:p w14:paraId="08718D48" w14:textId="77777777" w:rsidR="00277ECB" w:rsidRPr="00342F7C" w:rsidRDefault="00277ECB">
      <w:pPr>
        <w:pStyle w:val="EMEANormal"/>
        <w:rPr>
          <w:lang w:val="en-GB"/>
        </w:rPr>
      </w:pPr>
    </w:p>
    <w:p w14:paraId="0745A5B4" w14:textId="77777777" w:rsidR="00277ECB" w:rsidRPr="00342F7C" w:rsidRDefault="00277ECB">
      <w:pPr>
        <w:pStyle w:val="EMEANormal"/>
        <w:rPr>
          <w:lang w:val="en-GB"/>
        </w:rPr>
      </w:pPr>
    </w:p>
    <w:p w14:paraId="15F293C1" w14:textId="77777777" w:rsidR="00277ECB" w:rsidRPr="00342F7C" w:rsidRDefault="00277ECB">
      <w:pPr>
        <w:pStyle w:val="EMEANormal"/>
        <w:rPr>
          <w:lang w:val="en-GB"/>
        </w:rPr>
      </w:pPr>
    </w:p>
    <w:p w14:paraId="161B10C8" w14:textId="77777777" w:rsidR="00277ECB" w:rsidRPr="00342F7C" w:rsidRDefault="00277ECB">
      <w:pPr>
        <w:pStyle w:val="EMEANormal"/>
        <w:rPr>
          <w:lang w:val="en-GB"/>
        </w:rPr>
      </w:pPr>
    </w:p>
    <w:p w14:paraId="275F8EF1" w14:textId="77777777" w:rsidR="00277ECB" w:rsidRPr="00342F7C" w:rsidRDefault="00277ECB">
      <w:pPr>
        <w:pStyle w:val="EMEANormal"/>
        <w:rPr>
          <w:lang w:val="en-GB"/>
        </w:rPr>
      </w:pPr>
    </w:p>
    <w:p w14:paraId="17FB7591" w14:textId="77777777" w:rsidR="00277ECB" w:rsidRDefault="00277ECB">
      <w:pPr>
        <w:pStyle w:val="EMEANormal"/>
        <w:rPr>
          <w:lang w:val="en-GB"/>
        </w:rPr>
      </w:pPr>
    </w:p>
    <w:p w14:paraId="24D9F021" w14:textId="77777777" w:rsidR="00B23671" w:rsidRPr="00342F7C" w:rsidRDefault="00B23671">
      <w:pPr>
        <w:pStyle w:val="EMEANormal"/>
        <w:rPr>
          <w:lang w:val="en-GB"/>
        </w:rPr>
      </w:pPr>
    </w:p>
    <w:p w14:paraId="57DDDB28" w14:textId="77777777" w:rsidR="00277ECB" w:rsidRPr="00342F7C" w:rsidRDefault="00277ECB">
      <w:pPr>
        <w:pStyle w:val="EMEANormal"/>
        <w:rPr>
          <w:lang w:val="en-GB"/>
        </w:rPr>
      </w:pPr>
    </w:p>
    <w:p w14:paraId="752D7E12" w14:textId="77777777" w:rsidR="00277ECB" w:rsidRPr="00342F7C" w:rsidRDefault="00277ECB">
      <w:pPr>
        <w:pStyle w:val="EMEANormal"/>
        <w:rPr>
          <w:lang w:val="en-GB"/>
        </w:rPr>
      </w:pPr>
    </w:p>
    <w:p w14:paraId="6D4A71FF" w14:textId="77777777" w:rsidR="00277ECB" w:rsidRDefault="00277ECB">
      <w:pPr>
        <w:pStyle w:val="EMEANormal"/>
        <w:rPr>
          <w:lang w:val="en-GB"/>
        </w:rPr>
      </w:pPr>
    </w:p>
    <w:p w14:paraId="5C042E68" w14:textId="77777777" w:rsidR="00047BED" w:rsidRPr="00342F7C" w:rsidRDefault="00047BED">
      <w:pPr>
        <w:pStyle w:val="EMEANormal"/>
        <w:rPr>
          <w:lang w:val="en-GB"/>
        </w:rPr>
      </w:pPr>
    </w:p>
    <w:p w14:paraId="277545D7" w14:textId="77777777" w:rsidR="00277ECB" w:rsidRPr="00342F7C" w:rsidRDefault="00277ECB">
      <w:pPr>
        <w:pStyle w:val="EMEANormal"/>
        <w:rPr>
          <w:lang w:val="en-GB"/>
        </w:rPr>
      </w:pPr>
    </w:p>
    <w:p w14:paraId="59051ED2" w14:textId="77777777" w:rsidR="00277ECB" w:rsidRPr="00342F7C" w:rsidRDefault="00277ECB">
      <w:pPr>
        <w:pStyle w:val="EMEANormal"/>
        <w:rPr>
          <w:lang w:val="en-GB"/>
        </w:rPr>
      </w:pPr>
    </w:p>
    <w:p w14:paraId="347C56B3" w14:textId="77777777" w:rsidR="00277ECB" w:rsidRPr="00342F7C" w:rsidRDefault="00277ECB">
      <w:pPr>
        <w:pStyle w:val="EMEANormal"/>
        <w:rPr>
          <w:lang w:val="en-GB"/>
        </w:rPr>
      </w:pPr>
    </w:p>
    <w:p w14:paraId="2116E6E6" w14:textId="77777777" w:rsidR="00277ECB" w:rsidRPr="00342F7C" w:rsidRDefault="00277ECB">
      <w:pPr>
        <w:pStyle w:val="EMEANormal"/>
        <w:rPr>
          <w:lang w:val="en-GB"/>
        </w:rPr>
      </w:pPr>
    </w:p>
    <w:p w14:paraId="06A4BF2E" w14:textId="77777777" w:rsidR="00277ECB" w:rsidRPr="00342F7C" w:rsidRDefault="00277ECB">
      <w:pPr>
        <w:pStyle w:val="EMEATitle"/>
        <w:rPr>
          <w:rFonts w:ascii="Times New Roman" w:hAnsi="Times New Roman"/>
          <w:bCs/>
          <w:lang w:val="en-GB"/>
        </w:rPr>
      </w:pPr>
      <w:r w:rsidRPr="00342F7C">
        <w:rPr>
          <w:rFonts w:ascii="Times New Roman" w:hAnsi="Times New Roman"/>
          <w:bCs/>
          <w:lang w:val="en-GB"/>
        </w:rPr>
        <w:t>ANNEX III</w:t>
      </w:r>
    </w:p>
    <w:p w14:paraId="7946EEF8" w14:textId="77777777" w:rsidR="00277ECB" w:rsidRPr="00342F7C" w:rsidRDefault="00277ECB">
      <w:pPr>
        <w:pStyle w:val="EMEANormal"/>
        <w:jc w:val="center"/>
        <w:rPr>
          <w:lang w:val="en-GB"/>
        </w:rPr>
      </w:pPr>
    </w:p>
    <w:p w14:paraId="314AA731" w14:textId="77777777" w:rsidR="00277ECB" w:rsidRPr="00342F7C" w:rsidRDefault="00277ECB">
      <w:pPr>
        <w:pStyle w:val="EMEAHeading1Para1"/>
        <w:spacing w:after="240"/>
        <w:jc w:val="center"/>
        <w:rPr>
          <w:rFonts w:ascii="Times New Roman" w:hAnsi="Times New Roman"/>
          <w:lang w:val="en-GB"/>
        </w:rPr>
      </w:pPr>
      <w:r w:rsidRPr="00342F7C">
        <w:rPr>
          <w:rFonts w:ascii="Times New Roman" w:hAnsi="Times New Roman"/>
          <w:bCs/>
          <w:lang w:val="en-GB"/>
        </w:rPr>
        <w:t>LABELLING</w:t>
      </w:r>
      <w:r w:rsidRPr="00342F7C">
        <w:rPr>
          <w:rFonts w:ascii="Times New Roman" w:hAnsi="Times New Roman"/>
          <w:lang w:val="en-GB"/>
        </w:rPr>
        <w:t xml:space="preserve"> AND PACKAGE LEAFLET</w:t>
      </w:r>
    </w:p>
    <w:p w14:paraId="17FCC976" w14:textId="77777777" w:rsidR="00277ECB" w:rsidRPr="00342F7C" w:rsidRDefault="00277ECB">
      <w:pPr>
        <w:pStyle w:val="EMEANormal"/>
        <w:rPr>
          <w:lang w:val="en-GB"/>
        </w:rPr>
      </w:pPr>
      <w:r w:rsidRPr="00342F7C">
        <w:rPr>
          <w:lang w:val="en-GB"/>
        </w:rPr>
        <w:br w:type="page"/>
      </w:r>
    </w:p>
    <w:p w14:paraId="57C9725B" w14:textId="77777777" w:rsidR="00277ECB" w:rsidRPr="00342F7C" w:rsidRDefault="00277ECB">
      <w:pPr>
        <w:pStyle w:val="EMEANormal"/>
        <w:rPr>
          <w:lang w:val="en-GB"/>
        </w:rPr>
      </w:pPr>
    </w:p>
    <w:p w14:paraId="6634F9A1" w14:textId="77777777" w:rsidR="00277ECB" w:rsidRPr="00342F7C" w:rsidRDefault="00277ECB">
      <w:pPr>
        <w:pStyle w:val="EMEANormal"/>
        <w:rPr>
          <w:lang w:val="en-GB"/>
        </w:rPr>
      </w:pPr>
    </w:p>
    <w:p w14:paraId="195976E6" w14:textId="77777777" w:rsidR="00277ECB" w:rsidRPr="00342F7C" w:rsidRDefault="00277ECB">
      <w:pPr>
        <w:pStyle w:val="EMEANormal"/>
        <w:rPr>
          <w:lang w:val="en-GB"/>
        </w:rPr>
      </w:pPr>
    </w:p>
    <w:p w14:paraId="18330E21" w14:textId="77777777" w:rsidR="00277ECB" w:rsidRPr="00342F7C" w:rsidRDefault="00277ECB">
      <w:pPr>
        <w:pStyle w:val="EMEANormal"/>
        <w:rPr>
          <w:lang w:val="en-GB"/>
        </w:rPr>
      </w:pPr>
    </w:p>
    <w:p w14:paraId="79B1C0C8" w14:textId="77777777" w:rsidR="00277ECB" w:rsidRPr="00342F7C" w:rsidRDefault="00277ECB">
      <w:pPr>
        <w:pStyle w:val="EMEANormal"/>
        <w:rPr>
          <w:lang w:val="en-GB"/>
        </w:rPr>
      </w:pPr>
    </w:p>
    <w:p w14:paraId="333DACB9" w14:textId="77777777" w:rsidR="00277ECB" w:rsidRPr="00342F7C" w:rsidRDefault="00277ECB">
      <w:pPr>
        <w:pStyle w:val="EMEANormal"/>
        <w:rPr>
          <w:lang w:val="en-GB"/>
        </w:rPr>
      </w:pPr>
    </w:p>
    <w:p w14:paraId="6017F69E" w14:textId="77777777" w:rsidR="00277ECB" w:rsidRPr="00342F7C" w:rsidRDefault="00277ECB">
      <w:pPr>
        <w:pStyle w:val="EMEANormal"/>
        <w:rPr>
          <w:lang w:val="en-GB"/>
        </w:rPr>
      </w:pPr>
    </w:p>
    <w:p w14:paraId="125CFB32" w14:textId="77777777" w:rsidR="00277ECB" w:rsidRPr="00342F7C" w:rsidRDefault="00277ECB">
      <w:pPr>
        <w:pStyle w:val="EMEANormal"/>
        <w:rPr>
          <w:lang w:val="en-GB"/>
        </w:rPr>
      </w:pPr>
    </w:p>
    <w:p w14:paraId="141D60F1" w14:textId="77777777" w:rsidR="00277ECB" w:rsidRPr="00342F7C" w:rsidRDefault="00277ECB">
      <w:pPr>
        <w:pStyle w:val="EMEANormal"/>
        <w:rPr>
          <w:lang w:val="en-GB"/>
        </w:rPr>
      </w:pPr>
    </w:p>
    <w:p w14:paraId="461CC4BC" w14:textId="77777777" w:rsidR="00277ECB" w:rsidRPr="00342F7C" w:rsidRDefault="00277ECB">
      <w:pPr>
        <w:pStyle w:val="EMEANormal"/>
        <w:rPr>
          <w:lang w:val="en-GB"/>
        </w:rPr>
      </w:pPr>
    </w:p>
    <w:p w14:paraId="58B42933" w14:textId="77777777" w:rsidR="00277ECB" w:rsidRPr="00342F7C" w:rsidRDefault="00277ECB">
      <w:pPr>
        <w:pStyle w:val="EMEANormal"/>
        <w:rPr>
          <w:lang w:val="en-GB"/>
        </w:rPr>
      </w:pPr>
    </w:p>
    <w:p w14:paraId="129D7F9E" w14:textId="77777777" w:rsidR="00277ECB" w:rsidRPr="00342F7C" w:rsidRDefault="00277ECB">
      <w:pPr>
        <w:pStyle w:val="EMEANormal"/>
        <w:rPr>
          <w:lang w:val="en-GB"/>
        </w:rPr>
      </w:pPr>
    </w:p>
    <w:p w14:paraId="3F358E11" w14:textId="77777777" w:rsidR="00277ECB" w:rsidRPr="00342F7C" w:rsidRDefault="00277ECB">
      <w:pPr>
        <w:pStyle w:val="EMEANormal"/>
        <w:rPr>
          <w:lang w:val="en-GB"/>
        </w:rPr>
      </w:pPr>
    </w:p>
    <w:p w14:paraId="0497E876" w14:textId="77777777" w:rsidR="00277ECB" w:rsidRPr="00342F7C" w:rsidRDefault="00277ECB">
      <w:pPr>
        <w:pStyle w:val="EMEANormal"/>
        <w:rPr>
          <w:lang w:val="en-GB"/>
        </w:rPr>
      </w:pPr>
    </w:p>
    <w:p w14:paraId="52BDB8E1" w14:textId="77777777" w:rsidR="00277ECB" w:rsidRPr="00342F7C" w:rsidRDefault="00277ECB">
      <w:pPr>
        <w:pStyle w:val="EMEANormal"/>
        <w:rPr>
          <w:lang w:val="en-GB"/>
        </w:rPr>
      </w:pPr>
    </w:p>
    <w:p w14:paraId="536A6A8D" w14:textId="77777777" w:rsidR="00277ECB" w:rsidRPr="00342F7C" w:rsidRDefault="00277ECB">
      <w:pPr>
        <w:pStyle w:val="EMEANormal"/>
        <w:rPr>
          <w:lang w:val="en-GB"/>
        </w:rPr>
      </w:pPr>
    </w:p>
    <w:p w14:paraId="348682C2" w14:textId="77777777" w:rsidR="00277ECB" w:rsidRDefault="00277ECB">
      <w:pPr>
        <w:pStyle w:val="EMEANormal"/>
        <w:rPr>
          <w:lang w:val="en-GB"/>
        </w:rPr>
      </w:pPr>
    </w:p>
    <w:p w14:paraId="275316A8" w14:textId="77777777" w:rsidR="00B23671" w:rsidRPr="00342F7C" w:rsidRDefault="00B23671">
      <w:pPr>
        <w:pStyle w:val="EMEANormal"/>
        <w:rPr>
          <w:lang w:val="en-GB"/>
        </w:rPr>
      </w:pPr>
    </w:p>
    <w:p w14:paraId="3998FE21" w14:textId="77777777" w:rsidR="00277ECB" w:rsidRPr="00342F7C" w:rsidRDefault="00277ECB">
      <w:pPr>
        <w:pStyle w:val="EMEANormal"/>
        <w:rPr>
          <w:lang w:val="en-GB"/>
        </w:rPr>
      </w:pPr>
    </w:p>
    <w:p w14:paraId="3D59FC53" w14:textId="77777777" w:rsidR="00277ECB" w:rsidRPr="00342F7C" w:rsidRDefault="00277ECB">
      <w:pPr>
        <w:pStyle w:val="EMEANormal"/>
        <w:rPr>
          <w:lang w:val="en-GB"/>
        </w:rPr>
      </w:pPr>
    </w:p>
    <w:p w14:paraId="4031C8CE" w14:textId="77777777" w:rsidR="00277ECB" w:rsidRPr="00342F7C" w:rsidRDefault="00277ECB">
      <w:pPr>
        <w:pStyle w:val="EMEANormal"/>
        <w:rPr>
          <w:lang w:val="en-GB"/>
        </w:rPr>
      </w:pPr>
    </w:p>
    <w:p w14:paraId="50F159B5" w14:textId="77777777" w:rsidR="00277ECB" w:rsidRPr="00342F7C" w:rsidRDefault="00277ECB">
      <w:pPr>
        <w:pStyle w:val="EMEANormal"/>
        <w:rPr>
          <w:lang w:val="en-GB"/>
        </w:rPr>
      </w:pPr>
    </w:p>
    <w:p w14:paraId="560B4A8C" w14:textId="77777777" w:rsidR="00277ECB" w:rsidRPr="00342F7C" w:rsidRDefault="00277ECB">
      <w:pPr>
        <w:pStyle w:val="EMEANormal"/>
        <w:rPr>
          <w:lang w:val="en-GB"/>
        </w:rPr>
      </w:pPr>
    </w:p>
    <w:p w14:paraId="0A37B5E1" w14:textId="77777777" w:rsidR="00277ECB" w:rsidRPr="00342F7C" w:rsidRDefault="00277ECB" w:rsidP="005C57F6">
      <w:pPr>
        <w:pStyle w:val="BMCENTRED"/>
      </w:pPr>
      <w:r w:rsidRPr="00342F7C">
        <w:t>A. LaBELLING</w:t>
      </w:r>
    </w:p>
    <w:p w14:paraId="16492420" w14:textId="77777777" w:rsidR="00277ECB" w:rsidRPr="00342F7C" w:rsidRDefault="00277ECB" w:rsidP="00D8422B">
      <w:pPr>
        <w:pStyle w:val="EMEAHeadingBoxedEmpty"/>
        <w:spacing w:beforeLines="0" w:before="0"/>
        <w:ind w:left="561" w:hanging="561"/>
        <w:rPr>
          <w:rFonts w:ascii="Times New Roman" w:hAnsi="Times New Roman"/>
          <w:lang w:val="en-GB"/>
        </w:rPr>
      </w:pPr>
      <w:r w:rsidRPr="00342F7C">
        <w:rPr>
          <w:rFonts w:ascii="Times New Roman" w:hAnsi="Times New Roman"/>
          <w:lang w:val="en-GB"/>
        </w:rPr>
        <w:br w:type="page"/>
        <w:t xml:space="preserve">PARTICULARS TO APPEAR ON THE OUTER PACKAGING </w:t>
      </w:r>
    </w:p>
    <w:p w14:paraId="0EFB999F" w14:textId="77777777" w:rsidR="00277ECB" w:rsidRPr="00342F7C" w:rsidRDefault="00072354">
      <w:pPr>
        <w:pStyle w:val="EMEAHeadingBoxedTitle"/>
        <w:spacing w:before="240" w:after="0"/>
        <w:ind w:left="601" w:hanging="601"/>
        <w:rPr>
          <w:bCs/>
          <w:caps w:val="0"/>
          <w:lang w:val="en-GB"/>
        </w:rPr>
      </w:pPr>
      <w:r w:rsidRPr="00342F7C">
        <w:rPr>
          <w:bCs/>
          <w:caps w:val="0"/>
          <w:lang w:val="en-GB"/>
        </w:rPr>
        <w:t>O</w:t>
      </w:r>
      <w:r w:rsidR="00277ECB" w:rsidRPr="00342F7C">
        <w:rPr>
          <w:bCs/>
          <w:caps w:val="0"/>
          <w:lang w:val="en-GB"/>
        </w:rPr>
        <w:t xml:space="preserve">ral solution </w:t>
      </w:r>
      <w:r w:rsidR="004F2F47">
        <w:rPr>
          <w:bCs/>
          <w:caps w:val="0"/>
          <w:lang w:val="en-GB"/>
        </w:rPr>
        <w:t>- C</w:t>
      </w:r>
      <w:r w:rsidRPr="00342F7C">
        <w:rPr>
          <w:bCs/>
          <w:caps w:val="0"/>
          <w:lang w:val="en-GB"/>
        </w:rPr>
        <w:t xml:space="preserve">arton </w:t>
      </w:r>
      <w:r w:rsidR="004F2F47">
        <w:rPr>
          <w:caps w:val="0"/>
          <w:lang w:val="en-GB"/>
        </w:rPr>
        <w:t>containing</w:t>
      </w:r>
      <w:r w:rsidR="004F2F47" w:rsidRPr="00342F7C">
        <w:rPr>
          <w:caps w:val="0"/>
          <w:lang w:val="en-GB"/>
        </w:rPr>
        <w:t xml:space="preserve"> </w:t>
      </w:r>
      <w:r w:rsidR="004F2F47">
        <w:rPr>
          <w:caps w:val="0"/>
          <w:lang w:val="en-GB"/>
        </w:rPr>
        <w:t>300 ml</w:t>
      </w:r>
      <w:r w:rsidR="004F2F47" w:rsidRPr="00342F7C">
        <w:rPr>
          <w:caps w:val="0"/>
          <w:lang w:val="en-GB"/>
        </w:rPr>
        <w:t xml:space="preserve"> (5 </w:t>
      </w:r>
      <w:r w:rsidR="004F2F47">
        <w:rPr>
          <w:caps w:val="0"/>
          <w:lang w:val="en-GB"/>
        </w:rPr>
        <w:t>bottles</w:t>
      </w:r>
      <w:r w:rsidR="00CF0D10">
        <w:rPr>
          <w:caps w:val="0"/>
          <w:lang w:val="en-GB"/>
        </w:rPr>
        <w:t xml:space="preserve"> x</w:t>
      </w:r>
      <w:r w:rsidR="004F2F47">
        <w:rPr>
          <w:caps w:val="0"/>
          <w:lang w:val="en-GB"/>
        </w:rPr>
        <w:t xml:space="preserve"> 60 ml) oral solution </w:t>
      </w:r>
    </w:p>
    <w:p w14:paraId="654132DD" w14:textId="77777777" w:rsidR="00277ECB" w:rsidRDefault="00277ECB">
      <w:pPr>
        <w:pStyle w:val="EMEANormal"/>
        <w:rPr>
          <w:lang w:val="en-GB"/>
        </w:rPr>
      </w:pPr>
    </w:p>
    <w:p w14:paraId="11493AC7" w14:textId="77777777" w:rsidR="00F13892" w:rsidRPr="00342F7C" w:rsidRDefault="00F13892">
      <w:pPr>
        <w:pStyle w:val="EMEANormal"/>
        <w:rPr>
          <w:lang w:val="en-GB"/>
        </w:rPr>
      </w:pPr>
    </w:p>
    <w:p w14:paraId="4160ACC0" w14:textId="77777777" w:rsidR="00277ECB" w:rsidRPr="00342F7C" w:rsidRDefault="00277ECB" w:rsidP="00F13892">
      <w:pPr>
        <w:pStyle w:val="EMEAHeadingBoxedTitle"/>
        <w:spacing w:before="0" w:after="0"/>
        <w:rPr>
          <w:rFonts w:ascii="Times New Roman" w:hAnsi="Times New Roman"/>
          <w:lang w:val="en-GB"/>
        </w:rPr>
      </w:pPr>
      <w:r w:rsidRPr="00342F7C">
        <w:rPr>
          <w:rFonts w:ascii="Times New Roman" w:hAnsi="Times New Roman"/>
          <w:lang w:val="en-GB"/>
        </w:rPr>
        <w:t>1.</w:t>
      </w:r>
      <w:r w:rsidRPr="00342F7C">
        <w:rPr>
          <w:rFonts w:ascii="Times New Roman" w:hAnsi="Times New Roman"/>
          <w:lang w:val="en-GB"/>
        </w:rPr>
        <w:tab/>
        <w:t>NAME OF THE MEDICINAL PRODUCT</w:t>
      </w:r>
    </w:p>
    <w:p w14:paraId="34D00E07" w14:textId="77777777" w:rsidR="00F13892" w:rsidRDefault="00F13892">
      <w:pPr>
        <w:pStyle w:val="EMEANormal"/>
        <w:tabs>
          <w:tab w:val="left" w:pos="5170"/>
        </w:tabs>
        <w:rPr>
          <w:lang w:val="fr-FR"/>
        </w:rPr>
      </w:pPr>
    </w:p>
    <w:p w14:paraId="2CB6F8F0" w14:textId="77777777" w:rsidR="00277ECB" w:rsidRPr="002B2400" w:rsidRDefault="00277ECB">
      <w:pPr>
        <w:pStyle w:val="EMEANormal"/>
        <w:tabs>
          <w:tab w:val="left" w:pos="5170"/>
        </w:tabs>
        <w:rPr>
          <w:lang w:val="fr-FR"/>
        </w:rPr>
      </w:pPr>
      <w:r w:rsidRPr="002B2400">
        <w:rPr>
          <w:lang w:val="fr-FR"/>
        </w:rPr>
        <w:t>Kaletra (80 mg + 20 mg) / ml oral solution</w:t>
      </w:r>
    </w:p>
    <w:p w14:paraId="0278D33A" w14:textId="77777777" w:rsidR="00277ECB" w:rsidRDefault="00277ECB">
      <w:pPr>
        <w:pStyle w:val="EMEANormal"/>
        <w:rPr>
          <w:lang w:val="fr-FR"/>
        </w:rPr>
      </w:pPr>
      <w:r w:rsidRPr="002B2400">
        <w:rPr>
          <w:lang w:val="fr-FR"/>
        </w:rPr>
        <w:t>(lopinavir + ritonavir)</w:t>
      </w:r>
    </w:p>
    <w:p w14:paraId="704C08D9" w14:textId="77777777" w:rsidR="003370FC" w:rsidRDefault="00450757">
      <w:pPr>
        <w:pStyle w:val="EMEANormal"/>
        <w:rPr>
          <w:lang w:val="fr-FR"/>
        </w:rPr>
      </w:pPr>
      <w:r w:rsidRPr="00326048">
        <w:rPr>
          <w:lang w:val="fr-FR"/>
        </w:rPr>
        <w:t>For adults and children weigh</w:t>
      </w:r>
      <w:r w:rsidR="003370FC" w:rsidRPr="00326048">
        <w:rPr>
          <w:lang w:val="fr-FR"/>
        </w:rPr>
        <w:t xml:space="preserve">ing </w:t>
      </w:r>
      <w:r w:rsidR="000F4920">
        <w:rPr>
          <w:lang w:val="fr-FR"/>
        </w:rPr>
        <w:t>greater than</w:t>
      </w:r>
      <w:r w:rsidR="00FB583A" w:rsidRPr="00326048">
        <w:rPr>
          <w:lang w:val="fr-FR"/>
        </w:rPr>
        <w:t xml:space="preserve"> </w:t>
      </w:r>
      <w:r w:rsidRPr="00326048">
        <w:rPr>
          <w:lang w:val="fr-FR"/>
        </w:rPr>
        <w:t>15</w:t>
      </w:r>
      <w:r w:rsidR="003370FC" w:rsidRPr="00326048">
        <w:rPr>
          <w:lang w:val="fr-FR"/>
        </w:rPr>
        <w:t xml:space="preserve"> kg.</w:t>
      </w:r>
    </w:p>
    <w:p w14:paraId="2FFC5031" w14:textId="77777777" w:rsidR="00F13892" w:rsidRDefault="00F13892">
      <w:pPr>
        <w:pStyle w:val="EMEANormal"/>
        <w:rPr>
          <w:lang w:val="fr-FR"/>
        </w:rPr>
      </w:pPr>
    </w:p>
    <w:p w14:paraId="7D9D2CCE" w14:textId="77777777" w:rsidR="00F13892" w:rsidRPr="002B2400" w:rsidRDefault="00F13892">
      <w:pPr>
        <w:pStyle w:val="EMEANormal"/>
        <w:rPr>
          <w:lang w:val="fr-FR"/>
        </w:rPr>
      </w:pPr>
    </w:p>
    <w:p w14:paraId="11CCE635" w14:textId="77777777" w:rsidR="00277ECB" w:rsidRPr="00342F7C" w:rsidRDefault="00277ECB" w:rsidP="00F13892">
      <w:pPr>
        <w:pStyle w:val="EMEAHeadingBoxedTitle"/>
        <w:spacing w:before="0" w:after="0"/>
        <w:rPr>
          <w:rFonts w:ascii="Times New Roman" w:hAnsi="Times New Roman"/>
          <w:lang w:val="en-GB"/>
        </w:rPr>
      </w:pPr>
      <w:r w:rsidRPr="00342F7C">
        <w:rPr>
          <w:rFonts w:ascii="Times New Roman" w:hAnsi="Times New Roman"/>
          <w:lang w:val="en-GB"/>
        </w:rPr>
        <w:t>2.</w:t>
      </w:r>
      <w:r w:rsidRPr="00342F7C">
        <w:rPr>
          <w:rFonts w:ascii="Times New Roman" w:hAnsi="Times New Roman"/>
          <w:lang w:val="en-GB"/>
        </w:rPr>
        <w:tab/>
        <w:t>STATEMENT OF ACTIVE SUBSTANCE(S)</w:t>
      </w:r>
    </w:p>
    <w:p w14:paraId="7CA82D08" w14:textId="77777777" w:rsidR="00F13892" w:rsidRDefault="00F13892">
      <w:pPr>
        <w:pStyle w:val="EMEANormal"/>
        <w:rPr>
          <w:lang w:val="en-GB"/>
        </w:rPr>
      </w:pPr>
    </w:p>
    <w:p w14:paraId="5AD48B6F" w14:textId="77777777" w:rsidR="00277ECB" w:rsidRDefault="00277ECB">
      <w:pPr>
        <w:pStyle w:val="EMEANormal"/>
        <w:rPr>
          <w:lang w:val="en-GB"/>
        </w:rPr>
      </w:pPr>
      <w:r w:rsidRPr="00342F7C">
        <w:rPr>
          <w:lang w:val="en-GB"/>
        </w:rPr>
        <w:t>Each ml contains: lopinavir 80 mg and ritonavir 20 mg.</w:t>
      </w:r>
    </w:p>
    <w:p w14:paraId="26F60129" w14:textId="77777777" w:rsidR="00F13892" w:rsidRDefault="00F13892">
      <w:pPr>
        <w:pStyle w:val="EMEANormal"/>
        <w:rPr>
          <w:lang w:val="en-GB"/>
        </w:rPr>
      </w:pPr>
    </w:p>
    <w:p w14:paraId="46974195" w14:textId="77777777" w:rsidR="00F13892" w:rsidRPr="00342F7C" w:rsidRDefault="00F13892">
      <w:pPr>
        <w:pStyle w:val="EMEANormal"/>
        <w:rPr>
          <w:lang w:val="en-GB"/>
        </w:rPr>
      </w:pPr>
    </w:p>
    <w:p w14:paraId="33BBDA1B" w14:textId="77777777" w:rsidR="00277ECB" w:rsidRPr="00342F7C" w:rsidRDefault="00277ECB" w:rsidP="00F13892">
      <w:pPr>
        <w:pStyle w:val="EMEAHeadingBoxedTitle"/>
        <w:spacing w:before="0" w:after="0"/>
        <w:rPr>
          <w:rFonts w:ascii="Times New Roman" w:hAnsi="Times New Roman"/>
          <w:lang w:val="en-GB"/>
        </w:rPr>
      </w:pPr>
      <w:r w:rsidRPr="00342F7C">
        <w:rPr>
          <w:rFonts w:ascii="Times New Roman" w:hAnsi="Times New Roman"/>
          <w:lang w:val="en-GB"/>
        </w:rPr>
        <w:t>3.</w:t>
      </w:r>
      <w:r w:rsidRPr="00342F7C">
        <w:rPr>
          <w:rFonts w:ascii="Times New Roman" w:hAnsi="Times New Roman"/>
          <w:lang w:val="en-GB"/>
        </w:rPr>
        <w:tab/>
        <w:t>LIST OF EXCIPIENTS</w:t>
      </w:r>
    </w:p>
    <w:p w14:paraId="48AB03A4" w14:textId="77777777" w:rsidR="00F13892" w:rsidRDefault="00F13892">
      <w:pPr>
        <w:pStyle w:val="EMEANormal"/>
        <w:rPr>
          <w:lang w:val="en-GB"/>
        </w:rPr>
      </w:pPr>
    </w:p>
    <w:p w14:paraId="63B78F81" w14:textId="77777777" w:rsidR="00277ECB" w:rsidRDefault="00277ECB">
      <w:pPr>
        <w:pStyle w:val="EMEANormal"/>
        <w:rPr>
          <w:lang w:val="en-GB"/>
        </w:rPr>
      </w:pPr>
      <w:r w:rsidRPr="00342F7C">
        <w:rPr>
          <w:lang w:val="en-GB"/>
        </w:rPr>
        <w:t>Includes: alcohol, high fructose corn syrup, propylene glycol, glycerol, polyoxyl 40 hydrogenated castor oil, potassium (as acesulfame potassium).</w:t>
      </w:r>
    </w:p>
    <w:p w14:paraId="14093B68" w14:textId="77777777" w:rsidR="00F13892" w:rsidRDefault="00F13892">
      <w:pPr>
        <w:pStyle w:val="EMEANormal"/>
        <w:rPr>
          <w:lang w:val="en-GB"/>
        </w:rPr>
      </w:pPr>
    </w:p>
    <w:p w14:paraId="4138BBB4" w14:textId="77777777" w:rsidR="00F13892" w:rsidRPr="00342F7C" w:rsidRDefault="00F13892">
      <w:pPr>
        <w:pStyle w:val="EMEANormal"/>
        <w:rPr>
          <w:lang w:val="en-GB"/>
        </w:rPr>
      </w:pPr>
    </w:p>
    <w:p w14:paraId="3885C7B3" w14:textId="77777777" w:rsidR="00277ECB" w:rsidRPr="00342F7C" w:rsidRDefault="00277ECB" w:rsidP="00F13892">
      <w:pPr>
        <w:pStyle w:val="EMEAHeadingBoxedTitle"/>
        <w:spacing w:before="0" w:after="0"/>
        <w:rPr>
          <w:rFonts w:ascii="Times New Roman" w:hAnsi="Times New Roman"/>
          <w:lang w:val="en-GB"/>
        </w:rPr>
      </w:pPr>
      <w:r w:rsidRPr="00342F7C">
        <w:rPr>
          <w:rFonts w:ascii="Times New Roman" w:hAnsi="Times New Roman"/>
          <w:lang w:val="en-GB"/>
        </w:rPr>
        <w:t>4.</w:t>
      </w:r>
      <w:r w:rsidRPr="00342F7C">
        <w:rPr>
          <w:rFonts w:ascii="Times New Roman" w:hAnsi="Times New Roman"/>
          <w:lang w:val="en-GB"/>
        </w:rPr>
        <w:tab/>
        <w:t>PHARMACEUTICAL FORM AND CONTENTS</w:t>
      </w:r>
    </w:p>
    <w:p w14:paraId="7F4AF9A9" w14:textId="77777777" w:rsidR="00F13892" w:rsidRDefault="00F13892">
      <w:pPr>
        <w:pStyle w:val="EMEANormal"/>
        <w:rPr>
          <w:lang w:val="en-GB"/>
        </w:rPr>
      </w:pPr>
    </w:p>
    <w:p w14:paraId="7A58CE37" w14:textId="77777777" w:rsidR="00277ECB" w:rsidRDefault="00277ECB">
      <w:pPr>
        <w:pStyle w:val="EMEANormal"/>
        <w:rPr>
          <w:lang w:val="en-GB"/>
        </w:rPr>
      </w:pPr>
      <w:r w:rsidRPr="00342F7C">
        <w:rPr>
          <w:lang w:val="en-GB"/>
        </w:rPr>
        <w:t xml:space="preserve">300 ml (5 bottles </w:t>
      </w:r>
      <w:r w:rsidR="00CF0D10">
        <w:rPr>
          <w:lang w:val="en-GB"/>
        </w:rPr>
        <w:t>x</w:t>
      </w:r>
      <w:r w:rsidR="00CF0D10" w:rsidRPr="00342F7C">
        <w:rPr>
          <w:lang w:val="en-GB"/>
        </w:rPr>
        <w:t xml:space="preserve"> </w:t>
      </w:r>
      <w:r w:rsidRPr="00342F7C">
        <w:rPr>
          <w:lang w:val="en-GB"/>
        </w:rPr>
        <w:t>60 ml)</w:t>
      </w:r>
      <w:r w:rsidR="004F2F47">
        <w:rPr>
          <w:lang w:val="en-GB"/>
        </w:rPr>
        <w:t xml:space="preserve"> </w:t>
      </w:r>
      <w:r w:rsidR="004F2F47" w:rsidRPr="00B43C41">
        <w:rPr>
          <w:highlight w:val="lightGray"/>
          <w:lang w:val="en-GB"/>
        </w:rPr>
        <w:t xml:space="preserve">oral </w:t>
      </w:r>
      <w:r w:rsidR="004F2F47" w:rsidRPr="009E1C61">
        <w:rPr>
          <w:highlight w:val="lightGray"/>
          <w:lang w:val="en-GB"/>
        </w:rPr>
        <w:t>solution</w:t>
      </w:r>
      <w:r w:rsidR="001C042D" w:rsidRPr="001C042D">
        <w:rPr>
          <w:lang w:val="en-GB"/>
        </w:rPr>
        <w:t xml:space="preserve"> with five </w:t>
      </w:r>
      <w:r w:rsidR="001C042D" w:rsidRPr="002A7CD6">
        <w:rPr>
          <w:b/>
          <w:lang w:val="en-GB"/>
        </w:rPr>
        <w:t>5 ml</w:t>
      </w:r>
      <w:r w:rsidR="001C042D" w:rsidRPr="001C042D">
        <w:rPr>
          <w:lang w:val="en-GB"/>
        </w:rPr>
        <w:t xml:space="preserve"> oral dosing syringes</w:t>
      </w:r>
      <w:r w:rsidRPr="00731680">
        <w:rPr>
          <w:lang w:val="en-GB"/>
        </w:rPr>
        <w:t>.</w:t>
      </w:r>
    </w:p>
    <w:p w14:paraId="3BEBFDB4" w14:textId="77777777" w:rsidR="00F13892" w:rsidRDefault="00F13892">
      <w:pPr>
        <w:pStyle w:val="EMEANormal"/>
        <w:rPr>
          <w:lang w:val="en-GB"/>
        </w:rPr>
      </w:pPr>
    </w:p>
    <w:p w14:paraId="6770C79E" w14:textId="77777777" w:rsidR="00F13892" w:rsidRPr="00342F7C" w:rsidRDefault="00F13892">
      <w:pPr>
        <w:pStyle w:val="EMEANormal"/>
        <w:rPr>
          <w:lang w:val="en-GB"/>
        </w:rPr>
      </w:pPr>
    </w:p>
    <w:p w14:paraId="6CA6E172" w14:textId="77777777" w:rsidR="00277ECB" w:rsidRPr="00342F7C" w:rsidRDefault="00277ECB" w:rsidP="00F13892">
      <w:pPr>
        <w:pStyle w:val="EMEAHeadingBoxedTitle"/>
        <w:spacing w:before="0" w:after="0"/>
        <w:rPr>
          <w:rFonts w:ascii="Times New Roman" w:hAnsi="Times New Roman"/>
          <w:lang w:val="en-GB"/>
        </w:rPr>
      </w:pPr>
      <w:r w:rsidRPr="00342F7C">
        <w:rPr>
          <w:rFonts w:ascii="Times New Roman" w:hAnsi="Times New Roman"/>
          <w:lang w:val="en-GB"/>
        </w:rPr>
        <w:t>5.</w:t>
      </w:r>
      <w:r w:rsidRPr="00342F7C">
        <w:rPr>
          <w:rFonts w:ascii="Times New Roman" w:hAnsi="Times New Roman"/>
          <w:lang w:val="en-GB"/>
        </w:rPr>
        <w:tab/>
        <w:t>METHOD AND ROUTE(S) OF ADMINISTRATION</w:t>
      </w:r>
    </w:p>
    <w:p w14:paraId="5923C594" w14:textId="77777777" w:rsidR="00F13892" w:rsidRDefault="00F13892">
      <w:pPr>
        <w:pStyle w:val="EMEANormal"/>
        <w:rPr>
          <w:lang w:val="en-GB"/>
        </w:rPr>
      </w:pPr>
    </w:p>
    <w:p w14:paraId="4C5F9FA6" w14:textId="77777777" w:rsidR="00C97EE7" w:rsidRDefault="00C97EE7" w:rsidP="00C97EE7">
      <w:pPr>
        <w:pStyle w:val="EMEANormal"/>
        <w:rPr>
          <w:lang w:val="en-GB"/>
        </w:rPr>
      </w:pPr>
      <w:r w:rsidRPr="00342F7C">
        <w:rPr>
          <w:lang w:val="en-GB"/>
        </w:rPr>
        <w:t>Read the package leaflet before use</w:t>
      </w:r>
      <w:r w:rsidR="0068223A">
        <w:rPr>
          <w:lang w:val="en-GB"/>
        </w:rPr>
        <w:t>.</w:t>
      </w:r>
    </w:p>
    <w:p w14:paraId="0B7C77D4" w14:textId="77777777" w:rsidR="00277ECB" w:rsidRDefault="00277ECB">
      <w:pPr>
        <w:pStyle w:val="EMEANormal"/>
        <w:rPr>
          <w:lang w:val="en-GB"/>
        </w:rPr>
      </w:pPr>
      <w:r w:rsidRPr="00342F7C">
        <w:rPr>
          <w:lang w:val="en-GB"/>
        </w:rPr>
        <w:t>Oral use</w:t>
      </w:r>
    </w:p>
    <w:p w14:paraId="410DAF4C" w14:textId="77777777" w:rsidR="001C042D" w:rsidRDefault="004627D4">
      <w:pPr>
        <w:pStyle w:val="EMEANormal"/>
        <w:rPr>
          <w:lang w:val="en-GB"/>
        </w:rPr>
      </w:pPr>
      <w:r w:rsidRPr="00326048">
        <w:rPr>
          <w:lang w:val="en-GB"/>
        </w:rPr>
        <w:t xml:space="preserve">For </w:t>
      </w:r>
      <w:r w:rsidR="001C042D" w:rsidRPr="00326048">
        <w:rPr>
          <w:lang w:val="en-GB"/>
        </w:rPr>
        <w:t xml:space="preserve">volumes </w:t>
      </w:r>
      <w:r w:rsidR="009E1C61" w:rsidRPr="00F11D9D">
        <w:rPr>
          <w:lang w:val="en-GB"/>
        </w:rPr>
        <w:t xml:space="preserve">greater than </w:t>
      </w:r>
      <w:r w:rsidR="000250D7">
        <w:rPr>
          <w:lang w:val="en-GB"/>
        </w:rPr>
        <w:t>2 </w:t>
      </w:r>
      <w:r w:rsidR="001C042D" w:rsidRPr="00F11D9D">
        <w:rPr>
          <w:lang w:val="en-GB"/>
        </w:rPr>
        <w:t>ml.</w:t>
      </w:r>
    </w:p>
    <w:p w14:paraId="450AC1B0" w14:textId="77777777" w:rsidR="00CF0D10" w:rsidRPr="00342F7C" w:rsidRDefault="00CF0D10">
      <w:pPr>
        <w:pStyle w:val="EMEANormal"/>
        <w:rPr>
          <w:lang w:val="en-GB"/>
        </w:rPr>
      </w:pPr>
      <w:r>
        <w:rPr>
          <w:lang w:val="en-GB"/>
        </w:rPr>
        <w:t>Use the 5</w:t>
      </w:r>
      <w:r w:rsidR="000250D7">
        <w:rPr>
          <w:lang w:val="en-GB"/>
        </w:rPr>
        <w:t> </w:t>
      </w:r>
      <w:r>
        <w:rPr>
          <w:lang w:val="en-GB"/>
        </w:rPr>
        <w:t>ml oral dosing syringe to prepare a dose.</w:t>
      </w:r>
    </w:p>
    <w:p w14:paraId="48B556ED" w14:textId="77777777" w:rsidR="00F13892" w:rsidRDefault="00F13892">
      <w:pPr>
        <w:pStyle w:val="EMEANormal"/>
        <w:rPr>
          <w:lang w:val="en-GB"/>
        </w:rPr>
      </w:pPr>
    </w:p>
    <w:p w14:paraId="6FD4A1B4" w14:textId="77777777" w:rsidR="00F13892" w:rsidRPr="00342F7C" w:rsidRDefault="00F13892">
      <w:pPr>
        <w:pStyle w:val="EMEANormal"/>
        <w:rPr>
          <w:lang w:val="en-GB"/>
        </w:rPr>
      </w:pPr>
    </w:p>
    <w:p w14:paraId="4B4C6DE7" w14:textId="77777777" w:rsidR="00277ECB" w:rsidRPr="00342F7C" w:rsidRDefault="00277ECB" w:rsidP="00F13892">
      <w:pPr>
        <w:pStyle w:val="EMEAHeadingBoxedTitle"/>
        <w:spacing w:before="0" w:after="0"/>
        <w:ind w:left="550" w:hanging="550"/>
        <w:rPr>
          <w:rFonts w:ascii="Times New Roman" w:hAnsi="Times New Roman"/>
          <w:lang w:val="en-GB"/>
        </w:rPr>
      </w:pPr>
      <w:r w:rsidRPr="00342F7C">
        <w:rPr>
          <w:rFonts w:ascii="Times New Roman" w:hAnsi="Times New Roman"/>
          <w:lang w:val="en-GB"/>
        </w:rPr>
        <w:t>6.</w:t>
      </w:r>
      <w:r w:rsidRPr="00342F7C">
        <w:rPr>
          <w:rFonts w:ascii="Times New Roman" w:hAnsi="Times New Roman"/>
          <w:lang w:val="en-GB"/>
        </w:rPr>
        <w:tab/>
        <w:t xml:space="preserve">SPECIAL WARNING THAT THE MEDICINAL PRODUCT MUST BE STORED OUT OF THE </w:t>
      </w:r>
      <w:r w:rsidR="0023490A">
        <w:rPr>
          <w:rFonts w:ascii="Times New Roman" w:hAnsi="Times New Roman"/>
          <w:lang w:val="en-GB"/>
        </w:rPr>
        <w:t>SIGHT</w:t>
      </w:r>
      <w:r w:rsidR="0023490A" w:rsidRPr="00342F7C">
        <w:rPr>
          <w:rFonts w:ascii="Times New Roman" w:hAnsi="Times New Roman"/>
          <w:lang w:val="en-GB"/>
        </w:rPr>
        <w:t xml:space="preserve"> </w:t>
      </w:r>
      <w:r w:rsidRPr="00342F7C">
        <w:rPr>
          <w:rFonts w:ascii="Times New Roman" w:hAnsi="Times New Roman"/>
          <w:lang w:val="en-GB"/>
        </w:rPr>
        <w:t xml:space="preserve">AND </w:t>
      </w:r>
      <w:r w:rsidR="0023490A">
        <w:rPr>
          <w:rFonts w:ascii="Times New Roman" w:hAnsi="Times New Roman"/>
          <w:lang w:val="en-GB"/>
        </w:rPr>
        <w:t>REACH</w:t>
      </w:r>
      <w:r w:rsidR="0023490A" w:rsidRPr="00342F7C">
        <w:rPr>
          <w:rFonts w:ascii="Times New Roman" w:hAnsi="Times New Roman"/>
          <w:lang w:val="en-GB"/>
        </w:rPr>
        <w:t xml:space="preserve"> </w:t>
      </w:r>
      <w:r w:rsidRPr="00342F7C">
        <w:rPr>
          <w:rFonts w:ascii="Times New Roman" w:hAnsi="Times New Roman"/>
          <w:lang w:val="en-GB"/>
        </w:rPr>
        <w:t>OF CHILDREN</w:t>
      </w:r>
    </w:p>
    <w:p w14:paraId="4E2105F7" w14:textId="77777777" w:rsidR="00F13892" w:rsidRDefault="00F13892">
      <w:pPr>
        <w:pStyle w:val="EMEANormal"/>
        <w:rPr>
          <w:lang w:val="en-GB"/>
        </w:rPr>
      </w:pPr>
    </w:p>
    <w:p w14:paraId="63EEC6C5" w14:textId="77777777" w:rsidR="00277ECB" w:rsidRDefault="00277ECB">
      <w:pPr>
        <w:pStyle w:val="EMEANormal"/>
        <w:rPr>
          <w:lang w:val="en-GB"/>
        </w:rPr>
      </w:pPr>
      <w:r w:rsidRPr="00342F7C">
        <w:rPr>
          <w:lang w:val="en-GB"/>
        </w:rPr>
        <w:t>Keep out of the sight</w:t>
      </w:r>
      <w:r w:rsidR="009D5D2E">
        <w:rPr>
          <w:lang w:val="en-GB"/>
        </w:rPr>
        <w:t xml:space="preserve"> and reach</w:t>
      </w:r>
      <w:r w:rsidRPr="00342F7C">
        <w:rPr>
          <w:lang w:val="en-GB"/>
        </w:rPr>
        <w:t xml:space="preserve"> of children</w:t>
      </w:r>
      <w:r w:rsidR="0068223A">
        <w:rPr>
          <w:lang w:val="en-GB"/>
        </w:rPr>
        <w:t>.</w:t>
      </w:r>
    </w:p>
    <w:p w14:paraId="5A4C5EF0" w14:textId="77777777" w:rsidR="00F13892" w:rsidRDefault="00F13892">
      <w:pPr>
        <w:pStyle w:val="EMEANormal"/>
        <w:rPr>
          <w:lang w:val="en-GB"/>
        </w:rPr>
      </w:pPr>
    </w:p>
    <w:p w14:paraId="3EE30231" w14:textId="77777777" w:rsidR="00F13892" w:rsidRPr="00342F7C" w:rsidRDefault="00F13892">
      <w:pPr>
        <w:pStyle w:val="EMEANormal"/>
        <w:rPr>
          <w:lang w:val="en-GB"/>
        </w:rPr>
      </w:pPr>
    </w:p>
    <w:p w14:paraId="25D7E5F2" w14:textId="77777777" w:rsidR="00277ECB" w:rsidRPr="00342F7C" w:rsidRDefault="00277ECB" w:rsidP="00F13892">
      <w:pPr>
        <w:pStyle w:val="EMEAHeadingBoxedTitle"/>
        <w:spacing w:before="0" w:after="0"/>
        <w:rPr>
          <w:rFonts w:ascii="Times New Roman" w:hAnsi="Times New Roman"/>
          <w:lang w:val="en-GB"/>
        </w:rPr>
      </w:pPr>
      <w:r w:rsidRPr="00342F7C">
        <w:rPr>
          <w:rFonts w:ascii="Times New Roman" w:hAnsi="Times New Roman"/>
          <w:lang w:val="en-GB"/>
        </w:rPr>
        <w:t>7.</w:t>
      </w:r>
      <w:r w:rsidRPr="00342F7C">
        <w:rPr>
          <w:rFonts w:ascii="Times New Roman" w:hAnsi="Times New Roman"/>
          <w:lang w:val="en-GB"/>
        </w:rPr>
        <w:tab/>
        <w:t>OTHER SPECIAL WARNING(S), IF NECESSARY</w:t>
      </w:r>
    </w:p>
    <w:p w14:paraId="669D4E14" w14:textId="77777777" w:rsidR="00F13892" w:rsidRDefault="00F13892">
      <w:pPr>
        <w:pStyle w:val="EMEANormal"/>
        <w:rPr>
          <w:lang w:val="en-GB"/>
        </w:rPr>
      </w:pPr>
    </w:p>
    <w:p w14:paraId="3BC934F3" w14:textId="77777777" w:rsidR="00F13892" w:rsidRPr="00342F7C" w:rsidRDefault="00F13892">
      <w:pPr>
        <w:pStyle w:val="EMEANormal"/>
        <w:rPr>
          <w:lang w:val="en-GB"/>
        </w:rPr>
      </w:pPr>
    </w:p>
    <w:p w14:paraId="31012665" w14:textId="77777777" w:rsidR="00277ECB" w:rsidRPr="00342F7C" w:rsidRDefault="00277ECB" w:rsidP="00F13892">
      <w:pPr>
        <w:pStyle w:val="EMEAHeadingBoxedTitle"/>
        <w:spacing w:before="0" w:after="0"/>
        <w:rPr>
          <w:rFonts w:ascii="Times New Roman" w:hAnsi="Times New Roman"/>
          <w:lang w:val="en-GB"/>
        </w:rPr>
      </w:pPr>
      <w:r w:rsidRPr="00342F7C">
        <w:rPr>
          <w:rFonts w:ascii="Times New Roman" w:hAnsi="Times New Roman"/>
          <w:lang w:val="en-GB"/>
        </w:rPr>
        <w:t>8.</w:t>
      </w:r>
      <w:r w:rsidRPr="00342F7C">
        <w:rPr>
          <w:rFonts w:ascii="Times New Roman" w:hAnsi="Times New Roman"/>
          <w:lang w:val="en-GB"/>
        </w:rPr>
        <w:tab/>
        <w:t>EXPIRY DATE</w:t>
      </w:r>
    </w:p>
    <w:p w14:paraId="142ABB8C" w14:textId="77777777" w:rsidR="00F13892" w:rsidRDefault="00F13892">
      <w:pPr>
        <w:pStyle w:val="EMEANormal"/>
        <w:rPr>
          <w:lang w:val="en-GB"/>
        </w:rPr>
      </w:pPr>
    </w:p>
    <w:p w14:paraId="4669AEF1" w14:textId="77777777" w:rsidR="00277ECB" w:rsidRDefault="00277ECB">
      <w:pPr>
        <w:pStyle w:val="EMEANormal"/>
        <w:rPr>
          <w:lang w:val="en-GB"/>
        </w:rPr>
      </w:pPr>
      <w:r w:rsidRPr="00342F7C">
        <w:rPr>
          <w:lang w:val="en-GB"/>
        </w:rPr>
        <w:t>EXP</w:t>
      </w:r>
    </w:p>
    <w:p w14:paraId="5F693F85" w14:textId="77777777" w:rsidR="00F13892" w:rsidRDefault="00F13892">
      <w:pPr>
        <w:pStyle w:val="EMEANormal"/>
        <w:rPr>
          <w:lang w:val="en-GB"/>
        </w:rPr>
      </w:pPr>
    </w:p>
    <w:p w14:paraId="63B6C7B4" w14:textId="77777777" w:rsidR="00F13892" w:rsidRPr="00342F7C" w:rsidRDefault="00F13892">
      <w:pPr>
        <w:pStyle w:val="EMEANormal"/>
        <w:rPr>
          <w:lang w:val="en-GB"/>
        </w:rPr>
      </w:pPr>
    </w:p>
    <w:p w14:paraId="76181DED" w14:textId="77777777" w:rsidR="00277ECB" w:rsidRPr="00342F7C" w:rsidRDefault="00277ECB" w:rsidP="000A716A">
      <w:pPr>
        <w:pStyle w:val="EMEAHeadingBoxedTitle"/>
        <w:spacing w:before="0" w:after="0"/>
        <w:rPr>
          <w:rFonts w:ascii="Times New Roman" w:hAnsi="Times New Roman"/>
          <w:lang w:val="en-GB"/>
        </w:rPr>
      </w:pPr>
      <w:r w:rsidRPr="00342F7C">
        <w:rPr>
          <w:rFonts w:ascii="Times New Roman" w:hAnsi="Times New Roman"/>
          <w:lang w:val="en-GB"/>
        </w:rPr>
        <w:t>9.</w:t>
      </w:r>
      <w:r w:rsidRPr="00342F7C">
        <w:rPr>
          <w:rFonts w:ascii="Times New Roman" w:hAnsi="Times New Roman"/>
          <w:lang w:val="en-GB"/>
        </w:rPr>
        <w:tab/>
        <w:t>SPECIAL STORAGE CONDITIONS</w:t>
      </w:r>
    </w:p>
    <w:p w14:paraId="16410FA0" w14:textId="77777777" w:rsidR="00F13892" w:rsidRDefault="00F13892" w:rsidP="000A716A">
      <w:pPr>
        <w:pStyle w:val="EMEANormal"/>
        <w:rPr>
          <w:b/>
          <w:lang w:val="en-GB"/>
        </w:rPr>
      </w:pPr>
    </w:p>
    <w:p w14:paraId="590130C9" w14:textId="77777777" w:rsidR="00277ECB" w:rsidRPr="0038291D" w:rsidRDefault="00277ECB" w:rsidP="00731680">
      <w:pPr>
        <w:pStyle w:val="EMEANormal"/>
        <w:rPr>
          <w:b/>
          <w:snapToGrid w:val="0"/>
          <w:lang w:val="en-GB"/>
        </w:rPr>
      </w:pPr>
      <w:r w:rsidRPr="0038291D">
        <w:rPr>
          <w:b/>
          <w:lang w:val="en-GB"/>
        </w:rPr>
        <w:t>Store in a refrigerator</w:t>
      </w:r>
    </w:p>
    <w:p w14:paraId="1DB969AF" w14:textId="77777777" w:rsidR="00F13892" w:rsidRDefault="00F13892" w:rsidP="00C33D83">
      <w:pPr>
        <w:pStyle w:val="EMEANormal"/>
        <w:rPr>
          <w:lang w:val="en-GB"/>
        </w:rPr>
      </w:pPr>
    </w:p>
    <w:p w14:paraId="6D18302B" w14:textId="77777777" w:rsidR="00F13892" w:rsidRPr="00342F7C" w:rsidRDefault="00F13892" w:rsidP="00C33D83">
      <w:pPr>
        <w:pStyle w:val="EMEANormal"/>
        <w:rPr>
          <w:lang w:val="en-GB"/>
        </w:rPr>
      </w:pPr>
    </w:p>
    <w:p w14:paraId="53FCDA68" w14:textId="77777777" w:rsidR="00277ECB" w:rsidRPr="00342F7C" w:rsidRDefault="00277ECB" w:rsidP="00F13892">
      <w:pPr>
        <w:pStyle w:val="EMEAHeadingBoxedEmpty"/>
        <w:spacing w:beforeLines="0" w:before="0"/>
        <w:ind w:left="561" w:hanging="561"/>
        <w:rPr>
          <w:rFonts w:ascii="Times New Roman" w:hAnsi="Times New Roman"/>
          <w:lang w:val="en-GB"/>
        </w:rPr>
      </w:pPr>
      <w:r w:rsidRPr="00342F7C">
        <w:rPr>
          <w:rFonts w:ascii="Times New Roman" w:hAnsi="Times New Roman"/>
          <w:lang w:val="en-GB"/>
        </w:rPr>
        <w:t>10.</w:t>
      </w:r>
      <w:r w:rsidRPr="00342F7C">
        <w:rPr>
          <w:rFonts w:ascii="Times New Roman" w:hAnsi="Times New Roman"/>
          <w:lang w:val="en-GB"/>
        </w:rPr>
        <w:tab/>
        <w:t>SPECIAL PRECAUTIONS FOR DISPOSAL OF UNUSED MEDICINAL PRODUCTS OR WASTE MATERIALS DERIVED FROM SUCH MEDICINAL PRODUCTS, IF APPROPRIATE</w:t>
      </w:r>
    </w:p>
    <w:p w14:paraId="26539A21" w14:textId="77777777" w:rsidR="00277ECB" w:rsidRDefault="00277ECB">
      <w:pPr>
        <w:pStyle w:val="EMEANormal"/>
        <w:rPr>
          <w:lang w:val="en-GB"/>
        </w:rPr>
      </w:pPr>
    </w:p>
    <w:p w14:paraId="704CAF5D" w14:textId="77777777" w:rsidR="00F13892" w:rsidRPr="00342F7C" w:rsidRDefault="00F13892">
      <w:pPr>
        <w:pStyle w:val="EMEANormal"/>
        <w:rPr>
          <w:lang w:val="en-GB"/>
        </w:rPr>
      </w:pPr>
    </w:p>
    <w:p w14:paraId="48F078A6" w14:textId="77777777" w:rsidR="00277ECB" w:rsidRPr="00342F7C" w:rsidRDefault="00277ECB" w:rsidP="00F13892">
      <w:pPr>
        <w:pStyle w:val="EMEAHeadingBoxedTitle"/>
        <w:spacing w:before="0" w:after="0"/>
        <w:rPr>
          <w:rFonts w:ascii="Times New Roman" w:hAnsi="Times New Roman"/>
          <w:lang w:val="en-GB"/>
        </w:rPr>
      </w:pPr>
      <w:r w:rsidRPr="00342F7C">
        <w:rPr>
          <w:rFonts w:ascii="Times New Roman" w:hAnsi="Times New Roman"/>
          <w:lang w:val="en-GB"/>
        </w:rPr>
        <w:t>11.</w:t>
      </w:r>
      <w:r w:rsidRPr="00342F7C">
        <w:rPr>
          <w:rFonts w:ascii="Times New Roman" w:hAnsi="Times New Roman"/>
          <w:lang w:val="en-GB"/>
        </w:rPr>
        <w:tab/>
        <w:t>NAME AND ADDRESS OF THE MARKETING AUTHORISATION HOLDER</w:t>
      </w:r>
    </w:p>
    <w:p w14:paraId="4C514781" w14:textId="77777777" w:rsidR="00F13892" w:rsidRDefault="00F13892" w:rsidP="00F423D9">
      <w:pPr>
        <w:pStyle w:val="EMEANormal"/>
        <w:rPr>
          <w:lang w:val="en-GB"/>
        </w:rPr>
      </w:pPr>
    </w:p>
    <w:p w14:paraId="6530F97A" w14:textId="77777777" w:rsidR="00A118F7" w:rsidRPr="00A118F7" w:rsidRDefault="00A118F7" w:rsidP="00A118F7">
      <w:pPr>
        <w:keepNext/>
        <w:autoSpaceDE w:val="0"/>
        <w:autoSpaceDN w:val="0"/>
        <w:adjustRightInd w:val="0"/>
        <w:spacing w:line="240" w:lineRule="atLeast"/>
        <w:rPr>
          <w:sz w:val="22"/>
          <w:szCs w:val="22"/>
          <w:lang w:eastAsia="en-GB"/>
        </w:rPr>
      </w:pPr>
      <w:r w:rsidRPr="00A118F7">
        <w:rPr>
          <w:sz w:val="22"/>
          <w:szCs w:val="22"/>
          <w:lang w:eastAsia="en-GB"/>
        </w:rPr>
        <w:t>AbbVie Deutschland GmbH &amp; Co. KG</w:t>
      </w:r>
    </w:p>
    <w:p w14:paraId="22DFA074" w14:textId="77777777" w:rsidR="00A118F7" w:rsidRPr="00A118F7" w:rsidRDefault="00A118F7" w:rsidP="00A118F7">
      <w:pPr>
        <w:keepNext/>
        <w:autoSpaceDE w:val="0"/>
        <w:autoSpaceDN w:val="0"/>
        <w:adjustRightInd w:val="0"/>
        <w:spacing w:line="240" w:lineRule="atLeast"/>
        <w:rPr>
          <w:sz w:val="22"/>
          <w:szCs w:val="22"/>
          <w:lang w:eastAsia="en-GB"/>
        </w:rPr>
      </w:pPr>
      <w:r w:rsidRPr="00A118F7">
        <w:rPr>
          <w:sz w:val="22"/>
          <w:szCs w:val="22"/>
          <w:lang w:eastAsia="en-GB"/>
        </w:rPr>
        <w:t>Knollstrasse</w:t>
      </w:r>
    </w:p>
    <w:p w14:paraId="781B4187" w14:textId="77777777" w:rsidR="00A118F7" w:rsidRPr="00A118F7" w:rsidRDefault="00A118F7" w:rsidP="00A118F7">
      <w:pPr>
        <w:keepNext/>
        <w:autoSpaceDE w:val="0"/>
        <w:autoSpaceDN w:val="0"/>
        <w:adjustRightInd w:val="0"/>
        <w:spacing w:line="240" w:lineRule="atLeast"/>
        <w:rPr>
          <w:sz w:val="22"/>
          <w:szCs w:val="22"/>
          <w:lang w:eastAsia="en-GB"/>
        </w:rPr>
      </w:pPr>
      <w:r w:rsidRPr="00A118F7">
        <w:rPr>
          <w:sz w:val="22"/>
          <w:szCs w:val="22"/>
          <w:lang w:eastAsia="en-GB"/>
        </w:rPr>
        <w:t>67061 Ludwigshafen</w:t>
      </w:r>
    </w:p>
    <w:p w14:paraId="48ADCB82" w14:textId="77777777" w:rsidR="00F423D9" w:rsidRDefault="00A118F7" w:rsidP="00A118F7">
      <w:pPr>
        <w:pStyle w:val="EMEANormal"/>
        <w:rPr>
          <w:lang w:val="en-GB"/>
        </w:rPr>
      </w:pPr>
      <w:r w:rsidRPr="00A118F7">
        <w:rPr>
          <w:szCs w:val="22"/>
          <w:lang w:val="en-GB" w:eastAsia="en-GB"/>
        </w:rPr>
        <w:t>Germany</w:t>
      </w:r>
    </w:p>
    <w:p w14:paraId="4E65109E" w14:textId="77777777" w:rsidR="00F13892" w:rsidRDefault="00F13892" w:rsidP="00F423D9">
      <w:pPr>
        <w:pStyle w:val="EMEANormal"/>
        <w:rPr>
          <w:lang w:val="en-GB"/>
        </w:rPr>
      </w:pPr>
    </w:p>
    <w:p w14:paraId="163B67CD" w14:textId="77777777" w:rsidR="00F13892" w:rsidRDefault="00F13892" w:rsidP="00F423D9">
      <w:pPr>
        <w:pStyle w:val="EMEANormal"/>
        <w:rPr>
          <w:lang w:val="en-GB"/>
        </w:rPr>
      </w:pPr>
    </w:p>
    <w:p w14:paraId="0009D441" w14:textId="77777777" w:rsidR="00277ECB" w:rsidRPr="00342F7C" w:rsidRDefault="00277ECB" w:rsidP="00F13892">
      <w:pPr>
        <w:pStyle w:val="EMEAHeadingBoxedTitle"/>
        <w:spacing w:before="0" w:after="0"/>
        <w:rPr>
          <w:rFonts w:ascii="Times New Roman" w:hAnsi="Times New Roman"/>
          <w:lang w:val="en-GB"/>
        </w:rPr>
      </w:pPr>
      <w:r w:rsidRPr="00342F7C">
        <w:rPr>
          <w:rFonts w:ascii="Times New Roman" w:hAnsi="Times New Roman"/>
          <w:lang w:val="en-GB"/>
        </w:rPr>
        <w:t>12.</w:t>
      </w:r>
      <w:r w:rsidRPr="00342F7C">
        <w:rPr>
          <w:rFonts w:ascii="Times New Roman" w:hAnsi="Times New Roman"/>
          <w:lang w:val="en-GB"/>
        </w:rPr>
        <w:tab/>
        <w:t>MARKETING AUTHORISATION NUMBER(S)</w:t>
      </w:r>
    </w:p>
    <w:p w14:paraId="14207E9C" w14:textId="77777777" w:rsidR="00F13892" w:rsidRDefault="00F13892">
      <w:pPr>
        <w:pStyle w:val="EMEANormal"/>
        <w:rPr>
          <w:lang w:val="en-GB"/>
        </w:rPr>
      </w:pPr>
    </w:p>
    <w:p w14:paraId="3DA5D49B" w14:textId="77777777" w:rsidR="00277ECB" w:rsidRDefault="00277ECB">
      <w:pPr>
        <w:pStyle w:val="EMEANormal"/>
        <w:rPr>
          <w:lang w:val="en-GB"/>
        </w:rPr>
      </w:pPr>
      <w:r w:rsidRPr="00342F7C">
        <w:rPr>
          <w:lang w:val="en-GB"/>
        </w:rPr>
        <w:t>EU/1/01/172/003</w:t>
      </w:r>
    </w:p>
    <w:p w14:paraId="1DDA0CB4" w14:textId="77777777" w:rsidR="00F13892" w:rsidRDefault="00F13892">
      <w:pPr>
        <w:pStyle w:val="EMEANormal"/>
        <w:rPr>
          <w:lang w:val="en-GB"/>
        </w:rPr>
      </w:pPr>
    </w:p>
    <w:p w14:paraId="51262736" w14:textId="77777777" w:rsidR="00F13892" w:rsidRPr="00342F7C" w:rsidRDefault="00F13892">
      <w:pPr>
        <w:pStyle w:val="EMEANormal"/>
        <w:rPr>
          <w:lang w:val="en-GB"/>
        </w:rPr>
      </w:pPr>
    </w:p>
    <w:p w14:paraId="3FBB29F2" w14:textId="77777777" w:rsidR="00277ECB" w:rsidRPr="00342F7C" w:rsidRDefault="00277ECB" w:rsidP="00F13892">
      <w:pPr>
        <w:pStyle w:val="EMEAHeadingBoxedTitle"/>
        <w:spacing w:before="0" w:after="0"/>
        <w:rPr>
          <w:rFonts w:ascii="Times New Roman" w:hAnsi="Times New Roman"/>
          <w:lang w:val="en-GB"/>
        </w:rPr>
      </w:pPr>
      <w:r w:rsidRPr="00342F7C">
        <w:rPr>
          <w:rFonts w:ascii="Times New Roman" w:hAnsi="Times New Roman"/>
          <w:lang w:val="en-GB"/>
        </w:rPr>
        <w:t>13.</w:t>
      </w:r>
      <w:r w:rsidRPr="00342F7C">
        <w:rPr>
          <w:rFonts w:ascii="Times New Roman" w:hAnsi="Times New Roman"/>
          <w:lang w:val="en-GB"/>
        </w:rPr>
        <w:tab/>
        <w:t>BATCH NUMBER</w:t>
      </w:r>
    </w:p>
    <w:p w14:paraId="0A44EEE7" w14:textId="77777777" w:rsidR="00F13892" w:rsidRDefault="00F13892">
      <w:pPr>
        <w:pStyle w:val="EMEANormal"/>
        <w:rPr>
          <w:lang w:val="en-GB"/>
        </w:rPr>
      </w:pPr>
    </w:p>
    <w:p w14:paraId="118DBA0F" w14:textId="77777777" w:rsidR="00277ECB" w:rsidRDefault="00277ECB">
      <w:pPr>
        <w:pStyle w:val="EMEANormal"/>
        <w:rPr>
          <w:lang w:val="en-GB"/>
        </w:rPr>
      </w:pPr>
      <w:r w:rsidRPr="00342F7C">
        <w:rPr>
          <w:lang w:val="en-GB"/>
        </w:rPr>
        <w:t>Lot</w:t>
      </w:r>
    </w:p>
    <w:p w14:paraId="05279663" w14:textId="77777777" w:rsidR="00F13892" w:rsidRDefault="00F13892">
      <w:pPr>
        <w:pStyle w:val="EMEANormal"/>
        <w:rPr>
          <w:lang w:val="en-GB"/>
        </w:rPr>
      </w:pPr>
    </w:p>
    <w:p w14:paraId="5AC10BA3" w14:textId="77777777" w:rsidR="00F13892" w:rsidRPr="00342F7C" w:rsidRDefault="00F13892">
      <w:pPr>
        <w:pStyle w:val="EMEANormal"/>
        <w:rPr>
          <w:lang w:val="en-GB"/>
        </w:rPr>
      </w:pPr>
    </w:p>
    <w:p w14:paraId="3AE8447B" w14:textId="77777777" w:rsidR="00277ECB" w:rsidRPr="00342F7C" w:rsidRDefault="00277ECB" w:rsidP="00F13892">
      <w:pPr>
        <w:pStyle w:val="EMEAHeadingBoxedTitle"/>
        <w:spacing w:before="0" w:after="0"/>
        <w:rPr>
          <w:rFonts w:ascii="Times New Roman" w:hAnsi="Times New Roman"/>
          <w:lang w:val="en-GB"/>
        </w:rPr>
      </w:pPr>
      <w:r w:rsidRPr="00342F7C">
        <w:rPr>
          <w:rFonts w:ascii="Times New Roman" w:hAnsi="Times New Roman"/>
          <w:lang w:val="en-GB"/>
        </w:rPr>
        <w:t>14.</w:t>
      </w:r>
      <w:r w:rsidRPr="00342F7C">
        <w:rPr>
          <w:rFonts w:ascii="Times New Roman" w:hAnsi="Times New Roman"/>
          <w:lang w:val="en-GB"/>
        </w:rPr>
        <w:tab/>
        <w:t>GENERAL CLASSIFICATION FOR SUPPLY</w:t>
      </w:r>
    </w:p>
    <w:p w14:paraId="7B97FB78" w14:textId="77777777" w:rsidR="00F13892" w:rsidRDefault="00F13892">
      <w:pPr>
        <w:pStyle w:val="EMEANormal"/>
        <w:rPr>
          <w:lang w:val="en-GB"/>
        </w:rPr>
      </w:pPr>
    </w:p>
    <w:p w14:paraId="1097342A" w14:textId="77777777" w:rsidR="00F13892" w:rsidRPr="00342F7C" w:rsidRDefault="00F13892">
      <w:pPr>
        <w:pStyle w:val="EMEANormal"/>
        <w:rPr>
          <w:lang w:val="en-GB"/>
        </w:rPr>
      </w:pPr>
    </w:p>
    <w:p w14:paraId="13B8F59E" w14:textId="77777777" w:rsidR="00277ECB" w:rsidRPr="00342F7C" w:rsidRDefault="00277ECB" w:rsidP="00F13892">
      <w:pPr>
        <w:pStyle w:val="EMEAHeadingBoxedEmpty"/>
        <w:spacing w:beforeLines="0" w:before="0"/>
        <w:ind w:left="561" w:hanging="561"/>
        <w:rPr>
          <w:rFonts w:ascii="Times New Roman" w:hAnsi="Times New Roman"/>
          <w:lang w:val="en-GB"/>
        </w:rPr>
      </w:pPr>
      <w:r w:rsidRPr="00342F7C">
        <w:rPr>
          <w:rFonts w:ascii="Times New Roman" w:hAnsi="Times New Roman"/>
          <w:lang w:val="en-GB"/>
        </w:rPr>
        <w:t>15.</w:t>
      </w:r>
      <w:r w:rsidRPr="00342F7C">
        <w:rPr>
          <w:rFonts w:ascii="Times New Roman" w:hAnsi="Times New Roman"/>
          <w:lang w:val="en-GB"/>
        </w:rPr>
        <w:tab/>
        <w:t>INSTRUCTIONS ON USE</w:t>
      </w:r>
    </w:p>
    <w:p w14:paraId="39B37761" w14:textId="77777777" w:rsidR="00277ECB" w:rsidRDefault="00277ECB">
      <w:pPr>
        <w:pStyle w:val="EMEANormal"/>
        <w:rPr>
          <w:lang w:val="en-GB"/>
        </w:rPr>
      </w:pPr>
    </w:p>
    <w:p w14:paraId="34F79AEE" w14:textId="77777777" w:rsidR="00F13892" w:rsidRPr="00342F7C" w:rsidRDefault="00F13892">
      <w:pPr>
        <w:pStyle w:val="EMEANormal"/>
        <w:rPr>
          <w:lang w:val="en-GB"/>
        </w:rPr>
      </w:pPr>
    </w:p>
    <w:p w14:paraId="19FF7C5F" w14:textId="77777777" w:rsidR="00277ECB" w:rsidRPr="00342F7C" w:rsidRDefault="00277ECB" w:rsidP="00F13892">
      <w:pPr>
        <w:pStyle w:val="EMEAHeadingBoxedTitle"/>
        <w:spacing w:before="0" w:after="0"/>
        <w:rPr>
          <w:rFonts w:ascii="Times New Roman" w:hAnsi="Times New Roman"/>
          <w:lang w:val="en-GB"/>
        </w:rPr>
      </w:pPr>
      <w:r w:rsidRPr="00342F7C">
        <w:rPr>
          <w:rFonts w:ascii="Times New Roman" w:hAnsi="Times New Roman"/>
          <w:lang w:val="en-GB"/>
        </w:rPr>
        <w:t>16.</w:t>
      </w:r>
      <w:r w:rsidRPr="00342F7C">
        <w:rPr>
          <w:rFonts w:ascii="Times New Roman" w:hAnsi="Times New Roman"/>
          <w:lang w:val="en-GB"/>
        </w:rPr>
        <w:tab/>
        <w:t>Information in braille</w:t>
      </w:r>
    </w:p>
    <w:p w14:paraId="79530F2A" w14:textId="77777777" w:rsidR="00F13892" w:rsidRDefault="00F13892">
      <w:pPr>
        <w:pStyle w:val="EMEANormal"/>
        <w:rPr>
          <w:lang w:val="en-GB"/>
        </w:rPr>
      </w:pPr>
    </w:p>
    <w:p w14:paraId="0279C97B" w14:textId="77777777" w:rsidR="00942C84" w:rsidRPr="00342F7C" w:rsidRDefault="00277ECB">
      <w:pPr>
        <w:pStyle w:val="EMEANormal"/>
        <w:rPr>
          <w:lang w:val="en-GB"/>
        </w:rPr>
      </w:pPr>
      <w:r w:rsidRPr="00342F7C">
        <w:rPr>
          <w:lang w:val="en-GB"/>
        </w:rPr>
        <w:t>Kaletra</w:t>
      </w:r>
      <w:r w:rsidR="007F2D80" w:rsidRPr="00342F7C">
        <w:rPr>
          <w:lang w:val="en-GB"/>
        </w:rPr>
        <w:t xml:space="preserve"> </w:t>
      </w:r>
      <w:r w:rsidR="00010F24" w:rsidRPr="002B2400">
        <w:rPr>
          <w:lang w:val="fr-FR"/>
        </w:rPr>
        <w:t xml:space="preserve">(80 mg + 20 mg) / ml </w:t>
      </w:r>
    </w:p>
    <w:p w14:paraId="153313AE" w14:textId="77777777" w:rsidR="0068223A" w:rsidRDefault="0068223A" w:rsidP="0068223A">
      <w:pPr>
        <w:pStyle w:val="EMEANormal"/>
        <w:rPr>
          <w:lang w:val="fr-FR"/>
        </w:rPr>
      </w:pPr>
    </w:p>
    <w:p w14:paraId="6386C331" w14:textId="77777777" w:rsidR="0068223A" w:rsidRPr="00342F7C" w:rsidRDefault="0068223A" w:rsidP="0068223A">
      <w:pPr>
        <w:pStyle w:val="EMEANormal"/>
        <w:rPr>
          <w:lang w:val="en-GB"/>
        </w:rPr>
      </w:pPr>
    </w:p>
    <w:p w14:paraId="43FB1C7F" w14:textId="77777777" w:rsidR="0068223A" w:rsidRPr="00342F7C" w:rsidRDefault="0068223A" w:rsidP="0068223A">
      <w:pPr>
        <w:pStyle w:val="EMEAHeadingBoxedTitle"/>
        <w:spacing w:before="0" w:after="0"/>
        <w:rPr>
          <w:rFonts w:ascii="Times New Roman" w:hAnsi="Times New Roman"/>
          <w:lang w:val="en-GB"/>
        </w:rPr>
      </w:pPr>
      <w:r>
        <w:rPr>
          <w:rFonts w:ascii="Times New Roman" w:hAnsi="Times New Roman"/>
          <w:lang w:val="en-GB"/>
        </w:rPr>
        <w:t>17</w:t>
      </w:r>
      <w:r w:rsidRPr="00342F7C">
        <w:rPr>
          <w:rFonts w:ascii="Times New Roman" w:hAnsi="Times New Roman"/>
          <w:lang w:val="en-GB"/>
        </w:rPr>
        <w:t>.</w:t>
      </w:r>
      <w:r w:rsidRPr="00342F7C">
        <w:rPr>
          <w:rFonts w:ascii="Times New Roman" w:hAnsi="Times New Roman"/>
          <w:lang w:val="en-GB"/>
        </w:rPr>
        <w:tab/>
      </w:r>
      <w:r>
        <w:rPr>
          <w:rFonts w:ascii="Times New Roman" w:hAnsi="Times New Roman"/>
          <w:lang w:val="en-GB"/>
        </w:rPr>
        <w:t>UNIQUE IDENTIFIER – 2D BARCODE</w:t>
      </w:r>
    </w:p>
    <w:p w14:paraId="13810AFB" w14:textId="77777777" w:rsidR="0068223A" w:rsidRDefault="0068223A" w:rsidP="0068223A">
      <w:pPr>
        <w:pStyle w:val="EMEANormal"/>
        <w:rPr>
          <w:lang w:val="en-GB"/>
        </w:rPr>
      </w:pPr>
    </w:p>
    <w:p w14:paraId="588F06AA" w14:textId="77777777" w:rsidR="0068223A" w:rsidRPr="00D36207" w:rsidRDefault="0068223A" w:rsidP="0068223A">
      <w:pPr>
        <w:autoSpaceDE w:val="0"/>
        <w:autoSpaceDN w:val="0"/>
        <w:adjustRightInd w:val="0"/>
        <w:rPr>
          <w:sz w:val="22"/>
          <w:szCs w:val="22"/>
          <w:lang w:eastAsia="en-GB"/>
        </w:rPr>
      </w:pPr>
      <w:r w:rsidRPr="00D36207">
        <w:rPr>
          <w:sz w:val="22"/>
          <w:szCs w:val="22"/>
          <w:highlight w:val="lightGray"/>
          <w:lang w:eastAsia="en-GB"/>
        </w:rPr>
        <w:t>2D barcode carrying the unique identifier included.</w:t>
      </w:r>
    </w:p>
    <w:p w14:paraId="01FF8C8A" w14:textId="77777777" w:rsidR="0068223A" w:rsidRDefault="0068223A" w:rsidP="0068223A">
      <w:pPr>
        <w:pStyle w:val="EMEANormal"/>
        <w:rPr>
          <w:lang w:val="en-GB"/>
        </w:rPr>
      </w:pPr>
    </w:p>
    <w:p w14:paraId="43BF495F" w14:textId="77777777" w:rsidR="0068223A" w:rsidRPr="00342F7C" w:rsidRDefault="0068223A" w:rsidP="0068223A">
      <w:pPr>
        <w:pStyle w:val="EMEANormal"/>
        <w:rPr>
          <w:lang w:val="en-GB"/>
        </w:rPr>
      </w:pPr>
    </w:p>
    <w:p w14:paraId="1C6EA70B" w14:textId="77777777" w:rsidR="0068223A" w:rsidRPr="00342F7C" w:rsidRDefault="0068223A" w:rsidP="0068223A">
      <w:pPr>
        <w:pStyle w:val="EMEAHeadingBoxedTitle"/>
        <w:spacing w:before="0" w:after="0"/>
        <w:rPr>
          <w:rFonts w:ascii="Times New Roman" w:hAnsi="Times New Roman"/>
          <w:lang w:val="en-GB"/>
        </w:rPr>
      </w:pPr>
      <w:r>
        <w:rPr>
          <w:rFonts w:ascii="Times New Roman" w:hAnsi="Times New Roman"/>
          <w:lang w:val="en-GB"/>
        </w:rPr>
        <w:t>18</w:t>
      </w:r>
      <w:r w:rsidRPr="00342F7C">
        <w:rPr>
          <w:rFonts w:ascii="Times New Roman" w:hAnsi="Times New Roman"/>
          <w:lang w:val="en-GB"/>
        </w:rPr>
        <w:t>.</w:t>
      </w:r>
      <w:r w:rsidRPr="00342F7C">
        <w:rPr>
          <w:rFonts w:ascii="Times New Roman" w:hAnsi="Times New Roman"/>
          <w:lang w:val="en-GB"/>
        </w:rPr>
        <w:tab/>
      </w:r>
      <w:r>
        <w:rPr>
          <w:rFonts w:ascii="Times New Roman" w:hAnsi="Times New Roman"/>
          <w:lang w:val="en-GB"/>
        </w:rPr>
        <w:t>UNIQUE IDENTIFIER – HUMAN READABLE DATA</w:t>
      </w:r>
    </w:p>
    <w:p w14:paraId="5C0B2032" w14:textId="77777777" w:rsidR="0068223A" w:rsidRDefault="0068223A" w:rsidP="0068223A">
      <w:pPr>
        <w:pStyle w:val="EMEANormal"/>
        <w:rPr>
          <w:lang w:val="en-GB"/>
        </w:rPr>
      </w:pPr>
    </w:p>
    <w:p w14:paraId="31DEF7C8" w14:textId="77777777" w:rsidR="0068223A" w:rsidRPr="00D36207" w:rsidRDefault="000250D7" w:rsidP="0068223A">
      <w:pPr>
        <w:autoSpaceDE w:val="0"/>
        <w:autoSpaceDN w:val="0"/>
        <w:adjustRightInd w:val="0"/>
        <w:rPr>
          <w:sz w:val="22"/>
          <w:szCs w:val="22"/>
          <w:lang w:eastAsia="en-GB"/>
        </w:rPr>
      </w:pPr>
      <w:r>
        <w:rPr>
          <w:sz w:val="22"/>
          <w:szCs w:val="22"/>
          <w:lang w:eastAsia="en-GB"/>
        </w:rPr>
        <w:t>PC</w:t>
      </w:r>
    </w:p>
    <w:p w14:paraId="51D4706C" w14:textId="77777777" w:rsidR="0068223A" w:rsidRPr="00D36207" w:rsidRDefault="000250D7" w:rsidP="0068223A">
      <w:pPr>
        <w:autoSpaceDE w:val="0"/>
        <w:autoSpaceDN w:val="0"/>
        <w:adjustRightInd w:val="0"/>
        <w:rPr>
          <w:sz w:val="22"/>
          <w:szCs w:val="22"/>
          <w:lang w:eastAsia="en-GB"/>
        </w:rPr>
      </w:pPr>
      <w:r>
        <w:rPr>
          <w:sz w:val="22"/>
          <w:szCs w:val="22"/>
          <w:lang w:eastAsia="en-GB"/>
        </w:rPr>
        <w:t>SN</w:t>
      </w:r>
    </w:p>
    <w:p w14:paraId="5DE9C4FC" w14:textId="77777777" w:rsidR="0068223A" w:rsidRPr="00D36207" w:rsidRDefault="0068223A" w:rsidP="0068223A">
      <w:pPr>
        <w:autoSpaceDE w:val="0"/>
        <w:autoSpaceDN w:val="0"/>
        <w:adjustRightInd w:val="0"/>
        <w:rPr>
          <w:sz w:val="22"/>
          <w:szCs w:val="22"/>
          <w:lang w:eastAsia="en-GB"/>
        </w:rPr>
      </w:pPr>
      <w:r w:rsidRPr="00D36207">
        <w:rPr>
          <w:sz w:val="22"/>
          <w:szCs w:val="22"/>
          <w:highlight w:val="lightGray"/>
          <w:lang w:eastAsia="en-GB"/>
        </w:rPr>
        <w:t>NN</w:t>
      </w:r>
    </w:p>
    <w:p w14:paraId="6C36EB02" w14:textId="77777777" w:rsidR="00EF7CDD" w:rsidRPr="00342F7C" w:rsidRDefault="00EF7CDD" w:rsidP="00EF7CDD">
      <w:pPr>
        <w:pStyle w:val="EMEAHeadingBoxedEmpty"/>
        <w:spacing w:beforeLines="0" w:before="0"/>
        <w:ind w:left="561" w:hanging="561"/>
        <w:rPr>
          <w:rFonts w:ascii="Times New Roman" w:hAnsi="Times New Roman"/>
          <w:lang w:val="en-GB"/>
        </w:rPr>
      </w:pPr>
      <w:r>
        <w:rPr>
          <w:lang w:val="en-GB"/>
        </w:rPr>
        <w:br w:type="page"/>
      </w:r>
      <w:r w:rsidRPr="00342F7C">
        <w:rPr>
          <w:rFonts w:ascii="Times New Roman" w:hAnsi="Times New Roman"/>
          <w:lang w:val="en-GB"/>
        </w:rPr>
        <w:t xml:space="preserve">PARTICULARS TO APPEAR ON THE OUTER PACKAGING </w:t>
      </w:r>
    </w:p>
    <w:p w14:paraId="11E2A869" w14:textId="77777777" w:rsidR="00EF7CDD" w:rsidRPr="00342F7C" w:rsidRDefault="00EF7CDD" w:rsidP="00EF7CDD">
      <w:pPr>
        <w:pStyle w:val="EMEAHeadingBoxedTitle"/>
        <w:tabs>
          <w:tab w:val="clear" w:pos="562"/>
          <w:tab w:val="left" w:pos="0"/>
        </w:tabs>
        <w:spacing w:before="240" w:after="0"/>
        <w:rPr>
          <w:bCs/>
          <w:caps w:val="0"/>
          <w:lang w:val="en-GB"/>
        </w:rPr>
      </w:pPr>
      <w:r w:rsidRPr="00342F7C">
        <w:rPr>
          <w:bCs/>
          <w:caps w:val="0"/>
          <w:lang w:val="en-GB"/>
        </w:rPr>
        <w:t xml:space="preserve">Oral solution </w:t>
      </w:r>
      <w:r>
        <w:rPr>
          <w:bCs/>
          <w:caps w:val="0"/>
          <w:lang w:val="en-GB"/>
        </w:rPr>
        <w:t>- C</w:t>
      </w:r>
      <w:r w:rsidRPr="00342F7C">
        <w:rPr>
          <w:bCs/>
          <w:caps w:val="0"/>
          <w:lang w:val="en-GB"/>
        </w:rPr>
        <w:t xml:space="preserve">arton </w:t>
      </w:r>
      <w:r>
        <w:rPr>
          <w:caps w:val="0"/>
          <w:lang w:val="en-GB"/>
        </w:rPr>
        <w:t>containing</w:t>
      </w:r>
      <w:r w:rsidRPr="00342F7C">
        <w:rPr>
          <w:caps w:val="0"/>
          <w:lang w:val="en-GB"/>
        </w:rPr>
        <w:t xml:space="preserve"> </w:t>
      </w:r>
      <w:r>
        <w:rPr>
          <w:caps w:val="0"/>
          <w:lang w:val="en-GB"/>
        </w:rPr>
        <w:t>120 ml</w:t>
      </w:r>
      <w:r w:rsidRPr="00342F7C">
        <w:rPr>
          <w:caps w:val="0"/>
          <w:lang w:val="en-GB"/>
        </w:rPr>
        <w:t xml:space="preserve"> (</w:t>
      </w:r>
      <w:r w:rsidR="002A7CD6">
        <w:rPr>
          <w:caps w:val="0"/>
          <w:lang w:val="en-GB"/>
        </w:rPr>
        <w:t>2</w:t>
      </w:r>
      <w:r w:rsidR="00CF0D10">
        <w:rPr>
          <w:caps w:val="0"/>
          <w:lang w:val="en-GB"/>
        </w:rPr>
        <w:t xml:space="preserve"> bottles x</w:t>
      </w:r>
      <w:r>
        <w:rPr>
          <w:caps w:val="0"/>
          <w:lang w:val="en-GB"/>
        </w:rPr>
        <w:t xml:space="preserve"> 60 ml) oral solution </w:t>
      </w:r>
    </w:p>
    <w:p w14:paraId="3F638136" w14:textId="77777777" w:rsidR="00EF7CDD" w:rsidRDefault="00EF7CDD" w:rsidP="00EF7CDD">
      <w:pPr>
        <w:pStyle w:val="EMEANormal"/>
        <w:rPr>
          <w:lang w:val="en-GB"/>
        </w:rPr>
      </w:pPr>
    </w:p>
    <w:p w14:paraId="6760CFE1" w14:textId="77777777" w:rsidR="00EF7CDD" w:rsidRPr="00342F7C" w:rsidRDefault="00EF7CDD" w:rsidP="00EF7CDD">
      <w:pPr>
        <w:pStyle w:val="EMEANormal"/>
        <w:rPr>
          <w:lang w:val="en-GB"/>
        </w:rPr>
      </w:pPr>
    </w:p>
    <w:p w14:paraId="0813CDB9" w14:textId="77777777" w:rsidR="00EF7CDD" w:rsidRPr="00342F7C" w:rsidRDefault="00EF7CDD" w:rsidP="00EF7CDD">
      <w:pPr>
        <w:pStyle w:val="EMEAHeadingBoxedTitle"/>
        <w:spacing w:before="0" w:after="0"/>
        <w:rPr>
          <w:rFonts w:ascii="Times New Roman" w:hAnsi="Times New Roman"/>
          <w:lang w:val="en-GB"/>
        </w:rPr>
      </w:pPr>
      <w:r w:rsidRPr="00342F7C">
        <w:rPr>
          <w:rFonts w:ascii="Times New Roman" w:hAnsi="Times New Roman"/>
          <w:lang w:val="en-GB"/>
        </w:rPr>
        <w:t>1.</w:t>
      </w:r>
      <w:r w:rsidRPr="00342F7C">
        <w:rPr>
          <w:rFonts w:ascii="Times New Roman" w:hAnsi="Times New Roman"/>
          <w:lang w:val="en-GB"/>
        </w:rPr>
        <w:tab/>
        <w:t>NAME OF THE MEDICINAL PRODUCT</w:t>
      </w:r>
    </w:p>
    <w:p w14:paraId="7AC7E3A8" w14:textId="77777777" w:rsidR="00EF7CDD" w:rsidRDefault="00EF7CDD" w:rsidP="00EF7CDD">
      <w:pPr>
        <w:pStyle w:val="EMEANormal"/>
        <w:tabs>
          <w:tab w:val="left" w:pos="5170"/>
        </w:tabs>
        <w:rPr>
          <w:lang w:val="fr-FR"/>
        </w:rPr>
      </w:pPr>
    </w:p>
    <w:p w14:paraId="61759FBC" w14:textId="77777777" w:rsidR="00EF7CDD" w:rsidRPr="002B2400" w:rsidRDefault="00EF7CDD" w:rsidP="00EF7CDD">
      <w:pPr>
        <w:pStyle w:val="EMEANormal"/>
        <w:tabs>
          <w:tab w:val="left" w:pos="5170"/>
        </w:tabs>
        <w:rPr>
          <w:lang w:val="fr-FR"/>
        </w:rPr>
      </w:pPr>
      <w:r w:rsidRPr="002B2400">
        <w:rPr>
          <w:lang w:val="fr-FR"/>
        </w:rPr>
        <w:t>Kaletra (80 mg + 20 mg) / ml oral solution</w:t>
      </w:r>
    </w:p>
    <w:p w14:paraId="787DEB4D" w14:textId="77777777" w:rsidR="00EF7CDD" w:rsidRDefault="00EF7CDD" w:rsidP="00EF7CDD">
      <w:pPr>
        <w:pStyle w:val="EMEANormal"/>
        <w:rPr>
          <w:lang w:val="fr-FR"/>
        </w:rPr>
      </w:pPr>
      <w:r w:rsidRPr="002B2400">
        <w:rPr>
          <w:lang w:val="fr-FR"/>
        </w:rPr>
        <w:t>(lopinavir + ritonavir)</w:t>
      </w:r>
    </w:p>
    <w:p w14:paraId="11B8DA6B" w14:textId="77777777" w:rsidR="003370FC" w:rsidRDefault="003370FC" w:rsidP="00EF7CDD">
      <w:pPr>
        <w:pStyle w:val="EMEANormal"/>
        <w:rPr>
          <w:lang w:val="fr-FR"/>
        </w:rPr>
      </w:pPr>
      <w:r w:rsidRPr="00326048">
        <w:rPr>
          <w:lang w:val="fr-FR"/>
        </w:rPr>
        <w:t xml:space="preserve">For children 2 weeks or older and weighing up to </w:t>
      </w:r>
      <w:r w:rsidR="00450757" w:rsidRPr="00326048">
        <w:rPr>
          <w:lang w:val="fr-FR"/>
        </w:rPr>
        <w:t>15</w:t>
      </w:r>
      <w:r w:rsidRPr="00326048">
        <w:rPr>
          <w:lang w:val="fr-FR"/>
        </w:rPr>
        <w:t xml:space="preserve"> kg</w:t>
      </w:r>
    </w:p>
    <w:p w14:paraId="7B9FEEA5" w14:textId="77777777" w:rsidR="00EF7CDD" w:rsidRDefault="00EF7CDD" w:rsidP="00EF7CDD">
      <w:pPr>
        <w:pStyle w:val="EMEANormal"/>
        <w:rPr>
          <w:lang w:val="fr-FR"/>
        </w:rPr>
      </w:pPr>
    </w:p>
    <w:p w14:paraId="41931D7D" w14:textId="77777777" w:rsidR="00EF7CDD" w:rsidRPr="002B2400" w:rsidRDefault="00EF7CDD" w:rsidP="00EF7CDD">
      <w:pPr>
        <w:pStyle w:val="EMEANormal"/>
        <w:rPr>
          <w:lang w:val="fr-FR"/>
        </w:rPr>
      </w:pPr>
    </w:p>
    <w:p w14:paraId="43DF0D77" w14:textId="77777777" w:rsidR="00EF7CDD" w:rsidRPr="00342F7C" w:rsidRDefault="00EF7CDD" w:rsidP="00EF7CDD">
      <w:pPr>
        <w:pStyle w:val="EMEAHeadingBoxedTitle"/>
        <w:spacing w:before="0" w:after="0"/>
        <w:rPr>
          <w:rFonts w:ascii="Times New Roman" w:hAnsi="Times New Roman"/>
          <w:lang w:val="en-GB"/>
        </w:rPr>
      </w:pPr>
      <w:r w:rsidRPr="00342F7C">
        <w:rPr>
          <w:rFonts w:ascii="Times New Roman" w:hAnsi="Times New Roman"/>
          <w:lang w:val="en-GB"/>
        </w:rPr>
        <w:t>2.</w:t>
      </w:r>
      <w:r w:rsidRPr="00342F7C">
        <w:rPr>
          <w:rFonts w:ascii="Times New Roman" w:hAnsi="Times New Roman"/>
          <w:lang w:val="en-GB"/>
        </w:rPr>
        <w:tab/>
        <w:t>STATEMENT OF ACTIVE SUBSTANCE(S)</w:t>
      </w:r>
    </w:p>
    <w:p w14:paraId="5F146BE4" w14:textId="77777777" w:rsidR="00EF7CDD" w:rsidRDefault="00EF7CDD" w:rsidP="00EF7CDD">
      <w:pPr>
        <w:pStyle w:val="EMEANormal"/>
        <w:rPr>
          <w:lang w:val="en-GB"/>
        </w:rPr>
      </w:pPr>
    </w:p>
    <w:p w14:paraId="2D7BE59E" w14:textId="77777777" w:rsidR="00EF7CDD" w:rsidRDefault="00EF7CDD" w:rsidP="00EF7CDD">
      <w:pPr>
        <w:pStyle w:val="EMEANormal"/>
        <w:rPr>
          <w:lang w:val="en-GB"/>
        </w:rPr>
      </w:pPr>
      <w:r w:rsidRPr="00342F7C">
        <w:rPr>
          <w:lang w:val="en-GB"/>
        </w:rPr>
        <w:t>Each ml contains: lopinavir 80 mg and ritonavir 20 mg</w:t>
      </w:r>
      <w:r w:rsidRPr="00EF7CDD">
        <w:rPr>
          <w:lang w:val="en-GB"/>
        </w:rPr>
        <w:t>.</w:t>
      </w:r>
    </w:p>
    <w:p w14:paraId="0524A56F" w14:textId="77777777" w:rsidR="00EF7CDD" w:rsidRDefault="00EF7CDD" w:rsidP="00EF7CDD">
      <w:pPr>
        <w:pStyle w:val="EMEANormal"/>
        <w:rPr>
          <w:lang w:val="en-GB"/>
        </w:rPr>
      </w:pPr>
    </w:p>
    <w:p w14:paraId="69EB4E4A" w14:textId="77777777" w:rsidR="00EF7CDD" w:rsidRPr="00342F7C" w:rsidRDefault="00EF7CDD" w:rsidP="00EF7CDD">
      <w:pPr>
        <w:pStyle w:val="EMEANormal"/>
        <w:rPr>
          <w:lang w:val="en-GB"/>
        </w:rPr>
      </w:pPr>
    </w:p>
    <w:p w14:paraId="03276B37" w14:textId="77777777" w:rsidR="00EF7CDD" w:rsidRPr="00342F7C" w:rsidRDefault="00EF7CDD" w:rsidP="00EF7CDD">
      <w:pPr>
        <w:pStyle w:val="EMEAHeadingBoxedTitle"/>
        <w:spacing w:before="0" w:after="0"/>
        <w:rPr>
          <w:rFonts w:ascii="Times New Roman" w:hAnsi="Times New Roman"/>
          <w:lang w:val="en-GB"/>
        </w:rPr>
      </w:pPr>
      <w:r w:rsidRPr="00342F7C">
        <w:rPr>
          <w:rFonts w:ascii="Times New Roman" w:hAnsi="Times New Roman"/>
          <w:lang w:val="en-GB"/>
        </w:rPr>
        <w:t>3.</w:t>
      </w:r>
      <w:r w:rsidRPr="00342F7C">
        <w:rPr>
          <w:rFonts w:ascii="Times New Roman" w:hAnsi="Times New Roman"/>
          <w:lang w:val="en-GB"/>
        </w:rPr>
        <w:tab/>
        <w:t>LIST OF EXCIPIENTS</w:t>
      </w:r>
    </w:p>
    <w:p w14:paraId="1A48D9E6" w14:textId="77777777" w:rsidR="00EF7CDD" w:rsidRDefault="00EF7CDD" w:rsidP="00EF7CDD">
      <w:pPr>
        <w:pStyle w:val="EMEANormal"/>
        <w:rPr>
          <w:lang w:val="en-GB"/>
        </w:rPr>
      </w:pPr>
    </w:p>
    <w:p w14:paraId="77DC19E1" w14:textId="77777777" w:rsidR="00EF7CDD" w:rsidRDefault="00EF7CDD" w:rsidP="00EF7CDD">
      <w:pPr>
        <w:pStyle w:val="EMEANormal"/>
        <w:rPr>
          <w:lang w:val="en-GB"/>
        </w:rPr>
      </w:pPr>
      <w:r w:rsidRPr="00342F7C">
        <w:rPr>
          <w:lang w:val="en-GB"/>
        </w:rPr>
        <w:t>Includes: alcohol, high fructose corn syrup, propylene glycol, glycerol, polyoxyl 40 hydrogenated castor oil, potassium (as acesulfame potassium).</w:t>
      </w:r>
    </w:p>
    <w:p w14:paraId="51D9CEF7" w14:textId="77777777" w:rsidR="00EF7CDD" w:rsidRDefault="00EF7CDD" w:rsidP="00EF7CDD">
      <w:pPr>
        <w:pStyle w:val="EMEANormal"/>
        <w:rPr>
          <w:lang w:val="en-GB"/>
        </w:rPr>
      </w:pPr>
    </w:p>
    <w:p w14:paraId="2BE5A7E2" w14:textId="77777777" w:rsidR="00EF7CDD" w:rsidRPr="00342F7C" w:rsidRDefault="00EF7CDD" w:rsidP="00EF7CDD">
      <w:pPr>
        <w:pStyle w:val="EMEANormal"/>
        <w:rPr>
          <w:lang w:val="en-GB"/>
        </w:rPr>
      </w:pPr>
    </w:p>
    <w:p w14:paraId="24664DE3" w14:textId="77777777" w:rsidR="00EF7CDD" w:rsidRPr="00342F7C" w:rsidRDefault="00EF7CDD" w:rsidP="00EF7CDD">
      <w:pPr>
        <w:pStyle w:val="EMEAHeadingBoxedTitle"/>
        <w:spacing w:before="0" w:after="0"/>
        <w:rPr>
          <w:rFonts w:ascii="Times New Roman" w:hAnsi="Times New Roman"/>
          <w:lang w:val="en-GB"/>
        </w:rPr>
      </w:pPr>
      <w:r w:rsidRPr="00342F7C">
        <w:rPr>
          <w:rFonts w:ascii="Times New Roman" w:hAnsi="Times New Roman"/>
          <w:lang w:val="en-GB"/>
        </w:rPr>
        <w:t>4.</w:t>
      </w:r>
      <w:r w:rsidRPr="00342F7C">
        <w:rPr>
          <w:rFonts w:ascii="Times New Roman" w:hAnsi="Times New Roman"/>
          <w:lang w:val="en-GB"/>
        </w:rPr>
        <w:tab/>
        <w:t>PHARMACEUTICAL FORM AND CONTENTS</w:t>
      </w:r>
    </w:p>
    <w:p w14:paraId="03C6CD91" w14:textId="77777777" w:rsidR="00EF7CDD" w:rsidRDefault="00EF7CDD" w:rsidP="00EF7CDD">
      <w:pPr>
        <w:pStyle w:val="EMEANormal"/>
        <w:rPr>
          <w:lang w:val="en-GB"/>
        </w:rPr>
      </w:pPr>
    </w:p>
    <w:p w14:paraId="7CC8EDD1" w14:textId="77777777" w:rsidR="00EF7CDD" w:rsidRDefault="00EF7CDD" w:rsidP="00EF7CDD">
      <w:pPr>
        <w:pStyle w:val="EMEANormal"/>
        <w:rPr>
          <w:lang w:val="en-GB"/>
        </w:rPr>
      </w:pPr>
      <w:r>
        <w:rPr>
          <w:lang w:val="en-GB"/>
        </w:rPr>
        <w:t>120 ml (2</w:t>
      </w:r>
      <w:r w:rsidRPr="00342F7C">
        <w:rPr>
          <w:lang w:val="en-GB"/>
        </w:rPr>
        <w:t xml:space="preserve"> bottles </w:t>
      </w:r>
      <w:r w:rsidR="00CF0D10">
        <w:rPr>
          <w:lang w:val="en-GB"/>
        </w:rPr>
        <w:t>x</w:t>
      </w:r>
      <w:r w:rsidR="00CF0D10" w:rsidRPr="00342F7C">
        <w:rPr>
          <w:lang w:val="en-GB"/>
        </w:rPr>
        <w:t xml:space="preserve"> </w:t>
      </w:r>
      <w:r w:rsidRPr="00342F7C">
        <w:rPr>
          <w:lang w:val="en-GB"/>
        </w:rPr>
        <w:t>60 ml)</w:t>
      </w:r>
      <w:r>
        <w:rPr>
          <w:lang w:val="en-GB"/>
        </w:rPr>
        <w:t xml:space="preserve"> </w:t>
      </w:r>
      <w:r w:rsidRPr="00E33A2C">
        <w:rPr>
          <w:highlight w:val="lightGray"/>
          <w:lang w:val="en-GB"/>
        </w:rPr>
        <w:t>oral solution</w:t>
      </w:r>
      <w:r>
        <w:rPr>
          <w:lang w:val="en-GB"/>
        </w:rPr>
        <w:t xml:space="preserve"> </w:t>
      </w:r>
      <w:r w:rsidRPr="00EF7CDD">
        <w:rPr>
          <w:lang w:val="en-GB"/>
        </w:rPr>
        <w:t xml:space="preserve">with two </w:t>
      </w:r>
      <w:r w:rsidR="000250D7">
        <w:rPr>
          <w:b/>
          <w:lang w:val="en-GB"/>
        </w:rPr>
        <w:t>2 </w:t>
      </w:r>
      <w:r w:rsidRPr="002A7CD6">
        <w:rPr>
          <w:b/>
          <w:lang w:val="en-GB"/>
        </w:rPr>
        <w:t>ml</w:t>
      </w:r>
      <w:r w:rsidRPr="00EF7CDD">
        <w:rPr>
          <w:lang w:val="en-GB"/>
        </w:rPr>
        <w:t xml:space="preserve"> oral dosing syringes.</w:t>
      </w:r>
    </w:p>
    <w:p w14:paraId="43586954" w14:textId="77777777" w:rsidR="00EF7CDD" w:rsidRDefault="00EF7CDD" w:rsidP="00EF7CDD">
      <w:pPr>
        <w:pStyle w:val="EMEANormal"/>
        <w:rPr>
          <w:lang w:val="en-GB"/>
        </w:rPr>
      </w:pPr>
    </w:p>
    <w:p w14:paraId="31CDA5D7" w14:textId="77777777" w:rsidR="00EF7CDD" w:rsidRPr="00342F7C" w:rsidRDefault="00EF7CDD" w:rsidP="00EF7CDD">
      <w:pPr>
        <w:pStyle w:val="EMEANormal"/>
        <w:rPr>
          <w:lang w:val="en-GB"/>
        </w:rPr>
      </w:pPr>
    </w:p>
    <w:p w14:paraId="395FF948" w14:textId="77777777" w:rsidR="00EF7CDD" w:rsidRPr="00342F7C" w:rsidRDefault="00EF7CDD" w:rsidP="00EF7CDD">
      <w:pPr>
        <w:pStyle w:val="EMEAHeadingBoxedTitle"/>
        <w:spacing w:before="0" w:after="0"/>
        <w:rPr>
          <w:rFonts w:ascii="Times New Roman" w:hAnsi="Times New Roman"/>
          <w:lang w:val="en-GB"/>
        </w:rPr>
      </w:pPr>
      <w:r w:rsidRPr="00342F7C">
        <w:rPr>
          <w:rFonts w:ascii="Times New Roman" w:hAnsi="Times New Roman"/>
          <w:lang w:val="en-GB"/>
        </w:rPr>
        <w:t>5.</w:t>
      </w:r>
      <w:r w:rsidRPr="00342F7C">
        <w:rPr>
          <w:rFonts w:ascii="Times New Roman" w:hAnsi="Times New Roman"/>
          <w:lang w:val="en-GB"/>
        </w:rPr>
        <w:tab/>
        <w:t>METHOD AND ROUTE(S) OF ADMINISTRATION</w:t>
      </w:r>
    </w:p>
    <w:p w14:paraId="31EB0045" w14:textId="77777777" w:rsidR="00EF7CDD" w:rsidRDefault="00EF7CDD" w:rsidP="00EF7CDD">
      <w:pPr>
        <w:pStyle w:val="EMEANormal"/>
        <w:rPr>
          <w:lang w:val="en-GB"/>
        </w:rPr>
      </w:pPr>
    </w:p>
    <w:p w14:paraId="1F762AFD" w14:textId="77777777" w:rsidR="00EF7CDD" w:rsidRDefault="00EF7CDD" w:rsidP="00EF7CDD">
      <w:pPr>
        <w:pStyle w:val="EMEANormal"/>
        <w:rPr>
          <w:lang w:val="en-GB"/>
        </w:rPr>
      </w:pPr>
      <w:r w:rsidRPr="00342F7C">
        <w:rPr>
          <w:lang w:val="en-GB"/>
        </w:rPr>
        <w:t>Read the package leaflet before use</w:t>
      </w:r>
      <w:r>
        <w:rPr>
          <w:lang w:val="en-GB"/>
        </w:rPr>
        <w:t>.</w:t>
      </w:r>
    </w:p>
    <w:p w14:paraId="135BF02C" w14:textId="77777777" w:rsidR="00EF7CDD" w:rsidRDefault="00EF7CDD" w:rsidP="00EF7CDD">
      <w:pPr>
        <w:pStyle w:val="EMEANormal"/>
        <w:rPr>
          <w:lang w:val="en-GB"/>
        </w:rPr>
      </w:pPr>
      <w:r w:rsidRPr="00342F7C">
        <w:rPr>
          <w:lang w:val="en-GB"/>
        </w:rPr>
        <w:t>Oral use</w:t>
      </w:r>
    </w:p>
    <w:p w14:paraId="49198DAB" w14:textId="77777777" w:rsidR="00EF7CDD" w:rsidRDefault="004627D4" w:rsidP="00EF7CDD">
      <w:pPr>
        <w:pStyle w:val="EMEANormal"/>
        <w:rPr>
          <w:lang w:val="en-GB"/>
        </w:rPr>
      </w:pPr>
      <w:r w:rsidRPr="00326048">
        <w:rPr>
          <w:lang w:val="en-GB"/>
        </w:rPr>
        <w:t xml:space="preserve">For </w:t>
      </w:r>
      <w:r w:rsidR="00EF7CDD" w:rsidRPr="00326048">
        <w:rPr>
          <w:lang w:val="en-GB"/>
        </w:rPr>
        <w:t xml:space="preserve">volumes </w:t>
      </w:r>
      <w:r w:rsidR="00FD5035" w:rsidRPr="00326048">
        <w:rPr>
          <w:lang w:val="en-GB"/>
        </w:rPr>
        <w:t xml:space="preserve">up to </w:t>
      </w:r>
      <w:r w:rsidR="00EF7CDD" w:rsidRPr="00326048">
        <w:rPr>
          <w:lang w:val="en-GB"/>
        </w:rPr>
        <w:t>2 ml.</w:t>
      </w:r>
    </w:p>
    <w:p w14:paraId="745CB01C" w14:textId="77777777" w:rsidR="00CF0D10" w:rsidRPr="00342F7C" w:rsidRDefault="000250D7" w:rsidP="00EF7CDD">
      <w:pPr>
        <w:pStyle w:val="EMEANormal"/>
        <w:rPr>
          <w:lang w:val="en-GB"/>
        </w:rPr>
      </w:pPr>
      <w:r>
        <w:rPr>
          <w:lang w:val="en-GB"/>
        </w:rPr>
        <w:t>Use the 2 </w:t>
      </w:r>
      <w:r w:rsidR="00CF0D10">
        <w:rPr>
          <w:lang w:val="en-GB"/>
        </w:rPr>
        <w:t>ml oral dosing syringe to prepare a dose.</w:t>
      </w:r>
    </w:p>
    <w:p w14:paraId="22DD1DF5" w14:textId="77777777" w:rsidR="00EF7CDD" w:rsidRDefault="00EF7CDD" w:rsidP="00EF7CDD">
      <w:pPr>
        <w:pStyle w:val="EMEANormal"/>
        <w:rPr>
          <w:lang w:val="en-GB"/>
        </w:rPr>
      </w:pPr>
    </w:p>
    <w:p w14:paraId="17D2F62E" w14:textId="77777777" w:rsidR="00EF7CDD" w:rsidRPr="00342F7C" w:rsidRDefault="00EF7CDD" w:rsidP="00EF7CDD">
      <w:pPr>
        <w:pStyle w:val="EMEANormal"/>
        <w:rPr>
          <w:lang w:val="en-GB"/>
        </w:rPr>
      </w:pPr>
    </w:p>
    <w:p w14:paraId="133B02B4" w14:textId="77777777" w:rsidR="00EF7CDD" w:rsidRPr="00342F7C" w:rsidRDefault="00EF7CDD" w:rsidP="00EF7CDD">
      <w:pPr>
        <w:pStyle w:val="EMEAHeadingBoxedTitle"/>
        <w:spacing w:before="0" w:after="0"/>
        <w:ind w:left="550" w:hanging="550"/>
        <w:rPr>
          <w:rFonts w:ascii="Times New Roman" w:hAnsi="Times New Roman"/>
          <w:lang w:val="en-GB"/>
        </w:rPr>
      </w:pPr>
      <w:r w:rsidRPr="00342F7C">
        <w:rPr>
          <w:rFonts w:ascii="Times New Roman" w:hAnsi="Times New Roman"/>
          <w:lang w:val="en-GB"/>
        </w:rPr>
        <w:t>6.</w:t>
      </w:r>
      <w:r w:rsidRPr="00342F7C">
        <w:rPr>
          <w:rFonts w:ascii="Times New Roman" w:hAnsi="Times New Roman"/>
          <w:lang w:val="en-GB"/>
        </w:rPr>
        <w:tab/>
        <w:t xml:space="preserve">SPECIAL WARNING THAT THE MEDICINAL PRODUCT MUST BE STORED OUT OF THE </w:t>
      </w:r>
      <w:r>
        <w:rPr>
          <w:rFonts w:ascii="Times New Roman" w:hAnsi="Times New Roman"/>
          <w:lang w:val="en-GB"/>
        </w:rPr>
        <w:t>SIGHT</w:t>
      </w:r>
      <w:r w:rsidRPr="00342F7C">
        <w:rPr>
          <w:rFonts w:ascii="Times New Roman" w:hAnsi="Times New Roman"/>
          <w:lang w:val="en-GB"/>
        </w:rPr>
        <w:t xml:space="preserve"> AND </w:t>
      </w:r>
      <w:r>
        <w:rPr>
          <w:rFonts w:ascii="Times New Roman" w:hAnsi="Times New Roman"/>
          <w:lang w:val="en-GB"/>
        </w:rPr>
        <w:t>REACH</w:t>
      </w:r>
      <w:r w:rsidRPr="00342F7C">
        <w:rPr>
          <w:rFonts w:ascii="Times New Roman" w:hAnsi="Times New Roman"/>
          <w:lang w:val="en-GB"/>
        </w:rPr>
        <w:t xml:space="preserve"> OF CHILDREN</w:t>
      </w:r>
    </w:p>
    <w:p w14:paraId="59E36B83" w14:textId="77777777" w:rsidR="00EF7CDD" w:rsidRDefault="00EF7CDD" w:rsidP="00EF7CDD">
      <w:pPr>
        <w:pStyle w:val="EMEANormal"/>
        <w:rPr>
          <w:lang w:val="en-GB"/>
        </w:rPr>
      </w:pPr>
    </w:p>
    <w:p w14:paraId="04A05C4E" w14:textId="77777777" w:rsidR="00EF7CDD" w:rsidRDefault="00EF7CDD" w:rsidP="00EF7CDD">
      <w:pPr>
        <w:pStyle w:val="EMEANormal"/>
        <w:rPr>
          <w:lang w:val="en-GB"/>
        </w:rPr>
      </w:pPr>
      <w:r w:rsidRPr="00342F7C">
        <w:rPr>
          <w:lang w:val="en-GB"/>
        </w:rPr>
        <w:t>Keep out of the sight</w:t>
      </w:r>
      <w:r>
        <w:rPr>
          <w:lang w:val="en-GB"/>
        </w:rPr>
        <w:t xml:space="preserve"> and reach</w:t>
      </w:r>
      <w:r w:rsidRPr="00342F7C">
        <w:rPr>
          <w:lang w:val="en-GB"/>
        </w:rPr>
        <w:t xml:space="preserve"> of children</w:t>
      </w:r>
      <w:r>
        <w:rPr>
          <w:lang w:val="en-GB"/>
        </w:rPr>
        <w:t>.</w:t>
      </w:r>
    </w:p>
    <w:p w14:paraId="1701DC67" w14:textId="77777777" w:rsidR="00EF7CDD" w:rsidRDefault="00EF7CDD" w:rsidP="00EF7CDD">
      <w:pPr>
        <w:pStyle w:val="EMEANormal"/>
        <w:rPr>
          <w:lang w:val="en-GB"/>
        </w:rPr>
      </w:pPr>
    </w:p>
    <w:p w14:paraId="3D711A82" w14:textId="77777777" w:rsidR="00EF7CDD" w:rsidRPr="00342F7C" w:rsidRDefault="00EF7CDD" w:rsidP="00EF7CDD">
      <w:pPr>
        <w:pStyle w:val="EMEANormal"/>
        <w:rPr>
          <w:lang w:val="en-GB"/>
        </w:rPr>
      </w:pPr>
    </w:p>
    <w:p w14:paraId="3712C4D2" w14:textId="77777777" w:rsidR="00EF7CDD" w:rsidRPr="00342F7C" w:rsidRDefault="00EF7CDD" w:rsidP="00EF7CDD">
      <w:pPr>
        <w:pStyle w:val="EMEAHeadingBoxedTitle"/>
        <w:spacing w:before="0" w:after="0"/>
        <w:rPr>
          <w:rFonts w:ascii="Times New Roman" w:hAnsi="Times New Roman"/>
          <w:lang w:val="en-GB"/>
        </w:rPr>
      </w:pPr>
      <w:r w:rsidRPr="00342F7C">
        <w:rPr>
          <w:rFonts w:ascii="Times New Roman" w:hAnsi="Times New Roman"/>
          <w:lang w:val="en-GB"/>
        </w:rPr>
        <w:t>7.</w:t>
      </w:r>
      <w:r w:rsidRPr="00342F7C">
        <w:rPr>
          <w:rFonts w:ascii="Times New Roman" w:hAnsi="Times New Roman"/>
          <w:lang w:val="en-GB"/>
        </w:rPr>
        <w:tab/>
        <w:t>OTHER SPECIAL WARNING(S), IF NECESSARY</w:t>
      </w:r>
    </w:p>
    <w:p w14:paraId="66156CBA" w14:textId="77777777" w:rsidR="00EF7CDD" w:rsidRDefault="00EF7CDD" w:rsidP="00EF7CDD">
      <w:pPr>
        <w:pStyle w:val="EMEANormal"/>
        <w:rPr>
          <w:lang w:val="en-GB"/>
        </w:rPr>
      </w:pPr>
    </w:p>
    <w:p w14:paraId="5EF8FD80" w14:textId="77777777" w:rsidR="00EF7CDD" w:rsidRPr="00342F7C" w:rsidRDefault="00EF7CDD" w:rsidP="00EF7CDD">
      <w:pPr>
        <w:pStyle w:val="EMEANormal"/>
        <w:rPr>
          <w:lang w:val="en-GB"/>
        </w:rPr>
      </w:pPr>
    </w:p>
    <w:p w14:paraId="112200DA" w14:textId="77777777" w:rsidR="00EF7CDD" w:rsidRPr="00342F7C" w:rsidRDefault="00EF7CDD" w:rsidP="00EF7CDD">
      <w:pPr>
        <w:pStyle w:val="EMEAHeadingBoxedTitle"/>
        <w:spacing w:before="0" w:after="0"/>
        <w:rPr>
          <w:rFonts w:ascii="Times New Roman" w:hAnsi="Times New Roman"/>
          <w:lang w:val="en-GB"/>
        </w:rPr>
      </w:pPr>
      <w:r w:rsidRPr="00342F7C">
        <w:rPr>
          <w:rFonts w:ascii="Times New Roman" w:hAnsi="Times New Roman"/>
          <w:lang w:val="en-GB"/>
        </w:rPr>
        <w:t>8.</w:t>
      </w:r>
      <w:r w:rsidRPr="00342F7C">
        <w:rPr>
          <w:rFonts w:ascii="Times New Roman" w:hAnsi="Times New Roman"/>
          <w:lang w:val="en-GB"/>
        </w:rPr>
        <w:tab/>
        <w:t>EXPIRY DATE</w:t>
      </w:r>
    </w:p>
    <w:p w14:paraId="60876D81" w14:textId="77777777" w:rsidR="00EF7CDD" w:rsidRDefault="00EF7CDD" w:rsidP="00EF7CDD">
      <w:pPr>
        <w:pStyle w:val="EMEANormal"/>
        <w:rPr>
          <w:lang w:val="en-GB"/>
        </w:rPr>
      </w:pPr>
    </w:p>
    <w:p w14:paraId="4680E48D" w14:textId="77777777" w:rsidR="00EF7CDD" w:rsidRDefault="00EF7CDD" w:rsidP="00EF7CDD">
      <w:pPr>
        <w:pStyle w:val="EMEANormal"/>
        <w:rPr>
          <w:lang w:val="en-GB"/>
        </w:rPr>
      </w:pPr>
      <w:r w:rsidRPr="00342F7C">
        <w:rPr>
          <w:lang w:val="en-GB"/>
        </w:rPr>
        <w:t>EXP</w:t>
      </w:r>
    </w:p>
    <w:p w14:paraId="59CCC445" w14:textId="77777777" w:rsidR="00EF7CDD" w:rsidRDefault="00EF7CDD" w:rsidP="00EF7CDD">
      <w:pPr>
        <w:pStyle w:val="EMEANormal"/>
        <w:rPr>
          <w:lang w:val="en-GB"/>
        </w:rPr>
      </w:pPr>
    </w:p>
    <w:p w14:paraId="1F927D1C" w14:textId="77777777" w:rsidR="00EF7CDD" w:rsidRPr="00342F7C" w:rsidRDefault="00EF7CDD" w:rsidP="00EF7CDD">
      <w:pPr>
        <w:pStyle w:val="EMEANormal"/>
        <w:rPr>
          <w:lang w:val="en-GB"/>
        </w:rPr>
      </w:pPr>
    </w:p>
    <w:p w14:paraId="51D6602E" w14:textId="77777777" w:rsidR="00EF7CDD" w:rsidRPr="00342F7C" w:rsidRDefault="00EF7CDD" w:rsidP="00EF7CDD">
      <w:pPr>
        <w:pStyle w:val="EMEAHeadingBoxedTitle"/>
        <w:keepNext/>
        <w:spacing w:before="0" w:after="0"/>
        <w:rPr>
          <w:rFonts w:ascii="Times New Roman" w:hAnsi="Times New Roman"/>
          <w:lang w:val="en-GB"/>
        </w:rPr>
      </w:pPr>
      <w:r w:rsidRPr="00342F7C">
        <w:rPr>
          <w:rFonts w:ascii="Times New Roman" w:hAnsi="Times New Roman"/>
          <w:lang w:val="en-GB"/>
        </w:rPr>
        <w:t>9.</w:t>
      </w:r>
      <w:r w:rsidRPr="00342F7C">
        <w:rPr>
          <w:rFonts w:ascii="Times New Roman" w:hAnsi="Times New Roman"/>
          <w:lang w:val="en-GB"/>
        </w:rPr>
        <w:tab/>
        <w:t>SPECIAL STORAGE CONDITIONS</w:t>
      </w:r>
    </w:p>
    <w:p w14:paraId="2834A9B7" w14:textId="77777777" w:rsidR="00EF7CDD" w:rsidRDefault="00EF7CDD" w:rsidP="00EF7CDD">
      <w:pPr>
        <w:pStyle w:val="EMEANormal"/>
        <w:keepNext/>
        <w:rPr>
          <w:b/>
          <w:lang w:val="en-GB"/>
        </w:rPr>
      </w:pPr>
    </w:p>
    <w:p w14:paraId="075FA5A1" w14:textId="77777777" w:rsidR="00EF7CDD" w:rsidRPr="0038291D" w:rsidRDefault="00EF7CDD" w:rsidP="00EF7CDD">
      <w:pPr>
        <w:pStyle w:val="EMEANormal"/>
        <w:keepNext/>
        <w:rPr>
          <w:b/>
          <w:snapToGrid w:val="0"/>
          <w:lang w:val="en-GB"/>
        </w:rPr>
      </w:pPr>
      <w:r w:rsidRPr="0038291D">
        <w:rPr>
          <w:b/>
          <w:lang w:val="en-GB"/>
        </w:rPr>
        <w:t>Store in a refrigerator</w:t>
      </w:r>
    </w:p>
    <w:p w14:paraId="7B61C449" w14:textId="77777777" w:rsidR="00EF7CDD" w:rsidRDefault="00EF7CDD" w:rsidP="00EF7CDD">
      <w:pPr>
        <w:pStyle w:val="EMEANormal"/>
        <w:keepNext/>
        <w:rPr>
          <w:lang w:val="en-GB"/>
        </w:rPr>
      </w:pPr>
    </w:p>
    <w:p w14:paraId="70B42A90" w14:textId="77777777" w:rsidR="00EF7CDD" w:rsidRPr="00342F7C" w:rsidRDefault="00EF7CDD" w:rsidP="00EF7CDD">
      <w:pPr>
        <w:pStyle w:val="EMEANormal"/>
        <w:keepNext/>
        <w:rPr>
          <w:lang w:val="en-GB"/>
        </w:rPr>
      </w:pPr>
    </w:p>
    <w:p w14:paraId="4AD1D4DE" w14:textId="77777777" w:rsidR="00EF7CDD" w:rsidRPr="00342F7C" w:rsidRDefault="00EF7CDD" w:rsidP="00EF7CDD">
      <w:pPr>
        <w:pStyle w:val="EMEAHeadingBoxedEmpty"/>
        <w:spacing w:beforeLines="0" w:before="0"/>
        <w:ind w:left="561" w:hanging="561"/>
        <w:rPr>
          <w:rFonts w:ascii="Times New Roman" w:hAnsi="Times New Roman"/>
          <w:lang w:val="en-GB"/>
        </w:rPr>
      </w:pPr>
      <w:r w:rsidRPr="00342F7C">
        <w:rPr>
          <w:rFonts w:ascii="Times New Roman" w:hAnsi="Times New Roman"/>
          <w:lang w:val="en-GB"/>
        </w:rPr>
        <w:t>10.</w:t>
      </w:r>
      <w:r w:rsidRPr="00342F7C">
        <w:rPr>
          <w:rFonts w:ascii="Times New Roman" w:hAnsi="Times New Roman"/>
          <w:lang w:val="en-GB"/>
        </w:rPr>
        <w:tab/>
        <w:t>SPECIAL PRECAUTIONS FOR DISPOSAL OF UNUSED MEDICINAL PRODUCTS OR WASTE MATERIALS DERIVED FROM SUCH MEDICINAL PRODUCTS, IF APPROPRIATE</w:t>
      </w:r>
    </w:p>
    <w:p w14:paraId="6EE01A8B" w14:textId="77777777" w:rsidR="00EF7CDD" w:rsidRDefault="00EF7CDD" w:rsidP="00EF7CDD">
      <w:pPr>
        <w:pStyle w:val="EMEANormal"/>
        <w:rPr>
          <w:lang w:val="en-GB"/>
        </w:rPr>
      </w:pPr>
    </w:p>
    <w:p w14:paraId="266734CB" w14:textId="77777777" w:rsidR="00EF7CDD" w:rsidRPr="00342F7C" w:rsidRDefault="00EF7CDD" w:rsidP="00EF7CDD">
      <w:pPr>
        <w:pStyle w:val="EMEANormal"/>
        <w:rPr>
          <w:lang w:val="en-GB"/>
        </w:rPr>
      </w:pPr>
    </w:p>
    <w:p w14:paraId="6061119B" w14:textId="77777777" w:rsidR="00EF7CDD" w:rsidRPr="00342F7C" w:rsidRDefault="00EF7CDD" w:rsidP="00EF7CDD">
      <w:pPr>
        <w:pStyle w:val="EMEAHeadingBoxedTitle"/>
        <w:spacing w:before="0" w:after="0"/>
        <w:rPr>
          <w:rFonts w:ascii="Times New Roman" w:hAnsi="Times New Roman"/>
          <w:lang w:val="en-GB"/>
        </w:rPr>
      </w:pPr>
      <w:r w:rsidRPr="00342F7C">
        <w:rPr>
          <w:rFonts w:ascii="Times New Roman" w:hAnsi="Times New Roman"/>
          <w:lang w:val="en-GB"/>
        </w:rPr>
        <w:t>11.</w:t>
      </w:r>
      <w:r w:rsidRPr="00342F7C">
        <w:rPr>
          <w:rFonts w:ascii="Times New Roman" w:hAnsi="Times New Roman"/>
          <w:lang w:val="en-GB"/>
        </w:rPr>
        <w:tab/>
        <w:t>NAME AND ADDRESS OF THE MARKETING AUTHORISATION HOLDER</w:t>
      </w:r>
    </w:p>
    <w:p w14:paraId="06ED5A8D" w14:textId="77777777" w:rsidR="00EF7CDD" w:rsidRDefault="00EF7CDD" w:rsidP="00EF7CDD">
      <w:pPr>
        <w:pStyle w:val="EMEANormal"/>
        <w:rPr>
          <w:lang w:val="en-GB"/>
        </w:rPr>
      </w:pPr>
    </w:p>
    <w:p w14:paraId="5AB794A2" w14:textId="77777777" w:rsidR="00A118F7" w:rsidRPr="00A118F7" w:rsidRDefault="00A118F7" w:rsidP="00A118F7">
      <w:pPr>
        <w:keepNext/>
        <w:autoSpaceDE w:val="0"/>
        <w:autoSpaceDN w:val="0"/>
        <w:adjustRightInd w:val="0"/>
        <w:spacing w:line="240" w:lineRule="atLeast"/>
        <w:rPr>
          <w:sz w:val="22"/>
          <w:szCs w:val="22"/>
          <w:lang w:eastAsia="en-GB"/>
        </w:rPr>
      </w:pPr>
      <w:r w:rsidRPr="00A118F7">
        <w:rPr>
          <w:sz w:val="22"/>
          <w:szCs w:val="22"/>
          <w:lang w:eastAsia="en-GB"/>
        </w:rPr>
        <w:t>AbbVie Deutschland GmbH &amp; Co. KG</w:t>
      </w:r>
    </w:p>
    <w:p w14:paraId="4FCDFAA5" w14:textId="77777777" w:rsidR="00A118F7" w:rsidRPr="00A118F7" w:rsidRDefault="00A118F7" w:rsidP="00A118F7">
      <w:pPr>
        <w:keepNext/>
        <w:autoSpaceDE w:val="0"/>
        <w:autoSpaceDN w:val="0"/>
        <w:adjustRightInd w:val="0"/>
        <w:spacing w:line="240" w:lineRule="atLeast"/>
        <w:rPr>
          <w:sz w:val="22"/>
          <w:szCs w:val="22"/>
          <w:lang w:eastAsia="en-GB"/>
        </w:rPr>
      </w:pPr>
      <w:r w:rsidRPr="00A118F7">
        <w:rPr>
          <w:sz w:val="22"/>
          <w:szCs w:val="22"/>
          <w:lang w:eastAsia="en-GB"/>
        </w:rPr>
        <w:t>Knollstrasse</w:t>
      </w:r>
    </w:p>
    <w:p w14:paraId="2C156615" w14:textId="77777777" w:rsidR="00A118F7" w:rsidRPr="00A118F7" w:rsidRDefault="00A118F7" w:rsidP="00A118F7">
      <w:pPr>
        <w:keepNext/>
        <w:autoSpaceDE w:val="0"/>
        <w:autoSpaceDN w:val="0"/>
        <w:adjustRightInd w:val="0"/>
        <w:spacing w:line="240" w:lineRule="atLeast"/>
        <w:rPr>
          <w:sz w:val="22"/>
          <w:szCs w:val="22"/>
          <w:lang w:eastAsia="en-GB"/>
        </w:rPr>
      </w:pPr>
      <w:r w:rsidRPr="00A118F7">
        <w:rPr>
          <w:sz w:val="22"/>
          <w:szCs w:val="22"/>
          <w:lang w:eastAsia="en-GB"/>
        </w:rPr>
        <w:t>67061 Ludwigshafen</w:t>
      </w:r>
    </w:p>
    <w:p w14:paraId="4BF9FACF" w14:textId="77777777" w:rsidR="00EF7CDD" w:rsidRDefault="00A118F7" w:rsidP="00A118F7">
      <w:pPr>
        <w:pStyle w:val="EMEANormal"/>
        <w:rPr>
          <w:lang w:val="en-GB"/>
        </w:rPr>
      </w:pPr>
      <w:r w:rsidRPr="00A118F7">
        <w:rPr>
          <w:szCs w:val="22"/>
          <w:lang w:val="en-GB" w:eastAsia="en-GB"/>
        </w:rPr>
        <w:t>Germany</w:t>
      </w:r>
    </w:p>
    <w:p w14:paraId="5017C678" w14:textId="77777777" w:rsidR="00EF7CDD" w:rsidRDefault="00EF7CDD" w:rsidP="00EF7CDD">
      <w:pPr>
        <w:pStyle w:val="EMEANormal"/>
        <w:rPr>
          <w:lang w:val="en-GB"/>
        </w:rPr>
      </w:pPr>
    </w:p>
    <w:p w14:paraId="3B25B951" w14:textId="77777777" w:rsidR="00EF7CDD" w:rsidRDefault="00EF7CDD" w:rsidP="00EF7CDD">
      <w:pPr>
        <w:pStyle w:val="EMEANormal"/>
        <w:rPr>
          <w:lang w:val="en-GB"/>
        </w:rPr>
      </w:pPr>
    </w:p>
    <w:p w14:paraId="31433C75" w14:textId="77777777" w:rsidR="00EF7CDD" w:rsidRPr="00342F7C" w:rsidRDefault="00EF7CDD" w:rsidP="00EF7CDD">
      <w:pPr>
        <w:pStyle w:val="EMEAHeadingBoxedTitle"/>
        <w:spacing w:before="0" w:after="0"/>
        <w:rPr>
          <w:rFonts w:ascii="Times New Roman" w:hAnsi="Times New Roman"/>
          <w:lang w:val="en-GB"/>
        </w:rPr>
      </w:pPr>
      <w:r w:rsidRPr="00342F7C">
        <w:rPr>
          <w:rFonts w:ascii="Times New Roman" w:hAnsi="Times New Roman"/>
          <w:lang w:val="en-GB"/>
        </w:rPr>
        <w:t>12.</w:t>
      </w:r>
      <w:r w:rsidRPr="00342F7C">
        <w:rPr>
          <w:rFonts w:ascii="Times New Roman" w:hAnsi="Times New Roman"/>
          <w:lang w:val="en-GB"/>
        </w:rPr>
        <w:tab/>
        <w:t>MARKETING AUTHORISATION NUMBER(S)</w:t>
      </w:r>
    </w:p>
    <w:p w14:paraId="7B731AC9" w14:textId="77777777" w:rsidR="00EF7CDD" w:rsidRDefault="00EF7CDD" w:rsidP="00EF7CDD">
      <w:pPr>
        <w:pStyle w:val="EMEANormal"/>
        <w:rPr>
          <w:lang w:val="en-GB"/>
        </w:rPr>
      </w:pPr>
    </w:p>
    <w:p w14:paraId="09D77966" w14:textId="77777777" w:rsidR="00EF7CDD" w:rsidRDefault="00EF7CDD" w:rsidP="00EF7CDD">
      <w:pPr>
        <w:pStyle w:val="EMEANormal"/>
        <w:rPr>
          <w:lang w:val="en-GB"/>
        </w:rPr>
      </w:pPr>
      <w:r>
        <w:rPr>
          <w:lang w:val="en-GB"/>
        </w:rPr>
        <w:t>EU/1/01/172/009</w:t>
      </w:r>
    </w:p>
    <w:p w14:paraId="2A58F295" w14:textId="77777777" w:rsidR="00EF7CDD" w:rsidRDefault="00EF7CDD" w:rsidP="00EF7CDD">
      <w:pPr>
        <w:pStyle w:val="EMEANormal"/>
        <w:rPr>
          <w:lang w:val="en-GB"/>
        </w:rPr>
      </w:pPr>
    </w:p>
    <w:p w14:paraId="315EFE45" w14:textId="77777777" w:rsidR="00EF7CDD" w:rsidRPr="00342F7C" w:rsidRDefault="00EF7CDD" w:rsidP="00EF7CDD">
      <w:pPr>
        <w:pStyle w:val="EMEANormal"/>
        <w:rPr>
          <w:lang w:val="en-GB"/>
        </w:rPr>
      </w:pPr>
    </w:p>
    <w:p w14:paraId="244D6320" w14:textId="77777777" w:rsidR="00EF7CDD" w:rsidRPr="00342F7C" w:rsidRDefault="00EF7CDD" w:rsidP="00EF7CDD">
      <w:pPr>
        <w:pStyle w:val="EMEAHeadingBoxedTitle"/>
        <w:spacing w:before="0" w:after="0"/>
        <w:rPr>
          <w:rFonts w:ascii="Times New Roman" w:hAnsi="Times New Roman"/>
          <w:lang w:val="en-GB"/>
        </w:rPr>
      </w:pPr>
      <w:r w:rsidRPr="00342F7C">
        <w:rPr>
          <w:rFonts w:ascii="Times New Roman" w:hAnsi="Times New Roman"/>
          <w:lang w:val="en-GB"/>
        </w:rPr>
        <w:t>13.</w:t>
      </w:r>
      <w:r w:rsidRPr="00342F7C">
        <w:rPr>
          <w:rFonts w:ascii="Times New Roman" w:hAnsi="Times New Roman"/>
          <w:lang w:val="en-GB"/>
        </w:rPr>
        <w:tab/>
        <w:t>BATCH NUMBER</w:t>
      </w:r>
    </w:p>
    <w:p w14:paraId="47E09618" w14:textId="77777777" w:rsidR="00EF7CDD" w:rsidRDefault="00EF7CDD" w:rsidP="00EF7CDD">
      <w:pPr>
        <w:pStyle w:val="EMEANormal"/>
        <w:rPr>
          <w:lang w:val="en-GB"/>
        </w:rPr>
      </w:pPr>
    </w:p>
    <w:p w14:paraId="0DEAFDE6" w14:textId="77777777" w:rsidR="00EF7CDD" w:rsidRDefault="00EF7CDD" w:rsidP="00EF7CDD">
      <w:pPr>
        <w:pStyle w:val="EMEANormal"/>
        <w:rPr>
          <w:lang w:val="en-GB"/>
        </w:rPr>
      </w:pPr>
      <w:r w:rsidRPr="00342F7C">
        <w:rPr>
          <w:lang w:val="en-GB"/>
        </w:rPr>
        <w:t>Lot</w:t>
      </w:r>
    </w:p>
    <w:p w14:paraId="0B1B189B" w14:textId="77777777" w:rsidR="00EF7CDD" w:rsidRDefault="00EF7CDD" w:rsidP="00EF7CDD">
      <w:pPr>
        <w:pStyle w:val="EMEANormal"/>
        <w:rPr>
          <w:lang w:val="en-GB"/>
        </w:rPr>
      </w:pPr>
    </w:p>
    <w:p w14:paraId="298BA0B1" w14:textId="77777777" w:rsidR="00EF7CDD" w:rsidRPr="00342F7C" w:rsidRDefault="00EF7CDD" w:rsidP="00EF7CDD">
      <w:pPr>
        <w:pStyle w:val="EMEANormal"/>
        <w:rPr>
          <w:lang w:val="en-GB"/>
        </w:rPr>
      </w:pPr>
    </w:p>
    <w:p w14:paraId="6CA06A7C" w14:textId="77777777" w:rsidR="00EF7CDD" w:rsidRPr="00342F7C" w:rsidRDefault="00EF7CDD" w:rsidP="00EF7CDD">
      <w:pPr>
        <w:pStyle w:val="EMEAHeadingBoxedTitle"/>
        <w:spacing w:before="0" w:after="0"/>
        <w:rPr>
          <w:rFonts w:ascii="Times New Roman" w:hAnsi="Times New Roman"/>
          <w:lang w:val="en-GB"/>
        </w:rPr>
      </w:pPr>
      <w:r w:rsidRPr="00342F7C">
        <w:rPr>
          <w:rFonts w:ascii="Times New Roman" w:hAnsi="Times New Roman"/>
          <w:lang w:val="en-GB"/>
        </w:rPr>
        <w:t>14.</w:t>
      </w:r>
      <w:r w:rsidRPr="00342F7C">
        <w:rPr>
          <w:rFonts w:ascii="Times New Roman" w:hAnsi="Times New Roman"/>
          <w:lang w:val="en-GB"/>
        </w:rPr>
        <w:tab/>
        <w:t>GENERAL CLASSIFICATION FOR SUPPLY</w:t>
      </w:r>
    </w:p>
    <w:p w14:paraId="6121FC20" w14:textId="77777777" w:rsidR="00EF7CDD" w:rsidRDefault="00EF7CDD" w:rsidP="00EF7CDD">
      <w:pPr>
        <w:pStyle w:val="EMEANormal"/>
        <w:rPr>
          <w:lang w:val="en-GB"/>
        </w:rPr>
      </w:pPr>
    </w:p>
    <w:p w14:paraId="6FD232CF" w14:textId="77777777" w:rsidR="00EF7CDD" w:rsidRPr="00342F7C" w:rsidRDefault="00EF7CDD" w:rsidP="00EF7CDD">
      <w:pPr>
        <w:pStyle w:val="EMEANormal"/>
        <w:rPr>
          <w:lang w:val="en-GB"/>
        </w:rPr>
      </w:pPr>
    </w:p>
    <w:p w14:paraId="6DF43192" w14:textId="77777777" w:rsidR="00EF7CDD" w:rsidRPr="00342F7C" w:rsidRDefault="00EF7CDD" w:rsidP="00EF7CDD">
      <w:pPr>
        <w:pStyle w:val="EMEAHeadingBoxedEmpty"/>
        <w:spacing w:beforeLines="0" w:before="0"/>
        <w:ind w:left="561" w:hanging="561"/>
        <w:rPr>
          <w:rFonts w:ascii="Times New Roman" w:hAnsi="Times New Roman"/>
          <w:lang w:val="en-GB"/>
        </w:rPr>
      </w:pPr>
      <w:r w:rsidRPr="00342F7C">
        <w:rPr>
          <w:rFonts w:ascii="Times New Roman" w:hAnsi="Times New Roman"/>
          <w:lang w:val="en-GB"/>
        </w:rPr>
        <w:t>15.</w:t>
      </w:r>
      <w:r w:rsidRPr="00342F7C">
        <w:rPr>
          <w:rFonts w:ascii="Times New Roman" w:hAnsi="Times New Roman"/>
          <w:lang w:val="en-GB"/>
        </w:rPr>
        <w:tab/>
        <w:t>INSTRUCTIONS ON USE</w:t>
      </w:r>
    </w:p>
    <w:p w14:paraId="4C1EB057" w14:textId="77777777" w:rsidR="00EF7CDD" w:rsidRDefault="00EF7CDD" w:rsidP="00EF7CDD">
      <w:pPr>
        <w:pStyle w:val="EMEANormal"/>
        <w:rPr>
          <w:lang w:val="en-GB"/>
        </w:rPr>
      </w:pPr>
    </w:p>
    <w:p w14:paraId="505FCEA6" w14:textId="77777777" w:rsidR="00EF7CDD" w:rsidRPr="00342F7C" w:rsidRDefault="00EF7CDD" w:rsidP="00EF7CDD">
      <w:pPr>
        <w:pStyle w:val="EMEANormal"/>
        <w:rPr>
          <w:lang w:val="en-GB"/>
        </w:rPr>
      </w:pPr>
    </w:p>
    <w:p w14:paraId="0687965E" w14:textId="77777777" w:rsidR="00EF7CDD" w:rsidRPr="00342F7C" w:rsidRDefault="00EF7CDD" w:rsidP="00EF7CDD">
      <w:pPr>
        <w:pStyle w:val="EMEAHeadingBoxedTitle"/>
        <w:spacing w:before="0" w:after="0"/>
        <w:rPr>
          <w:rFonts w:ascii="Times New Roman" w:hAnsi="Times New Roman"/>
          <w:lang w:val="en-GB"/>
        </w:rPr>
      </w:pPr>
      <w:r w:rsidRPr="00342F7C">
        <w:rPr>
          <w:rFonts w:ascii="Times New Roman" w:hAnsi="Times New Roman"/>
          <w:lang w:val="en-GB"/>
        </w:rPr>
        <w:t>16.</w:t>
      </w:r>
      <w:r w:rsidRPr="00342F7C">
        <w:rPr>
          <w:rFonts w:ascii="Times New Roman" w:hAnsi="Times New Roman"/>
          <w:lang w:val="en-GB"/>
        </w:rPr>
        <w:tab/>
        <w:t>Information in braille</w:t>
      </w:r>
    </w:p>
    <w:p w14:paraId="1AA04262" w14:textId="77777777" w:rsidR="00EF7CDD" w:rsidRDefault="00EF7CDD" w:rsidP="00EF7CDD">
      <w:pPr>
        <w:pStyle w:val="EMEANormal"/>
        <w:rPr>
          <w:lang w:val="en-GB"/>
        </w:rPr>
      </w:pPr>
    </w:p>
    <w:p w14:paraId="111F5FDA" w14:textId="77777777" w:rsidR="00EF7CDD" w:rsidRDefault="00EF7CDD" w:rsidP="00EF7CDD">
      <w:pPr>
        <w:pStyle w:val="EMEANormal"/>
        <w:rPr>
          <w:lang w:val="fr-FR"/>
        </w:rPr>
      </w:pPr>
      <w:r w:rsidRPr="00342F7C">
        <w:rPr>
          <w:lang w:val="en-GB"/>
        </w:rPr>
        <w:t xml:space="preserve">Kaletra </w:t>
      </w:r>
      <w:r w:rsidRPr="002B2400">
        <w:rPr>
          <w:lang w:val="fr-FR"/>
        </w:rPr>
        <w:t xml:space="preserve">(80 mg + 20 mg) / ml </w:t>
      </w:r>
    </w:p>
    <w:p w14:paraId="7BACF526" w14:textId="77777777" w:rsidR="00EF7CDD" w:rsidRDefault="00EF7CDD" w:rsidP="00EF7CDD">
      <w:pPr>
        <w:pStyle w:val="EMEANormal"/>
        <w:rPr>
          <w:lang w:val="fr-FR"/>
        </w:rPr>
      </w:pPr>
    </w:p>
    <w:p w14:paraId="3545B388" w14:textId="77777777" w:rsidR="00EF7CDD" w:rsidRPr="00342F7C" w:rsidRDefault="00EF7CDD" w:rsidP="00EF7CDD">
      <w:pPr>
        <w:pStyle w:val="EMEANormal"/>
        <w:rPr>
          <w:lang w:val="en-GB"/>
        </w:rPr>
      </w:pPr>
    </w:p>
    <w:p w14:paraId="4E0544A4" w14:textId="77777777" w:rsidR="00EF7CDD" w:rsidRPr="00342F7C" w:rsidRDefault="00EF7CDD" w:rsidP="00EF7CDD">
      <w:pPr>
        <w:pStyle w:val="EMEAHeadingBoxedTitle"/>
        <w:spacing w:before="0" w:after="0"/>
        <w:rPr>
          <w:rFonts w:ascii="Times New Roman" w:hAnsi="Times New Roman"/>
          <w:lang w:val="en-GB"/>
        </w:rPr>
      </w:pPr>
      <w:r>
        <w:rPr>
          <w:rFonts w:ascii="Times New Roman" w:hAnsi="Times New Roman"/>
          <w:lang w:val="en-GB"/>
        </w:rPr>
        <w:t>17</w:t>
      </w:r>
      <w:r w:rsidRPr="00342F7C">
        <w:rPr>
          <w:rFonts w:ascii="Times New Roman" w:hAnsi="Times New Roman"/>
          <w:lang w:val="en-GB"/>
        </w:rPr>
        <w:t>.</w:t>
      </w:r>
      <w:r w:rsidRPr="00342F7C">
        <w:rPr>
          <w:rFonts w:ascii="Times New Roman" w:hAnsi="Times New Roman"/>
          <w:lang w:val="en-GB"/>
        </w:rPr>
        <w:tab/>
      </w:r>
      <w:r>
        <w:rPr>
          <w:rFonts w:ascii="Times New Roman" w:hAnsi="Times New Roman"/>
          <w:lang w:val="en-GB"/>
        </w:rPr>
        <w:t>UNIQUE IDENTIFIER – 2D BARCODE</w:t>
      </w:r>
    </w:p>
    <w:p w14:paraId="3B27386C" w14:textId="77777777" w:rsidR="00EF7CDD" w:rsidRDefault="00EF7CDD" w:rsidP="00EF7CDD">
      <w:pPr>
        <w:pStyle w:val="EMEANormal"/>
        <w:rPr>
          <w:lang w:val="en-GB"/>
        </w:rPr>
      </w:pPr>
    </w:p>
    <w:p w14:paraId="6AAC4FD6" w14:textId="77777777" w:rsidR="00EF7CDD" w:rsidRPr="00D36207" w:rsidRDefault="00EF7CDD" w:rsidP="00EF7CDD">
      <w:pPr>
        <w:autoSpaceDE w:val="0"/>
        <w:autoSpaceDN w:val="0"/>
        <w:adjustRightInd w:val="0"/>
        <w:rPr>
          <w:sz w:val="22"/>
          <w:szCs w:val="22"/>
          <w:lang w:eastAsia="en-GB"/>
        </w:rPr>
      </w:pPr>
      <w:r w:rsidRPr="00D36207">
        <w:rPr>
          <w:sz w:val="22"/>
          <w:szCs w:val="22"/>
          <w:shd w:val="clear" w:color="auto" w:fill="BFBFBF"/>
          <w:lang w:eastAsia="en-GB"/>
        </w:rPr>
        <w:t>2D barcode carrying the unique identifier included.</w:t>
      </w:r>
    </w:p>
    <w:p w14:paraId="6F7FC551" w14:textId="77777777" w:rsidR="00EF7CDD" w:rsidRDefault="00EF7CDD" w:rsidP="00EF7CDD">
      <w:pPr>
        <w:pStyle w:val="EMEANormal"/>
        <w:rPr>
          <w:lang w:val="en-GB"/>
        </w:rPr>
      </w:pPr>
    </w:p>
    <w:p w14:paraId="13C1A8F1" w14:textId="77777777" w:rsidR="00EF7CDD" w:rsidRPr="00342F7C" w:rsidRDefault="00EF7CDD" w:rsidP="00EF7CDD">
      <w:pPr>
        <w:pStyle w:val="EMEANormal"/>
        <w:rPr>
          <w:lang w:val="en-GB"/>
        </w:rPr>
      </w:pPr>
    </w:p>
    <w:p w14:paraId="077AEA6A" w14:textId="77777777" w:rsidR="00EF7CDD" w:rsidRPr="00342F7C" w:rsidRDefault="00EF7CDD" w:rsidP="00EF7CDD">
      <w:pPr>
        <w:pStyle w:val="EMEAHeadingBoxedTitle"/>
        <w:spacing w:before="0" w:after="0"/>
        <w:rPr>
          <w:rFonts w:ascii="Times New Roman" w:hAnsi="Times New Roman"/>
          <w:lang w:val="en-GB"/>
        </w:rPr>
      </w:pPr>
      <w:r>
        <w:rPr>
          <w:rFonts w:ascii="Times New Roman" w:hAnsi="Times New Roman"/>
          <w:lang w:val="en-GB"/>
        </w:rPr>
        <w:t>18</w:t>
      </w:r>
      <w:r w:rsidRPr="00342F7C">
        <w:rPr>
          <w:rFonts w:ascii="Times New Roman" w:hAnsi="Times New Roman"/>
          <w:lang w:val="en-GB"/>
        </w:rPr>
        <w:t>.</w:t>
      </w:r>
      <w:r w:rsidRPr="00342F7C">
        <w:rPr>
          <w:rFonts w:ascii="Times New Roman" w:hAnsi="Times New Roman"/>
          <w:lang w:val="en-GB"/>
        </w:rPr>
        <w:tab/>
      </w:r>
      <w:r>
        <w:rPr>
          <w:rFonts w:ascii="Times New Roman" w:hAnsi="Times New Roman"/>
          <w:lang w:val="en-GB"/>
        </w:rPr>
        <w:t>UNIQUE IDENTIFIER – HUMAN READABLE DATA</w:t>
      </w:r>
    </w:p>
    <w:p w14:paraId="117F9537" w14:textId="77777777" w:rsidR="00EF7CDD" w:rsidRDefault="00EF7CDD" w:rsidP="00EF7CDD">
      <w:pPr>
        <w:pStyle w:val="EMEANormal"/>
        <w:rPr>
          <w:lang w:val="en-GB"/>
        </w:rPr>
      </w:pPr>
    </w:p>
    <w:p w14:paraId="668C1500" w14:textId="77777777" w:rsidR="00EF7CDD" w:rsidRPr="00D36207" w:rsidRDefault="000250D7" w:rsidP="00EF7CDD">
      <w:pPr>
        <w:autoSpaceDE w:val="0"/>
        <w:autoSpaceDN w:val="0"/>
        <w:adjustRightInd w:val="0"/>
        <w:rPr>
          <w:sz w:val="22"/>
          <w:szCs w:val="22"/>
          <w:lang w:eastAsia="en-GB"/>
        </w:rPr>
      </w:pPr>
      <w:r>
        <w:rPr>
          <w:sz w:val="22"/>
          <w:szCs w:val="22"/>
          <w:lang w:eastAsia="en-GB"/>
        </w:rPr>
        <w:t>PC</w:t>
      </w:r>
    </w:p>
    <w:p w14:paraId="270E9FC8" w14:textId="77777777" w:rsidR="00EF7CDD" w:rsidRPr="00D36207" w:rsidRDefault="000250D7" w:rsidP="00EF7CDD">
      <w:pPr>
        <w:autoSpaceDE w:val="0"/>
        <w:autoSpaceDN w:val="0"/>
        <w:adjustRightInd w:val="0"/>
        <w:rPr>
          <w:sz w:val="22"/>
          <w:szCs w:val="22"/>
          <w:lang w:eastAsia="en-GB"/>
        </w:rPr>
      </w:pPr>
      <w:r>
        <w:rPr>
          <w:sz w:val="22"/>
          <w:szCs w:val="22"/>
          <w:lang w:eastAsia="en-GB"/>
        </w:rPr>
        <w:t>SN</w:t>
      </w:r>
    </w:p>
    <w:p w14:paraId="77147C04" w14:textId="77777777" w:rsidR="00EF7CDD" w:rsidRPr="00D36207" w:rsidRDefault="00EF7CDD" w:rsidP="00EF7CDD">
      <w:pPr>
        <w:autoSpaceDE w:val="0"/>
        <w:autoSpaceDN w:val="0"/>
        <w:adjustRightInd w:val="0"/>
        <w:rPr>
          <w:sz w:val="22"/>
          <w:szCs w:val="22"/>
          <w:lang w:eastAsia="en-GB"/>
        </w:rPr>
      </w:pPr>
      <w:r w:rsidRPr="00D36207">
        <w:rPr>
          <w:sz w:val="22"/>
          <w:szCs w:val="22"/>
          <w:shd w:val="clear" w:color="auto" w:fill="BFBFBF"/>
          <w:lang w:eastAsia="en-GB"/>
        </w:rPr>
        <w:t>NN</w:t>
      </w:r>
    </w:p>
    <w:p w14:paraId="67E6A6C7" w14:textId="77777777" w:rsidR="00277ECB" w:rsidRPr="00342F7C" w:rsidRDefault="00EF7CDD" w:rsidP="00EF7CDD">
      <w:pPr>
        <w:pStyle w:val="EMEANormal"/>
        <w:rPr>
          <w:lang w:val="en-GB"/>
        </w:rPr>
      </w:pPr>
      <w:r w:rsidRPr="00342F7C">
        <w:rPr>
          <w:lang w:val="en-GB"/>
        </w:rPr>
        <w:br w:type="page"/>
      </w:r>
    </w:p>
    <w:p w14:paraId="16990DEA" w14:textId="77777777" w:rsidR="00277ECB" w:rsidRPr="00342F7C" w:rsidRDefault="00277ECB">
      <w:pPr>
        <w:pStyle w:val="EMEAHeadingBoxedTitle"/>
        <w:tabs>
          <w:tab w:val="clear" w:pos="562"/>
        </w:tabs>
        <w:spacing w:before="0" w:after="0"/>
        <w:rPr>
          <w:rFonts w:ascii="Times New Roman" w:hAnsi="Times New Roman"/>
          <w:lang w:val="en-GB"/>
        </w:rPr>
      </w:pPr>
      <w:r w:rsidRPr="00342F7C">
        <w:rPr>
          <w:rFonts w:ascii="Times New Roman" w:hAnsi="Times New Roman"/>
          <w:lang w:val="en-GB"/>
        </w:rPr>
        <w:t>PARTICULARS TO APPEAR ON THE IMMEDIATE PACKAGING</w:t>
      </w:r>
    </w:p>
    <w:p w14:paraId="08B799E3" w14:textId="77777777" w:rsidR="00277ECB" w:rsidRPr="00342F7C" w:rsidRDefault="00072354">
      <w:pPr>
        <w:pStyle w:val="EMEAHeadingBoxedEmpty"/>
        <w:spacing w:beforeLines="100" w:before="240"/>
        <w:ind w:left="561" w:hanging="561"/>
        <w:rPr>
          <w:caps w:val="0"/>
          <w:lang w:val="en-GB"/>
        </w:rPr>
      </w:pPr>
      <w:r w:rsidRPr="00342F7C">
        <w:rPr>
          <w:caps w:val="0"/>
          <w:lang w:val="en-GB"/>
        </w:rPr>
        <w:t>Oral Solution – Bottle label</w:t>
      </w:r>
    </w:p>
    <w:p w14:paraId="06973EB5" w14:textId="77777777" w:rsidR="00277ECB" w:rsidRDefault="00277ECB">
      <w:pPr>
        <w:pStyle w:val="EMEANormal"/>
        <w:rPr>
          <w:lang w:val="en-GB"/>
        </w:rPr>
      </w:pPr>
    </w:p>
    <w:p w14:paraId="734D63CB" w14:textId="77777777" w:rsidR="00FF39AF" w:rsidRPr="00342F7C" w:rsidRDefault="00FF39AF">
      <w:pPr>
        <w:pStyle w:val="EMEANormal"/>
        <w:rPr>
          <w:lang w:val="en-GB"/>
        </w:rPr>
      </w:pPr>
    </w:p>
    <w:p w14:paraId="7AFA4BDE" w14:textId="77777777" w:rsidR="00277ECB" w:rsidRPr="00342F7C" w:rsidRDefault="00277ECB" w:rsidP="00FF39AF">
      <w:pPr>
        <w:pStyle w:val="EMEAHeadingBoxedTitle"/>
        <w:spacing w:before="0" w:after="0"/>
        <w:rPr>
          <w:rFonts w:ascii="Times New Roman" w:hAnsi="Times New Roman"/>
          <w:lang w:val="en-GB"/>
        </w:rPr>
      </w:pPr>
      <w:r w:rsidRPr="00342F7C">
        <w:rPr>
          <w:rFonts w:ascii="Times New Roman" w:hAnsi="Times New Roman"/>
          <w:lang w:val="en-GB"/>
        </w:rPr>
        <w:t>1.</w:t>
      </w:r>
      <w:r w:rsidRPr="00342F7C">
        <w:rPr>
          <w:rFonts w:ascii="Times New Roman" w:hAnsi="Times New Roman"/>
          <w:lang w:val="en-GB"/>
        </w:rPr>
        <w:tab/>
        <w:t>NAME OF THE MEDICINAL PRODUCT</w:t>
      </w:r>
    </w:p>
    <w:p w14:paraId="6F3D7DDB" w14:textId="77777777" w:rsidR="00FF39AF" w:rsidRDefault="00FF39AF">
      <w:pPr>
        <w:pStyle w:val="EMEANormal"/>
        <w:rPr>
          <w:lang w:val="fr-FR"/>
        </w:rPr>
      </w:pPr>
    </w:p>
    <w:p w14:paraId="25121E4A" w14:textId="77777777" w:rsidR="00277ECB" w:rsidRPr="007E1E2E" w:rsidRDefault="003F3D02">
      <w:pPr>
        <w:pStyle w:val="EMEANormal"/>
        <w:rPr>
          <w:lang w:val="fr-FR"/>
        </w:rPr>
      </w:pPr>
      <w:r w:rsidRPr="007E1E2E">
        <w:rPr>
          <w:lang w:val="fr-FR"/>
        </w:rPr>
        <w:t>Kaletra (80 mg + 20 </w:t>
      </w:r>
      <w:r w:rsidR="00277ECB" w:rsidRPr="007E1E2E">
        <w:rPr>
          <w:lang w:val="fr-FR"/>
        </w:rPr>
        <w:t>mg) / ml oral solution</w:t>
      </w:r>
    </w:p>
    <w:p w14:paraId="4320CDBB" w14:textId="77777777" w:rsidR="00277ECB" w:rsidRDefault="00277ECB">
      <w:pPr>
        <w:pStyle w:val="EMEANormal"/>
        <w:rPr>
          <w:lang w:val="fr-FR"/>
        </w:rPr>
      </w:pPr>
      <w:r w:rsidRPr="007E1E2E">
        <w:rPr>
          <w:lang w:val="fr-FR"/>
        </w:rPr>
        <w:t>(lopinavir + ritonavir)</w:t>
      </w:r>
    </w:p>
    <w:p w14:paraId="5C815866" w14:textId="77777777" w:rsidR="00FF39AF" w:rsidRDefault="00FF39AF">
      <w:pPr>
        <w:pStyle w:val="EMEANormal"/>
        <w:rPr>
          <w:lang w:val="fr-FR"/>
        </w:rPr>
      </w:pPr>
    </w:p>
    <w:p w14:paraId="6929163F" w14:textId="77777777" w:rsidR="00FF39AF" w:rsidRPr="007E1E2E" w:rsidRDefault="00FF39AF">
      <w:pPr>
        <w:pStyle w:val="EMEANormal"/>
        <w:rPr>
          <w:lang w:val="fr-FR"/>
        </w:rPr>
      </w:pPr>
    </w:p>
    <w:p w14:paraId="68475CE1" w14:textId="77777777" w:rsidR="00277ECB" w:rsidRPr="00342F7C" w:rsidRDefault="00277ECB" w:rsidP="00FF39AF">
      <w:pPr>
        <w:pStyle w:val="EMEAHeadingBoxedTitle"/>
        <w:spacing w:before="0" w:after="0"/>
        <w:rPr>
          <w:rFonts w:ascii="Times New Roman" w:hAnsi="Times New Roman"/>
          <w:lang w:val="en-GB"/>
        </w:rPr>
      </w:pPr>
      <w:r w:rsidRPr="00342F7C">
        <w:rPr>
          <w:rFonts w:ascii="Times New Roman" w:hAnsi="Times New Roman"/>
          <w:lang w:val="en-GB"/>
        </w:rPr>
        <w:t>2.</w:t>
      </w:r>
      <w:r w:rsidRPr="00342F7C">
        <w:rPr>
          <w:rFonts w:ascii="Times New Roman" w:hAnsi="Times New Roman"/>
          <w:lang w:val="en-GB"/>
        </w:rPr>
        <w:tab/>
        <w:t>STATEMENT OF ACTIVE SUBSTANCE(S)</w:t>
      </w:r>
    </w:p>
    <w:p w14:paraId="14C31675" w14:textId="77777777" w:rsidR="00FF39AF" w:rsidRDefault="00FF39AF">
      <w:pPr>
        <w:pStyle w:val="EMEANormal"/>
        <w:rPr>
          <w:lang w:val="en-GB"/>
        </w:rPr>
      </w:pPr>
    </w:p>
    <w:p w14:paraId="1B413D81" w14:textId="77777777" w:rsidR="00277ECB" w:rsidRDefault="00277ECB">
      <w:pPr>
        <w:pStyle w:val="EMEANormal"/>
        <w:rPr>
          <w:lang w:val="en-GB"/>
        </w:rPr>
      </w:pPr>
      <w:r w:rsidRPr="00342F7C">
        <w:rPr>
          <w:lang w:val="en-GB"/>
        </w:rPr>
        <w:t>Each ml contains lopinavir 80 mg and ritonavir 20 mg.</w:t>
      </w:r>
    </w:p>
    <w:p w14:paraId="30E13DC7" w14:textId="77777777" w:rsidR="00FF39AF" w:rsidRDefault="00FF39AF">
      <w:pPr>
        <w:pStyle w:val="EMEANormal"/>
        <w:rPr>
          <w:lang w:val="en-GB"/>
        </w:rPr>
      </w:pPr>
    </w:p>
    <w:p w14:paraId="4C0BD2CF" w14:textId="77777777" w:rsidR="00FF39AF" w:rsidRPr="00342F7C" w:rsidRDefault="00FF39AF">
      <w:pPr>
        <w:pStyle w:val="EMEANormal"/>
        <w:rPr>
          <w:lang w:val="en-GB"/>
        </w:rPr>
      </w:pPr>
    </w:p>
    <w:p w14:paraId="7CA32F07" w14:textId="77777777" w:rsidR="00277ECB" w:rsidRPr="00342F7C" w:rsidRDefault="00277ECB" w:rsidP="00FF39AF">
      <w:pPr>
        <w:pStyle w:val="EMEAHeadingBoxedTitle"/>
        <w:spacing w:before="0" w:after="0"/>
        <w:rPr>
          <w:rFonts w:ascii="Times New Roman" w:hAnsi="Times New Roman"/>
          <w:lang w:val="en-GB"/>
        </w:rPr>
      </w:pPr>
      <w:r w:rsidRPr="00342F7C">
        <w:rPr>
          <w:rFonts w:ascii="Times New Roman" w:hAnsi="Times New Roman"/>
          <w:lang w:val="en-GB"/>
        </w:rPr>
        <w:t>3.</w:t>
      </w:r>
      <w:r w:rsidRPr="00342F7C">
        <w:rPr>
          <w:rFonts w:ascii="Times New Roman" w:hAnsi="Times New Roman"/>
          <w:lang w:val="en-GB"/>
        </w:rPr>
        <w:tab/>
        <w:t>LIST OF EXCIPIENTS</w:t>
      </w:r>
    </w:p>
    <w:p w14:paraId="1B502BF6" w14:textId="77777777" w:rsidR="00FF39AF" w:rsidRDefault="00FF39AF">
      <w:pPr>
        <w:pStyle w:val="EMEANormal"/>
        <w:rPr>
          <w:lang w:val="en-GB"/>
        </w:rPr>
      </w:pPr>
    </w:p>
    <w:p w14:paraId="6DB33F20" w14:textId="77777777" w:rsidR="00277ECB" w:rsidRDefault="00277ECB">
      <w:pPr>
        <w:pStyle w:val="EMEANormal"/>
        <w:rPr>
          <w:lang w:val="en-GB"/>
        </w:rPr>
      </w:pPr>
      <w:r w:rsidRPr="00342F7C">
        <w:rPr>
          <w:lang w:val="en-GB"/>
        </w:rPr>
        <w:t>Includes: alcohol (42 % v/v see leaflet), high fructose corn syrup, propylene glycol, glycerol, polyoxyl 40 hydrogenated castor oil, potassium (as acesulfame potassium).</w:t>
      </w:r>
    </w:p>
    <w:p w14:paraId="1089A8C3" w14:textId="77777777" w:rsidR="00FF39AF" w:rsidRDefault="00FF39AF">
      <w:pPr>
        <w:pStyle w:val="EMEANormal"/>
        <w:rPr>
          <w:lang w:val="en-GB"/>
        </w:rPr>
      </w:pPr>
    </w:p>
    <w:p w14:paraId="0C1BF751" w14:textId="77777777" w:rsidR="00FF39AF" w:rsidRPr="00342F7C" w:rsidRDefault="00FF39AF">
      <w:pPr>
        <w:pStyle w:val="EMEANormal"/>
        <w:rPr>
          <w:lang w:val="en-GB"/>
        </w:rPr>
      </w:pPr>
    </w:p>
    <w:p w14:paraId="27EB93ED" w14:textId="77777777" w:rsidR="00277ECB" w:rsidRPr="00342F7C" w:rsidRDefault="00277ECB" w:rsidP="00FF39AF">
      <w:pPr>
        <w:pStyle w:val="EMEAHeadingBoxedTitle"/>
        <w:spacing w:before="0" w:after="0"/>
        <w:rPr>
          <w:rFonts w:ascii="Times New Roman" w:hAnsi="Times New Roman"/>
          <w:lang w:val="en-GB"/>
        </w:rPr>
      </w:pPr>
      <w:r w:rsidRPr="00342F7C">
        <w:rPr>
          <w:rFonts w:ascii="Times New Roman" w:hAnsi="Times New Roman"/>
          <w:lang w:val="en-GB"/>
        </w:rPr>
        <w:t>4.</w:t>
      </w:r>
      <w:r w:rsidRPr="00342F7C">
        <w:rPr>
          <w:rFonts w:ascii="Times New Roman" w:hAnsi="Times New Roman"/>
          <w:lang w:val="en-GB"/>
        </w:rPr>
        <w:tab/>
        <w:t>PHARMACEUTICAL FORM AND CONTENTS</w:t>
      </w:r>
    </w:p>
    <w:p w14:paraId="1396B91A" w14:textId="77777777" w:rsidR="00FF39AF" w:rsidRDefault="00FF39AF">
      <w:pPr>
        <w:pStyle w:val="EMEANormal"/>
        <w:rPr>
          <w:lang w:val="en-GB"/>
        </w:rPr>
      </w:pPr>
    </w:p>
    <w:p w14:paraId="1847D14C" w14:textId="77777777" w:rsidR="00277ECB" w:rsidRDefault="00277ECB">
      <w:pPr>
        <w:pStyle w:val="EMEANormal"/>
        <w:rPr>
          <w:lang w:val="en-GB"/>
        </w:rPr>
      </w:pPr>
      <w:r w:rsidRPr="00342F7C">
        <w:rPr>
          <w:lang w:val="en-GB"/>
        </w:rPr>
        <w:t xml:space="preserve">60 ml </w:t>
      </w:r>
      <w:r w:rsidR="004F2F47" w:rsidRPr="00B43C41">
        <w:rPr>
          <w:highlight w:val="lightGray"/>
          <w:lang w:val="en-GB"/>
        </w:rPr>
        <w:t>oral solution</w:t>
      </w:r>
    </w:p>
    <w:p w14:paraId="16350297" w14:textId="77777777" w:rsidR="00FF39AF" w:rsidRDefault="00FF39AF">
      <w:pPr>
        <w:pStyle w:val="EMEANormal"/>
        <w:rPr>
          <w:lang w:val="en-GB"/>
        </w:rPr>
      </w:pPr>
    </w:p>
    <w:p w14:paraId="0AB11441" w14:textId="77777777" w:rsidR="00FF39AF" w:rsidRPr="00342F7C" w:rsidRDefault="00FF39AF">
      <w:pPr>
        <w:pStyle w:val="EMEANormal"/>
        <w:rPr>
          <w:lang w:val="en-GB"/>
        </w:rPr>
      </w:pPr>
    </w:p>
    <w:p w14:paraId="4662BA55" w14:textId="77777777" w:rsidR="00277ECB" w:rsidRPr="00342F7C" w:rsidRDefault="00277ECB" w:rsidP="00FF39AF">
      <w:pPr>
        <w:pStyle w:val="EMEAHeadingBoxedTitle"/>
        <w:spacing w:before="0" w:after="0"/>
        <w:rPr>
          <w:rFonts w:ascii="Times New Roman" w:hAnsi="Times New Roman"/>
          <w:lang w:val="en-GB"/>
        </w:rPr>
      </w:pPr>
      <w:r w:rsidRPr="00342F7C">
        <w:rPr>
          <w:rFonts w:ascii="Times New Roman" w:hAnsi="Times New Roman"/>
          <w:lang w:val="en-GB"/>
        </w:rPr>
        <w:t>5.</w:t>
      </w:r>
      <w:r w:rsidRPr="00342F7C">
        <w:rPr>
          <w:rFonts w:ascii="Times New Roman" w:hAnsi="Times New Roman"/>
          <w:lang w:val="en-GB"/>
        </w:rPr>
        <w:tab/>
        <w:t>METHOD AND ROUTE(S) OF ADMINISTRATION</w:t>
      </w:r>
    </w:p>
    <w:p w14:paraId="54933BF9" w14:textId="77777777" w:rsidR="00FF39AF" w:rsidRDefault="00FF39AF">
      <w:pPr>
        <w:pStyle w:val="EMEANormal"/>
        <w:rPr>
          <w:lang w:val="en-GB"/>
        </w:rPr>
      </w:pPr>
    </w:p>
    <w:p w14:paraId="2F70AB48" w14:textId="77777777" w:rsidR="008034C1" w:rsidRPr="00342F7C" w:rsidRDefault="008034C1" w:rsidP="008034C1">
      <w:pPr>
        <w:pStyle w:val="EMEANormal"/>
        <w:rPr>
          <w:lang w:val="en-GB"/>
        </w:rPr>
      </w:pPr>
      <w:r w:rsidRPr="00342F7C">
        <w:rPr>
          <w:lang w:val="en-GB"/>
        </w:rPr>
        <w:t>Read the package leaflet before use.</w:t>
      </w:r>
    </w:p>
    <w:p w14:paraId="1067AB3F" w14:textId="77777777" w:rsidR="00277ECB" w:rsidRPr="00342F7C" w:rsidRDefault="00277ECB">
      <w:pPr>
        <w:pStyle w:val="EMEANormal"/>
        <w:rPr>
          <w:lang w:val="en-GB"/>
        </w:rPr>
      </w:pPr>
      <w:r w:rsidRPr="00342F7C">
        <w:rPr>
          <w:lang w:val="en-GB"/>
        </w:rPr>
        <w:t>Oral use</w:t>
      </w:r>
    </w:p>
    <w:p w14:paraId="74214B4D" w14:textId="77777777" w:rsidR="00277ECB" w:rsidRDefault="00277ECB">
      <w:pPr>
        <w:pStyle w:val="EMEANormal"/>
        <w:rPr>
          <w:lang w:val="en-GB"/>
        </w:rPr>
      </w:pPr>
      <w:r w:rsidRPr="00342F7C">
        <w:rPr>
          <w:lang w:val="en-GB"/>
        </w:rPr>
        <w:t>Important to open</w:t>
      </w:r>
    </w:p>
    <w:p w14:paraId="3C52CAC0" w14:textId="77777777" w:rsidR="00F12B85" w:rsidRDefault="00F12B85">
      <w:pPr>
        <w:pStyle w:val="EMEANormal"/>
        <w:rPr>
          <w:lang w:val="en-GB"/>
        </w:rPr>
      </w:pPr>
      <w:r>
        <w:rPr>
          <w:lang w:val="en-GB"/>
        </w:rPr>
        <w:t>Make sure you have the correct syringe for the dose.</w:t>
      </w:r>
    </w:p>
    <w:p w14:paraId="4F38F24E" w14:textId="77777777" w:rsidR="005A635A" w:rsidRDefault="005A635A">
      <w:pPr>
        <w:pStyle w:val="EMEANormal"/>
        <w:rPr>
          <w:lang w:val="en-GB"/>
        </w:rPr>
      </w:pPr>
    </w:p>
    <w:p w14:paraId="56B469E9" w14:textId="77777777" w:rsidR="005A635A" w:rsidRPr="00342F7C" w:rsidRDefault="005A635A">
      <w:pPr>
        <w:pStyle w:val="EMEANormal"/>
        <w:rPr>
          <w:lang w:val="en-GB"/>
        </w:rPr>
      </w:pPr>
    </w:p>
    <w:p w14:paraId="624FE5BC" w14:textId="77777777" w:rsidR="00277ECB" w:rsidRPr="00342F7C" w:rsidRDefault="00277ECB" w:rsidP="005A635A">
      <w:pPr>
        <w:pStyle w:val="EMEAHeadingBoxedTitle"/>
        <w:spacing w:before="0" w:after="0"/>
        <w:ind w:left="550" w:hanging="550"/>
        <w:rPr>
          <w:rFonts w:ascii="Times New Roman" w:hAnsi="Times New Roman"/>
          <w:lang w:val="en-GB"/>
        </w:rPr>
      </w:pPr>
      <w:r w:rsidRPr="00342F7C">
        <w:rPr>
          <w:rFonts w:ascii="Times New Roman" w:hAnsi="Times New Roman"/>
          <w:lang w:val="en-GB"/>
        </w:rPr>
        <w:t>6.</w:t>
      </w:r>
      <w:r w:rsidRPr="00342F7C">
        <w:rPr>
          <w:rFonts w:ascii="Times New Roman" w:hAnsi="Times New Roman"/>
          <w:lang w:val="en-GB"/>
        </w:rPr>
        <w:tab/>
        <w:t xml:space="preserve">SPECIAL WARNING THAT THE MEDICINAL PRODUCT MUST BE STORED OUT OF THE </w:t>
      </w:r>
      <w:r w:rsidR="0023490A">
        <w:rPr>
          <w:rFonts w:ascii="Times New Roman" w:hAnsi="Times New Roman"/>
          <w:lang w:val="en-GB"/>
        </w:rPr>
        <w:t>SIGHT</w:t>
      </w:r>
      <w:r w:rsidR="0023490A" w:rsidRPr="00342F7C">
        <w:rPr>
          <w:rFonts w:ascii="Times New Roman" w:hAnsi="Times New Roman"/>
          <w:lang w:val="en-GB"/>
        </w:rPr>
        <w:t xml:space="preserve"> </w:t>
      </w:r>
      <w:r w:rsidRPr="00342F7C">
        <w:rPr>
          <w:rFonts w:ascii="Times New Roman" w:hAnsi="Times New Roman"/>
          <w:lang w:val="en-GB"/>
        </w:rPr>
        <w:t xml:space="preserve">AND </w:t>
      </w:r>
      <w:r w:rsidR="0023490A">
        <w:rPr>
          <w:rFonts w:ascii="Times New Roman" w:hAnsi="Times New Roman"/>
          <w:lang w:val="en-GB"/>
        </w:rPr>
        <w:t>REACH</w:t>
      </w:r>
      <w:r w:rsidR="0023490A" w:rsidRPr="00342F7C">
        <w:rPr>
          <w:rFonts w:ascii="Times New Roman" w:hAnsi="Times New Roman"/>
          <w:lang w:val="en-GB"/>
        </w:rPr>
        <w:t xml:space="preserve"> </w:t>
      </w:r>
      <w:r w:rsidRPr="00342F7C">
        <w:rPr>
          <w:rFonts w:ascii="Times New Roman" w:hAnsi="Times New Roman"/>
          <w:lang w:val="en-GB"/>
        </w:rPr>
        <w:t>OF CHILDREN</w:t>
      </w:r>
    </w:p>
    <w:p w14:paraId="2E2D5230" w14:textId="77777777" w:rsidR="005A635A" w:rsidRDefault="005A635A">
      <w:pPr>
        <w:pStyle w:val="EMEANormal"/>
        <w:rPr>
          <w:lang w:val="en-GB"/>
        </w:rPr>
      </w:pPr>
    </w:p>
    <w:p w14:paraId="1BB6BCB4" w14:textId="77777777" w:rsidR="00277ECB" w:rsidRDefault="00277ECB">
      <w:pPr>
        <w:pStyle w:val="EMEANormal"/>
        <w:rPr>
          <w:lang w:val="en-GB"/>
        </w:rPr>
      </w:pPr>
      <w:r w:rsidRPr="00342F7C">
        <w:rPr>
          <w:lang w:val="en-GB"/>
        </w:rPr>
        <w:t xml:space="preserve">Keep out of the sight </w:t>
      </w:r>
      <w:r w:rsidR="009D5D2E">
        <w:rPr>
          <w:lang w:val="en-GB"/>
        </w:rPr>
        <w:t xml:space="preserve">and reach </w:t>
      </w:r>
      <w:r w:rsidRPr="00342F7C">
        <w:rPr>
          <w:lang w:val="en-GB"/>
        </w:rPr>
        <w:t>of children</w:t>
      </w:r>
      <w:r w:rsidR="0068223A">
        <w:rPr>
          <w:lang w:val="en-GB"/>
        </w:rPr>
        <w:t>.</w:t>
      </w:r>
    </w:p>
    <w:p w14:paraId="4C7200E2" w14:textId="77777777" w:rsidR="005A635A" w:rsidRDefault="005A635A">
      <w:pPr>
        <w:pStyle w:val="EMEANormal"/>
        <w:rPr>
          <w:lang w:val="en-GB"/>
        </w:rPr>
      </w:pPr>
    </w:p>
    <w:p w14:paraId="4C98C07B" w14:textId="77777777" w:rsidR="005A635A" w:rsidRPr="00342F7C" w:rsidRDefault="005A635A">
      <w:pPr>
        <w:pStyle w:val="EMEANormal"/>
        <w:rPr>
          <w:lang w:val="en-GB"/>
        </w:rPr>
      </w:pPr>
    </w:p>
    <w:p w14:paraId="1B1D1B7B" w14:textId="77777777" w:rsidR="00277ECB" w:rsidRPr="00342F7C" w:rsidRDefault="00277ECB" w:rsidP="005A635A">
      <w:pPr>
        <w:pStyle w:val="EMEAHeadingBoxedTitle"/>
        <w:spacing w:before="0" w:after="0"/>
        <w:rPr>
          <w:rFonts w:ascii="Times New Roman" w:hAnsi="Times New Roman"/>
          <w:lang w:val="en-GB"/>
        </w:rPr>
      </w:pPr>
      <w:r w:rsidRPr="00342F7C">
        <w:rPr>
          <w:rFonts w:ascii="Times New Roman" w:hAnsi="Times New Roman"/>
          <w:lang w:val="en-GB"/>
        </w:rPr>
        <w:t>7.</w:t>
      </w:r>
      <w:r w:rsidRPr="00342F7C">
        <w:rPr>
          <w:rFonts w:ascii="Times New Roman" w:hAnsi="Times New Roman"/>
          <w:lang w:val="en-GB"/>
        </w:rPr>
        <w:tab/>
        <w:t>OTHER SPECIAL WARNING(S), IF NECESSARY</w:t>
      </w:r>
    </w:p>
    <w:p w14:paraId="46B40DA2" w14:textId="77777777" w:rsidR="005A635A" w:rsidRDefault="005A635A">
      <w:pPr>
        <w:pStyle w:val="EMEANormal"/>
        <w:rPr>
          <w:lang w:val="en-GB"/>
        </w:rPr>
      </w:pPr>
    </w:p>
    <w:p w14:paraId="047BD26D" w14:textId="77777777" w:rsidR="005A635A" w:rsidRPr="00342F7C" w:rsidRDefault="005A635A">
      <w:pPr>
        <w:pStyle w:val="EMEANormal"/>
        <w:rPr>
          <w:lang w:val="en-GB"/>
        </w:rPr>
      </w:pPr>
    </w:p>
    <w:p w14:paraId="1D445985" w14:textId="77777777" w:rsidR="00277ECB" w:rsidRPr="00342F7C" w:rsidRDefault="00277ECB" w:rsidP="005A635A">
      <w:pPr>
        <w:pStyle w:val="EMEAHeadingBoxedTitle"/>
        <w:spacing w:before="0" w:after="0"/>
        <w:rPr>
          <w:rFonts w:ascii="Times New Roman" w:hAnsi="Times New Roman"/>
          <w:lang w:val="en-GB"/>
        </w:rPr>
      </w:pPr>
      <w:r w:rsidRPr="00342F7C">
        <w:rPr>
          <w:rFonts w:ascii="Times New Roman" w:hAnsi="Times New Roman"/>
          <w:lang w:val="en-GB"/>
        </w:rPr>
        <w:t>8.</w:t>
      </w:r>
      <w:r w:rsidRPr="00342F7C">
        <w:rPr>
          <w:rFonts w:ascii="Times New Roman" w:hAnsi="Times New Roman"/>
          <w:lang w:val="en-GB"/>
        </w:rPr>
        <w:tab/>
        <w:t>EXPIRY DATE</w:t>
      </w:r>
    </w:p>
    <w:p w14:paraId="622B0673" w14:textId="77777777" w:rsidR="005A635A" w:rsidRDefault="005A635A">
      <w:pPr>
        <w:pStyle w:val="EMEANormal"/>
        <w:rPr>
          <w:lang w:val="en-GB"/>
        </w:rPr>
      </w:pPr>
    </w:p>
    <w:p w14:paraId="27A36064" w14:textId="77777777" w:rsidR="00277ECB" w:rsidRDefault="00277ECB">
      <w:pPr>
        <w:pStyle w:val="EMEANormal"/>
        <w:rPr>
          <w:lang w:val="en-GB"/>
        </w:rPr>
      </w:pPr>
      <w:r w:rsidRPr="00342F7C">
        <w:rPr>
          <w:lang w:val="en-GB"/>
        </w:rPr>
        <w:t>EXP</w:t>
      </w:r>
    </w:p>
    <w:p w14:paraId="41B5A469" w14:textId="77777777" w:rsidR="005A635A" w:rsidRDefault="005A635A">
      <w:pPr>
        <w:pStyle w:val="EMEANormal"/>
        <w:rPr>
          <w:lang w:val="en-GB"/>
        </w:rPr>
      </w:pPr>
    </w:p>
    <w:p w14:paraId="70711FF1" w14:textId="77777777" w:rsidR="005A635A" w:rsidRPr="00342F7C" w:rsidRDefault="005A635A">
      <w:pPr>
        <w:pStyle w:val="EMEANormal"/>
        <w:rPr>
          <w:lang w:val="en-GB"/>
        </w:rPr>
      </w:pPr>
    </w:p>
    <w:p w14:paraId="3EE34B8C" w14:textId="77777777" w:rsidR="00277ECB" w:rsidRPr="00342F7C" w:rsidRDefault="00277ECB" w:rsidP="005A635A">
      <w:pPr>
        <w:pStyle w:val="EMEAHeadingBoxedTitle"/>
        <w:keepNext/>
        <w:spacing w:before="0" w:after="0"/>
        <w:rPr>
          <w:rFonts w:ascii="Times New Roman" w:hAnsi="Times New Roman"/>
          <w:lang w:val="en-GB"/>
        </w:rPr>
      </w:pPr>
      <w:r w:rsidRPr="00342F7C">
        <w:rPr>
          <w:rFonts w:ascii="Times New Roman" w:hAnsi="Times New Roman"/>
          <w:lang w:val="en-GB"/>
        </w:rPr>
        <w:t>9.</w:t>
      </w:r>
      <w:r w:rsidRPr="00342F7C">
        <w:rPr>
          <w:rFonts w:ascii="Times New Roman" w:hAnsi="Times New Roman"/>
          <w:lang w:val="en-GB"/>
        </w:rPr>
        <w:tab/>
        <w:t>SPECIAL STORAGE CONDITIONS</w:t>
      </w:r>
    </w:p>
    <w:p w14:paraId="30D62263" w14:textId="77777777" w:rsidR="005A635A" w:rsidRDefault="005A635A" w:rsidP="005A635A">
      <w:pPr>
        <w:pStyle w:val="EMEANormal"/>
        <w:keepNext/>
        <w:rPr>
          <w:b/>
          <w:lang w:val="en-GB"/>
        </w:rPr>
      </w:pPr>
    </w:p>
    <w:p w14:paraId="21F1F25A" w14:textId="77777777" w:rsidR="00277ECB" w:rsidRPr="006E5B4B" w:rsidRDefault="00277ECB" w:rsidP="005A635A">
      <w:pPr>
        <w:pStyle w:val="EMEANormal"/>
        <w:keepNext/>
        <w:rPr>
          <w:b/>
          <w:snapToGrid w:val="0"/>
          <w:lang w:val="en-GB"/>
        </w:rPr>
      </w:pPr>
      <w:r w:rsidRPr="006E5B4B">
        <w:rPr>
          <w:b/>
          <w:lang w:val="en-GB"/>
        </w:rPr>
        <w:t>Store in a refrigerator</w:t>
      </w:r>
    </w:p>
    <w:p w14:paraId="59EB3DFC" w14:textId="77777777" w:rsidR="00277ECB" w:rsidRPr="00342F7C" w:rsidRDefault="00277ECB" w:rsidP="005A635A">
      <w:pPr>
        <w:pStyle w:val="EMEANormal"/>
        <w:keepNext/>
        <w:rPr>
          <w:lang w:val="en-GB"/>
        </w:rPr>
      </w:pPr>
      <w:r w:rsidRPr="00342F7C">
        <w:rPr>
          <w:lang w:val="en-GB"/>
        </w:rPr>
        <w:t>In use storage: If kept outside of the refrigerator, do not store above 25</w:t>
      </w:r>
      <w:r w:rsidRPr="00342F7C">
        <w:rPr>
          <w:lang w:val="en-GB"/>
        </w:rPr>
        <w:sym w:font="Symbol" w:char="F0B0"/>
      </w:r>
      <w:r w:rsidRPr="00342F7C">
        <w:rPr>
          <w:lang w:val="en-GB"/>
        </w:rPr>
        <w:t xml:space="preserve">C and discard any unused contents after 42 days (6 weeks).  It is advised to write the date of removal from the refrigerator on the package. </w:t>
      </w:r>
    </w:p>
    <w:p w14:paraId="30B5DDD7" w14:textId="77777777" w:rsidR="005A635A" w:rsidRDefault="005A635A" w:rsidP="000A716A">
      <w:pPr>
        <w:pStyle w:val="EMEANormal"/>
        <w:rPr>
          <w:lang w:val="en-GB"/>
        </w:rPr>
      </w:pPr>
    </w:p>
    <w:p w14:paraId="4C0C4D28" w14:textId="77777777" w:rsidR="005A635A" w:rsidRPr="00342F7C" w:rsidRDefault="005A635A" w:rsidP="000A716A">
      <w:pPr>
        <w:pStyle w:val="EMEANormal"/>
        <w:rPr>
          <w:lang w:val="en-GB"/>
        </w:rPr>
      </w:pPr>
    </w:p>
    <w:p w14:paraId="0EF8DF63" w14:textId="77777777" w:rsidR="00277ECB" w:rsidRPr="00342F7C" w:rsidRDefault="00277ECB" w:rsidP="005A635A">
      <w:pPr>
        <w:pStyle w:val="EMEAHeadingBoxedEmpty"/>
        <w:spacing w:beforeLines="0" w:before="0"/>
        <w:ind w:left="561" w:hanging="561"/>
        <w:rPr>
          <w:rFonts w:ascii="Times New Roman" w:hAnsi="Times New Roman"/>
          <w:lang w:val="en-GB"/>
        </w:rPr>
      </w:pPr>
      <w:r w:rsidRPr="00342F7C">
        <w:rPr>
          <w:rFonts w:ascii="Times New Roman" w:hAnsi="Times New Roman"/>
          <w:lang w:val="en-GB"/>
        </w:rPr>
        <w:t>10.</w:t>
      </w:r>
      <w:r w:rsidRPr="00342F7C">
        <w:rPr>
          <w:rFonts w:ascii="Times New Roman" w:hAnsi="Times New Roman"/>
          <w:lang w:val="en-GB"/>
        </w:rPr>
        <w:tab/>
        <w:t>SPECIAL PRECAUTIONS FOR DISPOSAL OF UNUSED MEDICINAL PRODUCTS OR WASTE MATERIALS DERIVED FROM SUCH MEDICINAL PRODUCTS, IF APPROPRIATE</w:t>
      </w:r>
    </w:p>
    <w:p w14:paraId="7C9E82FF" w14:textId="77777777" w:rsidR="00277ECB" w:rsidRDefault="00277ECB">
      <w:pPr>
        <w:pStyle w:val="EMEANormal"/>
        <w:rPr>
          <w:lang w:val="en-GB"/>
        </w:rPr>
      </w:pPr>
    </w:p>
    <w:p w14:paraId="68146D04" w14:textId="77777777" w:rsidR="005A635A" w:rsidRPr="00342F7C" w:rsidRDefault="005A635A">
      <w:pPr>
        <w:pStyle w:val="EMEANormal"/>
        <w:rPr>
          <w:lang w:val="en-GB"/>
        </w:rPr>
      </w:pPr>
    </w:p>
    <w:p w14:paraId="72A7205F" w14:textId="77777777" w:rsidR="00277ECB" w:rsidRPr="00342F7C" w:rsidRDefault="00277ECB" w:rsidP="005A635A">
      <w:pPr>
        <w:pStyle w:val="EMEAHeadingBoxedTitle"/>
        <w:spacing w:before="0" w:after="0"/>
        <w:rPr>
          <w:rFonts w:ascii="Times New Roman" w:hAnsi="Times New Roman"/>
          <w:lang w:val="en-GB"/>
        </w:rPr>
      </w:pPr>
      <w:r w:rsidRPr="00342F7C">
        <w:rPr>
          <w:rFonts w:ascii="Times New Roman" w:hAnsi="Times New Roman"/>
          <w:lang w:val="en-GB"/>
        </w:rPr>
        <w:t>11.</w:t>
      </w:r>
      <w:r w:rsidRPr="00342F7C">
        <w:rPr>
          <w:rFonts w:ascii="Times New Roman" w:hAnsi="Times New Roman"/>
          <w:lang w:val="en-GB"/>
        </w:rPr>
        <w:tab/>
        <w:t>NAME AND ADDRESS OF THE MARKETING AUTHORISATION HOLDER</w:t>
      </w:r>
    </w:p>
    <w:p w14:paraId="1091C843" w14:textId="77777777" w:rsidR="005A635A" w:rsidRDefault="005A635A" w:rsidP="00F423D9">
      <w:pPr>
        <w:pStyle w:val="EMEANormal"/>
        <w:rPr>
          <w:lang w:val="en-GB"/>
        </w:rPr>
      </w:pPr>
    </w:p>
    <w:p w14:paraId="43BC6D9C" w14:textId="77777777" w:rsidR="005A635A" w:rsidRDefault="00F423D9" w:rsidP="00F423D9">
      <w:pPr>
        <w:pStyle w:val="EMEANormal"/>
        <w:rPr>
          <w:lang w:val="en-GB"/>
        </w:rPr>
      </w:pPr>
      <w:r w:rsidRPr="00F423D9">
        <w:rPr>
          <w:lang w:val="en-GB"/>
        </w:rPr>
        <w:t xml:space="preserve">AbbVie </w:t>
      </w:r>
      <w:r w:rsidR="00EF7CDD">
        <w:rPr>
          <w:lang w:val="en-GB"/>
        </w:rPr>
        <w:t>(logo)</w:t>
      </w:r>
    </w:p>
    <w:p w14:paraId="2EC5C726" w14:textId="77777777" w:rsidR="005A635A" w:rsidRDefault="005A635A" w:rsidP="00F423D9">
      <w:pPr>
        <w:pStyle w:val="EMEANormal"/>
        <w:rPr>
          <w:lang w:val="en-GB"/>
        </w:rPr>
      </w:pPr>
    </w:p>
    <w:p w14:paraId="7475CF99" w14:textId="77777777" w:rsidR="000250D7" w:rsidRDefault="000250D7" w:rsidP="00F423D9">
      <w:pPr>
        <w:pStyle w:val="EMEANormal"/>
        <w:rPr>
          <w:lang w:val="en-GB"/>
        </w:rPr>
      </w:pPr>
    </w:p>
    <w:p w14:paraId="66AA15C5" w14:textId="77777777" w:rsidR="00277ECB" w:rsidRPr="00342F7C" w:rsidRDefault="00277ECB" w:rsidP="005A635A">
      <w:pPr>
        <w:pStyle w:val="EMEAHeadingBoxedTitle"/>
        <w:spacing w:before="0" w:after="0"/>
        <w:rPr>
          <w:rFonts w:ascii="Times New Roman" w:hAnsi="Times New Roman"/>
          <w:lang w:val="en-GB"/>
        </w:rPr>
      </w:pPr>
      <w:r w:rsidRPr="00342F7C">
        <w:rPr>
          <w:rFonts w:ascii="Times New Roman" w:hAnsi="Times New Roman"/>
          <w:lang w:val="en-GB"/>
        </w:rPr>
        <w:t>12.</w:t>
      </w:r>
      <w:r w:rsidRPr="00342F7C">
        <w:rPr>
          <w:rFonts w:ascii="Times New Roman" w:hAnsi="Times New Roman"/>
          <w:lang w:val="en-GB"/>
        </w:rPr>
        <w:tab/>
        <w:t>MARKETING AUTHORISATION NUMBER(S)</w:t>
      </w:r>
    </w:p>
    <w:p w14:paraId="261203B4" w14:textId="77777777" w:rsidR="005A635A" w:rsidRDefault="005A635A">
      <w:pPr>
        <w:pStyle w:val="EMEANormal"/>
        <w:rPr>
          <w:lang w:val="en-GB"/>
        </w:rPr>
      </w:pPr>
    </w:p>
    <w:p w14:paraId="1C24E1C4" w14:textId="77777777" w:rsidR="005A635A" w:rsidRPr="00342F7C" w:rsidRDefault="005A635A">
      <w:pPr>
        <w:pStyle w:val="EMEANormal"/>
        <w:rPr>
          <w:lang w:val="en-GB"/>
        </w:rPr>
      </w:pPr>
    </w:p>
    <w:p w14:paraId="4DF5D9B8" w14:textId="77777777" w:rsidR="00277ECB" w:rsidRPr="00342F7C" w:rsidRDefault="00277ECB" w:rsidP="005A635A">
      <w:pPr>
        <w:pStyle w:val="EMEAHeadingBoxedTitle"/>
        <w:spacing w:before="0" w:after="0"/>
        <w:rPr>
          <w:rFonts w:ascii="Times New Roman" w:hAnsi="Times New Roman"/>
          <w:lang w:val="en-GB"/>
        </w:rPr>
      </w:pPr>
      <w:r w:rsidRPr="00342F7C">
        <w:rPr>
          <w:rFonts w:ascii="Times New Roman" w:hAnsi="Times New Roman"/>
          <w:lang w:val="en-GB"/>
        </w:rPr>
        <w:t>13.</w:t>
      </w:r>
      <w:r w:rsidRPr="00342F7C">
        <w:rPr>
          <w:rFonts w:ascii="Times New Roman" w:hAnsi="Times New Roman"/>
          <w:lang w:val="en-GB"/>
        </w:rPr>
        <w:tab/>
        <w:t>BATCH NUMBER</w:t>
      </w:r>
    </w:p>
    <w:p w14:paraId="6BAE468D" w14:textId="77777777" w:rsidR="005A635A" w:rsidRDefault="005A635A">
      <w:pPr>
        <w:pStyle w:val="EMEANormal"/>
        <w:rPr>
          <w:lang w:val="en-GB"/>
        </w:rPr>
      </w:pPr>
    </w:p>
    <w:p w14:paraId="17D57FD8" w14:textId="77777777" w:rsidR="00277ECB" w:rsidRDefault="00277ECB">
      <w:pPr>
        <w:pStyle w:val="EMEANormal"/>
        <w:rPr>
          <w:lang w:val="en-GB"/>
        </w:rPr>
      </w:pPr>
      <w:r w:rsidRPr="00342F7C">
        <w:rPr>
          <w:lang w:val="en-GB"/>
        </w:rPr>
        <w:t>Lot</w:t>
      </w:r>
    </w:p>
    <w:p w14:paraId="7496353E" w14:textId="77777777" w:rsidR="005A635A" w:rsidRDefault="005A635A">
      <w:pPr>
        <w:pStyle w:val="EMEANormal"/>
        <w:rPr>
          <w:lang w:val="en-GB"/>
        </w:rPr>
      </w:pPr>
    </w:p>
    <w:p w14:paraId="41857912" w14:textId="77777777" w:rsidR="005A635A" w:rsidRPr="00342F7C" w:rsidRDefault="005A635A">
      <w:pPr>
        <w:pStyle w:val="EMEANormal"/>
        <w:rPr>
          <w:lang w:val="en-GB"/>
        </w:rPr>
      </w:pPr>
    </w:p>
    <w:p w14:paraId="38827098" w14:textId="77777777" w:rsidR="00277ECB" w:rsidRPr="00342F7C" w:rsidRDefault="00277ECB" w:rsidP="005A635A">
      <w:pPr>
        <w:pStyle w:val="EMEAHeadingBoxedTitle"/>
        <w:spacing w:before="0" w:after="0"/>
        <w:rPr>
          <w:rFonts w:ascii="Times New Roman" w:hAnsi="Times New Roman"/>
          <w:lang w:val="en-GB"/>
        </w:rPr>
      </w:pPr>
      <w:r w:rsidRPr="00342F7C">
        <w:rPr>
          <w:rFonts w:ascii="Times New Roman" w:hAnsi="Times New Roman"/>
          <w:lang w:val="en-GB"/>
        </w:rPr>
        <w:t>14.</w:t>
      </w:r>
      <w:r w:rsidRPr="00342F7C">
        <w:rPr>
          <w:rFonts w:ascii="Times New Roman" w:hAnsi="Times New Roman"/>
          <w:lang w:val="en-GB"/>
        </w:rPr>
        <w:tab/>
        <w:t>GENERAL CLASSIFICATION FOR SUPPLY</w:t>
      </w:r>
    </w:p>
    <w:p w14:paraId="7F2654E0" w14:textId="77777777" w:rsidR="005A635A" w:rsidRDefault="005A635A">
      <w:pPr>
        <w:pStyle w:val="EMEANormal"/>
        <w:rPr>
          <w:lang w:val="en-GB"/>
        </w:rPr>
      </w:pPr>
    </w:p>
    <w:p w14:paraId="7C931786" w14:textId="77777777" w:rsidR="005A635A" w:rsidRPr="00342F7C" w:rsidRDefault="005A635A">
      <w:pPr>
        <w:pStyle w:val="EMEANormal"/>
        <w:rPr>
          <w:lang w:val="en-GB"/>
        </w:rPr>
      </w:pPr>
    </w:p>
    <w:p w14:paraId="31FA5D27" w14:textId="77777777" w:rsidR="00277ECB" w:rsidRPr="00342F7C" w:rsidRDefault="00277ECB" w:rsidP="005A635A">
      <w:pPr>
        <w:pStyle w:val="EMEAHeadingBoxedEmpty"/>
        <w:spacing w:beforeLines="0" w:before="0"/>
        <w:ind w:left="561" w:hanging="561"/>
        <w:rPr>
          <w:rFonts w:ascii="Times New Roman" w:hAnsi="Times New Roman"/>
          <w:lang w:val="en-GB"/>
        </w:rPr>
      </w:pPr>
      <w:r w:rsidRPr="00342F7C">
        <w:rPr>
          <w:rFonts w:ascii="Times New Roman" w:hAnsi="Times New Roman"/>
          <w:lang w:val="en-GB"/>
        </w:rPr>
        <w:t>15.</w:t>
      </w:r>
      <w:r w:rsidRPr="00342F7C">
        <w:rPr>
          <w:rFonts w:ascii="Times New Roman" w:hAnsi="Times New Roman"/>
          <w:lang w:val="en-GB"/>
        </w:rPr>
        <w:tab/>
        <w:t>INSTRUCTIONS ON USE</w:t>
      </w:r>
    </w:p>
    <w:p w14:paraId="6CD4632D" w14:textId="77777777" w:rsidR="00277ECB" w:rsidRDefault="00277ECB">
      <w:pPr>
        <w:pStyle w:val="EMEANormal"/>
        <w:rPr>
          <w:lang w:val="en-GB"/>
        </w:rPr>
      </w:pPr>
    </w:p>
    <w:p w14:paraId="2AEDB687" w14:textId="77777777" w:rsidR="005A635A" w:rsidRPr="00342F7C" w:rsidRDefault="005A635A">
      <w:pPr>
        <w:pStyle w:val="EMEANormal"/>
        <w:rPr>
          <w:lang w:val="en-GB"/>
        </w:rPr>
      </w:pPr>
    </w:p>
    <w:p w14:paraId="7C801236" w14:textId="77777777" w:rsidR="00277ECB" w:rsidRPr="00342F7C" w:rsidRDefault="00277ECB" w:rsidP="005A635A">
      <w:pPr>
        <w:pStyle w:val="EMEAHeadingBoxedTitle"/>
        <w:spacing w:before="0" w:after="0"/>
        <w:rPr>
          <w:rFonts w:ascii="Times New Roman" w:hAnsi="Times New Roman"/>
          <w:lang w:val="en-GB"/>
        </w:rPr>
      </w:pPr>
      <w:r w:rsidRPr="00342F7C">
        <w:rPr>
          <w:rFonts w:ascii="Times New Roman" w:hAnsi="Times New Roman"/>
          <w:lang w:val="en-GB"/>
        </w:rPr>
        <w:t>16.</w:t>
      </w:r>
      <w:r w:rsidRPr="00342F7C">
        <w:rPr>
          <w:rFonts w:ascii="Times New Roman" w:hAnsi="Times New Roman"/>
          <w:lang w:val="en-GB"/>
        </w:rPr>
        <w:tab/>
        <w:t>Information in braille</w:t>
      </w:r>
    </w:p>
    <w:p w14:paraId="58479229" w14:textId="77777777" w:rsidR="0068223A" w:rsidRDefault="0068223A" w:rsidP="0068223A">
      <w:pPr>
        <w:tabs>
          <w:tab w:val="left" w:pos="567"/>
        </w:tabs>
        <w:rPr>
          <w:sz w:val="22"/>
        </w:rPr>
      </w:pPr>
    </w:p>
    <w:p w14:paraId="4CBF0224" w14:textId="77777777" w:rsidR="0068223A" w:rsidRPr="00342F7C" w:rsidRDefault="0068223A" w:rsidP="0068223A">
      <w:pPr>
        <w:tabs>
          <w:tab w:val="left" w:pos="567"/>
        </w:tabs>
        <w:rPr>
          <w:sz w:val="22"/>
        </w:rPr>
      </w:pPr>
    </w:p>
    <w:p w14:paraId="56C1F159" w14:textId="77777777" w:rsidR="0068223A" w:rsidRPr="00342F7C" w:rsidRDefault="0068223A" w:rsidP="0068223A">
      <w:pPr>
        <w:pStyle w:val="EMEAHeadingBoxedTitle"/>
        <w:spacing w:before="0" w:after="0"/>
        <w:rPr>
          <w:rFonts w:ascii="Times New Roman" w:hAnsi="Times New Roman"/>
          <w:lang w:val="en-GB"/>
        </w:rPr>
      </w:pPr>
      <w:r w:rsidRPr="00342F7C">
        <w:rPr>
          <w:rFonts w:ascii="Times New Roman" w:hAnsi="Times New Roman"/>
          <w:lang w:val="en-GB"/>
        </w:rPr>
        <w:t>1</w:t>
      </w:r>
      <w:r>
        <w:rPr>
          <w:rFonts w:ascii="Times New Roman" w:hAnsi="Times New Roman"/>
          <w:lang w:val="en-GB"/>
        </w:rPr>
        <w:t>7</w:t>
      </w:r>
      <w:r w:rsidRPr="00342F7C">
        <w:rPr>
          <w:rFonts w:ascii="Times New Roman" w:hAnsi="Times New Roman"/>
          <w:lang w:val="en-GB"/>
        </w:rPr>
        <w:t>.</w:t>
      </w:r>
      <w:r w:rsidRPr="00342F7C">
        <w:rPr>
          <w:rFonts w:ascii="Times New Roman" w:hAnsi="Times New Roman"/>
          <w:lang w:val="en-GB"/>
        </w:rPr>
        <w:tab/>
      </w:r>
      <w:r w:rsidRPr="00C92271">
        <w:rPr>
          <w:b w:val="0"/>
          <w:noProof/>
          <w:szCs w:val="22"/>
        </w:rPr>
        <w:t>UNIQUE IDENTIFIER – 2D BARCODE</w:t>
      </w:r>
    </w:p>
    <w:p w14:paraId="6954CE1A" w14:textId="77777777" w:rsidR="0068223A" w:rsidRDefault="0068223A" w:rsidP="0068223A">
      <w:pPr>
        <w:pStyle w:val="EMEANormal"/>
        <w:rPr>
          <w:lang w:val="en-GB"/>
        </w:rPr>
      </w:pPr>
    </w:p>
    <w:p w14:paraId="7573B56D" w14:textId="77777777" w:rsidR="0068223A" w:rsidRPr="00342F7C" w:rsidRDefault="0068223A" w:rsidP="0068223A">
      <w:pPr>
        <w:tabs>
          <w:tab w:val="left" w:pos="567"/>
        </w:tabs>
        <w:rPr>
          <w:sz w:val="22"/>
        </w:rPr>
      </w:pPr>
    </w:p>
    <w:p w14:paraId="73040BB5" w14:textId="77777777" w:rsidR="0068223A" w:rsidRPr="00342F7C" w:rsidRDefault="0068223A" w:rsidP="0068223A">
      <w:pPr>
        <w:pStyle w:val="EMEAHeadingBoxedTitle"/>
        <w:spacing w:before="0" w:after="0"/>
        <w:rPr>
          <w:rFonts w:ascii="Times New Roman" w:hAnsi="Times New Roman"/>
          <w:lang w:val="en-GB"/>
        </w:rPr>
      </w:pPr>
      <w:r>
        <w:rPr>
          <w:rFonts w:ascii="Times New Roman" w:hAnsi="Times New Roman"/>
          <w:lang w:val="en-GB"/>
        </w:rPr>
        <w:t>18</w:t>
      </w:r>
      <w:r w:rsidRPr="00342F7C">
        <w:rPr>
          <w:rFonts w:ascii="Times New Roman" w:hAnsi="Times New Roman"/>
          <w:lang w:val="en-GB"/>
        </w:rPr>
        <w:t>.</w:t>
      </w:r>
      <w:r w:rsidRPr="00342F7C">
        <w:rPr>
          <w:rFonts w:ascii="Times New Roman" w:hAnsi="Times New Roman"/>
          <w:lang w:val="en-GB"/>
        </w:rPr>
        <w:tab/>
      </w:r>
      <w:r w:rsidRPr="00C92271">
        <w:rPr>
          <w:b w:val="0"/>
          <w:noProof/>
          <w:szCs w:val="22"/>
        </w:rPr>
        <w:t>UNIQUE IDENTIFIER - HUMAN READABLE DAT</w:t>
      </w:r>
      <w:r>
        <w:rPr>
          <w:b w:val="0"/>
          <w:noProof/>
          <w:szCs w:val="22"/>
        </w:rPr>
        <w:t>A</w:t>
      </w:r>
    </w:p>
    <w:p w14:paraId="7D421B5B" w14:textId="77777777" w:rsidR="0068223A" w:rsidRDefault="0068223A" w:rsidP="0068223A">
      <w:pPr>
        <w:pStyle w:val="EMEANormal"/>
        <w:rPr>
          <w:lang w:val="en-GB"/>
        </w:rPr>
      </w:pPr>
    </w:p>
    <w:p w14:paraId="6C2074F5" w14:textId="77777777" w:rsidR="0068223A" w:rsidRPr="00A26F79" w:rsidRDefault="0068223A" w:rsidP="0068223A">
      <w:pPr>
        <w:rPr>
          <w:noProof/>
          <w:szCs w:val="22"/>
          <w:shd w:val="clear" w:color="auto" w:fill="CCCCCC"/>
        </w:rPr>
      </w:pPr>
    </w:p>
    <w:p w14:paraId="3433C16F" w14:textId="77777777" w:rsidR="00277ECB" w:rsidRPr="00342F7C" w:rsidRDefault="00277ECB">
      <w:pPr>
        <w:pStyle w:val="EMEAHeadingBoxedTitle"/>
        <w:spacing w:before="0" w:after="0"/>
        <w:rPr>
          <w:rFonts w:ascii="Times New Roman" w:hAnsi="Times New Roman"/>
          <w:lang w:val="en-GB"/>
        </w:rPr>
      </w:pPr>
      <w:r w:rsidRPr="00342F7C">
        <w:rPr>
          <w:rFonts w:ascii="Times New Roman" w:hAnsi="Times New Roman"/>
          <w:lang w:val="en-GB"/>
        </w:rPr>
        <w:br w:type="page"/>
        <w:t xml:space="preserve">PARTICULARS TO APPEAR ON THE OUTER PACKAGING </w:t>
      </w:r>
    </w:p>
    <w:p w14:paraId="40907E7D" w14:textId="77777777" w:rsidR="00277ECB" w:rsidRPr="00342F7C" w:rsidRDefault="00277ECB">
      <w:pPr>
        <w:pStyle w:val="EMEAHeadingBoxedTitle"/>
        <w:spacing w:before="0" w:after="0"/>
        <w:rPr>
          <w:rFonts w:ascii="Times New Roman" w:hAnsi="Times New Roman"/>
          <w:lang w:val="en-GB"/>
        </w:rPr>
      </w:pPr>
    </w:p>
    <w:p w14:paraId="02515FF9" w14:textId="77777777" w:rsidR="00277ECB" w:rsidRPr="00342F7C" w:rsidRDefault="00277ECB" w:rsidP="00B222BE">
      <w:pPr>
        <w:pStyle w:val="EMEAHeadingBoxedTitle"/>
        <w:spacing w:before="0" w:after="0"/>
        <w:rPr>
          <w:caps w:val="0"/>
          <w:lang w:val="en-GB"/>
        </w:rPr>
      </w:pPr>
      <w:r w:rsidRPr="00342F7C">
        <w:rPr>
          <w:caps w:val="0"/>
          <w:lang w:val="en-GB"/>
        </w:rPr>
        <w:t xml:space="preserve">200 mg/50 mg </w:t>
      </w:r>
      <w:r w:rsidR="00072354" w:rsidRPr="00342F7C">
        <w:rPr>
          <w:caps w:val="0"/>
          <w:lang w:val="en-GB"/>
        </w:rPr>
        <w:t>tablets – Carton of 1 bottle</w:t>
      </w:r>
    </w:p>
    <w:p w14:paraId="06DB8FC7" w14:textId="77777777" w:rsidR="00277ECB" w:rsidRPr="00342F7C" w:rsidRDefault="00277ECB">
      <w:pPr>
        <w:pStyle w:val="EMEANormal"/>
        <w:rPr>
          <w:lang w:val="en-GB"/>
        </w:rPr>
      </w:pPr>
    </w:p>
    <w:p w14:paraId="3027813D" w14:textId="77777777" w:rsidR="00277ECB" w:rsidRPr="00342F7C" w:rsidRDefault="00277ECB" w:rsidP="002E5720">
      <w:pPr>
        <w:pStyle w:val="EMEAHeadingBoxedTitle"/>
        <w:spacing w:before="0" w:after="0"/>
        <w:rPr>
          <w:rFonts w:ascii="Times New Roman" w:hAnsi="Times New Roman"/>
          <w:lang w:val="en-GB"/>
        </w:rPr>
      </w:pPr>
      <w:r w:rsidRPr="00342F7C">
        <w:rPr>
          <w:rFonts w:ascii="Times New Roman" w:hAnsi="Times New Roman"/>
          <w:lang w:val="en-GB"/>
        </w:rPr>
        <w:t>1.</w:t>
      </w:r>
      <w:r w:rsidRPr="00342F7C">
        <w:rPr>
          <w:rFonts w:ascii="Times New Roman" w:hAnsi="Times New Roman"/>
          <w:lang w:val="en-GB"/>
        </w:rPr>
        <w:tab/>
        <w:t>NAME OF THE MEDICINAL PRODUCT</w:t>
      </w:r>
    </w:p>
    <w:p w14:paraId="7695D79D" w14:textId="77777777" w:rsidR="002E5720" w:rsidRDefault="002E5720">
      <w:pPr>
        <w:pStyle w:val="EMEANormal"/>
        <w:rPr>
          <w:lang w:val="en-GB"/>
        </w:rPr>
      </w:pPr>
    </w:p>
    <w:p w14:paraId="6D7DAA84" w14:textId="77777777" w:rsidR="00277ECB" w:rsidRPr="00342F7C" w:rsidRDefault="00277ECB">
      <w:pPr>
        <w:pStyle w:val="EMEANormal"/>
        <w:rPr>
          <w:lang w:val="en-GB"/>
        </w:rPr>
      </w:pPr>
      <w:r w:rsidRPr="00342F7C">
        <w:rPr>
          <w:lang w:val="en-GB"/>
        </w:rPr>
        <w:t>Kaletra 200 mg/50 mg film-coated tablets</w:t>
      </w:r>
    </w:p>
    <w:p w14:paraId="09037195" w14:textId="77777777" w:rsidR="00277ECB" w:rsidRDefault="00277ECB">
      <w:pPr>
        <w:pStyle w:val="EMEANormal"/>
        <w:rPr>
          <w:lang w:val="en-GB"/>
        </w:rPr>
      </w:pPr>
      <w:r w:rsidRPr="00342F7C">
        <w:rPr>
          <w:lang w:val="en-GB"/>
        </w:rPr>
        <w:t>lopinavir/ritonavir</w:t>
      </w:r>
    </w:p>
    <w:p w14:paraId="64291CB2" w14:textId="77777777" w:rsidR="002E5720" w:rsidRDefault="002E5720">
      <w:pPr>
        <w:pStyle w:val="EMEANormal"/>
        <w:rPr>
          <w:lang w:val="en-GB"/>
        </w:rPr>
      </w:pPr>
    </w:p>
    <w:p w14:paraId="183EC204" w14:textId="77777777" w:rsidR="002E5720" w:rsidRPr="00342F7C" w:rsidRDefault="002E5720">
      <w:pPr>
        <w:pStyle w:val="EMEANormal"/>
        <w:rPr>
          <w:lang w:val="en-GB"/>
        </w:rPr>
      </w:pPr>
    </w:p>
    <w:p w14:paraId="3AA5D5C4" w14:textId="77777777" w:rsidR="00277ECB" w:rsidRPr="00342F7C" w:rsidRDefault="00277ECB" w:rsidP="002E5720">
      <w:pPr>
        <w:pStyle w:val="EMEAHeadingBoxedTitle"/>
        <w:spacing w:before="0" w:after="0"/>
        <w:rPr>
          <w:rFonts w:ascii="Times New Roman" w:hAnsi="Times New Roman"/>
          <w:lang w:val="en-GB"/>
        </w:rPr>
      </w:pPr>
      <w:r w:rsidRPr="00342F7C">
        <w:rPr>
          <w:rFonts w:ascii="Times New Roman" w:hAnsi="Times New Roman"/>
          <w:vertAlign w:val="subscript"/>
          <w:lang w:val="en-GB"/>
        </w:rPr>
        <w:t xml:space="preserve"> </w:t>
      </w:r>
      <w:r w:rsidRPr="00342F7C">
        <w:rPr>
          <w:rFonts w:ascii="Times New Roman" w:hAnsi="Times New Roman"/>
          <w:lang w:val="en-GB"/>
        </w:rPr>
        <w:t>2.</w:t>
      </w:r>
      <w:r w:rsidRPr="00342F7C">
        <w:rPr>
          <w:rFonts w:ascii="Times New Roman" w:hAnsi="Times New Roman"/>
          <w:lang w:val="en-GB"/>
        </w:rPr>
        <w:tab/>
        <w:t>STATEMENT OF ACTIVE SUBSTANCE(S)</w:t>
      </w:r>
    </w:p>
    <w:p w14:paraId="07069088" w14:textId="77777777" w:rsidR="002E5720" w:rsidRDefault="002E5720">
      <w:pPr>
        <w:pStyle w:val="EMEANormal"/>
        <w:rPr>
          <w:lang w:val="en-GB"/>
        </w:rPr>
      </w:pPr>
    </w:p>
    <w:p w14:paraId="21E35A18" w14:textId="77777777" w:rsidR="00277ECB" w:rsidRDefault="00277ECB">
      <w:pPr>
        <w:pStyle w:val="EMEANormal"/>
        <w:rPr>
          <w:lang w:val="en-GB"/>
        </w:rPr>
      </w:pPr>
      <w:r w:rsidRPr="00342F7C">
        <w:rPr>
          <w:lang w:val="en-GB"/>
        </w:rPr>
        <w:t>Each film-coated tablet contains 200 mg of lopinavir co-formulated with 50 mg of ritonavir as a pharmacokinetic enhancer.</w:t>
      </w:r>
    </w:p>
    <w:p w14:paraId="2A041666" w14:textId="77777777" w:rsidR="002E5720" w:rsidRDefault="002E5720">
      <w:pPr>
        <w:pStyle w:val="EMEANormal"/>
        <w:rPr>
          <w:lang w:val="en-GB"/>
        </w:rPr>
      </w:pPr>
    </w:p>
    <w:p w14:paraId="79DC0C0F" w14:textId="77777777" w:rsidR="002E5720" w:rsidRPr="00342F7C" w:rsidRDefault="002E5720">
      <w:pPr>
        <w:pStyle w:val="EMEANormal"/>
        <w:rPr>
          <w:lang w:val="en-GB"/>
        </w:rPr>
      </w:pPr>
    </w:p>
    <w:p w14:paraId="09C7A6D2" w14:textId="77777777" w:rsidR="00277ECB" w:rsidRPr="00342F7C" w:rsidRDefault="00277ECB" w:rsidP="002E5720">
      <w:pPr>
        <w:pStyle w:val="EMEAHeadingBoxedEmpty"/>
        <w:spacing w:beforeLines="0" w:before="0"/>
        <w:ind w:left="561" w:hanging="561"/>
        <w:rPr>
          <w:rFonts w:ascii="Times New Roman" w:hAnsi="Times New Roman"/>
          <w:lang w:val="en-GB"/>
        </w:rPr>
      </w:pPr>
      <w:r w:rsidRPr="00342F7C">
        <w:rPr>
          <w:rFonts w:ascii="Times New Roman" w:hAnsi="Times New Roman"/>
          <w:lang w:val="en-GB"/>
        </w:rPr>
        <w:t>3.</w:t>
      </w:r>
      <w:r w:rsidRPr="00342F7C">
        <w:rPr>
          <w:rFonts w:ascii="Times New Roman" w:hAnsi="Times New Roman"/>
          <w:lang w:val="en-GB"/>
        </w:rPr>
        <w:tab/>
        <w:t>LIST OF EXCIPIENTS</w:t>
      </w:r>
    </w:p>
    <w:p w14:paraId="4B577412" w14:textId="77777777" w:rsidR="002E5720" w:rsidRDefault="002E5720">
      <w:pPr>
        <w:pStyle w:val="EMEANormal"/>
        <w:rPr>
          <w:lang w:val="en-GB"/>
        </w:rPr>
      </w:pPr>
    </w:p>
    <w:p w14:paraId="750CAFB3" w14:textId="77777777" w:rsidR="002E5720" w:rsidRPr="00342F7C" w:rsidRDefault="002E5720">
      <w:pPr>
        <w:pStyle w:val="EMEANormal"/>
        <w:rPr>
          <w:lang w:val="en-GB"/>
        </w:rPr>
      </w:pPr>
    </w:p>
    <w:p w14:paraId="02BD6C14" w14:textId="77777777" w:rsidR="00277ECB" w:rsidRPr="00342F7C" w:rsidRDefault="00277ECB" w:rsidP="002E5720">
      <w:pPr>
        <w:pStyle w:val="EMEAHeadingBoxedTitle"/>
        <w:spacing w:before="0" w:after="0"/>
        <w:rPr>
          <w:rFonts w:ascii="Times New Roman" w:hAnsi="Times New Roman"/>
          <w:lang w:val="en-GB"/>
        </w:rPr>
      </w:pPr>
      <w:r w:rsidRPr="00342F7C">
        <w:rPr>
          <w:rFonts w:ascii="Times New Roman" w:hAnsi="Times New Roman"/>
          <w:lang w:val="en-GB"/>
        </w:rPr>
        <w:t>4.</w:t>
      </w:r>
      <w:r w:rsidRPr="00342F7C">
        <w:rPr>
          <w:rFonts w:ascii="Times New Roman" w:hAnsi="Times New Roman"/>
          <w:lang w:val="en-GB"/>
        </w:rPr>
        <w:tab/>
        <w:t>PHARMACEUTICAL FORM AND CONTENTS</w:t>
      </w:r>
    </w:p>
    <w:p w14:paraId="37E7ED18" w14:textId="77777777" w:rsidR="002E5720" w:rsidRDefault="002E5720">
      <w:pPr>
        <w:pStyle w:val="EMEANormal"/>
        <w:rPr>
          <w:lang w:val="en-GB"/>
        </w:rPr>
      </w:pPr>
    </w:p>
    <w:p w14:paraId="577F838B" w14:textId="77777777" w:rsidR="00277ECB" w:rsidRDefault="00277ECB">
      <w:pPr>
        <w:pStyle w:val="EMEANormal"/>
        <w:rPr>
          <w:lang w:val="en-GB"/>
        </w:rPr>
      </w:pPr>
      <w:r w:rsidRPr="00342F7C">
        <w:rPr>
          <w:lang w:val="en-GB"/>
        </w:rPr>
        <w:t>120 film-coated tablets</w:t>
      </w:r>
    </w:p>
    <w:p w14:paraId="51E64376" w14:textId="77777777" w:rsidR="002E5720" w:rsidRDefault="002E5720">
      <w:pPr>
        <w:pStyle w:val="EMEANormal"/>
        <w:rPr>
          <w:lang w:val="en-GB"/>
        </w:rPr>
      </w:pPr>
    </w:p>
    <w:p w14:paraId="09B6E927" w14:textId="77777777" w:rsidR="002E5720" w:rsidRPr="00342F7C" w:rsidRDefault="002E5720">
      <w:pPr>
        <w:pStyle w:val="EMEANormal"/>
        <w:rPr>
          <w:lang w:val="en-GB"/>
        </w:rPr>
      </w:pPr>
    </w:p>
    <w:p w14:paraId="491B2421" w14:textId="77777777" w:rsidR="00277ECB" w:rsidRPr="00342F7C" w:rsidRDefault="00277ECB" w:rsidP="002E5720">
      <w:pPr>
        <w:pStyle w:val="EMEAHeadingBoxedTitle"/>
        <w:spacing w:before="0" w:after="0"/>
        <w:rPr>
          <w:rFonts w:ascii="Times New Roman" w:hAnsi="Times New Roman"/>
          <w:lang w:val="en-GB"/>
        </w:rPr>
      </w:pPr>
      <w:r w:rsidRPr="00342F7C">
        <w:rPr>
          <w:rFonts w:ascii="Times New Roman" w:hAnsi="Times New Roman"/>
          <w:lang w:val="en-GB"/>
        </w:rPr>
        <w:t>5.</w:t>
      </w:r>
      <w:r w:rsidRPr="00342F7C">
        <w:rPr>
          <w:rFonts w:ascii="Times New Roman" w:hAnsi="Times New Roman"/>
          <w:lang w:val="en-GB"/>
        </w:rPr>
        <w:tab/>
        <w:t>METHOD AND ROUTE(S) OF ADMINISTRATION</w:t>
      </w:r>
    </w:p>
    <w:p w14:paraId="3145F136" w14:textId="77777777" w:rsidR="002E5720" w:rsidRDefault="002E5720">
      <w:pPr>
        <w:pStyle w:val="EMEANormal"/>
        <w:rPr>
          <w:lang w:val="en-GB"/>
        </w:rPr>
      </w:pPr>
    </w:p>
    <w:p w14:paraId="63437BAF" w14:textId="77777777" w:rsidR="008034C1" w:rsidRDefault="008034C1" w:rsidP="008034C1">
      <w:pPr>
        <w:pStyle w:val="EMEANormal"/>
        <w:rPr>
          <w:lang w:val="en-GB"/>
        </w:rPr>
      </w:pPr>
      <w:r w:rsidRPr="00342F7C">
        <w:rPr>
          <w:lang w:val="en-GB"/>
        </w:rPr>
        <w:t>Read the package leaflet before use</w:t>
      </w:r>
      <w:r w:rsidR="0068223A">
        <w:rPr>
          <w:lang w:val="en-GB"/>
        </w:rPr>
        <w:t>.</w:t>
      </w:r>
    </w:p>
    <w:p w14:paraId="2EECC4F6" w14:textId="77777777" w:rsidR="00277ECB" w:rsidRPr="00342F7C" w:rsidRDefault="00277ECB">
      <w:pPr>
        <w:pStyle w:val="EMEANormal"/>
        <w:rPr>
          <w:lang w:val="en-GB"/>
        </w:rPr>
      </w:pPr>
      <w:r w:rsidRPr="00342F7C">
        <w:rPr>
          <w:lang w:val="en-GB"/>
        </w:rPr>
        <w:t>Oral use</w:t>
      </w:r>
    </w:p>
    <w:p w14:paraId="4C4CE9C8" w14:textId="77777777" w:rsidR="002E5720" w:rsidRDefault="002E5720">
      <w:pPr>
        <w:pStyle w:val="EMEANormal"/>
        <w:rPr>
          <w:lang w:val="en-GB"/>
        </w:rPr>
      </w:pPr>
    </w:p>
    <w:p w14:paraId="3DB18462" w14:textId="77777777" w:rsidR="002E5720" w:rsidRPr="00342F7C" w:rsidRDefault="002E5720">
      <w:pPr>
        <w:pStyle w:val="EMEANormal"/>
        <w:rPr>
          <w:lang w:val="en-GB"/>
        </w:rPr>
      </w:pPr>
    </w:p>
    <w:p w14:paraId="5E307E90" w14:textId="77777777" w:rsidR="00277ECB" w:rsidRPr="00342F7C" w:rsidRDefault="00277ECB" w:rsidP="002E5720">
      <w:pPr>
        <w:pStyle w:val="EMEAHeadingBoxedTitle"/>
        <w:tabs>
          <w:tab w:val="clear" w:pos="562"/>
          <w:tab w:val="left" w:pos="550"/>
        </w:tabs>
        <w:spacing w:before="0" w:after="0"/>
        <w:ind w:left="550" w:hanging="550"/>
        <w:rPr>
          <w:rFonts w:ascii="Times New Roman" w:hAnsi="Times New Roman"/>
          <w:lang w:val="en-GB"/>
        </w:rPr>
      </w:pPr>
      <w:r w:rsidRPr="00342F7C">
        <w:rPr>
          <w:rFonts w:ascii="Times New Roman" w:hAnsi="Times New Roman"/>
          <w:lang w:val="en-GB"/>
        </w:rPr>
        <w:t>6.</w:t>
      </w:r>
      <w:r w:rsidRPr="00342F7C">
        <w:rPr>
          <w:rFonts w:ascii="Times New Roman" w:hAnsi="Times New Roman"/>
          <w:lang w:val="en-GB"/>
        </w:rPr>
        <w:tab/>
        <w:t xml:space="preserve">SPECIAL WARNING THAT THE MEDICINAL PRODUCT MUST BE STORED OUT OF THE </w:t>
      </w:r>
      <w:r w:rsidR="0023490A">
        <w:rPr>
          <w:rFonts w:ascii="Times New Roman" w:hAnsi="Times New Roman"/>
          <w:lang w:val="en-GB"/>
        </w:rPr>
        <w:t>SIGHT</w:t>
      </w:r>
      <w:r w:rsidR="0023490A" w:rsidRPr="00342F7C">
        <w:rPr>
          <w:rFonts w:ascii="Times New Roman" w:hAnsi="Times New Roman"/>
          <w:lang w:val="en-GB"/>
        </w:rPr>
        <w:t xml:space="preserve"> </w:t>
      </w:r>
      <w:r w:rsidRPr="00342F7C">
        <w:rPr>
          <w:rFonts w:ascii="Times New Roman" w:hAnsi="Times New Roman"/>
          <w:lang w:val="en-GB"/>
        </w:rPr>
        <w:t xml:space="preserve">AND </w:t>
      </w:r>
      <w:r w:rsidR="0023490A">
        <w:rPr>
          <w:rFonts w:ascii="Times New Roman" w:hAnsi="Times New Roman"/>
          <w:lang w:val="en-GB"/>
        </w:rPr>
        <w:t>REACH</w:t>
      </w:r>
      <w:r w:rsidR="0023490A" w:rsidRPr="00342F7C">
        <w:rPr>
          <w:rFonts w:ascii="Times New Roman" w:hAnsi="Times New Roman"/>
          <w:lang w:val="en-GB"/>
        </w:rPr>
        <w:t xml:space="preserve"> </w:t>
      </w:r>
      <w:r w:rsidRPr="00342F7C">
        <w:rPr>
          <w:rFonts w:ascii="Times New Roman" w:hAnsi="Times New Roman"/>
          <w:lang w:val="en-GB"/>
        </w:rPr>
        <w:t>OF CHILDREN</w:t>
      </w:r>
    </w:p>
    <w:p w14:paraId="057447C9" w14:textId="77777777" w:rsidR="002E5720" w:rsidRDefault="002E5720">
      <w:pPr>
        <w:pStyle w:val="EMEANormal"/>
        <w:rPr>
          <w:lang w:val="en-GB"/>
        </w:rPr>
      </w:pPr>
    </w:p>
    <w:p w14:paraId="58F2ABF5" w14:textId="77777777" w:rsidR="00277ECB" w:rsidRDefault="00277ECB">
      <w:pPr>
        <w:pStyle w:val="EMEANormal"/>
        <w:rPr>
          <w:lang w:val="en-GB"/>
        </w:rPr>
      </w:pPr>
      <w:r w:rsidRPr="00342F7C">
        <w:rPr>
          <w:lang w:val="en-GB"/>
        </w:rPr>
        <w:t xml:space="preserve">Keep out of the sight </w:t>
      </w:r>
      <w:r w:rsidR="009D5D2E">
        <w:rPr>
          <w:lang w:val="en-GB"/>
        </w:rPr>
        <w:t xml:space="preserve">and reach </w:t>
      </w:r>
      <w:r w:rsidRPr="00342F7C">
        <w:rPr>
          <w:lang w:val="en-GB"/>
        </w:rPr>
        <w:t>of children</w:t>
      </w:r>
      <w:r w:rsidR="0068223A">
        <w:rPr>
          <w:lang w:val="en-GB"/>
        </w:rPr>
        <w:t>.</w:t>
      </w:r>
    </w:p>
    <w:p w14:paraId="70BBA9D9" w14:textId="77777777" w:rsidR="002E5720" w:rsidRDefault="002E5720">
      <w:pPr>
        <w:pStyle w:val="EMEANormal"/>
        <w:rPr>
          <w:lang w:val="en-GB"/>
        </w:rPr>
      </w:pPr>
    </w:p>
    <w:p w14:paraId="6A6FCD7C" w14:textId="77777777" w:rsidR="002E5720" w:rsidRPr="00342F7C" w:rsidRDefault="002E5720">
      <w:pPr>
        <w:pStyle w:val="EMEANormal"/>
        <w:rPr>
          <w:lang w:val="en-GB"/>
        </w:rPr>
      </w:pPr>
    </w:p>
    <w:p w14:paraId="5E2AFE5D" w14:textId="77777777" w:rsidR="00277ECB" w:rsidRPr="00342F7C" w:rsidRDefault="00277ECB" w:rsidP="002E5720">
      <w:pPr>
        <w:pStyle w:val="EMEAHeadingBoxedEmpty"/>
        <w:spacing w:beforeLines="0" w:before="0"/>
        <w:ind w:left="561" w:hanging="561"/>
        <w:rPr>
          <w:rFonts w:ascii="Times New Roman" w:hAnsi="Times New Roman"/>
          <w:lang w:val="en-GB"/>
        </w:rPr>
      </w:pPr>
      <w:r w:rsidRPr="00342F7C">
        <w:rPr>
          <w:rFonts w:ascii="Times New Roman" w:hAnsi="Times New Roman"/>
          <w:lang w:val="en-GB"/>
        </w:rPr>
        <w:t>7.</w:t>
      </w:r>
      <w:r w:rsidRPr="00342F7C">
        <w:rPr>
          <w:rFonts w:ascii="Times New Roman" w:hAnsi="Times New Roman"/>
          <w:lang w:val="en-GB"/>
        </w:rPr>
        <w:tab/>
        <w:t>OTHER SPECIAL WARNING(S), IF NECESSARY</w:t>
      </w:r>
    </w:p>
    <w:p w14:paraId="326D1A57" w14:textId="77777777" w:rsidR="00277ECB" w:rsidRDefault="00277ECB">
      <w:pPr>
        <w:pStyle w:val="EMEANormal"/>
        <w:rPr>
          <w:lang w:val="en-GB"/>
        </w:rPr>
      </w:pPr>
    </w:p>
    <w:p w14:paraId="1E984C4E" w14:textId="77777777" w:rsidR="002E5720" w:rsidRPr="00342F7C" w:rsidRDefault="002E5720">
      <w:pPr>
        <w:pStyle w:val="EMEANormal"/>
        <w:rPr>
          <w:lang w:val="en-GB"/>
        </w:rPr>
      </w:pPr>
    </w:p>
    <w:p w14:paraId="53B417DD" w14:textId="77777777" w:rsidR="00277ECB" w:rsidRPr="00342F7C" w:rsidRDefault="00277ECB" w:rsidP="002E5720">
      <w:pPr>
        <w:pStyle w:val="EMEAHeadingBoxed"/>
        <w:spacing w:beforeLines="0" w:before="0" w:afterLines="0" w:after="0"/>
        <w:ind w:left="561" w:hanging="561"/>
        <w:rPr>
          <w:rFonts w:ascii="Times New Roman" w:hAnsi="Times New Roman"/>
          <w:lang w:val="en-GB"/>
        </w:rPr>
      </w:pPr>
      <w:r w:rsidRPr="00342F7C">
        <w:rPr>
          <w:rFonts w:ascii="Times New Roman" w:hAnsi="Times New Roman"/>
          <w:lang w:val="en-GB"/>
        </w:rPr>
        <w:t>8.</w:t>
      </w:r>
      <w:r w:rsidRPr="00342F7C">
        <w:rPr>
          <w:rFonts w:ascii="Times New Roman" w:hAnsi="Times New Roman"/>
          <w:lang w:val="en-GB"/>
        </w:rPr>
        <w:tab/>
        <w:t>EXPIRY DATE</w:t>
      </w:r>
    </w:p>
    <w:p w14:paraId="3F0456B9" w14:textId="77777777" w:rsidR="002E5720" w:rsidRDefault="002E5720">
      <w:pPr>
        <w:pStyle w:val="EMEANormal"/>
        <w:rPr>
          <w:lang w:val="en-GB"/>
        </w:rPr>
      </w:pPr>
    </w:p>
    <w:p w14:paraId="247FBE17" w14:textId="77777777" w:rsidR="00277ECB" w:rsidRDefault="00277ECB">
      <w:pPr>
        <w:pStyle w:val="EMEANormal"/>
        <w:rPr>
          <w:lang w:val="en-GB"/>
        </w:rPr>
      </w:pPr>
      <w:r w:rsidRPr="00342F7C">
        <w:rPr>
          <w:lang w:val="en-GB"/>
        </w:rPr>
        <w:t>EXP</w:t>
      </w:r>
    </w:p>
    <w:p w14:paraId="53AC4BC0" w14:textId="77777777" w:rsidR="002E5720" w:rsidRDefault="002E5720">
      <w:pPr>
        <w:pStyle w:val="EMEANormal"/>
        <w:rPr>
          <w:lang w:val="en-GB"/>
        </w:rPr>
      </w:pPr>
    </w:p>
    <w:p w14:paraId="13E2E4F6" w14:textId="77777777" w:rsidR="002E5720" w:rsidRPr="00342F7C" w:rsidRDefault="002E5720">
      <w:pPr>
        <w:pStyle w:val="EMEANormal"/>
        <w:rPr>
          <w:lang w:val="en-GB"/>
        </w:rPr>
      </w:pPr>
    </w:p>
    <w:p w14:paraId="02766D8A" w14:textId="77777777" w:rsidR="00277ECB" w:rsidRPr="00342F7C" w:rsidRDefault="00277ECB" w:rsidP="002E5720">
      <w:pPr>
        <w:pStyle w:val="EMEAHeadingBoxedEmpty"/>
        <w:spacing w:beforeLines="0" w:before="0"/>
        <w:ind w:left="561" w:hanging="561"/>
        <w:rPr>
          <w:rFonts w:ascii="Times New Roman" w:hAnsi="Times New Roman"/>
          <w:lang w:val="en-GB"/>
        </w:rPr>
      </w:pPr>
      <w:r w:rsidRPr="00342F7C">
        <w:rPr>
          <w:rFonts w:ascii="Times New Roman" w:hAnsi="Times New Roman"/>
          <w:lang w:val="en-GB"/>
        </w:rPr>
        <w:t>9.</w:t>
      </w:r>
      <w:r w:rsidRPr="00342F7C">
        <w:rPr>
          <w:rFonts w:ascii="Times New Roman" w:hAnsi="Times New Roman"/>
          <w:lang w:val="en-GB"/>
        </w:rPr>
        <w:tab/>
        <w:t>SPECIAL STORAGE CONDITIONS</w:t>
      </w:r>
    </w:p>
    <w:p w14:paraId="1454F524" w14:textId="77777777" w:rsidR="00277ECB" w:rsidRDefault="00277ECB">
      <w:pPr>
        <w:pStyle w:val="EMEANormal"/>
        <w:rPr>
          <w:lang w:val="en-GB"/>
        </w:rPr>
      </w:pPr>
    </w:p>
    <w:p w14:paraId="1A4D2DCA" w14:textId="77777777" w:rsidR="002E5720" w:rsidRPr="00342F7C" w:rsidRDefault="002E5720">
      <w:pPr>
        <w:pStyle w:val="EMEANormal"/>
        <w:rPr>
          <w:lang w:val="en-GB"/>
        </w:rPr>
      </w:pPr>
    </w:p>
    <w:p w14:paraId="1DE26258" w14:textId="77777777" w:rsidR="00277ECB" w:rsidRPr="00342F7C" w:rsidRDefault="00277ECB" w:rsidP="002E5720">
      <w:pPr>
        <w:pStyle w:val="EMEAHeadingBoxedTitle"/>
        <w:tabs>
          <w:tab w:val="clear" w:pos="562"/>
          <w:tab w:val="left" w:pos="550"/>
        </w:tabs>
        <w:spacing w:before="0" w:after="0"/>
        <w:ind w:left="550" w:hanging="550"/>
        <w:rPr>
          <w:rFonts w:ascii="Times New Roman" w:hAnsi="Times New Roman"/>
          <w:lang w:val="en-GB"/>
        </w:rPr>
      </w:pPr>
      <w:r w:rsidRPr="00342F7C">
        <w:rPr>
          <w:rFonts w:ascii="Times New Roman" w:hAnsi="Times New Roman"/>
          <w:lang w:val="en-GB"/>
        </w:rPr>
        <w:t>10.</w:t>
      </w:r>
      <w:r w:rsidRPr="00342F7C">
        <w:rPr>
          <w:rFonts w:ascii="Times New Roman" w:hAnsi="Times New Roman"/>
          <w:lang w:val="en-GB"/>
        </w:rPr>
        <w:tab/>
        <w:t>SPECIAL PRECAUTIONS FOR DISPOSAL OF UNUSED MEDICINAL PRODUCTS OR WASTE MATERIALS DERIVED FROM SUCH MEDICINAL PRODUCTS, IF APPROPRIATE</w:t>
      </w:r>
    </w:p>
    <w:p w14:paraId="10E39A25" w14:textId="77777777" w:rsidR="00277ECB" w:rsidRPr="00342F7C" w:rsidRDefault="00277ECB">
      <w:pPr>
        <w:pStyle w:val="EMEANormal"/>
        <w:rPr>
          <w:lang w:val="en-GB"/>
        </w:rPr>
      </w:pPr>
    </w:p>
    <w:p w14:paraId="069D3E8F" w14:textId="77777777" w:rsidR="00277ECB" w:rsidRPr="00342F7C" w:rsidRDefault="00277ECB" w:rsidP="002E5720">
      <w:pPr>
        <w:pStyle w:val="EMEAHeadingBoxedTitle"/>
        <w:pBdr>
          <w:bottom w:val="single" w:sz="4" w:space="2" w:color="auto"/>
        </w:pBdr>
        <w:spacing w:before="0" w:after="0"/>
        <w:rPr>
          <w:rFonts w:ascii="Times New Roman" w:hAnsi="Times New Roman"/>
          <w:lang w:val="en-GB"/>
        </w:rPr>
      </w:pPr>
      <w:r w:rsidRPr="00342F7C">
        <w:rPr>
          <w:rFonts w:ascii="Times New Roman" w:hAnsi="Times New Roman"/>
          <w:lang w:val="en-GB"/>
        </w:rPr>
        <w:br w:type="page"/>
        <w:t>11.</w:t>
      </w:r>
      <w:r w:rsidRPr="00342F7C">
        <w:rPr>
          <w:rFonts w:ascii="Times New Roman" w:hAnsi="Times New Roman"/>
          <w:lang w:val="en-GB"/>
        </w:rPr>
        <w:tab/>
        <w:t>NAME AND ADDRESS OF THE MARKETING AUTHORISATION HOLDER</w:t>
      </w:r>
    </w:p>
    <w:p w14:paraId="5975A181" w14:textId="77777777" w:rsidR="002E5720" w:rsidRDefault="002E5720" w:rsidP="00F423D9">
      <w:pPr>
        <w:pStyle w:val="EMEANormal"/>
        <w:rPr>
          <w:lang w:val="en-GB"/>
        </w:rPr>
      </w:pPr>
    </w:p>
    <w:p w14:paraId="10C1BC7D" w14:textId="77777777" w:rsidR="00A118F7" w:rsidRPr="00A118F7" w:rsidRDefault="00A118F7" w:rsidP="00A118F7">
      <w:pPr>
        <w:keepNext/>
        <w:autoSpaceDE w:val="0"/>
        <w:autoSpaceDN w:val="0"/>
        <w:adjustRightInd w:val="0"/>
        <w:spacing w:line="240" w:lineRule="atLeast"/>
        <w:rPr>
          <w:sz w:val="22"/>
          <w:szCs w:val="22"/>
          <w:lang w:eastAsia="en-GB"/>
        </w:rPr>
      </w:pPr>
      <w:r w:rsidRPr="00A118F7">
        <w:rPr>
          <w:sz w:val="22"/>
          <w:szCs w:val="22"/>
          <w:lang w:eastAsia="en-GB"/>
        </w:rPr>
        <w:t>AbbVie Deutschland GmbH &amp; Co. KG</w:t>
      </w:r>
    </w:p>
    <w:p w14:paraId="7368CD17" w14:textId="77777777" w:rsidR="00A118F7" w:rsidRPr="00A118F7" w:rsidRDefault="00A118F7" w:rsidP="00A118F7">
      <w:pPr>
        <w:keepNext/>
        <w:autoSpaceDE w:val="0"/>
        <w:autoSpaceDN w:val="0"/>
        <w:adjustRightInd w:val="0"/>
        <w:spacing w:line="240" w:lineRule="atLeast"/>
        <w:rPr>
          <w:sz w:val="22"/>
          <w:szCs w:val="22"/>
          <w:lang w:eastAsia="en-GB"/>
        </w:rPr>
      </w:pPr>
      <w:r w:rsidRPr="00A118F7">
        <w:rPr>
          <w:sz w:val="22"/>
          <w:szCs w:val="22"/>
          <w:lang w:eastAsia="en-GB"/>
        </w:rPr>
        <w:t>Knollstrasse</w:t>
      </w:r>
    </w:p>
    <w:p w14:paraId="1690E8B7" w14:textId="77777777" w:rsidR="00A118F7" w:rsidRPr="00A118F7" w:rsidRDefault="00A118F7" w:rsidP="00A118F7">
      <w:pPr>
        <w:keepNext/>
        <w:autoSpaceDE w:val="0"/>
        <w:autoSpaceDN w:val="0"/>
        <w:adjustRightInd w:val="0"/>
        <w:spacing w:line="240" w:lineRule="atLeast"/>
        <w:rPr>
          <w:sz w:val="22"/>
          <w:szCs w:val="22"/>
          <w:lang w:eastAsia="en-GB"/>
        </w:rPr>
      </w:pPr>
      <w:r w:rsidRPr="00A118F7">
        <w:rPr>
          <w:sz w:val="22"/>
          <w:szCs w:val="22"/>
          <w:lang w:eastAsia="en-GB"/>
        </w:rPr>
        <w:t>67061 Ludwigshafen</w:t>
      </w:r>
    </w:p>
    <w:p w14:paraId="503C639C" w14:textId="77777777" w:rsidR="00F423D9" w:rsidRDefault="00A118F7" w:rsidP="00A118F7">
      <w:pPr>
        <w:pStyle w:val="EMEANormal"/>
        <w:rPr>
          <w:lang w:val="en-GB"/>
        </w:rPr>
      </w:pPr>
      <w:r w:rsidRPr="00A118F7">
        <w:rPr>
          <w:szCs w:val="22"/>
          <w:lang w:val="en-GB" w:eastAsia="en-GB"/>
        </w:rPr>
        <w:t>Germany</w:t>
      </w:r>
    </w:p>
    <w:p w14:paraId="37C63B2D" w14:textId="77777777" w:rsidR="002E5720" w:rsidRDefault="002E5720" w:rsidP="00F423D9">
      <w:pPr>
        <w:pStyle w:val="EMEANormal"/>
        <w:rPr>
          <w:lang w:val="en-GB"/>
        </w:rPr>
      </w:pPr>
    </w:p>
    <w:p w14:paraId="4AD90F94" w14:textId="77777777" w:rsidR="002E5720" w:rsidRDefault="002E5720" w:rsidP="00F423D9">
      <w:pPr>
        <w:pStyle w:val="EMEANormal"/>
        <w:rPr>
          <w:lang w:val="en-GB"/>
        </w:rPr>
      </w:pPr>
    </w:p>
    <w:p w14:paraId="04377FA1" w14:textId="77777777" w:rsidR="00277ECB" w:rsidRPr="00342F7C" w:rsidRDefault="00277ECB" w:rsidP="002E5720">
      <w:pPr>
        <w:pStyle w:val="EMEAHeadingBoxedTitle"/>
        <w:spacing w:before="0" w:after="0"/>
        <w:rPr>
          <w:rFonts w:ascii="Times New Roman" w:hAnsi="Times New Roman"/>
          <w:lang w:val="en-GB"/>
        </w:rPr>
      </w:pPr>
      <w:r w:rsidRPr="00342F7C">
        <w:rPr>
          <w:rFonts w:ascii="Times New Roman" w:hAnsi="Times New Roman"/>
          <w:lang w:val="en-GB"/>
        </w:rPr>
        <w:t>12.</w:t>
      </w:r>
      <w:r w:rsidRPr="00342F7C">
        <w:rPr>
          <w:rFonts w:ascii="Times New Roman" w:hAnsi="Times New Roman"/>
          <w:lang w:val="en-GB"/>
        </w:rPr>
        <w:tab/>
        <w:t>MARKETING AUTHORISATION NUMBER(S)</w:t>
      </w:r>
    </w:p>
    <w:p w14:paraId="6027F550" w14:textId="77777777" w:rsidR="002E5720" w:rsidRDefault="002E5720">
      <w:pPr>
        <w:pStyle w:val="EMEANormal"/>
        <w:rPr>
          <w:lang w:val="en-GB"/>
        </w:rPr>
      </w:pPr>
    </w:p>
    <w:p w14:paraId="77FAF63F" w14:textId="77777777" w:rsidR="00277ECB" w:rsidRDefault="00277ECB">
      <w:pPr>
        <w:pStyle w:val="EMEANormal"/>
        <w:rPr>
          <w:lang w:val="en-GB"/>
        </w:rPr>
      </w:pPr>
      <w:r w:rsidRPr="00342F7C">
        <w:rPr>
          <w:lang w:val="en-GB"/>
        </w:rPr>
        <w:t>EU/1/01/172/004</w:t>
      </w:r>
    </w:p>
    <w:p w14:paraId="71C5B636" w14:textId="77777777" w:rsidR="002E5720" w:rsidRDefault="002E5720">
      <w:pPr>
        <w:pStyle w:val="EMEANormal"/>
        <w:rPr>
          <w:lang w:val="en-GB"/>
        </w:rPr>
      </w:pPr>
    </w:p>
    <w:p w14:paraId="48EC220A" w14:textId="77777777" w:rsidR="002E5720" w:rsidRPr="00342F7C" w:rsidRDefault="002E5720">
      <w:pPr>
        <w:pStyle w:val="EMEANormal"/>
        <w:rPr>
          <w:lang w:val="en-GB"/>
        </w:rPr>
      </w:pPr>
    </w:p>
    <w:p w14:paraId="25E2AD2E" w14:textId="77777777" w:rsidR="00277ECB" w:rsidRPr="00342F7C" w:rsidRDefault="00277ECB" w:rsidP="002E5720">
      <w:pPr>
        <w:pStyle w:val="EMEAHeadingBoxedTitle"/>
        <w:spacing w:before="0" w:after="0"/>
        <w:rPr>
          <w:rFonts w:ascii="Times New Roman" w:hAnsi="Times New Roman"/>
          <w:lang w:val="en-GB"/>
        </w:rPr>
      </w:pPr>
      <w:r w:rsidRPr="00342F7C">
        <w:rPr>
          <w:rFonts w:ascii="Times New Roman" w:hAnsi="Times New Roman"/>
          <w:lang w:val="en-GB"/>
        </w:rPr>
        <w:t>13.</w:t>
      </w:r>
      <w:r w:rsidRPr="00342F7C">
        <w:rPr>
          <w:rFonts w:ascii="Times New Roman" w:hAnsi="Times New Roman"/>
          <w:lang w:val="en-GB"/>
        </w:rPr>
        <w:tab/>
        <w:t>BATCH NUMBER</w:t>
      </w:r>
    </w:p>
    <w:p w14:paraId="041A857F" w14:textId="77777777" w:rsidR="002E5720" w:rsidRDefault="002E5720">
      <w:pPr>
        <w:pStyle w:val="EMEANormal"/>
        <w:rPr>
          <w:lang w:val="en-GB"/>
        </w:rPr>
      </w:pPr>
    </w:p>
    <w:p w14:paraId="08800D11" w14:textId="77777777" w:rsidR="00277ECB" w:rsidRDefault="00277ECB">
      <w:pPr>
        <w:pStyle w:val="EMEANormal"/>
        <w:rPr>
          <w:lang w:val="en-GB"/>
        </w:rPr>
      </w:pPr>
      <w:r w:rsidRPr="00342F7C">
        <w:rPr>
          <w:lang w:val="en-GB"/>
        </w:rPr>
        <w:t>Lot</w:t>
      </w:r>
    </w:p>
    <w:p w14:paraId="3381F3EF" w14:textId="77777777" w:rsidR="002E5720" w:rsidRDefault="002E5720">
      <w:pPr>
        <w:pStyle w:val="EMEANormal"/>
        <w:rPr>
          <w:lang w:val="en-GB"/>
        </w:rPr>
      </w:pPr>
    </w:p>
    <w:p w14:paraId="1B77D87D" w14:textId="77777777" w:rsidR="002E5720" w:rsidRPr="00342F7C" w:rsidRDefault="002E5720">
      <w:pPr>
        <w:pStyle w:val="EMEANormal"/>
        <w:rPr>
          <w:lang w:val="en-GB"/>
        </w:rPr>
      </w:pPr>
    </w:p>
    <w:p w14:paraId="5FB903E2" w14:textId="77777777" w:rsidR="00277ECB" w:rsidRPr="00342F7C" w:rsidRDefault="00277ECB" w:rsidP="002E5720">
      <w:pPr>
        <w:pStyle w:val="EMEAHeadingBoxedTitle"/>
        <w:spacing w:before="0" w:after="0"/>
        <w:rPr>
          <w:rFonts w:ascii="Times New Roman" w:hAnsi="Times New Roman"/>
          <w:lang w:val="en-GB"/>
        </w:rPr>
      </w:pPr>
      <w:r w:rsidRPr="00342F7C">
        <w:rPr>
          <w:rFonts w:ascii="Times New Roman" w:hAnsi="Times New Roman"/>
          <w:lang w:val="en-GB"/>
        </w:rPr>
        <w:t>14.</w:t>
      </w:r>
      <w:r w:rsidRPr="00342F7C">
        <w:rPr>
          <w:rFonts w:ascii="Times New Roman" w:hAnsi="Times New Roman"/>
          <w:lang w:val="en-GB"/>
        </w:rPr>
        <w:tab/>
        <w:t>GENERAL CLASSIFICATION FOR SUPPLY</w:t>
      </w:r>
    </w:p>
    <w:p w14:paraId="57D6D216" w14:textId="77777777" w:rsidR="002E5720" w:rsidRDefault="002E5720">
      <w:pPr>
        <w:pStyle w:val="EMEANormal"/>
        <w:rPr>
          <w:lang w:val="en-GB"/>
        </w:rPr>
      </w:pPr>
    </w:p>
    <w:p w14:paraId="67467FCA" w14:textId="77777777" w:rsidR="002E5720" w:rsidRPr="00342F7C" w:rsidRDefault="002E5720">
      <w:pPr>
        <w:pStyle w:val="EMEANormal"/>
        <w:rPr>
          <w:lang w:val="en-GB"/>
        </w:rPr>
      </w:pPr>
    </w:p>
    <w:p w14:paraId="16A15482" w14:textId="77777777" w:rsidR="00277ECB" w:rsidRPr="00342F7C" w:rsidRDefault="00277ECB" w:rsidP="002E5720">
      <w:pPr>
        <w:pStyle w:val="EMEAHeadingBoxedTitle"/>
        <w:spacing w:before="0" w:after="0"/>
        <w:rPr>
          <w:rFonts w:ascii="Times New Roman" w:hAnsi="Times New Roman"/>
          <w:lang w:val="en-GB"/>
        </w:rPr>
      </w:pPr>
      <w:r w:rsidRPr="00342F7C">
        <w:rPr>
          <w:rFonts w:ascii="Times New Roman" w:hAnsi="Times New Roman"/>
          <w:lang w:val="en-GB"/>
        </w:rPr>
        <w:t>15.</w:t>
      </w:r>
      <w:r w:rsidRPr="00342F7C">
        <w:rPr>
          <w:rFonts w:ascii="Times New Roman" w:hAnsi="Times New Roman"/>
          <w:lang w:val="en-GB"/>
        </w:rPr>
        <w:tab/>
        <w:t>INSTRUCTIONS ON USE</w:t>
      </w:r>
    </w:p>
    <w:p w14:paraId="4633B6D3" w14:textId="77777777" w:rsidR="00277ECB" w:rsidRDefault="00277ECB">
      <w:pPr>
        <w:pStyle w:val="EMEANormal"/>
        <w:rPr>
          <w:lang w:val="en-GB"/>
        </w:rPr>
      </w:pPr>
    </w:p>
    <w:p w14:paraId="48F98DF3" w14:textId="77777777" w:rsidR="002E5720" w:rsidRPr="00342F7C" w:rsidRDefault="002E5720">
      <w:pPr>
        <w:pStyle w:val="EMEANormal"/>
        <w:rPr>
          <w:lang w:val="en-GB"/>
        </w:rPr>
      </w:pPr>
    </w:p>
    <w:p w14:paraId="28C78031" w14:textId="77777777" w:rsidR="00277ECB" w:rsidRPr="00342F7C" w:rsidRDefault="00277ECB" w:rsidP="002E5720">
      <w:pPr>
        <w:pStyle w:val="EMEAHeadingBoxedTitle"/>
        <w:spacing w:before="0" w:after="0"/>
        <w:rPr>
          <w:rFonts w:ascii="Times New Roman" w:hAnsi="Times New Roman"/>
          <w:lang w:val="en-GB"/>
        </w:rPr>
      </w:pPr>
      <w:r w:rsidRPr="00342F7C">
        <w:rPr>
          <w:rFonts w:ascii="Times New Roman" w:hAnsi="Times New Roman"/>
          <w:lang w:val="en-GB"/>
        </w:rPr>
        <w:t>16.</w:t>
      </w:r>
      <w:r w:rsidRPr="00342F7C">
        <w:rPr>
          <w:rFonts w:ascii="Times New Roman" w:hAnsi="Times New Roman"/>
          <w:lang w:val="en-GB"/>
        </w:rPr>
        <w:tab/>
        <w:t>Information in braille</w:t>
      </w:r>
    </w:p>
    <w:p w14:paraId="088D9446" w14:textId="77777777" w:rsidR="002E5720" w:rsidRDefault="002E5720">
      <w:pPr>
        <w:pStyle w:val="EMEANormal"/>
        <w:rPr>
          <w:lang w:val="en-GB"/>
        </w:rPr>
      </w:pPr>
    </w:p>
    <w:p w14:paraId="3A7DE4F2" w14:textId="77777777" w:rsidR="001840E6" w:rsidRPr="00342F7C" w:rsidRDefault="003F3D02">
      <w:pPr>
        <w:pStyle w:val="EMEANormal"/>
        <w:rPr>
          <w:lang w:val="en-GB"/>
        </w:rPr>
      </w:pPr>
      <w:r w:rsidRPr="00342F7C">
        <w:rPr>
          <w:lang w:val="en-GB"/>
        </w:rPr>
        <w:t>Kaletra 200 mg/50 </w:t>
      </w:r>
      <w:r w:rsidR="00277ECB" w:rsidRPr="00342F7C">
        <w:rPr>
          <w:lang w:val="en-GB"/>
        </w:rPr>
        <w:t>mg tablets</w:t>
      </w:r>
    </w:p>
    <w:p w14:paraId="0AC4F581" w14:textId="77777777" w:rsidR="001840E6" w:rsidRPr="00342F7C" w:rsidRDefault="001840E6">
      <w:pPr>
        <w:pStyle w:val="EMEANormal"/>
        <w:rPr>
          <w:lang w:val="en-GB"/>
        </w:rPr>
      </w:pPr>
    </w:p>
    <w:p w14:paraId="410B0452" w14:textId="77777777" w:rsidR="0068223A" w:rsidRPr="00342F7C" w:rsidRDefault="0068223A" w:rsidP="0068223A">
      <w:pPr>
        <w:pStyle w:val="EMEANormal"/>
        <w:rPr>
          <w:lang w:val="en-GB"/>
        </w:rPr>
      </w:pPr>
    </w:p>
    <w:p w14:paraId="5EB188F1" w14:textId="77777777" w:rsidR="0068223A" w:rsidRPr="00342F7C" w:rsidRDefault="0068223A" w:rsidP="0068223A">
      <w:pPr>
        <w:pStyle w:val="EMEAHeadingBoxedTitle"/>
        <w:spacing w:before="0" w:after="0"/>
        <w:rPr>
          <w:rFonts w:ascii="Times New Roman" w:hAnsi="Times New Roman"/>
          <w:lang w:val="en-GB"/>
        </w:rPr>
      </w:pPr>
      <w:r>
        <w:rPr>
          <w:rFonts w:ascii="Times New Roman" w:hAnsi="Times New Roman"/>
          <w:lang w:val="en-GB"/>
        </w:rPr>
        <w:t>17</w:t>
      </w:r>
      <w:r w:rsidRPr="00342F7C">
        <w:rPr>
          <w:rFonts w:ascii="Times New Roman" w:hAnsi="Times New Roman"/>
          <w:lang w:val="en-GB"/>
        </w:rPr>
        <w:t>.</w:t>
      </w:r>
      <w:r w:rsidRPr="00342F7C">
        <w:rPr>
          <w:rFonts w:ascii="Times New Roman" w:hAnsi="Times New Roman"/>
          <w:lang w:val="en-GB"/>
        </w:rPr>
        <w:tab/>
      </w:r>
      <w:r>
        <w:rPr>
          <w:rFonts w:ascii="Times New Roman" w:hAnsi="Times New Roman"/>
          <w:lang w:val="en-GB"/>
        </w:rPr>
        <w:t>UNIQUE IDENTIFIER – 2D BARCODE</w:t>
      </w:r>
    </w:p>
    <w:p w14:paraId="5BDF6682" w14:textId="77777777" w:rsidR="0068223A" w:rsidRDefault="0068223A" w:rsidP="0068223A">
      <w:pPr>
        <w:pStyle w:val="EMEANormal"/>
        <w:rPr>
          <w:lang w:val="en-GB"/>
        </w:rPr>
      </w:pPr>
    </w:p>
    <w:p w14:paraId="246C64B7" w14:textId="77777777" w:rsidR="0068223A" w:rsidRPr="00D36207" w:rsidRDefault="0068223A" w:rsidP="0068223A">
      <w:pPr>
        <w:autoSpaceDE w:val="0"/>
        <w:autoSpaceDN w:val="0"/>
        <w:adjustRightInd w:val="0"/>
        <w:rPr>
          <w:sz w:val="22"/>
          <w:szCs w:val="22"/>
          <w:lang w:eastAsia="en-GB"/>
        </w:rPr>
      </w:pPr>
      <w:r w:rsidRPr="00D36207">
        <w:rPr>
          <w:sz w:val="22"/>
          <w:szCs w:val="22"/>
          <w:highlight w:val="lightGray"/>
          <w:lang w:eastAsia="en-GB"/>
        </w:rPr>
        <w:t>2D barcode carrying the unique identifier included.</w:t>
      </w:r>
    </w:p>
    <w:p w14:paraId="6D609200" w14:textId="77777777" w:rsidR="0068223A" w:rsidRDefault="0068223A" w:rsidP="0068223A">
      <w:pPr>
        <w:pStyle w:val="EMEANormal"/>
        <w:rPr>
          <w:lang w:val="en-GB"/>
        </w:rPr>
      </w:pPr>
    </w:p>
    <w:p w14:paraId="2CCDFBD1" w14:textId="77777777" w:rsidR="0068223A" w:rsidRPr="00342F7C" w:rsidRDefault="0068223A" w:rsidP="0068223A">
      <w:pPr>
        <w:pStyle w:val="EMEANormal"/>
        <w:rPr>
          <w:lang w:val="en-GB"/>
        </w:rPr>
      </w:pPr>
    </w:p>
    <w:p w14:paraId="75425777" w14:textId="77777777" w:rsidR="0068223A" w:rsidRPr="00342F7C" w:rsidRDefault="0068223A" w:rsidP="0068223A">
      <w:pPr>
        <w:pStyle w:val="EMEAHeadingBoxedTitle"/>
        <w:spacing w:before="0" w:after="0"/>
        <w:rPr>
          <w:rFonts w:ascii="Times New Roman" w:hAnsi="Times New Roman"/>
          <w:lang w:val="en-GB"/>
        </w:rPr>
      </w:pPr>
      <w:r>
        <w:rPr>
          <w:rFonts w:ascii="Times New Roman" w:hAnsi="Times New Roman"/>
          <w:lang w:val="en-GB"/>
        </w:rPr>
        <w:t>18</w:t>
      </w:r>
      <w:r w:rsidRPr="00342F7C">
        <w:rPr>
          <w:rFonts w:ascii="Times New Roman" w:hAnsi="Times New Roman"/>
          <w:lang w:val="en-GB"/>
        </w:rPr>
        <w:t>.</w:t>
      </w:r>
      <w:r w:rsidRPr="00342F7C">
        <w:rPr>
          <w:rFonts w:ascii="Times New Roman" w:hAnsi="Times New Roman"/>
          <w:lang w:val="en-GB"/>
        </w:rPr>
        <w:tab/>
      </w:r>
      <w:r>
        <w:rPr>
          <w:rFonts w:ascii="Times New Roman" w:hAnsi="Times New Roman"/>
          <w:lang w:val="en-GB"/>
        </w:rPr>
        <w:t>UNIQUE IDENTIFIER – HUMAN READABLE DATA</w:t>
      </w:r>
    </w:p>
    <w:p w14:paraId="0D226892" w14:textId="77777777" w:rsidR="0068223A" w:rsidRDefault="0068223A" w:rsidP="0068223A">
      <w:pPr>
        <w:pStyle w:val="EMEANormal"/>
        <w:rPr>
          <w:lang w:val="en-GB"/>
        </w:rPr>
      </w:pPr>
    </w:p>
    <w:p w14:paraId="7C1251B9" w14:textId="77777777" w:rsidR="0068223A" w:rsidRPr="00D36207" w:rsidRDefault="0068223A" w:rsidP="0068223A">
      <w:pPr>
        <w:autoSpaceDE w:val="0"/>
        <w:autoSpaceDN w:val="0"/>
        <w:adjustRightInd w:val="0"/>
        <w:rPr>
          <w:sz w:val="22"/>
          <w:szCs w:val="22"/>
          <w:lang w:eastAsia="en-GB"/>
        </w:rPr>
      </w:pPr>
      <w:r w:rsidRPr="00D36207">
        <w:rPr>
          <w:sz w:val="22"/>
          <w:szCs w:val="22"/>
          <w:lang w:eastAsia="en-GB"/>
        </w:rPr>
        <w:t>PC</w:t>
      </w:r>
    </w:p>
    <w:p w14:paraId="65D6183F" w14:textId="77777777" w:rsidR="0068223A" w:rsidRPr="00D36207" w:rsidRDefault="0068223A" w:rsidP="0068223A">
      <w:pPr>
        <w:pStyle w:val="EMEANormal"/>
        <w:rPr>
          <w:szCs w:val="22"/>
          <w:lang w:eastAsia="en-GB"/>
        </w:rPr>
      </w:pPr>
      <w:r w:rsidRPr="00D36207">
        <w:rPr>
          <w:szCs w:val="22"/>
          <w:lang w:eastAsia="en-GB"/>
        </w:rPr>
        <w:t>SN</w:t>
      </w:r>
    </w:p>
    <w:p w14:paraId="616D1468" w14:textId="77777777" w:rsidR="0068223A" w:rsidRPr="00D36207" w:rsidRDefault="0068223A" w:rsidP="0068223A">
      <w:pPr>
        <w:pStyle w:val="EMEANormal"/>
        <w:rPr>
          <w:lang w:val="en-GB"/>
        </w:rPr>
      </w:pPr>
      <w:r w:rsidRPr="00D36207">
        <w:rPr>
          <w:szCs w:val="22"/>
          <w:highlight w:val="lightGray"/>
          <w:lang w:eastAsia="en-GB"/>
        </w:rPr>
        <w:t>NN</w:t>
      </w:r>
    </w:p>
    <w:p w14:paraId="30B4CCB9" w14:textId="77777777" w:rsidR="001840E6" w:rsidRPr="00342F7C" w:rsidRDefault="001840E6">
      <w:pPr>
        <w:pStyle w:val="EMEANormal"/>
        <w:rPr>
          <w:lang w:val="en-GB"/>
        </w:rPr>
      </w:pPr>
    </w:p>
    <w:p w14:paraId="231EA11D" w14:textId="77777777" w:rsidR="001840E6" w:rsidRPr="00342F7C" w:rsidRDefault="001840E6" w:rsidP="001840E6">
      <w:pPr>
        <w:pStyle w:val="EMEAHeadingBoxedTitle"/>
        <w:spacing w:before="0" w:after="0"/>
        <w:rPr>
          <w:rFonts w:ascii="Times New Roman" w:hAnsi="Times New Roman"/>
          <w:lang w:val="en-GB"/>
        </w:rPr>
      </w:pPr>
      <w:r w:rsidRPr="00342F7C">
        <w:rPr>
          <w:lang w:val="en-GB"/>
        </w:rPr>
        <w:br w:type="page"/>
      </w:r>
      <w:r w:rsidRPr="00342F7C">
        <w:rPr>
          <w:rFonts w:ascii="Times New Roman" w:hAnsi="Times New Roman"/>
          <w:lang w:val="en-GB"/>
        </w:rPr>
        <w:t xml:space="preserve">PARTICULARS TO APPEAR ON THE OUTER PACKAGING </w:t>
      </w:r>
    </w:p>
    <w:p w14:paraId="69178915" w14:textId="77777777" w:rsidR="001840E6" w:rsidRPr="00342F7C" w:rsidRDefault="001840E6" w:rsidP="001840E6">
      <w:pPr>
        <w:pStyle w:val="EMEAHeadingBoxedTitle"/>
        <w:spacing w:before="0" w:after="0"/>
        <w:rPr>
          <w:rFonts w:ascii="Times New Roman" w:hAnsi="Times New Roman"/>
          <w:lang w:val="en-GB"/>
        </w:rPr>
      </w:pPr>
    </w:p>
    <w:p w14:paraId="46F2E9A2" w14:textId="77777777" w:rsidR="001840E6" w:rsidRPr="00342F7C" w:rsidRDefault="001840E6" w:rsidP="001840E6">
      <w:pPr>
        <w:pStyle w:val="EMEAHeadingBoxedTitle"/>
        <w:spacing w:before="0"/>
        <w:rPr>
          <w:caps w:val="0"/>
          <w:lang w:val="en-GB"/>
        </w:rPr>
      </w:pPr>
      <w:r w:rsidRPr="00342F7C">
        <w:rPr>
          <w:caps w:val="0"/>
          <w:lang w:val="en-GB"/>
        </w:rPr>
        <w:t xml:space="preserve">200 mg/50 mg </w:t>
      </w:r>
      <w:r w:rsidR="00F96DDF" w:rsidRPr="00342F7C">
        <w:rPr>
          <w:caps w:val="0"/>
          <w:lang w:val="en-GB"/>
        </w:rPr>
        <w:t xml:space="preserve">Tablets – Carton of </w:t>
      </w:r>
      <w:r w:rsidR="00F345F7" w:rsidRPr="00342F7C">
        <w:rPr>
          <w:caps w:val="0"/>
          <w:lang w:val="en-GB"/>
        </w:rPr>
        <w:t xml:space="preserve">multipack </w:t>
      </w:r>
      <w:r w:rsidR="00F345F7">
        <w:rPr>
          <w:caps w:val="0"/>
          <w:lang w:val="en-GB"/>
        </w:rPr>
        <w:t>containing</w:t>
      </w:r>
      <w:r w:rsidR="00F345F7" w:rsidRPr="00342F7C">
        <w:rPr>
          <w:caps w:val="0"/>
          <w:lang w:val="en-GB"/>
        </w:rPr>
        <w:t xml:space="preserve"> </w:t>
      </w:r>
      <w:r w:rsidR="00F345F7">
        <w:rPr>
          <w:caps w:val="0"/>
          <w:lang w:val="en-GB"/>
        </w:rPr>
        <w:t>360</w:t>
      </w:r>
      <w:r w:rsidR="00F345F7" w:rsidRPr="00342F7C">
        <w:rPr>
          <w:caps w:val="0"/>
          <w:lang w:val="en-GB"/>
        </w:rPr>
        <w:t xml:space="preserve"> (</w:t>
      </w:r>
      <w:r w:rsidR="00F96DDF" w:rsidRPr="00342F7C">
        <w:rPr>
          <w:caps w:val="0"/>
          <w:lang w:val="en-GB"/>
        </w:rPr>
        <w:t>3 bottles</w:t>
      </w:r>
      <w:r w:rsidR="00F345F7">
        <w:rPr>
          <w:caps w:val="0"/>
          <w:lang w:val="en-GB"/>
        </w:rPr>
        <w:t xml:space="preserve"> of 120) film-coated tablets </w:t>
      </w:r>
      <w:r w:rsidR="00F345F7" w:rsidRPr="00342F7C">
        <w:rPr>
          <w:caps w:val="0"/>
          <w:lang w:val="en-GB"/>
        </w:rPr>
        <w:t>– including blue</w:t>
      </w:r>
      <w:r w:rsidR="00D8794F">
        <w:rPr>
          <w:caps w:val="0"/>
          <w:lang w:val="en-GB"/>
        </w:rPr>
        <w:t xml:space="preserve"> box</w:t>
      </w:r>
    </w:p>
    <w:p w14:paraId="6FF9C11E" w14:textId="77777777" w:rsidR="001840E6" w:rsidRPr="00342F7C" w:rsidRDefault="001840E6" w:rsidP="001840E6">
      <w:pPr>
        <w:pStyle w:val="EMEANormal"/>
        <w:rPr>
          <w:lang w:val="en-GB"/>
        </w:rPr>
      </w:pPr>
    </w:p>
    <w:p w14:paraId="5B7290DC" w14:textId="77777777" w:rsidR="001840E6" w:rsidRPr="00342F7C" w:rsidRDefault="001840E6" w:rsidP="002E12BE">
      <w:pPr>
        <w:pStyle w:val="EMEAHeadingBoxedTitle"/>
        <w:spacing w:before="0" w:after="0"/>
        <w:rPr>
          <w:rFonts w:ascii="Times New Roman" w:hAnsi="Times New Roman"/>
          <w:lang w:val="en-GB"/>
        </w:rPr>
      </w:pPr>
      <w:r w:rsidRPr="00342F7C">
        <w:rPr>
          <w:rFonts w:ascii="Times New Roman" w:hAnsi="Times New Roman"/>
          <w:lang w:val="en-GB"/>
        </w:rPr>
        <w:t>1.</w:t>
      </w:r>
      <w:r w:rsidRPr="00342F7C">
        <w:rPr>
          <w:rFonts w:ascii="Times New Roman" w:hAnsi="Times New Roman"/>
          <w:lang w:val="en-GB"/>
        </w:rPr>
        <w:tab/>
        <w:t>NAME OF THE MEDICINAL PRODUCT</w:t>
      </w:r>
    </w:p>
    <w:p w14:paraId="552C3697" w14:textId="77777777" w:rsidR="002E12BE" w:rsidRDefault="002E12BE" w:rsidP="001840E6">
      <w:pPr>
        <w:pStyle w:val="EMEANormal"/>
        <w:rPr>
          <w:lang w:val="en-GB"/>
        </w:rPr>
      </w:pPr>
    </w:p>
    <w:p w14:paraId="1C372390" w14:textId="77777777" w:rsidR="001840E6" w:rsidRPr="00342F7C" w:rsidRDefault="001840E6" w:rsidP="001840E6">
      <w:pPr>
        <w:pStyle w:val="EMEANormal"/>
        <w:rPr>
          <w:lang w:val="en-GB"/>
        </w:rPr>
      </w:pPr>
      <w:r w:rsidRPr="00342F7C">
        <w:rPr>
          <w:lang w:val="en-GB"/>
        </w:rPr>
        <w:t>Kaletra 200 mg/50 mg film-coated tablets</w:t>
      </w:r>
    </w:p>
    <w:p w14:paraId="0A5C0396" w14:textId="77777777" w:rsidR="001840E6" w:rsidRDefault="001840E6" w:rsidP="001840E6">
      <w:pPr>
        <w:pStyle w:val="EMEANormal"/>
        <w:rPr>
          <w:lang w:val="en-GB"/>
        </w:rPr>
      </w:pPr>
      <w:r w:rsidRPr="00342F7C">
        <w:rPr>
          <w:lang w:val="en-GB"/>
        </w:rPr>
        <w:t>lopinavir/ritonavir</w:t>
      </w:r>
    </w:p>
    <w:p w14:paraId="070254C8" w14:textId="77777777" w:rsidR="002E12BE" w:rsidRDefault="002E12BE" w:rsidP="001840E6">
      <w:pPr>
        <w:pStyle w:val="EMEANormal"/>
        <w:rPr>
          <w:lang w:val="en-GB"/>
        </w:rPr>
      </w:pPr>
    </w:p>
    <w:p w14:paraId="7F7B3479" w14:textId="77777777" w:rsidR="002E12BE" w:rsidRPr="00342F7C" w:rsidRDefault="002E12BE" w:rsidP="001840E6">
      <w:pPr>
        <w:pStyle w:val="EMEANormal"/>
        <w:rPr>
          <w:lang w:val="en-GB"/>
        </w:rPr>
      </w:pPr>
    </w:p>
    <w:p w14:paraId="34991286" w14:textId="77777777" w:rsidR="001840E6" w:rsidRPr="00342F7C" w:rsidRDefault="001840E6" w:rsidP="002E12BE">
      <w:pPr>
        <w:pStyle w:val="EMEAHeadingBoxedTitle"/>
        <w:spacing w:before="0" w:after="0"/>
        <w:rPr>
          <w:rFonts w:ascii="Times New Roman" w:hAnsi="Times New Roman"/>
          <w:lang w:val="en-GB"/>
        </w:rPr>
      </w:pPr>
      <w:r w:rsidRPr="00342F7C">
        <w:rPr>
          <w:rFonts w:ascii="Times New Roman" w:hAnsi="Times New Roman"/>
          <w:vertAlign w:val="subscript"/>
          <w:lang w:val="en-GB"/>
        </w:rPr>
        <w:t xml:space="preserve"> </w:t>
      </w:r>
      <w:r w:rsidRPr="00342F7C">
        <w:rPr>
          <w:rFonts w:ascii="Times New Roman" w:hAnsi="Times New Roman"/>
          <w:lang w:val="en-GB"/>
        </w:rPr>
        <w:t>2.</w:t>
      </w:r>
      <w:r w:rsidRPr="00342F7C">
        <w:rPr>
          <w:rFonts w:ascii="Times New Roman" w:hAnsi="Times New Roman"/>
          <w:lang w:val="en-GB"/>
        </w:rPr>
        <w:tab/>
        <w:t>STATEMENT OF ACTIVE SUBSTANCE(S)</w:t>
      </w:r>
    </w:p>
    <w:p w14:paraId="6F686F3A" w14:textId="77777777" w:rsidR="002E12BE" w:rsidRDefault="002E12BE" w:rsidP="001840E6">
      <w:pPr>
        <w:pStyle w:val="EMEANormal"/>
        <w:rPr>
          <w:lang w:val="en-GB"/>
        </w:rPr>
      </w:pPr>
    </w:p>
    <w:p w14:paraId="147FE807" w14:textId="77777777" w:rsidR="001840E6" w:rsidRDefault="001840E6" w:rsidP="001840E6">
      <w:pPr>
        <w:pStyle w:val="EMEANormal"/>
        <w:rPr>
          <w:lang w:val="en-GB"/>
        </w:rPr>
      </w:pPr>
      <w:r w:rsidRPr="00342F7C">
        <w:rPr>
          <w:lang w:val="en-GB"/>
        </w:rPr>
        <w:t>Each film-coated tablet contains 200 mg of lopinavir co-formulated with 50 mg of ritonavir as a pharmacokinetic enhancer.</w:t>
      </w:r>
    </w:p>
    <w:p w14:paraId="09F51403" w14:textId="77777777" w:rsidR="002E12BE" w:rsidRDefault="002E12BE" w:rsidP="001840E6">
      <w:pPr>
        <w:pStyle w:val="EMEANormal"/>
        <w:rPr>
          <w:lang w:val="en-GB"/>
        </w:rPr>
      </w:pPr>
    </w:p>
    <w:p w14:paraId="1A0D64CC" w14:textId="77777777" w:rsidR="002E12BE" w:rsidRPr="00342F7C" w:rsidRDefault="002E12BE" w:rsidP="001840E6">
      <w:pPr>
        <w:pStyle w:val="EMEANormal"/>
        <w:rPr>
          <w:lang w:val="en-GB"/>
        </w:rPr>
      </w:pPr>
    </w:p>
    <w:p w14:paraId="0EE0B84F" w14:textId="77777777" w:rsidR="001840E6" w:rsidRPr="00342F7C" w:rsidRDefault="001840E6" w:rsidP="002E12BE">
      <w:pPr>
        <w:pStyle w:val="EMEAHeadingBoxedEmpty"/>
        <w:spacing w:beforeLines="0" w:before="0"/>
        <w:ind w:left="561" w:hanging="561"/>
        <w:rPr>
          <w:rFonts w:ascii="Times New Roman" w:hAnsi="Times New Roman"/>
          <w:lang w:val="en-GB"/>
        </w:rPr>
      </w:pPr>
      <w:r w:rsidRPr="00342F7C">
        <w:rPr>
          <w:rFonts w:ascii="Times New Roman" w:hAnsi="Times New Roman"/>
          <w:lang w:val="en-GB"/>
        </w:rPr>
        <w:t>3.</w:t>
      </w:r>
      <w:r w:rsidRPr="00342F7C">
        <w:rPr>
          <w:rFonts w:ascii="Times New Roman" w:hAnsi="Times New Roman"/>
          <w:lang w:val="en-GB"/>
        </w:rPr>
        <w:tab/>
        <w:t>LIST OF EXCIPIENTS</w:t>
      </w:r>
    </w:p>
    <w:p w14:paraId="5E0B6C24" w14:textId="77777777" w:rsidR="001840E6" w:rsidRDefault="001840E6" w:rsidP="001840E6">
      <w:pPr>
        <w:pStyle w:val="EMEANormal"/>
        <w:rPr>
          <w:lang w:val="en-GB"/>
        </w:rPr>
      </w:pPr>
    </w:p>
    <w:p w14:paraId="774078D1" w14:textId="77777777" w:rsidR="002E12BE" w:rsidRPr="00342F7C" w:rsidRDefault="002E12BE" w:rsidP="001840E6">
      <w:pPr>
        <w:pStyle w:val="EMEANormal"/>
        <w:rPr>
          <w:lang w:val="en-GB"/>
        </w:rPr>
      </w:pPr>
    </w:p>
    <w:p w14:paraId="7F67DEA9" w14:textId="77777777" w:rsidR="001840E6" w:rsidRPr="00342F7C" w:rsidRDefault="001840E6" w:rsidP="002E12BE">
      <w:pPr>
        <w:pStyle w:val="EMEAHeadingBoxedTitle"/>
        <w:spacing w:before="0" w:after="0"/>
        <w:rPr>
          <w:rFonts w:ascii="Times New Roman" w:hAnsi="Times New Roman"/>
          <w:lang w:val="en-GB"/>
        </w:rPr>
      </w:pPr>
      <w:r w:rsidRPr="00342F7C">
        <w:rPr>
          <w:rFonts w:ascii="Times New Roman" w:hAnsi="Times New Roman"/>
          <w:lang w:val="en-GB"/>
        </w:rPr>
        <w:t>4.</w:t>
      </w:r>
      <w:r w:rsidRPr="00342F7C">
        <w:rPr>
          <w:rFonts w:ascii="Times New Roman" w:hAnsi="Times New Roman"/>
          <w:lang w:val="en-GB"/>
        </w:rPr>
        <w:tab/>
        <w:t>PHARMACEUTICAL FORM AND CONTENTS</w:t>
      </w:r>
    </w:p>
    <w:p w14:paraId="4ED5F999" w14:textId="77777777" w:rsidR="002E12BE" w:rsidRDefault="002E12BE" w:rsidP="001840E6">
      <w:pPr>
        <w:pStyle w:val="EMEANormal"/>
        <w:rPr>
          <w:lang w:val="en-GB"/>
        </w:rPr>
      </w:pPr>
    </w:p>
    <w:p w14:paraId="01D53455" w14:textId="77777777" w:rsidR="001840E6" w:rsidRPr="00342F7C" w:rsidRDefault="00F345F7" w:rsidP="001840E6">
      <w:pPr>
        <w:pStyle w:val="EMEANormal"/>
        <w:rPr>
          <w:lang w:val="en-GB"/>
        </w:rPr>
      </w:pPr>
      <w:r>
        <w:rPr>
          <w:lang w:val="en-GB"/>
        </w:rPr>
        <w:t xml:space="preserve">Multipack: </w:t>
      </w:r>
      <w:r w:rsidR="001840E6" w:rsidRPr="00342F7C">
        <w:rPr>
          <w:lang w:val="en-GB"/>
        </w:rPr>
        <w:t xml:space="preserve">360 (3 bottles </w:t>
      </w:r>
      <w:r>
        <w:rPr>
          <w:lang w:val="en-GB"/>
        </w:rPr>
        <w:t>of</w:t>
      </w:r>
      <w:r w:rsidR="00AB5FE7" w:rsidRPr="00342F7C">
        <w:rPr>
          <w:lang w:val="en-GB"/>
        </w:rPr>
        <w:t xml:space="preserve"> </w:t>
      </w:r>
      <w:r w:rsidR="001840E6" w:rsidRPr="00342F7C">
        <w:rPr>
          <w:lang w:val="en-GB"/>
        </w:rPr>
        <w:t>120</w:t>
      </w:r>
      <w:r>
        <w:rPr>
          <w:lang w:val="en-GB"/>
        </w:rPr>
        <w:t>)</w:t>
      </w:r>
      <w:r w:rsidR="001840E6" w:rsidRPr="00342F7C">
        <w:rPr>
          <w:lang w:val="en-GB"/>
        </w:rPr>
        <w:t xml:space="preserve"> film-coated tablets</w:t>
      </w:r>
    </w:p>
    <w:p w14:paraId="6B455ADF" w14:textId="77777777" w:rsidR="00AB5FE7" w:rsidRDefault="00E16955" w:rsidP="001840E6">
      <w:pPr>
        <w:pStyle w:val="EMEANormal"/>
        <w:rPr>
          <w:lang w:val="en-GB"/>
        </w:rPr>
      </w:pPr>
      <w:r w:rsidRPr="00342F7C">
        <w:rPr>
          <w:lang w:val="en-GB"/>
        </w:rPr>
        <w:t xml:space="preserve">3 </w:t>
      </w:r>
      <w:r w:rsidR="00AB5FE7" w:rsidRPr="00342F7C">
        <w:rPr>
          <w:lang w:val="en-GB"/>
        </w:rPr>
        <w:t>month pack</w:t>
      </w:r>
    </w:p>
    <w:p w14:paraId="5EBC0D7B" w14:textId="77777777" w:rsidR="002E12BE" w:rsidRDefault="002E12BE" w:rsidP="001840E6">
      <w:pPr>
        <w:pStyle w:val="EMEANormal"/>
        <w:rPr>
          <w:lang w:val="en-GB"/>
        </w:rPr>
      </w:pPr>
    </w:p>
    <w:p w14:paraId="6F5E0AD0" w14:textId="77777777" w:rsidR="002E12BE" w:rsidRPr="00342F7C" w:rsidRDefault="002E12BE" w:rsidP="001840E6">
      <w:pPr>
        <w:pStyle w:val="EMEANormal"/>
        <w:rPr>
          <w:lang w:val="en-GB"/>
        </w:rPr>
      </w:pPr>
    </w:p>
    <w:p w14:paraId="05D1B352" w14:textId="77777777" w:rsidR="001840E6" w:rsidRPr="00342F7C" w:rsidRDefault="001840E6" w:rsidP="002E12BE">
      <w:pPr>
        <w:pStyle w:val="EMEAHeadingBoxedTitle"/>
        <w:spacing w:before="0" w:after="0"/>
        <w:rPr>
          <w:rFonts w:ascii="Times New Roman" w:hAnsi="Times New Roman"/>
          <w:lang w:val="en-GB"/>
        </w:rPr>
      </w:pPr>
      <w:r w:rsidRPr="00342F7C">
        <w:rPr>
          <w:rFonts w:ascii="Times New Roman" w:hAnsi="Times New Roman"/>
          <w:lang w:val="en-GB"/>
        </w:rPr>
        <w:t>5.</w:t>
      </w:r>
      <w:r w:rsidRPr="00342F7C">
        <w:rPr>
          <w:rFonts w:ascii="Times New Roman" w:hAnsi="Times New Roman"/>
          <w:lang w:val="en-GB"/>
        </w:rPr>
        <w:tab/>
        <w:t>METHOD AND ROUTE(S) OF ADMINISTRATION</w:t>
      </w:r>
    </w:p>
    <w:p w14:paraId="58D8F7AD" w14:textId="77777777" w:rsidR="002E12BE" w:rsidRDefault="002E12BE" w:rsidP="001840E6">
      <w:pPr>
        <w:pStyle w:val="EMEANormal"/>
        <w:rPr>
          <w:lang w:val="en-GB"/>
        </w:rPr>
      </w:pPr>
    </w:p>
    <w:p w14:paraId="16A28C1B" w14:textId="77777777" w:rsidR="008034C1" w:rsidRDefault="008034C1" w:rsidP="008034C1">
      <w:pPr>
        <w:pStyle w:val="EMEANormal"/>
        <w:rPr>
          <w:lang w:val="en-GB"/>
        </w:rPr>
      </w:pPr>
      <w:r w:rsidRPr="00342F7C">
        <w:rPr>
          <w:lang w:val="en-GB"/>
        </w:rPr>
        <w:t>Read the package leaflet before use</w:t>
      </w:r>
      <w:r w:rsidR="0068223A">
        <w:rPr>
          <w:lang w:val="en-GB"/>
        </w:rPr>
        <w:t>.</w:t>
      </w:r>
    </w:p>
    <w:p w14:paraId="74E59CA1" w14:textId="77777777" w:rsidR="001840E6" w:rsidRPr="00342F7C" w:rsidRDefault="001840E6" w:rsidP="001840E6">
      <w:pPr>
        <w:pStyle w:val="EMEANormal"/>
        <w:rPr>
          <w:lang w:val="en-GB"/>
        </w:rPr>
      </w:pPr>
      <w:r w:rsidRPr="00342F7C">
        <w:rPr>
          <w:lang w:val="en-GB"/>
        </w:rPr>
        <w:t>Oral use</w:t>
      </w:r>
    </w:p>
    <w:p w14:paraId="27B6CEDE" w14:textId="77777777" w:rsidR="002E12BE" w:rsidRDefault="002E12BE" w:rsidP="001840E6">
      <w:pPr>
        <w:pStyle w:val="EMEANormal"/>
        <w:rPr>
          <w:lang w:val="en-GB"/>
        </w:rPr>
      </w:pPr>
    </w:p>
    <w:p w14:paraId="2B2AD039" w14:textId="77777777" w:rsidR="002E12BE" w:rsidRPr="00342F7C" w:rsidRDefault="002E12BE" w:rsidP="001840E6">
      <w:pPr>
        <w:pStyle w:val="EMEANormal"/>
        <w:rPr>
          <w:lang w:val="en-GB"/>
        </w:rPr>
      </w:pPr>
    </w:p>
    <w:p w14:paraId="2482EFAD" w14:textId="77777777" w:rsidR="001840E6" w:rsidRPr="00342F7C" w:rsidRDefault="001840E6" w:rsidP="002E12BE">
      <w:pPr>
        <w:pStyle w:val="EMEAHeadingBoxedTitle"/>
        <w:tabs>
          <w:tab w:val="clear" w:pos="562"/>
          <w:tab w:val="left" w:pos="550"/>
        </w:tabs>
        <w:spacing w:before="0" w:after="0"/>
        <w:ind w:left="550" w:hanging="550"/>
        <w:rPr>
          <w:rFonts w:ascii="Times New Roman" w:hAnsi="Times New Roman"/>
          <w:lang w:val="en-GB"/>
        </w:rPr>
      </w:pPr>
      <w:r w:rsidRPr="00342F7C">
        <w:rPr>
          <w:rFonts w:ascii="Times New Roman" w:hAnsi="Times New Roman"/>
          <w:lang w:val="en-GB"/>
        </w:rPr>
        <w:t>6.</w:t>
      </w:r>
      <w:r w:rsidRPr="00342F7C">
        <w:rPr>
          <w:rFonts w:ascii="Times New Roman" w:hAnsi="Times New Roman"/>
          <w:lang w:val="en-GB"/>
        </w:rPr>
        <w:tab/>
        <w:t xml:space="preserve">SPECIAL WARNING THAT THE MEDICINAL PRODUCT MUST BE STORED OUT OF THE </w:t>
      </w:r>
      <w:r w:rsidR="0023490A">
        <w:rPr>
          <w:rFonts w:ascii="Times New Roman" w:hAnsi="Times New Roman"/>
          <w:lang w:val="en-GB"/>
        </w:rPr>
        <w:t>SIGHT</w:t>
      </w:r>
      <w:r w:rsidR="0023490A" w:rsidRPr="00342F7C">
        <w:rPr>
          <w:rFonts w:ascii="Times New Roman" w:hAnsi="Times New Roman"/>
          <w:lang w:val="en-GB"/>
        </w:rPr>
        <w:t xml:space="preserve"> </w:t>
      </w:r>
      <w:r w:rsidRPr="00342F7C">
        <w:rPr>
          <w:rFonts w:ascii="Times New Roman" w:hAnsi="Times New Roman"/>
          <w:lang w:val="en-GB"/>
        </w:rPr>
        <w:t xml:space="preserve">AND </w:t>
      </w:r>
      <w:r w:rsidR="0023490A">
        <w:rPr>
          <w:rFonts w:ascii="Times New Roman" w:hAnsi="Times New Roman"/>
          <w:lang w:val="en-GB"/>
        </w:rPr>
        <w:t>REACH</w:t>
      </w:r>
      <w:r w:rsidR="0023490A" w:rsidRPr="00342F7C">
        <w:rPr>
          <w:rFonts w:ascii="Times New Roman" w:hAnsi="Times New Roman"/>
          <w:lang w:val="en-GB"/>
        </w:rPr>
        <w:t xml:space="preserve"> </w:t>
      </w:r>
      <w:r w:rsidRPr="00342F7C">
        <w:rPr>
          <w:rFonts w:ascii="Times New Roman" w:hAnsi="Times New Roman"/>
          <w:lang w:val="en-GB"/>
        </w:rPr>
        <w:t>OF CHILDREN</w:t>
      </w:r>
    </w:p>
    <w:p w14:paraId="4E3198F0" w14:textId="77777777" w:rsidR="002E12BE" w:rsidRDefault="002E12BE" w:rsidP="001840E6">
      <w:pPr>
        <w:pStyle w:val="EMEANormal"/>
        <w:rPr>
          <w:lang w:val="en-GB"/>
        </w:rPr>
      </w:pPr>
    </w:p>
    <w:p w14:paraId="5FC507E7" w14:textId="77777777" w:rsidR="001840E6" w:rsidRDefault="001840E6" w:rsidP="001840E6">
      <w:pPr>
        <w:pStyle w:val="EMEANormal"/>
        <w:rPr>
          <w:lang w:val="en-GB"/>
        </w:rPr>
      </w:pPr>
      <w:r w:rsidRPr="00342F7C">
        <w:rPr>
          <w:lang w:val="en-GB"/>
        </w:rPr>
        <w:t>Keep out of the sight</w:t>
      </w:r>
      <w:r w:rsidR="009D5D2E">
        <w:rPr>
          <w:lang w:val="en-GB"/>
        </w:rPr>
        <w:t xml:space="preserve"> and reach</w:t>
      </w:r>
      <w:r w:rsidRPr="00342F7C">
        <w:rPr>
          <w:lang w:val="en-GB"/>
        </w:rPr>
        <w:t xml:space="preserve"> of children</w:t>
      </w:r>
      <w:r w:rsidR="0068223A">
        <w:rPr>
          <w:lang w:val="en-GB"/>
        </w:rPr>
        <w:t>.</w:t>
      </w:r>
    </w:p>
    <w:p w14:paraId="24CD0528" w14:textId="77777777" w:rsidR="002E12BE" w:rsidRDefault="002E12BE" w:rsidP="001840E6">
      <w:pPr>
        <w:pStyle w:val="EMEANormal"/>
        <w:rPr>
          <w:lang w:val="en-GB"/>
        </w:rPr>
      </w:pPr>
    </w:p>
    <w:p w14:paraId="684B9A02" w14:textId="77777777" w:rsidR="002E12BE" w:rsidRPr="00342F7C" w:rsidRDefault="002E12BE" w:rsidP="001840E6">
      <w:pPr>
        <w:pStyle w:val="EMEANormal"/>
        <w:rPr>
          <w:lang w:val="en-GB"/>
        </w:rPr>
      </w:pPr>
    </w:p>
    <w:p w14:paraId="37602DB2" w14:textId="77777777" w:rsidR="001840E6" w:rsidRPr="00342F7C" w:rsidRDefault="001840E6" w:rsidP="002E12BE">
      <w:pPr>
        <w:pStyle w:val="EMEAHeadingBoxedEmpty"/>
        <w:spacing w:beforeLines="0" w:before="0"/>
        <w:ind w:left="561" w:hanging="561"/>
        <w:rPr>
          <w:rFonts w:ascii="Times New Roman" w:hAnsi="Times New Roman"/>
          <w:lang w:val="en-GB"/>
        </w:rPr>
      </w:pPr>
      <w:r w:rsidRPr="00342F7C">
        <w:rPr>
          <w:rFonts w:ascii="Times New Roman" w:hAnsi="Times New Roman"/>
          <w:lang w:val="en-GB"/>
        </w:rPr>
        <w:t>7.</w:t>
      </w:r>
      <w:r w:rsidRPr="00342F7C">
        <w:rPr>
          <w:rFonts w:ascii="Times New Roman" w:hAnsi="Times New Roman"/>
          <w:lang w:val="en-GB"/>
        </w:rPr>
        <w:tab/>
        <w:t>OTHER SPECIAL WARNING(S), IF NECESSARY</w:t>
      </w:r>
    </w:p>
    <w:p w14:paraId="7FC5DFE0" w14:textId="77777777" w:rsidR="001840E6" w:rsidRDefault="001840E6" w:rsidP="001840E6">
      <w:pPr>
        <w:pStyle w:val="EMEANormal"/>
        <w:rPr>
          <w:lang w:val="en-GB"/>
        </w:rPr>
      </w:pPr>
    </w:p>
    <w:p w14:paraId="652A88E3" w14:textId="77777777" w:rsidR="002E12BE" w:rsidRPr="00342F7C" w:rsidRDefault="002E12BE" w:rsidP="001840E6">
      <w:pPr>
        <w:pStyle w:val="EMEANormal"/>
        <w:rPr>
          <w:lang w:val="en-GB"/>
        </w:rPr>
      </w:pPr>
    </w:p>
    <w:p w14:paraId="2BD257B0" w14:textId="77777777" w:rsidR="001840E6" w:rsidRPr="00342F7C" w:rsidRDefault="001840E6" w:rsidP="002E12BE">
      <w:pPr>
        <w:pStyle w:val="EMEAHeadingBoxed"/>
        <w:spacing w:beforeLines="0" w:before="0" w:afterLines="0" w:after="0"/>
        <w:ind w:left="561" w:hanging="561"/>
        <w:rPr>
          <w:rFonts w:ascii="Times New Roman" w:hAnsi="Times New Roman"/>
          <w:lang w:val="en-GB"/>
        </w:rPr>
      </w:pPr>
      <w:r w:rsidRPr="00342F7C">
        <w:rPr>
          <w:rFonts w:ascii="Times New Roman" w:hAnsi="Times New Roman"/>
          <w:lang w:val="en-GB"/>
        </w:rPr>
        <w:t>8.</w:t>
      </w:r>
      <w:r w:rsidRPr="00342F7C">
        <w:rPr>
          <w:rFonts w:ascii="Times New Roman" w:hAnsi="Times New Roman"/>
          <w:lang w:val="en-GB"/>
        </w:rPr>
        <w:tab/>
        <w:t>EXPIRY DATE</w:t>
      </w:r>
    </w:p>
    <w:p w14:paraId="3F7AD201" w14:textId="77777777" w:rsidR="002E12BE" w:rsidRDefault="002E12BE" w:rsidP="001840E6">
      <w:pPr>
        <w:pStyle w:val="EMEANormal"/>
        <w:rPr>
          <w:lang w:val="en-GB"/>
        </w:rPr>
      </w:pPr>
    </w:p>
    <w:p w14:paraId="65D74CBF" w14:textId="77777777" w:rsidR="001840E6" w:rsidRDefault="001840E6" w:rsidP="001840E6">
      <w:pPr>
        <w:pStyle w:val="EMEANormal"/>
        <w:rPr>
          <w:lang w:val="en-GB"/>
        </w:rPr>
      </w:pPr>
      <w:r w:rsidRPr="00342F7C">
        <w:rPr>
          <w:lang w:val="en-GB"/>
        </w:rPr>
        <w:t xml:space="preserve">EXP </w:t>
      </w:r>
    </w:p>
    <w:p w14:paraId="0FA83A2B" w14:textId="77777777" w:rsidR="002E12BE" w:rsidRDefault="002E12BE" w:rsidP="001840E6">
      <w:pPr>
        <w:pStyle w:val="EMEANormal"/>
        <w:rPr>
          <w:lang w:val="en-GB"/>
        </w:rPr>
      </w:pPr>
    </w:p>
    <w:p w14:paraId="43CC43FC" w14:textId="77777777" w:rsidR="002E12BE" w:rsidRPr="00342F7C" w:rsidRDefault="002E12BE" w:rsidP="001840E6">
      <w:pPr>
        <w:pStyle w:val="EMEANormal"/>
        <w:rPr>
          <w:lang w:val="en-GB"/>
        </w:rPr>
      </w:pPr>
    </w:p>
    <w:p w14:paraId="0E58F583" w14:textId="77777777" w:rsidR="001840E6" w:rsidRPr="00342F7C" w:rsidRDefault="001840E6" w:rsidP="002E12BE">
      <w:pPr>
        <w:pStyle w:val="EMEAHeadingBoxedEmpty"/>
        <w:spacing w:beforeLines="0" w:before="0"/>
        <w:ind w:left="561" w:hanging="561"/>
        <w:rPr>
          <w:rFonts w:ascii="Times New Roman" w:hAnsi="Times New Roman"/>
          <w:lang w:val="en-GB"/>
        </w:rPr>
      </w:pPr>
      <w:r w:rsidRPr="00342F7C">
        <w:rPr>
          <w:rFonts w:ascii="Times New Roman" w:hAnsi="Times New Roman"/>
          <w:lang w:val="en-GB"/>
        </w:rPr>
        <w:t>9.</w:t>
      </w:r>
      <w:r w:rsidRPr="00342F7C">
        <w:rPr>
          <w:rFonts w:ascii="Times New Roman" w:hAnsi="Times New Roman"/>
          <w:lang w:val="en-GB"/>
        </w:rPr>
        <w:tab/>
        <w:t>SPECIAL STORAGE CONDITIONS</w:t>
      </w:r>
    </w:p>
    <w:p w14:paraId="05CF69B3" w14:textId="77777777" w:rsidR="001840E6" w:rsidRDefault="001840E6" w:rsidP="001840E6">
      <w:pPr>
        <w:pStyle w:val="EMEANormal"/>
        <w:rPr>
          <w:lang w:val="en-GB"/>
        </w:rPr>
      </w:pPr>
    </w:p>
    <w:p w14:paraId="0116B9F8" w14:textId="77777777" w:rsidR="002E12BE" w:rsidRPr="00342F7C" w:rsidRDefault="002E12BE" w:rsidP="001840E6">
      <w:pPr>
        <w:pStyle w:val="EMEANormal"/>
        <w:rPr>
          <w:lang w:val="en-GB"/>
        </w:rPr>
      </w:pPr>
    </w:p>
    <w:p w14:paraId="5FE90C93" w14:textId="77777777" w:rsidR="001840E6" w:rsidRPr="00342F7C" w:rsidRDefault="001840E6" w:rsidP="002E12BE">
      <w:pPr>
        <w:pStyle w:val="EMEAHeadingBoxedTitle"/>
        <w:tabs>
          <w:tab w:val="clear" w:pos="562"/>
          <w:tab w:val="left" w:pos="550"/>
        </w:tabs>
        <w:spacing w:before="0" w:after="0"/>
        <w:ind w:left="550" w:hanging="550"/>
        <w:rPr>
          <w:rFonts w:ascii="Times New Roman" w:hAnsi="Times New Roman"/>
          <w:lang w:val="en-GB"/>
        </w:rPr>
      </w:pPr>
      <w:r w:rsidRPr="00342F7C">
        <w:rPr>
          <w:rFonts w:ascii="Times New Roman" w:hAnsi="Times New Roman"/>
          <w:lang w:val="en-GB"/>
        </w:rPr>
        <w:t>10.</w:t>
      </w:r>
      <w:r w:rsidRPr="00342F7C">
        <w:rPr>
          <w:rFonts w:ascii="Times New Roman" w:hAnsi="Times New Roman"/>
          <w:lang w:val="en-GB"/>
        </w:rPr>
        <w:tab/>
        <w:t>SPECIAL PRECAUTIONS FOR DISPOSAL OF UNUSED MEDICINAL PRODUCTS OR WASTE MATERIALS DERIVED FROM SUCH MEDICINAL PRODUCTS, IF APPROPRIATE</w:t>
      </w:r>
    </w:p>
    <w:p w14:paraId="0A944710" w14:textId="77777777" w:rsidR="001840E6" w:rsidRDefault="001840E6" w:rsidP="001840E6">
      <w:pPr>
        <w:pStyle w:val="EMEANormal"/>
        <w:rPr>
          <w:lang w:val="en-GB"/>
        </w:rPr>
      </w:pPr>
    </w:p>
    <w:p w14:paraId="7576DFB7" w14:textId="77777777" w:rsidR="002E12BE" w:rsidRPr="00342F7C" w:rsidRDefault="002E12BE" w:rsidP="001840E6">
      <w:pPr>
        <w:pStyle w:val="EMEANormal"/>
        <w:rPr>
          <w:lang w:val="en-GB"/>
        </w:rPr>
      </w:pPr>
    </w:p>
    <w:p w14:paraId="6C716471" w14:textId="77777777" w:rsidR="001840E6" w:rsidRPr="00342F7C" w:rsidRDefault="001840E6" w:rsidP="002E12BE">
      <w:pPr>
        <w:pStyle w:val="EMEAHeadingBoxedTitle"/>
        <w:pBdr>
          <w:bottom w:val="single" w:sz="4" w:space="2" w:color="auto"/>
        </w:pBdr>
        <w:spacing w:before="0" w:after="0"/>
        <w:rPr>
          <w:rFonts w:ascii="Times New Roman" w:hAnsi="Times New Roman"/>
          <w:lang w:val="en-GB"/>
        </w:rPr>
      </w:pPr>
      <w:r w:rsidRPr="00342F7C">
        <w:rPr>
          <w:rFonts w:ascii="Times New Roman" w:hAnsi="Times New Roman"/>
          <w:lang w:val="en-GB"/>
        </w:rPr>
        <w:t>11.</w:t>
      </w:r>
      <w:r w:rsidRPr="00342F7C">
        <w:rPr>
          <w:rFonts w:ascii="Times New Roman" w:hAnsi="Times New Roman"/>
          <w:lang w:val="en-GB"/>
        </w:rPr>
        <w:tab/>
        <w:t>NAME AND ADDRESS OF THE MARKETING AUTHORISATION HOLDER</w:t>
      </w:r>
    </w:p>
    <w:p w14:paraId="552731B8" w14:textId="77777777" w:rsidR="002E12BE" w:rsidRDefault="002E12BE" w:rsidP="00F423D9">
      <w:pPr>
        <w:pStyle w:val="EMEANormal"/>
        <w:rPr>
          <w:lang w:val="en-GB"/>
        </w:rPr>
      </w:pPr>
    </w:p>
    <w:p w14:paraId="5BAB449F" w14:textId="77777777" w:rsidR="00A118F7" w:rsidRPr="00A118F7" w:rsidRDefault="00A118F7" w:rsidP="00A118F7">
      <w:pPr>
        <w:keepNext/>
        <w:autoSpaceDE w:val="0"/>
        <w:autoSpaceDN w:val="0"/>
        <w:adjustRightInd w:val="0"/>
        <w:spacing w:line="240" w:lineRule="atLeast"/>
        <w:rPr>
          <w:sz w:val="22"/>
          <w:szCs w:val="22"/>
          <w:lang w:eastAsia="en-GB"/>
        </w:rPr>
      </w:pPr>
      <w:r w:rsidRPr="00A118F7">
        <w:rPr>
          <w:sz w:val="22"/>
          <w:szCs w:val="22"/>
          <w:lang w:eastAsia="en-GB"/>
        </w:rPr>
        <w:t>AbbVie Deutschland GmbH &amp; Co. KG</w:t>
      </w:r>
    </w:p>
    <w:p w14:paraId="54746D5D" w14:textId="77777777" w:rsidR="00A118F7" w:rsidRPr="00A118F7" w:rsidRDefault="00A118F7" w:rsidP="00A118F7">
      <w:pPr>
        <w:keepNext/>
        <w:autoSpaceDE w:val="0"/>
        <w:autoSpaceDN w:val="0"/>
        <w:adjustRightInd w:val="0"/>
        <w:spacing w:line="240" w:lineRule="atLeast"/>
        <w:rPr>
          <w:sz w:val="22"/>
          <w:szCs w:val="22"/>
          <w:lang w:eastAsia="en-GB"/>
        </w:rPr>
      </w:pPr>
      <w:r w:rsidRPr="00A118F7">
        <w:rPr>
          <w:sz w:val="22"/>
          <w:szCs w:val="22"/>
          <w:lang w:eastAsia="en-GB"/>
        </w:rPr>
        <w:t>Knollstrasse</w:t>
      </w:r>
    </w:p>
    <w:p w14:paraId="11946E51" w14:textId="77777777" w:rsidR="00A118F7" w:rsidRPr="00A118F7" w:rsidRDefault="00A118F7" w:rsidP="00A118F7">
      <w:pPr>
        <w:keepNext/>
        <w:autoSpaceDE w:val="0"/>
        <w:autoSpaceDN w:val="0"/>
        <w:adjustRightInd w:val="0"/>
        <w:spacing w:line="240" w:lineRule="atLeast"/>
        <w:rPr>
          <w:sz w:val="22"/>
          <w:szCs w:val="22"/>
          <w:lang w:eastAsia="en-GB"/>
        </w:rPr>
      </w:pPr>
      <w:r w:rsidRPr="00A118F7">
        <w:rPr>
          <w:sz w:val="22"/>
          <w:szCs w:val="22"/>
          <w:lang w:eastAsia="en-GB"/>
        </w:rPr>
        <w:t>67061 Ludwigshafen</w:t>
      </w:r>
    </w:p>
    <w:p w14:paraId="0658D1A0" w14:textId="77777777" w:rsidR="00F423D9" w:rsidRDefault="00A118F7" w:rsidP="00A118F7">
      <w:pPr>
        <w:pStyle w:val="EMEANormal"/>
        <w:rPr>
          <w:lang w:val="en-GB"/>
        </w:rPr>
      </w:pPr>
      <w:r w:rsidRPr="00A118F7">
        <w:rPr>
          <w:szCs w:val="22"/>
          <w:lang w:val="en-GB" w:eastAsia="en-GB"/>
        </w:rPr>
        <w:t>Germany</w:t>
      </w:r>
    </w:p>
    <w:p w14:paraId="186EA372" w14:textId="77777777" w:rsidR="002E12BE" w:rsidRDefault="002E12BE" w:rsidP="00F423D9">
      <w:pPr>
        <w:pStyle w:val="EMEANormal"/>
        <w:rPr>
          <w:lang w:val="en-GB"/>
        </w:rPr>
      </w:pPr>
    </w:p>
    <w:p w14:paraId="6781085B" w14:textId="77777777" w:rsidR="002E12BE" w:rsidRDefault="002E12BE" w:rsidP="00F423D9">
      <w:pPr>
        <w:pStyle w:val="EMEANormal"/>
        <w:rPr>
          <w:lang w:val="en-GB"/>
        </w:rPr>
      </w:pPr>
    </w:p>
    <w:p w14:paraId="5C2A70E2" w14:textId="77777777" w:rsidR="001840E6" w:rsidRPr="00342F7C" w:rsidRDefault="001840E6" w:rsidP="002E12BE">
      <w:pPr>
        <w:pStyle w:val="EMEAHeadingBoxedTitle"/>
        <w:spacing w:before="0" w:after="0"/>
        <w:rPr>
          <w:rFonts w:ascii="Times New Roman" w:hAnsi="Times New Roman"/>
          <w:lang w:val="en-GB"/>
        </w:rPr>
      </w:pPr>
      <w:r w:rsidRPr="00342F7C">
        <w:rPr>
          <w:rFonts w:ascii="Times New Roman" w:hAnsi="Times New Roman"/>
          <w:lang w:val="en-GB"/>
        </w:rPr>
        <w:t>12.</w:t>
      </w:r>
      <w:r w:rsidRPr="00342F7C">
        <w:rPr>
          <w:rFonts w:ascii="Times New Roman" w:hAnsi="Times New Roman"/>
          <w:lang w:val="en-GB"/>
        </w:rPr>
        <w:tab/>
        <w:t>MARKETING AUTHORISATION NUMBER(S)</w:t>
      </w:r>
    </w:p>
    <w:p w14:paraId="63398888" w14:textId="77777777" w:rsidR="002E12BE" w:rsidRDefault="002E12BE" w:rsidP="001840E6">
      <w:pPr>
        <w:pStyle w:val="EMEANormal"/>
        <w:rPr>
          <w:lang w:val="en-GB"/>
        </w:rPr>
      </w:pPr>
    </w:p>
    <w:p w14:paraId="3137C1F8" w14:textId="77777777" w:rsidR="001840E6" w:rsidRDefault="001840E6" w:rsidP="001840E6">
      <w:pPr>
        <w:pStyle w:val="EMEANormal"/>
        <w:rPr>
          <w:lang w:val="en-GB"/>
        </w:rPr>
      </w:pPr>
      <w:r w:rsidRPr="00342F7C">
        <w:rPr>
          <w:lang w:val="en-GB"/>
        </w:rPr>
        <w:t>EU/1/01/172/00</w:t>
      </w:r>
      <w:r w:rsidR="00E16955" w:rsidRPr="00342F7C">
        <w:rPr>
          <w:lang w:val="en-GB"/>
        </w:rPr>
        <w:t>7</w:t>
      </w:r>
    </w:p>
    <w:p w14:paraId="43190489" w14:textId="77777777" w:rsidR="002E12BE" w:rsidRDefault="002E12BE" w:rsidP="001840E6">
      <w:pPr>
        <w:pStyle w:val="EMEANormal"/>
        <w:rPr>
          <w:lang w:val="en-GB"/>
        </w:rPr>
      </w:pPr>
    </w:p>
    <w:p w14:paraId="31CFD383" w14:textId="77777777" w:rsidR="002E12BE" w:rsidRPr="00342F7C" w:rsidRDefault="002E12BE" w:rsidP="001840E6">
      <w:pPr>
        <w:pStyle w:val="EMEANormal"/>
        <w:rPr>
          <w:lang w:val="en-GB"/>
        </w:rPr>
      </w:pPr>
    </w:p>
    <w:p w14:paraId="0CF216F8" w14:textId="77777777" w:rsidR="001840E6" w:rsidRPr="00342F7C" w:rsidRDefault="001840E6" w:rsidP="002E12BE">
      <w:pPr>
        <w:pStyle w:val="EMEAHeadingBoxedTitle"/>
        <w:spacing w:before="0" w:after="0"/>
        <w:rPr>
          <w:rFonts w:ascii="Times New Roman" w:hAnsi="Times New Roman"/>
          <w:lang w:val="en-GB"/>
        </w:rPr>
      </w:pPr>
      <w:r w:rsidRPr="00342F7C">
        <w:rPr>
          <w:rFonts w:ascii="Times New Roman" w:hAnsi="Times New Roman"/>
          <w:lang w:val="en-GB"/>
        </w:rPr>
        <w:t>13.</w:t>
      </w:r>
      <w:r w:rsidRPr="00342F7C">
        <w:rPr>
          <w:rFonts w:ascii="Times New Roman" w:hAnsi="Times New Roman"/>
          <w:lang w:val="en-GB"/>
        </w:rPr>
        <w:tab/>
        <w:t>BATCH NUMBER</w:t>
      </w:r>
    </w:p>
    <w:p w14:paraId="3E67DB6C" w14:textId="77777777" w:rsidR="002E12BE" w:rsidRDefault="002E12BE" w:rsidP="001840E6">
      <w:pPr>
        <w:pStyle w:val="EMEANormal"/>
        <w:rPr>
          <w:lang w:val="en-GB"/>
        </w:rPr>
      </w:pPr>
    </w:p>
    <w:p w14:paraId="315981F9" w14:textId="77777777" w:rsidR="001840E6" w:rsidRDefault="001840E6" w:rsidP="001840E6">
      <w:pPr>
        <w:pStyle w:val="EMEANormal"/>
        <w:rPr>
          <w:lang w:val="en-GB"/>
        </w:rPr>
      </w:pPr>
      <w:r w:rsidRPr="00342F7C">
        <w:rPr>
          <w:lang w:val="en-GB"/>
        </w:rPr>
        <w:t>Lot</w:t>
      </w:r>
    </w:p>
    <w:p w14:paraId="51DBE8B9" w14:textId="77777777" w:rsidR="002E12BE" w:rsidRDefault="002E12BE" w:rsidP="001840E6">
      <w:pPr>
        <w:pStyle w:val="EMEANormal"/>
        <w:rPr>
          <w:lang w:val="en-GB"/>
        </w:rPr>
      </w:pPr>
    </w:p>
    <w:p w14:paraId="7C7BF50B" w14:textId="77777777" w:rsidR="002E12BE" w:rsidRPr="00342F7C" w:rsidRDefault="002E12BE" w:rsidP="001840E6">
      <w:pPr>
        <w:pStyle w:val="EMEANormal"/>
        <w:rPr>
          <w:lang w:val="en-GB"/>
        </w:rPr>
      </w:pPr>
    </w:p>
    <w:p w14:paraId="3A74A028" w14:textId="77777777" w:rsidR="001840E6" w:rsidRPr="00342F7C" w:rsidRDefault="001840E6" w:rsidP="002E12BE">
      <w:pPr>
        <w:pStyle w:val="EMEAHeadingBoxedTitle"/>
        <w:spacing w:before="0" w:after="0"/>
        <w:rPr>
          <w:rFonts w:ascii="Times New Roman" w:hAnsi="Times New Roman"/>
          <w:lang w:val="en-GB"/>
        </w:rPr>
      </w:pPr>
      <w:r w:rsidRPr="00342F7C">
        <w:rPr>
          <w:rFonts w:ascii="Times New Roman" w:hAnsi="Times New Roman"/>
          <w:lang w:val="en-GB"/>
        </w:rPr>
        <w:t>14.</w:t>
      </w:r>
      <w:r w:rsidRPr="00342F7C">
        <w:rPr>
          <w:rFonts w:ascii="Times New Roman" w:hAnsi="Times New Roman"/>
          <w:lang w:val="en-GB"/>
        </w:rPr>
        <w:tab/>
        <w:t>GENERAL CLASSIFICATION FOR SUPPLY</w:t>
      </w:r>
    </w:p>
    <w:p w14:paraId="2730ED6F" w14:textId="77777777" w:rsidR="002E12BE" w:rsidRDefault="002E12BE" w:rsidP="001840E6">
      <w:pPr>
        <w:pStyle w:val="EMEANormal"/>
        <w:rPr>
          <w:lang w:val="en-GB"/>
        </w:rPr>
      </w:pPr>
    </w:p>
    <w:p w14:paraId="1B117911" w14:textId="77777777" w:rsidR="002E12BE" w:rsidRPr="00342F7C" w:rsidRDefault="002E12BE" w:rsidP="001840E6">
      <w:pPr>
        <w:pStyle w:val="EMEANormal"/>
        <w:rPr>
          <w:lang w:val="en-GB"/>
        </w:rPr>
      </w:pPr>
    </w:p>
    <w:p w14:paraId="085E4E6E" w14:textId="77777777" w:rsidR="001840E6" w:rsidRPr="00342F7C" w:rsidRDefault="001840E6" w:rsidP="002E12BE">
      <w:pPr>
        <w:pStyle w:val="EMEAHeadingBoxedTitle"/>
        <w:spacing w:before="0" w:after="0"/>
        <w:rPr>
          <w:rFonts w:ascii="Times New Roman" w:hAnsi="Times New Roman"/>
          <w:lang w:val="en-GB"/>
        </w:rPr>
      </w:pPr>
      <w:r w:rsidRPr="00342F7C">
        <w:rPr>
          <w:rFonts w:ascii="Times New Roman" w:hAnsi="Times New Roman"/>
          <w:lang w:val="en-GB"/>
        </w:rPr>
        <w:t>15.</w:t>
      </w:r>
      <w:r w:rsidRPr="00342F7C">
        <w:rPr>
          <w:rFonts w:ascii="Times New Roman" w:hAnsi="Times New Roman"/>
          <w:lang w:val="en-GB"/>
        </w:rPr>
        <w:tab/>
        <w:t>INSTRUCTIONS ON USE</w:t>
      </w:r>
    </w:p>
    <w:p w14:paraId="24F38FDB" w14:textId="77777777" w:rsidR="001840E6" w:rsidRDefault="001840E6" w:rsidP="001840E6">
      <w:pPr>
        <w:pStyle w:val="EMEANormal"/>
        <w:rPr>
          <w:lang w:val="en-GB"/>
        </w:rPr>
      </w:pPr>
    </w:p>
    <w:p w14:paraId="2EE27962" w14:textId="77777777" w:rsidR="002E12BE" w:rsidRPr="00342F7C" w:rsidRDefault="002E12BE" w:rsidP="001840E6">
      <w:pPr>
        <w:pStyle w:val="EMEANormal"/>
        <w:rPr>
          <w:lang w:val="en-GB"/>
        </w:rPr>
      </w:pPr>
    </w:p>
    <w:p w14:paraId="4157809D" w14:textId="77777777" w:rsidR="001840E6" w:rsidRPr="00342F7C" w:rsidRDefault="001840E6" w:rsidP="002E12BE">
      <w:pPr>
        <w:pStyle w:val="EMEAHeadingBoxedTitle"/>
        <w:spacing w:before="0" w:after="0"/>
        <w:rPr>
          <w:rFonts w:ascii="Times New Roman" w:hAnsi="Times New Roman"/>
          <w:lang w:val="en-GB"/>
        </w:rPr>
      </w:pPr>
      <w:r w:rsidRPr="00342F7C">
        <w:rPr>
          <w:rFonts w:ascii="Times New Roman" w:hAnsi="Times New Roman"/>
          <w:lang w:val="en-GB"/>
        </w:rPr>
        <w:t>16.</w:t>
      </w:r>
      <w:r w:rsidRPr="00342F7C">
        <w:rPr>
          <w:rFonts w:ascii="Times New Roman" w:hAnsi="Times New Roman"/>
          <w:lang w:val="en-GB"/>
        </w:rPr>
        <w:tab/>
        <w:t>Information in braille</w:t>
      </w:r>
    </w:p>
    <w:p w14:paraId="54EDE2F9" w14:textId="77777777" w:rsidR="002E12BE" w:rsidRDefault="002E12BE" w:rsidP="001840E6">
      <w:pPr>
        <w:pStyle w:val="EMEANormal"/>
        <w:rPr>
          <w:lang w:val="en-GB"/>
        </w:rPr>
      </w:pPr>
    </w:p>
    <w:p w14:paraId="45293F6D" w14:textId="77777777" w:rsidR="00F345F7" w:rsidRDefault="003F3D02" w:rsidP="001840E6">
      <w:pPr>
        <w:pStyle w:val="EMEANormal"/>
        <w:rPr>
          <w:lang w:val="en-GB"/>
        </w:rPr>
      </w:pPr>
      <w:r w:rsidRPr="00342F7C">
        <w:rPr>
          <w:lang w:val="en-GB"/>
        </w:rPr>
        <w:t>Kaletra 200 </w:t>
      </w:r>
      <w:r w:rsidR="001840E6" w:rsidRPr="00342F7C">
        <w:rPr>
          <w:lang w:val="en-GB"/>
        </w:rPr>
        <w:t>mg/50</w:t>
      </w:r>
      <w:r w:rsidRPr="00342F7C">
        <w:rPr>
          <w:lang w:val="en-GB"/>
        </w:rPr>
        <w:t> </w:t>
      </w:r>
      <w:r w:rsidR="001840E6" w:rsidRPr="00342F7C">
        <w:rPr>
          <w:lang w:val="en-GB"/>
        </w:rPr>
        <w:t xml:space="preserve">mg </w:t>
      </w:r>
      <w:r w:rsidR="00AB5FE7" w:rsidRPr="00342F7C">
        <w:rPr>
          <w:lang w:val="en-GB"/>
        </w:rPr>
        <w:t>tablets</w:t>
      </w:r>
    </w:p>
    <w:p w14:paraId="5A7311B0" w14:textId="77777777" w:rsidR="0068223A" w:rsidRDefault="0068223A" w:rsidP="0068223A">
      <w:pPr>
        <w:pStyle w:val="EMEANormal"/>
        <w:rPr>
          <w:lang w:val="fr-FR"/>
        </w:rPr>
      </w:pPr>
    </w:p>
    <w:p w14:paraId="0B7A65A8" w14:textId="77777777" w:rsidR="0068223A" w:rsidRPr="00342F7C" w:rsidRDefault="0068223A" w:rsidP="0068223A">
      <w:pPr>
        <w:pStyle w:val="EMEANormal"/>
        <w:rPr>
          <w:lang w:val="en-GB"/>
        </w:rPr>
      </w:pPr>
    </w:p>
    <w:p w14:paraId="719A93E7" w14:textId="77777777" w:rsidR="0068223A" w:rsidRPr="00342F7C" w:rsidRDefault="0068223A" w:rsidP="0068223A">
      <w:pPr>
        <w:pStyle w:val="EMEAHeadingBoxedTitle"/>
        <w:spacing w:before="0" w:after="0"/>
        <w:rPr>
          <w:rFonts w:ascii="Times New Roman" w:hAnsi="Times New Roman"/>
          <w:lang w:val="en-GB"/>
        </w:rPr>
      </w:pPr>
      <w:r>
        <w:rPr>
          <w:rFonts w:ascii="Times New Roman" w:hAnsi="Times New Roman"/>
          <w:lang w:val="en-GB"/>
        </w:rPr>
        <w:t>17</w:t>
      </w:r>
      <w:r w:rsidRPr="00342F7C">
        <w:rPr>
          <w:rFonts w:ascii="Times New Roman" w:hAnsi="Times New Roman"/>
          <w:lang w:val="en-GB"/>
        </w:rPr>
        <w:t>.</w:t>
      </w:r>
      <w:r w:rsidRPr="00342F7C">
        <w:rPr>
          <w:rFonts w:ascii="Times New Roman" w:hAnsi="Times New Roman"/>
          <w:lang w:val="en-GB"/>
        </w:rPr>
        <w:tab/>
      </w:r>
      <w:r>
        <w:rPr>
          <w:rFonts w:ascii="Times New Roman" w:hAnsi="Times New Roman"/>
          <w:lang w:val="en-GB"/>
        </w:rPr>
        <w:t>UNIQUE IDENTIFIER – 2D BARCODE</w:t>
      </w:r>
    </w:p>
    <w:p w14:paraId="5228F5C2" w14:textId="77777777" w:rsidR="0068223A" w:rsidRDefault="0068223A" w:rsidP="0068223A">
      <w:pPr>
        <w:pStyle w:val="EMEANormal"/>
        <w:rPr>
          <w:lang w:val="en-GB"/>
        </w:rPr>
      </w:pPr>
    </w:p>
    <w:p w14:paraId="08690299" w14:textId="77777777" w:rsidR="0068223A" w:rsidRPr="00D36207" w:rsidRDefault="0068223A" w:rsidP="0068223A">
      <w:pPr>
        <w:autoSpaceDE w:val="0"/>
        <w:autoSpaceDN w:val="0"/>
        <w:adjustRightInd w:val="0"/>
        <w:rPr>
          <w:sz w:val="22"/>
          <w:szCs w:val="22"/>
          <w:lang w:eastAsia="en-GB"/>
        </w:rPr>
      </w:pPr>
      <w:r w:rsidRPr="00D36207">
        <w:rPr>
          <w:sz w:val="22"/>
          <w:szCs w:val="22"/>
          <w:highlight w:val="lightGray"/>
          <w:lang w:eastAsia="en-GB"/>
        </w:rPr>
        <w:t>2D barcode carrying the unique identifier included.</w:t>
      </w:r>
    </w:p>
    <w:p w14:paraId="3F95695F" w14:textId="77777777" w:rsidR="0068223A" w:rsidRDefault="0068223A" w:rsidP="0068223A">
      <w:pPr>
        <w:pStyle w:val="EMEANormal"/>
        <w:rPr>
          <w:lang w:val="en-GB"/>
        </w:rPr>
      </w:pPr>
    </w:p>
    <w:p w14:paraId="61F8276B" w14:textId="77777777" w:rsidR="0068223A" w:rsidRPr="00342F7C" w:rsidRDefault="0068223A" w:rsidP="0068223A">
      <w:pPr>
        <w:pStyle w:val="EMEANormal"/>
        <w:rPr>
          <w:lang w:val="en-GB"/>
        </w:rPr>
      </w:pPr>
    </w:p>
    <w:p w14:paraId="080D1FC6" w14:textId="77777777" w:rsidR="0068223A" w:rsidRPr="00342F7C" w:rsidRDefault="0068223A" w:rsidP="0068223A">
      <w:pPr>
        <w:pStyle w:val="EMEAHeadingBoxedTitle"/>
        <w:spacing w:before="0" w:after="0"/>
        <w:rPr>
          <w:rFonts w:ascii="Times New Roman" w:hAnsi="Times New Roman"/>
          <w:lang w:val="en-GB"/>
        </w:rPr>
      </w:pPr>
      <w:r>
        <w:rPr>
          <w:rFonts w:ascii="Times New Roman" w:hAnsi="Times New Roman"/>
          <w:lang w:val="en-GB"/>
        </w:rPr>
        <w:t>18</w:t>
      </w:r>
      <w:r w:rsidRPr="00342F7C">
        <w:rPr>
          <w:rFonts w:ascii="Times New Roman" w:hAnsi="Times New Roman"/>
          <w:lang w:val="en-GB"/>
        </w:rPr>
        <w:t>.</w:t>
      </w:r>
      <w:r w:rsidRPr="00342F7C">
        <w:rPr>
          <w:rFonts w:ascii="Times New Roman" w:hAnsi="Times New Roman"/>
          <w:lang w:val="en-GB"/>
        </w:rPr>
        <w:tab/>
      </w:r>
      <w:r>
        <w:rPr>
          <w:rFonts w:ascii="Times New Roman" w:hAnsi="Times New Roman"/>
          <w:lang w:val="en-GB"/>
        </w:rPr>
        <w:t>UNIQUE IDENTIFIER – HUMAN READABLE DATA</w:t>
      </w:r>
    </w:p>
    <w:p w14:paraId="7A88919E" w14:textId="77777777" w:rsidR="0068223A" w:rsidRDefault="0068223A" w:rsidP="0068223A">
      <w:pPr>
        <w:pStyle w:val="EMEANormal"/>
        <w:rPr>
          <w:lang w:val="en-GB"/>
        </w:rPr>
      </w:pPr>
    </w:p>
    <w:p w14:paraId="64475E6C" w14:textId="77777777" w:rsidR="0068223A" w:rsidRPr="00D36207" w:rsidRDefault="0068223A" w:rsidP="0068223A">
      <w:pPr>
        <w:autoSpaceDE w:val="0"/>
        <w:autoSpaceDN w:val="0"/>
        <w:adjustRightInd w:val="0"/>
        <w:rPr>
          <w:sz w:val="22"/>
          <w:szCs w:val="22"/>
          <w:lang w:eastAsia="en-GB"/>
        </w:rPr>
      </w:pPr>
      <w:r w:rsidRPr="00D36207">
        <w:rPr>
          <w:sz w:val="22"/>
          <w:szCs w:val="22"/>
          <w:lang w:eastAsia="en-GB"/>
        </w:rPr>
        <w:t>PC</w:t>
      </w:r>
    </w:p>
    <w:p w14:paraId="20FE312C" w14:textId="77777777" w:rsidR="0068223A" w:rsidRPr="00D36207" w:rsidRDefault="0068223A" w:rsidP="0068223A">
      <w:pPr>
        <w:pStyle w:val="EMEANormal"/>
        <w:rPr>
          <w:szCs w:val="22"/>
          <w:lang w:eastAsia="en-GB"/>
        </w:rPr>
      </w:pPr>
      <w:r w:rsidRPr="00D36207">
        <w:rPr>
          <w:szCs w:val="22"/>
          <w:lang w:eastAsia="en-GB"/>
        </w:rPr>
        <w:t>SN</w:t>
      </w:r>
    </w:p>
    <w:p w14:paraId="52B139F4" w14:textId="77777777" w:rsidR="0068223A" w:rsidRDefault="0068223A" w:rsidP="0068223A">
      <w:pPr>
        <w:pStyle w:val="EMEANormal"/>
        <w:rPr>
          <w:rFonts w:ascii="TimesNewRomanPSMT" w:hAnsi="TimesNewRomanPSMT" w:cs="TimesNewRomanPSMT"/>
          <w:szCs w:val="22"/>
          <w:lang w:eastAsia="en-GB"/>
        </w:rPr>
      </w:pPr>
      <w:r w:rsidRPr="00D36207">
        <w:rPr>
          <w:szCs w:val="22"/>
          <w:highlight w:val="lightGray"/>
          <w:lang w:eastAsia="en-GB"/>
        </w:rPr>
        <w:t>NN</w:t>
      </w:r>
    </w:p>
    <w:p w14:paraId="74091EBA" w14:textId="77777777" w:rsidR="00277ECB" w:rsidRPr="00342F7C" w:rsidRDefault="00277ECB" w:rsidP="001840E6">
      <w:pPr>
        <w:pStyle w:val="EMEANormal"/>
        <w:rPr>
          <w:lang w:val="en-GB"/>
        </w:rPr>
      </w:pPr>
      <w:r w:rsidRPr="00342F7C">
        <w:rPr>
          <w:lang w:val="en-GB"/>
        </w:rPr>
        <w:br w:type="page"/>
      </w:r>
    </w:p>
    <w:p w14:paraId="1CECC4A7" w14:textId="77777777" w:rsidR="00277ECB" w:rsidRPr="00F32F58" w:rsidRDefault="00277ECB">
      <w:pPr>
        <w:pStyle w:val="EMEAHeadingBoxedTitle"/>
        <w:spacing w:before="0" w:after="0"/>
        <w:rPr>
          <w:rFonts w:ascii="Times New Roman" w:hAnsi="Times New Roman"/>
          <w:lang w:val="en-GB"/>
        </w:rPr>
      </w:pPr>
      <w:r w:rsidRPr="003207CA">
        <w:rPr>
          <w:rFonts w:ascii="Times New Roman" w:hAnsi="Times New Roman"/>
          <w:lang w:val="en-GB"/>
        </w:rPr>
        <w:t>P</w:t>
      </w:r>
      <w:r w:rsidRPr="00F32F58">
        <w:rPr>
          <w:rFonts w:ascii="Times New Roman" w:hAnsi="Times New Roman"/>
          <w:lang w:val="en-GB"/>
        </w:rPr>
        <w:t>ARTICULARS TO APPEAR ON THE ON THE IMMEDIATE PACKAGING</w:t>
      </w:r>
    </w:p>
    <w:p w14:paraId="4240F08B" w14:textId="77777777" w:rsidR="00277ECB" w:rsidRPr="00F32F58" w:rsidRDefault="00277ECB">
      <w:pPr>
        <w:pStyle w:val="EMEAHeadingBoxedTitle"/>
        <w:spacing w:before="0" w:after="0"/>
        <w:rPr>
          <w:rFonts w:ascii="Times New Roman" w:hAnsi="Times New Roman"/>
          <w:lang w:val="en-GB"/>
        </w:rPr>
      </w:pPr>
    </w:p>
    <w:p w14:paraId="5058CEF9" w14:textId="77777777" w:rsidR="00277ECB" w:rsidRPr="00F32F58" w:rsidRDefault="00277ECB">
      <w:pPr>
        <w:pStyle w:val="EMEAHeadingBoxedTitle"/>
        <w:spacing w:before="0" w:after="0"/>
        <w:rPr>
          <w:caps w:val="0"/>
          <w:lang w:val="en-GB"/>
        </w:rPr>
      </w:pPr>
      <w:r w:rsidRPr="00F32F58">
        <w:rPr>
          <w:caps w:val="0"/>
          <w:lang w:val="en-GB"/>
        </w:rPr>
        <w:t xml:space="preserve">200 mg/50 mg </w:t>
      </w:r>
      <w:r w:rsidR="00F96DDF" w:rsidRPr="00F32F58">
        <w:rPr>
          <w:caps w:val="0"/>
          <w:lang w:val="en-GB"/>
        </w:rPr>
        <w:t>tablets – Bottle label</w:t>
      </w:r>
    </w:p>
    <w:p w14:paraId="7A09156C" w14:textId="77777777" w:rsidR="00277ECB" w:rsidRDefault="00277ECB">
      <w:pPr>
        <w:pStyle w:val="EMEANormal"/>
        <w:rPr>
          <w:lang w:val="en-GB"/>
        </w:rPr>
      </w:pPr>
    </w:p>
    <w:p w14:paraId="4987D0D0" w14:textId="77777777" w:rsidR="00B95B82" w:rsidRPr="00F32F58" w:rsidRDefault="00B95B82">
      <w:pPr>
        <w:pStyle w:val="EMEANormal"/>
        <w:rPr>
          <w:lang w:val="en-GB"/>
        </w:rPr>
      </w:pPr>
    </w:p>
    <w:p w14:paraId="7A6289B6" w14:textId="77777777" w:rsidR="00277ECB" w:rsidRPr="00F32F58" w:rsidRDefault="00277ECB" w:rsidP="00B95B82">
      <w:pPr>
        <w:pStyle w:val="EMEAHeadingBoxedTitle"/>
        <w:spacing w:before="0" w:after="0"/>
        <w:rPr>
          <w:rFonts w:ascii="Times New Roman" w:hAnsi="Times New Roman"/>
          <w:lang w:val="en-GB"/>
        </w:rPr>
      </w:pPr>
      <w:r w:rsidRPr="00F32F58">
        <w:rPr>
          <w:rFonts w:ascii="Times New Roman" w:hAnsi="Times New Roman"/>
          <w:lang w:val="en-GB"/>
        </w:rPr>
        <w:t>1.</w:t>
      </w:r>
      <w:r w:rsidRPr="00F32F58">
        <w:rPr>
          <w:rFonts w:ascii="Times New Roman" w:hAnsi="Times New Roman"/>
          <w:lang w:val="en-GB"/>
        </w:rPr>
        <w:tab/>
        <w:t>NAME OF THE MEDICINAL PRODUCT</w:t>
      </w:r>
    </w:p>
    <w:p w14:paraId="3149F644" w14:textId="77777777" w:rsidR="00B95B82" w:rsidRDefault="00B95B82">
      <w:pPr>
        <w:pStyle w:val="EMEANormal"/>
        <w:rPr>
          <w:lang w:val="en-GB"/>
        </w:rPr>
      </w:pPr>
    </w:p>
    <w:p w14:paraId="7D795EF3" w14:textId="77777777" w:rsidR="00277ECB" w:rsidRPr="00F32F58" w:rsidRDefault="00277ECB">
      <w:pPr>
        <w:pStyle w:val="EMEANormal"/>
        <w:rPr>
          <w:lang w:val="en-GB"/>
        </w:rPr>
      </w:pPr>
      <w:r w:rsidRPr="00F32F58">
        <w:rPr>
          <w:lang w:val="en-GB"/>
        </w:rPr>
        <w:t>Kaletra 200 mg/50 mg film-coated tablets</w:t>
      </w:r>
    </w:p>
    <w:p w14:paraId="343C7EB9" w14:textId="77777777" w:rsidR="00277ECB" w:rsidRDefault="00277ECB">
      <w:pPr>
        <w:pStyle w:val="EMEANormal"/>
        <w:rPr>
          <w:lang w:val="en-GB"/>
        </w:rPr>
      </w:pPr>
      <w:r w:rsidRPr="00F32F58">
        <w:rPr>
          <w:lang w:val="en-GB"/>
        </w:rPr>
        <w:t>lopinavir/ritonavir</w:t>
      </w:r>
    </w:p>
    <w:p w14:paraId="0FD64F29" w14:textId="77777777" w:rsidR="00B95B82" w:rsidRDefault="00B95B82">
      <w:pPr>
        <w:pStyle w:val="EMEANormal"/>
        <w:rPr>
          <w:lang w:val="en-GB"/>
        </w:rPr>
      </w:pPr>
    </w:p>
    <w:p w14:paraId="2BA7841B" w14:textId="77777777" w:rsidR="00B95B82" w:rsidRPr="00F32F58" w:rsidRDefault="00B95B82">
      <w:pPr>
        <w:pStyle w:val="EMEANormal"/>
        <w:rPr>
          <w:lang w:val="en-GB"/>
        </w:rPr>
      </w:pPr>
    </w:p>
    <w:p w14:paraId="5483B9BA" w14:textId="77777777" w:rsidR="00277ECB" w:rsidRPr="00F32F58" w:rsidRDefault="00277ECB" w:rsidP="00B95B82">
      <w:pPr>
        <w:pStyle w:val="EMEAHeadingBoxedTitle"/>
        <w:spacing w:before="0" w:after="0"/>
        <w:rPr>
          <w:rFonts w:ascii="Times New Roman" w:hAnsi="Times New Roman"/>
          <w:lang w:val="en-GB"/>
        </w:rPr>
      </w:pPr>
      <w:r w:rsidRPr="00F32F58">
        <w:rPr>
          <w:rFonts w:ascii="Times New Roman" w:hAnsi="Times New Roman"/>
          <w:lang w:val="en-GB"/>
        </w:rPr>
        <w:t>2.</w:t>
      </w:r>
      <w:r w:rsidRPr="00F32F58">
        <w:rPr>
          <w:rFonts w:ascii="Times New Roman" w:hAnsi="Times New Roman"/>
          <w:lang w:val="en-GB"/>
        </w:rPr>
        <w:tab/>
        <w:t>STATEMENT OF ACTIVE SUBSTANCE(S)</w:t>
      </w:r>
    </w:p>
    <w:p w14:paraId="5C78FE11" w14:textId="77777777" w:rsidR="00B95B82" w:rsidRDefault="00B95B82">
      <w:pPr>
        <w:pStyle w:val="EMEANormal"/>
        <w:rPr>
          <w:lang w:val="en-GB"/>
        </w:rPr>
      </w:pPr>
    </w:p>
    <w:p w14:paraId="28B7C8CA" w14:textId="77777777" w:rsidR="00277ECB" w:rsidRDefault="00277ECB">
      <w:pPr>
        <w:pStyle w:val="EMEANormal"/>
        <w:rPr>
          <w:lang w:val="en-GB"/>
        </w:rPr>
      </w:pPr>
      <w:r w:rsidRPr="00F32F58">
        <w:rPr>
          <w:lang w:val="en-GB"/>
        </w:rPr>
        <w:t>Each film-coated tablet contains 200 mg of lopinavir co-formulated with 50 mg of ritonavir as a pharmacokinetic enhancer.</w:t>
      </w:r>
    </w:p>
    <w:p w14:paraId="2D9EB577" w14:textId="77777777" w:rsidR="00B95B82" w:rsidRDefault="00B95B82">
      <w:pPr>
        <w:pStyle w:val="EMEANormal"/>
        <w:rPr>
          <w:lang w:val="en-GB"/>
        </w:rPr>
      </w:pPr>
    </w:p>
    <w:p w14:paraId="3CA46608" w14:textId="77777777" w:rsidR="00B95B82" w:rsidRPr="00F32F58" w:rsidRDefault="00B95B82">
      <w:pPr>
        <w:pStyle w:val="EMEANormal"/>
        <w:rPr>
          <w:lang w:val="en-GB"/>
        </w:rPr>
      </w:pPr>
    </w:p>
    <w:p w14:paraId="09EB058B" w14:textId="77777777" w:rsidR="00277ECB" w:rsidRPr="00F32F58" w:rsidRDefault="00277ECB" w:rsidP="00B95B82">
      <w:pPr>
        <w:pStyle w:val="EMEAHeadingBoxedEmpty"/>
        <w:spacing w:beforeLines="0" w:before="0"/>
        <w:ind w:left="561" w:hanging="561"/>
        <w:rPr>
          <w:rFonts w:ascii="Times New Roman" w:hAnsi="Times New Roman"/>
          <w:lang w:val="en-GB"/>
        </w:rPr>
      </w:pPr>
      <w:r w:rsidRPr="00F32F58">
        <w:rPr>
          <w:rFonts w:ascii="Times New Roman" w:hAnsi="Times New Roman"/>
          <w:lang w:val="en-GB"/>
        </w:rPr>
        <w:t>3.</w:t>
      </w:r>
      <w:r w:rsidRPr="00F32F58">
        <w:rPr>
          <w:rFonts w:ascii="Times New Roman" w:hAnsi="Times New Roman"/>
          <w:lang w:val="en-GB"/>
        </w:rPr>
        <w:tab/>
        <w:t>LIST OF EXCIPIENTS</w:t>
      </w:r>
    </w:p>
    <w:p w14:paraId="184067A9" w14:textId="77777777" w:rsidR="00277ECB" w:rsidRDefault="00277ECB">
      <w:pPr>
        <w:pStyle w:val="EMEANormal"/>
        <w:rPr>
          <w:lang w:val="en-GB"/>
        </w:rPr>
      </w:pPr>
    </w:p>
    <w:p w14:paraId="79D580C7" w14:textId="77777777" w:rsidR="00B95B82" w:rsidRPr="00F32F58" w:rsidRDefault="00B95B82">
      <w:pPr>
        <w:pStyle w:val="EMEANormal"/>
        <w:rPr>
          <w:lang w:val="en-GB"/>
        </w:rPr>
      </w:pPr>
    </w:p>
    <w:p w14:paraId="0EBA4FF3" w14:textId="77777777" w:rsidR="00277ECB" w:rsidRPr="00F32F58" w:rsidRDefault="00277ECB" w:rsidP="00B95B82">
      <w:pPr>
        <w:pStyle w:val="EMEAHeadingBoxedTitle"/>
        <w:spacing w:before="0" w:after="0"/>
        <w:rPr>
          <w:rFonts w:ascii="Times New Roman" w:hAnsi="Times New Roman"/>
          <w:lang w:val="en-GB"/>
        </w:rPr>
      </w:pPr>
      <w:r w:rsidRPr="00F32F58">
        <w:rPr>
          <w:rFonts w:ascii="Times New Roman" w:hAnsi="Times New Roman"/>
          <w:lang w:val="en-GB"/>
        </w:rPr>
        <w:t>4.</w:t>
      </w:r>
      <w:r w:rsidRPr="00F32F58">
        <w:rPr>
          <w:rFonts w:ascii="Times New Roman" w:hAnsi="Times New Roman"/>
          <w:lang w:val="en-GB"/>
        </w:rPr>
        <w:tab/>
        <w:t>PHARMACEUTICAL FORM AND CONTENTS</w:t>
      </w:r>
    </w:p>
    <w:p w14:paraId="1C99E848" w14:textId="77777777" w:rsidR="00B95B82" w:rsidRDefault="00B95B82">
      <w:pPr>
        <w:pStyle w:val="EMEANormal"/>
        <w:rPr>
          <w:lang w:val="en-GB"/>
        </w:rPr>
      </w:pPr>
    </w:p>
    <w:p w14:paraId="5770E52D" w14:textId="77777777" w:rsidR="00277ECB" w:rsidRDefault="00277ECB">
      <w:pPr>
        <w:pStyle w:val="EMEANormal"/>
        <w:rPr>
          <w:lang w:val="en-GB"/>
        </w:rPr>
      </w:pPr>
      <w:r w:rsidRPr="00F32F58">
        <w:rPr>
          <w:lang w:val="en-GB"/>
        </w:rPr>
        <w:t>120 film-coated tablets</w:t>
      </w:r>
    </w:p>
    <w:p w14:paraId="2114D314" w14:textId="77777777" w:rsidR="009A3053" w:rsidRDefault="009A3053">
      <w:pPr>
        <w:pStyle w:val="EMEANormal"/>
        <w:rPr>
          <w:lang w:val="en-GB"/>
        </w:rPr>
      </w:pPr>
    </w:p>
    <w:p w14:paraId="36F2770A" w14:textId="77777777" w:rsidR="009A3053" w:rsidRPr="00F32F58" w:rsidRDefault="009A3053">
      <w:pPr>
        <w:pStyle w:val="EMEANormal"/>
        <w:rPr>
          <w:lang w:val="en-GB"/>
        </w:rPr>
      </w:pPr>
    </w:p>
    <w:p w14:paraId="0ECD8D22" w14:textId="77777777" w:rsidR="00277ECB" w:rsidRPr="00F32F58" w:rsidRDefault="00277ECB" w:rsidP="009A3053">
      <w:pPr>
        <w:pStyle w:val="EMEAHeadingBoxedTitle"/>
        <w:spacing w:before="0" w:after="0"/>
        <w:rPr>
          <w:rFonts w:ascii="Times New Roman" w:hAnsi="Times New Roman"/>
          <w:lang w:val="en-GB"/>
        </w:rPr>
      </w:pPr>
      <w:r w:rsidRPr="00F32F58">
        <w:rPr>
          <w:rFonts w:ascii="Times New Roman" w:hAnsi="Times New Roman"/>
          <w:lang w:val="en-GB"/>
        </w:rPr>
        <w:t>5.</w:t>
      </w:r>
      <w:r w:rsidRPr="00F32F58">
        <w:rPr>
          <w:rFonts w:ascii="Times New Roman" w:hAnsi="Times New Roman"/>
          <w:lang w:val="en-GB"/>
        </w:rPr>
        <w:tab/>
        <w:t>METHOD AND ROUTE(S) OF ADMINISTRATION</w:t>
      </w:r>
    </w:p>
    <w:p w14:paraId="7EAC044D" w14:textId="77777777" w:rsidR="009A3053" w:rsidRDefault="009A3053">
      <w:pPr>
        <w:pStyle w:val="EMEANormal"/>
        <w:rPr>
          <w:lang w:val="en-GB"/>
        </w:rPr>
      </w:pPr>
    </w:p>
    <w:p w14:paraId="282DEB98" w14:textId="77777777" w:rsidR="00247547" w:rsidRDefault="00247547" w:rsidP="00247547">
      <w:pPr>
        <w:pStyle w:val="EMEANormal"/>
        <w:rPr>
          <w:lang w:val="en-GB"/>
        </w:rPr>
      </w:pPr>
      <w:r w:rsidRPr="00F32F58">
        <w:rPr>
          <w:lang w:val="en-GB"/>
        </w:rPr>
        <w:t>Read the package leaflet before use</w:t>
      </w:r>
      <w:r w:rsidR="0068223A">
        <w:rPr>
          <w:lang w:val="en-GB"/>
        </w:rPr>
        <w:t>.</w:t>
      </w:r>
    </w:p>
    <w:p w14:paraId="04B3F62C" w14:textId="77777777" w:rsidR="00277ECB" w:rsidRPr="00F32F58" w:rsidRDefault="00277ECB">
      <w:pPr>
        <w:pStyle w:val="EMEANormal"/>
        <w:rPr>
          <w:lang w:val="en-GB"/>
        </w:rPr>
      </w:pPr>
      <w:r w:rsidRPr="00F32F58">
        <w:rPr>
          <w:lang w:val="en-GB"/>
        </w:rPr>
        <w:t>Oral use</w:t>
      </w:r>
    </w:p>
    <w:p w14:paraId="06F7A232" w14:textId="77777777" w:rsidR="009A3053" w:rsidRDefault="009A3053">
      <w:pPr>
        <w:pStyle w:val="EMEANormal"/>
        <w:rPr>
          <w:lang w:val="en-GB"/>
        </w:rPr>
      </w:pPr>
    </w:p>
    <w:p w14:paraId="65161215" w14:textId="77777777" w:rsidR="009A3053" w:rsidRPr="00F32F58" w:rsidRDefault="009A3053">
      <w:pPr>
        <w:pStyle w:val="EMEANormal"/>
        <w:rPr>
          <w:lang w:val="en-GB"/>
        </w:rPr>
      </w:pPr>
    </w:p>
    <w:p w14:paraId="1AC09921" w14:textId="77777777" w:rsidR="00277ECB" w:rsidRPr="00F32F58" w:rsidRDefault="00277ECB" w:rsidP="009A3053">
      <w:pPr>
        <w:pStyle w:val="EMEAHeadingBoxedTitle"/>
        <w:spacing w:before="0" w:after="0"/>
        <w:ind w:left="550" w:hanging="550"/>
        <w:rPr>
          <w:rFonts w:ascii="Times New Roman" w:hAnsi="Times New Roman"/>
          <w:lang w:val="en-GB"/>
        </w:rPr>
      </w:pPr>
      <w:r w:rsidRPr="00F32F58">
        <w:rPr>
          <w:rFonts w:ascii="Times New Roman" w:hAnsi="Times New Roman"/>
          <w:lang w:val="en-GB"/>
        </w:rPr>
        <w:t>6.</w:t>
      </w:r>
      <w:r w:rsidRPr="00F32F58">
        <w:rPr>
          <w:rFonts w:ascii="Times New Roman" w:hAnsi="Times New Roman"/>
          <w:lang w:val="en-GB"/>
        </w:rPr>
        <w:tab/>
        <w:t xml:space="preserve">SPECIAL WARNING THAT THE MEDICINAL PRODUCT MUST BE STORED OUT OF THE </w:t>
      </w:r>
      <w:r w:rsidR="0023490A">
        <w:rPr>
          <w:rFonts w:ascii="Times New Roman" w:hAnsi="Times New Roman"/>
          <w:lang w:val="en-GB"/>
        </w:rPr>
        <w:t>SIGHT</w:t>
      </w:r>
      <w:r w:rsidR="0023490A" w:rsidRPr="00F32F58">
        <w:rPr>
          <w:rFonts w:ascii="Times New Roman" w:hAnsi="Times New Roman"/>
          <w:lang w:val="en-GB"/>
        </w:rPr>
        <w:t xml:space="preserve"> </w:t>
      </w:r>
      <w:r w:rsidRPr="00F32F58">
        <w:rPr>
          <w:rFonts w:ascii="Times New Roman" w:hAnsi="Times New Roman"/>
          <w:lang w:val="en-GB"/>
        </w:rPr>
        <w:t xml:space="preserve">AND </w:t>
      </w:r>
      <w:r w:rsidR="0023490A">
        <w:rPr>
          <w:rFonts w:ascii="Times New Roman" w:hAnsi="Times New Roman"/>
          <w:lang w:val="en-GB"/>
        </w:rPr>
        <w:t>REACH</w:t>
      </w:r>
      <w:r w:rsidR="0023490A" w:rsidRPr="00F32F58">
        <w:rPr>
          <w:rFonts w:ascii="Times New Roman" w:hAnsi="Times New Roman"/>
          <w:lang w:val="en-GB"/>
        </w:rPr>
        <w:t xml:space="preserve"> </w:t>
      </w:r>
      <w:r w:rsidRPr="00F32F58">
        <w:rPr>
          <w:rFonts w:ascii="Times New Roman" w:hAnsi="Times New Roman"/>
          <w:lang w:val="en-GB"/>
        </w:rPr>
        <w:t>OF CHILDREN</w:t>
      </w:r>
    </w:p>
    <w:p w14:paraId="69BF573C" w14:textId="77777777" w:rsidR="009A3053" w:rsidRDefault="009A3053">
      <w:pPr>
        <w:pStyle w:val="EMEANormal"/>
        <w:rPr>
          <w:lang w:val="en-GB"/>
        </w:rPr>
      </w:pPr>
    </w:p>
    <w:p w14:paraId="6C82873D" w14:textId="77777777" w:rsidR="00277ECB" w:rsidRDefault="00277ECB">
      <w:pPr>
        <w:pStyle w:val="EMEANormal"/>
        <w:rPr>
          <w:lang w:val="en-GB"/>
        </w:rPr>
      </w:pPr>
      <w:r w:rsidRPr="00F32F58">
        <w:rPr>
          <w:lang w:val="en-GB"/>
        </w:rPr>
        <w:t xml:space="preserve">Keep out of the sight </w:t>
      </w:r>
      <w:r w:rsidR="009D5D2E">
        <w:rPr>
          <w:lang w:val="en-GB"/>
        </w:rPr>
        <w:t xml:space="preserve">and reach </w:t>
      </w:r>
      <w:r w:rsidRPr="00F32F58">
        <w:rPr>
          <w:lang w:val="en-GB"/>
        </w:rPr>
        <w:t>of children</w:t>
      </w:r>
      <w:r w:rsidR="0068223A">
        <w:rPr>
          <w:lang w:val="en-GB"/>
        </w:rPr>
        <w:t>.</w:t>
      </w:r>
    </w:p>
    <w:p w14:paraId="668B2552" w14:textId="77777777" w:rsidR="009A3053" w:rsidRDefault="009A3053">
      <w:pPr>
        <w:pStyle w:val="EMEANormal"/>
        <w:rPr>
          <w:lang w:val="en-GB"/>
        </w:rPr>
      </w:pPr>
    </w:p>
    <w:p w14:paraId="0323A5DE" w14:textId="77777777" w:rsidR="009A3053" w:rsidRPr="00F32F58" w:rsidRDefault="009A3053">
      <w:pPr>
        <w:pStyle w:val="EMEANormal"/>
        <w:rPr>
          <w:lang w:val="en-GB"/>
        </w:rPr>
      </w:pPr>
    </w:p>
    <w:p w14:paraId="099ED86B" w14:textId="77777777" w:rsidR="00277ECB" w:rsidRPr="00F32F58" w:rsidRDefault="00277ECB" w:rsidP="009A3053">
      <w:pPr>
        <w:pStyle w:val="EMEAHeadingBoxedEmpty"/>
        <w:spacing w:beforeLines="0" w:before="0"/>
        <w:ind w:left="561" w:hanging="561"/>
        <w:rPr>
          <w:rFonts w:ascii="Times New Roman" w:hAnsi="Times New Roman"/>
          <w:lang w:val="en-GB"/>
        </w:rPr>
      </w:pPr>
      <w:r w:rsidRPr="00F32F58">
        <w:rPr>
          <w:rFonts w:ascii="Times New Roman" w:hAnsi="Times New Roman"/>
          <w:lang w:val="en-GB"/>
        </w:rPr>
        <w:t>7.</w:t>
      </w:r>
      <w:r w:rsidRPr="00F32F58">
        <w:rPr>
          <w:rFonts w:ascii="Times New Roman" w:hAnsi="Times New Roman"/>
          <w:lang w:val="en-GB"/>
        </w:rPr>
        <w:tab/>
        <w:t>OTHER SPECIAL WARNING(S), IF NECESSARY</w:t>
      </w:r>
    </w:p>
    <w:p w14:paraId="2DE13F24" w14:textId="77777777" w:rsidR="00277ECB" w:rsidRDefault="00277ECB">
      <w:pPr>
        <w:pStyle w:val="EMEANormal"/>
        <w:rPr>
          <w:lang w:val="en-GB"/>
        </w:rPr>
      </w:pPr>
    </w:p>
    <w:p w14:paraId="35401060" w14:textId="77777777" w:rsidR="009A3053" w:rsidRPr="00F32F58" w:rsidRDefault="009A3053">
      <w:pPr>
        <w:pStyle w:val="EMEANormal"/>
        <w:rPr>
          <w:lang w:val="en-GB"/>
        </w:rPr>
      </w:pPr>
    </w:p>
    <w:p w14:paraId="75C10854" w14:textId="77777777" w:rsidR="00277ECB" w:rsidRPr="00F32F58" w:rsidRDefault="00277ECB" w:rsidP="009A3053">
      <w:pPr>
        <w:pStyle w:val="EMEAHeadingBoxed"/>
        <w:spacing w:beforeLines="0" w:before="0" w:afterLines="0" w:after="0"/>
        <w:ind w:left="561" w:hanging="561"/>
        <w:rPr>
          <w:rFonts w:ascii="Times New Roman" w:hAnsi="Times New Roman"/>
          <w:lang w:val="en-GB"/>
        </w:rPr>
      </w:pPr>
      <w:r w:rsidRPr="00F32F58">
        <w:rPr>
          <w:rFonts w:ascii="Times New Roman" w:hAnsi="Times New Roman"/>
          <w:lang w:val="en-GB"/>
        </w:rPr>
        <w:t>8.</w:t>
      </w:r>
      <w:r w:rsidRPr="00F32F58">
        <w:rPr>
          <w:rFonts w:ascii="Times New Roman" w:hAnsi="Times New Roman"/>
          <w:lang w:val="en-GB"/>
        </w:rPr>
        <w:tab/>
        <w:t>EXPIRY DATE</w:t>
      </w:r>
    </w:p>
    <w:p w14:paraId="096971B9" w14:textId="77777777" w:rsidR="009A3053" w:rsidRDefault="009A3053">
      <w:pPr>
        <w:pStyle w:val="EMEANormal"/>
        <w:rPr>
          <w:lang w:val="en-GB"/>
        </w:rPr>
      </w:pPr>
    </w:p>
    <w:p w14:paraId="2D3C70FE" w14:textId="77777777" w:rsidR="00277ECB" w:rsidRDefault="00277ECB">
      <w:pPr>
        <w:pStyle w:val="EMEANormal"/>
        <w:rPr>
          <w:lang w:val="en-GB"/>
        </w:rPr>
      </w:pPr>
      <w:r w:rsidRPr="00F32F58">
        <w:rPr>
          <w:lang w:val="en-GB"/>
        </w:rPr>
        <w:t>EXP</w:t>
      </w:r>
    </w:p>
    <w:p w14:paraId="02C78F40" w14:textId="77777777" w:rsidR="009A3053" w:rsidRDefault="009A3053">
      <w:pPr>
        <w:pStyle w:val="EMEANormal"/>
        <w:rPr>
          <w:lang w:val="en-GB"/>
        </w:rPr>
      </w:pPr>
    </w:p>
    <w:p w14:paraId="3CCF4EF6" w14:textId="77777777" w:rsidR="009A3053" w:rsidRPr="00F32F58" w:rsidRDefault="009A3053">
      <w:pPr>
        <w:pStyle w:val="EMEANormal"/>
        <w:rPr>
          <w:lang w:val="en-GB"/>
        </w:rPr>
      </w:pPr>
    </w:p>
    <w:p w14:paraId="7814FC7F" w14:textId="77777777" w:rsidR="00277ECB" w:rsidRPr="00F32F58" w:rsidRDefault="00277ECB" w:rsidP="009A3053">
      <w:pPr>
        <w:pStyle w:val="EMEAHeadingBoxedTitle"/>
        <w:spacing w:before="0" w:after="0"/>
        <w:rPr>
          <w:rFonts w:ascii="Times New Roman" w:hAnsi="Times New Roman"/>
          <w:lang w:val="en-GB"/>
        </w:rPr>
      </w:pPr>
      <w:r w:rsidRPr="00F32F58">
        <w:rPr>
          <w:rFonts w:ascii="Times New Roman" w:hAnsi="Times New Roman"/>
          <w:lang w:val="en-GB"/>
        </w:rPr>
        <w:t>9.</w:t>
      </w:r>
      <w:r w:rsidRPr="00F32F58">
        <w:rPr>
          <w:rFonts w:ascii="Times New Roman" w:hAnsi="Times New Roman"/>
          <w:lang w:val="en-GB"/>
        </w:rPr>
        <w:tab/>
        <w:t>SPECIAL STORAGE CONDITIONS</w:t>
      </w:r>
    </w:p>
    <w:p w14:paraId="58278FC4" w14:textId="77777777" w:rsidR="00277ECB" w:rsidRDefault="00277ECB">
      <w:pPr>
        <w:pStyle w:val="EMEANormal"/>
        <w:rPr>
          <w:lang w:val="en-GB"/>
        </w:rPr>
      </w:pPr>
    </w:p>
    <w:p w14:paraId="00C34752" w14:textId="77777777" w:rsidR="009A3053" w:rsidRPr="00F32F58" w:rsidRDefault="009A3053">
      <w:pPr>
        <w:pStyle w:val="EMEANormal"/>
        <w:rPr>
          <w:lang w:val="en-GB"/>
        </w:rPr>
      </w:pPr>
    </w:p>
    <w:p w14:paraId="5E93C497" w14:textId="77777777" w:rsidR="00277ECB" w:rsidRPr="00F32F58" w:rsidRDefault="00277ECB">
      <w:pPr>
        <w:pStyle w:val="EMEAHeadingBoxedTitle"/>
        <w:tabs>
          <w:tab w:val="clear" w:pos="562"/>
          <w:tab w:val="left" w:pos="550"/>
        </w:tabs>
        <w:spacing w:before="0" w:after="0"/>
        <w:ind w:left="550" w:hanging="550"/>
        <w:rPr>
          <w:rFonts w:ascii="Times New Roman" w:hAnsi="Times New Roman"/>
          <w:lang w:val="en-GB"/>
        </w:rPr>
      </w:pPr>
      <w:r w:rsidRPr="00F32F58">
        <w:rPr>
          <w:rFonts w:ascii="Times New Roman" w:hAnsi="Times New Roman"/>
          <w:lang w:val="en-GB"/>
        </w:rPr>
        <w:t>10.</w:t>
      </w:r>
      <w:r w:rsidRPr="00F32F58">
        <w:rPr>
          <w:rFonts w:ascii="Times New Roman" w:hAnsi="Times New Roman"/>
          <w:lang w:val="en-GB"/>
        </w:rPr>
        <w:tab/>
        <w:t>SPECIAL PRECAUTIONS FOR DISPOSAL OF UNUSED MEDICINAL PRODUCTS OR WASTE MATERIALS DERIVED FROM SUCH MEDICINAL PRODUCTS, IF APPROPRIATE</w:t>
      </w:r>
    </w:p>
    <w:p w14:paraId="65E9D0B6" w14:textId="77777777" w:rsidR="00277ECB" w:rsidRDefault="00277ECB">
      <w:pPr>
        <w:pStyle w:val="EMEANormal"/>
        <w:rPr>
          <w:lang w:val="en-GB"/>
        </w:rPr>
      </w:pPr>
    </w:p>
    <w:p w14:paraId="55F8C516" w14:textId="77777777" w:rsidR="009A3053" w:rsidRPr="00F32F58" w:rsidRDefault="009A3053">
      <w:pPr>
        <w:pStyle w:val="EMEANormal"/>
        <w:rPr>
          <w:lang w:val="en-GB"/>
        </w:rPr>
      </w:pPr>
    </w:p>
    <w:p w14:paraId="43ADB735" w14:textId="77777777" w:rsidR="00277ECB" w:rsidRPr="00F32F58" w:rsidRDefault="00277ECB" w:rsidP="009A3053">
      <w:pPr>
        <w:pStyle w:val="EMEAHeadingBoxedTitle"/>
        <w:spacing w:before="0" w:after="0"/>
        <w:rPr>
          <w:rFonts w:ascii="Times New Roman" w:hAnsi="Times New Roman"/>
          <w:lang w:val="en-GB"/>
        </w:rPr>
      </w:pPr>
      <w:r w:rsidRPr="00F32F58">
        <w:rPr>
          <w:rFonts w:ascii="Times New Roman" w:hAnsi="Times New Roman"/>
          <w:lang w:val="en-GB"/>
        </w:rPr>
        <w:t>11.</w:t>
      </w:r>
      <w:r w:rsidRPr="00F32F58">
        <w:rPr>
          <w:rFonts w:ascii="Times New Roman" w:hAnsi="Times New Roman"/>
          <w:lang w:val="en-GB"/>
        </w:rPr>
        <w:tab/>
        <w:t>NAME AND ADDRESS OF THE MARKETING AUTHORISATION HOLDER</w:t>
      </w:r>
    </w:p>
    <w:p w14:paraId="7A5A3A67" w14:textId="77777777" w:rsidR="009A3053" w:rsidRDefault="009A3053" w:rsidP="00F423D9">
      <w:pPr>
        <w:pStyle w:val="EMEANormal"/>
        <w:rPr>
          <w:lang w:val="en-GB"/>
        </w:rPr>
      </w:pPr>
    </w:p>
    <w:p w14:paraId="727F6C90" w14:textId="77777777" w:rsidR="00A118F7" w:rsidRPr="00A118F7" w:rsidRDefault="00A118F7" w:rsidP="00A118F7">
      <w:pPr>
        <w:keepNext/>
        <w:autoSpaceDE w:val="0"/>
        <w:autoSpaceDN w:val="0"/>
        <w:adjustRightInd w:val="0"/>
        <w:spacing w:line="240" w:lineRule="atLeast"/>
        <w:rPr>
          <w:sz w:val="22"/>
          <w:szCs w:val="22"/>
          <w:lang w:eastAsia="en-GB"/>
        </w:rPr>
      </w:pPr>
      <w:r w:rsidRPr="00A118F7">
        <w:rPr>
          <w:sz w:val="22"/>
          <w:szCs w:val="22"/>
          <w:lang w:eastAsia="en-GB"/>
        </w:rPr>
        <w:t>AbbVie Deutschland GmbH &amp; Co. KG</w:t>
      </w:r>
    </w:p>
    <w:p w14:paraId="1D74C6ED" w14:textId="77777777" w:rsidR="00A118F7" w:rsidRPr="00A118F7" w:rsidRDefault="00A118F7" w:rsidP="00A118F7">
      <w:pPr>
        <w:keepNext/>
        <w:autoSpaceDE w:val="0"/>
        <w:autoSpaceDN w:val="0"/>
        <w:adjustRightInd w:val="0"/>
        <w:spacing w:line="240" w:lineRule="atLeast"/>
        <w:rPr>
          <w:sz w:val="22"/>
          <w:szCs w:val="22"/>
          <w:lang w:eastAsia="en-GB"/>
        </w:rPr>
      </w:pPr>
      <w:r w:rsidRPr="00A118F7">
        <w:rPr>
          <w:sz w:val="22"/>
          <w:szCs w:val="22"/>
          <w:lang w:eastAsia="en-GB"/>
        </w:rPr>
        <w:t>Knollstrasse</w:t>
      </w:r>
    </w:p>
    <w:p w14:paraId="24003A41" w14:textId="77777777" w:rsidR="00A118F7" w:rsidRPr="00A118F7" w:rsidRDefault="00A118F7" w:rsidP="00A118F7">
      <w:pPr>
        <w:keepNext/>
        <w:autoSpaceDE w:val="0"/>
        <w:autoSpaceDN w:val="0"/>
        <w:adjustRightInd w:val="0"/>
        <w:spacing w:line="240" w:lineRule="atLeast"/>
        <w:rPr>
          <w:sz w:val="22"/>
          <w:szCs w:val="22"/>
          <w:lang w:eastAsia="en-GB"/>
        </w:rPr>
      </w:pPr>
      <w:r w:rsidRPr="00A118F7">
        <w:rPr>
          <w:sz w:val="22"/>
          <w:szCs w:val="22"/>
          <w:lang w:eastAsia="en-GB"/>
        </w:rPr>
        <w:t>67061 Ludwigshafen</w:t>
      </w:r>
    </w:p>
    <w:p w14:paraId="37C7A662" w14:textId="77777777" w:rsidR="00F423D9" w:rsidRDefault="00A118F7" w:rsidP="00A118F7">
      <w:pPr>
        <w:pStyle w:val="EMEANormal"/>
        <w:rPr>
          <w:lang w:val="en-GB"/>
        </w:rPr>
      </w:pPr>
      <w:r w:rsidRPr="00A118F7">
        <w:rPr>
          <w:szCs w:val="22"/>
          <w:lang w:val="en-GB" w:eastAsia="en-GB"/>
        </w:rPr>
        <w:t>Germany</w:t>
      </w:r>
    </w:p>
    <w:p w14:paraId="0146BE1E" w14:textId="77777777" w:rsidR="009A3053" w:rsidRDefault="009A3053" w:rsidP="00F423D9">
      <w:pPr>
        <w:pStyle w:val="EMEANormal"/>
        <w:rPr>
          <w:lang w:val="en-GB"/>
        </w:rPr>
      </w:pPr>
    </w:p>
    <w:p w14:paraId="11F84770" w14:textId="77777777" w:rsidR="009A3053" w:rsidRPr="00F32F58" w:rsidRDefault="009A3053" w:rsidP="00F423D9">
      <w:pPr>
        <w:pStyle w:val="EMEANormal"/>
        <w:rPr>
          <w:lang w:val="en-GB"/>
        </w:rPr>
      </w:pPr>
    </w:p>
    <w:p w14:paraId="7CD9528D" w14:textId="77777777" w:rsidR="00277ECB" w:rsidRPr="00F32F58" w:rsidRDefault="00277ECB" w:rsidP="009A3053">
      <w:pPr>
        <w:pStyle w:val="EMEAHeadingBoxedTitle"/>
        <w:spacing w:before="0" w:after="0"/>
        <w:rPr>
          <w:rFonts w:ascii="Times New Roman" w:hAnsi="Times New Roman"/>
          <w:lang w:val="en-GB"/>
        </w:rPr>
      </w:pPr>
      <w:r w:rsidRPr="00F32F58">
        <w:rPr>
          <w:rFonts w:ascii="Times New Roman" w:hAnsi="Times New Roman"/>
          <w:lang w:val="en-GB"/>
        </w:rPr>
        <w:t>12.</w:t>
      </w:r>
      <w:r w:rsidRPr="00F32F58">
        <w:rPr>
          <w:rFonts w:ascii="Times New Roman" w:hAnsi="Times New Roman"/>
          <w:lang w:val="en-GB"/>
        </w:rPr>
        <w:tab/>
        <w:t>MARKETING AUTHORISATION NUMBER(S)</w:t>
      </w:r>
    </w:p>
    <w:p w14:paraId="3840DFC6" w14:textId="77777777" w:rsidR="009A3053" w:rsidRDefault="009A3053">
      <w:pPr>
        <w:pStyle w:val="EMEANormal"/>
        <w:rPr>
          <w:lang w:val="en-GB"/>
        </w:rPr>
      </w:pPr>
    </w:p>
    <w:p w14:paraId="2BD58A6B" w14:textId="77777777" w:rsidR="00277ECB" w:rsidRPr="00F32F58" w:rsidRDefault="00277ECB">
      <w:pPr>
        <w:pStyle w:val="EMEANormal"/>
        <w:rPr>
          <w:lang w:val="en-GB"/>
        </w:rPr>
      </w:pPr>
      <w:r w:rsidRPr="00F32F58">
        <w:rPr>
          <w:lang w:val="en-GB"/>
        </w:rPr>
        <w:t>EU/1/01/172/004</w:t>
      </w:r>
    </w:p>
    <w:p w14:paraId="3A2BFC65" w14:textId="77777777" w:rsidR="008B7CF6" w:rsidRDefault="008B7CF6">
      <w:pPr>
        <w:pStyle w:val="EMEANormal"/>
        <w:rPr>
          <w:lang w:val="en-GB"/>
        </w:rPr>
      </w:pPr>
      <w:r w:rsidRPr="00F32F58">
        <w:rPr>
          <w:lang w:val="en-GB"/>
        </w:rPr>
        <w:t>EU/1/01/172/00</w:t>
      </w:r>
      <w:r w:rsidR="00E16955" w:rsidRPr="00F32F58">
        <w:rPr>
          <w:lang w:val="en-GB"/>
        </w:rPr>
        <w:t>7</w:t>
      </w:r>
    </w:p>
    <w:p w14:paraId="447E7A25" w14:textId="77777777" w:rsidR="009A3053" w:rsidRDefault="009A3053">
      <w:pPr>
        <w:pStyle w:val="EMEANormal"/>
        <w:rPr>
          <w:lang w:val="en-GB"/>
        </w:rPr>
      </w:pPr>
    </w:p>
    <w:p w14:paraId="4320B3E9" w14:textId="77777777" w:rsidR="009A3053" w:rsidRPr="00F32F58" w:rsidRDefault="009A3053">
      <w:pPr>
        <w:pStyle w:val="EMEANormal"/>
        <w:rPr>
          <w:lang w:val="en-GB"/>
        </w:rPr>
      </w:pPr>
    </w:p>
    <w:p w14:paraId="58A2BCA6" w14:textId="77777777" w:rsidR="00277ECB" w:rsidRPr="00F32F58" w:rsidRDefault="00277ECB" w:rsidP="009A3053">
      <w:pPr>
        <w:pStyle w:val="EMEAHeadingBoxedTitle"/>
        <w:spacing w:before="0" w:after="0"/>
        <w:rPr>
          <w:rFonts w:ascii="Times New Roman" w:hAnsi="Times New Roman"/>
          <w:lang w:val="en-GB"/>
        </w:rPr>
      </w:pPr>
      <w:r w:rsidRPr="00F32F58">
        <w:rPr>
          <w:rFonts w:ascii="Times New Roman" w:hAnsi="Times New Roman"/>
          <w:lang w:val="en-GB"/>
        </w:rPr>
        <w:t>13.</w:t>
      </w:r>
      <w:r w:rsidRPr="00F32F58">
        <w:rPr>
          <w:rFonts w:ascii="Times New Roman" w:hAnsi="Times New Roman"/>
          <w:lang w:val="en-GB"/>
        </w:rPr>
        <w:tab/>
        <w:t>BATCH NUMBER</w:t>
      </w:r>
    </w:p>
    <w:p w14:paraId="762BFF52" w14:textId="77777777" w:rsidR="009A3053" w:rsidRDefault="009A3053">
      <w:pPr>
        <w:pStyle w:val="EMEANormal"/>
        <w:rPr>
          <w:lang w:val="en-GB"/>
        </w:rPr>
      </w:pPr>
    </w:p>
    <w:p w14:paraId="10EEF6E3" w14:textId="77777777" w:rsidR="00277ECB" w:rsidRDefault="00277ECB">
      <w:pPr>
        <w:pStyle w:val="EMEANormal"/>
        <w:rPr>
          <w:lang w:val="en-GB"/>
        </w:rPr>
      </w:pPr>
      <w:r w:rsidRPr="00F32F58">
        <w:rPr>
          <w:lang w:val="en-GB"/>
        </w:rPr>
        <w:t>Lot</w:t>
      </w:r>
    </w:p>
    <w:p w14:paraId="3A820CF3" w14:textId="77777777" w:rsidR="009A3053" w:rsidRDefault="009A3053">
      <w:pPr>
        <w:pStyle w:val="EMEANormal"/>
        <w:rPr>
          <w:lang w:val="en-GB"/>
        </w:rPr>
      </w:pPr>
    </w:p>
    <w:p w14:paraId="2A379FBE" w14:textId="77777777" w:rsidR="009A3053" w:rsidRPr="00F32F58" w:rsidRDefault="009A3053">
      <w:pPr>
        <w:pStyle w:val="EMEANormal"/>
        <w:rPr>
          <w:lang w:val="en-GB"/>
        </w:rPr>
      </w:pPr>
    </w:p>
    <w:p w14:paraId="32F81138" w14:textId="77777777" w:rsidR="00277ECB" w:rsidRPr="00F32F58" w:rsidRDefault="00277ECB" w:rsidP="009A3053">
      <w:pPr>
        <w:pStyle w:val="EMEAHeadingBoxedTitle"/>
        <w:spacing w:before="0" w:after="0"/>
        <w:rPr>
          <w:rFonts w:ascii="Times New Roman" w:hAnsi="Times New Roman"/>
          <w:lang w:val="en-GB"/>
        </w:rPr>
      </w:pPr>
      <w:r w:rsidRPr="00F32F58">
        <w:rPr>
          <w:rFonts w:ascii="Times New Roman" w:hAnsi="Times New Roman"/>
          <w:lang w:val="en-GB"/>
        </w:rPr>
        <w:t>14.</w:t>
      </w:r>
      <w:r w:rsidRPr="00F32F58">
        <w:rPr>
          <w:rFonts w:ascii="Times New Roman" w:hAnsi="Times New Roman"/>
          <w:lang w:val="en-GB"/>
        </w:rPr>
        <w:tab/>
        <w:t>GENERAL CLASSIFICATION FOR SUPPLY</w:t>
      </w:r>
    </w:p>
    <w:p w14:paraId="71B958F9" w14:textId="77777777" w:rsidR="009A3053" w:rsidRDefault="009A3053">
      <w:pPr>
        <w:pStyle w:val="EMEANormal"/>
        <w:rPr>
          <w:lang w:val="en-GB"/>
        </w:rPr>
      </w:pPr>
    </w:p>
    <w:p w14:paraId="6E973B2B" w14:textId="77777777" w:rsidR="009A3053" w:rsidRPr="00F32F58" w:rsidRDefault="009A3053">
      <w:pPr>
        <w:pStyle w:val="EMEANormal"/>
        <w:rPr>
          <w:lang w:val="en-GB"/>
        </w:rPr>
      </w:pPr>
    </w:p>
    <w:p w14:paraId="3AC5E46C" w14:textId="77777777" w:rsidR="00277ECB" w:rsidRPr="00F32F58" w:rsidRDefault="00277ECB" w:rsidP="009A3053">
      <w:pPr>
        <w:pStyle w:val="EMEAHeadingBoxedTitle"/>
        <w:spacing w:before="0" w:after="0"/>
        <w:rPr>
          <w:rFonts w:ascii="Times New Roman" w:hAnsi="Times New Roman"/>
          <w:lang w:val="en-GB"/>
        </w:rPr>
      </w:pPr>
      <w:r w:rsidRPr="00F32F58">
        <w:rPr>
          <w:rFonts w:ascii="Times New Roman" w:hAnsi="Times New Roman"/>
          <w:lang w:val="en-GB"/>
        </w:rPr>
        <w:t>15.</w:t>
      </w:r>
      <w:r w:rsidRPr="00F32F58">
        <w:rPr>
          <w:rFonts w:ascii="Times New Roman" w:hAnsi="Times New Roman"/>
          <w:lang w:val="en-GB"/>
        </w:rPr>
        <w:tab/>
        <w:t>INSTRUCTIONS ON USE</w:t>
      </w:r>
    </w:p>
    <w:p w14:paraId="54D8CA31" w14:textId="77777777" w:rsidR="00277ECB" w:rsidRDefault="00277ECB">
      <w:pPr>
        <w:tabs>
          <w:tab w:val="left" w:pos="567"/>
        </w:tabs>
        <w:rPr>
          <w:sz w:val="22"/>
        </w:rPr>
      </w:pPr>
    </w:p>
    <w:p w14:paraId="1BD1942B" w14:textId="77777777" w:rsidR="009A3053" w:rsidRPr="00F32F58" w:rsidRDefault="009A3053">
      <w:pPr>
        <w:tabs>
          <w:tab w:val="left" w:pos="567"/>
        </w:tabs>
        <w:rPr>
          <w:sz w:val="22"/>
        </w:rPr>
      </w:pPr>
    </w:p>
    <w:p w14:paraId="522DEB58" w14:textId="77777777" w:rsidR="00277ECB" w:rsidRPr="00342F7C" w:rsidRDefault="00277ECB" w:rsidP="009A3053">
      <w:pPr>
        <w:pStyle w:val="EMEAHeadingBoxedTitle"/>
        <w:spacing w:before="0" w:after="0"/>
        <w:rPr>
          <w:rFonts w:ascii="Times New Roman" w:hAnsi="Times New Roman"/>
          <w:lang w:val="en-GB"/>
        </w:rPr>
      </w:pPr>
      <w:r w:rsidRPr="00F32F58">
        <w:rPr>
          <w:rFonts w:ascii="Times New Roman" w:hAnsi="Times New Roman"/>
          <w:lang w:val="en-GB"/>
        </w:rPr>
        <w:t>16.</w:t>
      </w:r>
      <w:r w:rsidRPr="00F32F58">
        <w:rPr>
          <w:rFonts w:ascii="Times New Roman" w:hAnsi="Times New Roman"/>
          <w:lang w:val="en-GB"/>
        </w:rPr>
        <w:tab/>
        <w:t>Information in braille</w:t>
      </w:r>
    </w:p>
    <w:p w14:paraId="46AA71E0" w14:textId="77777777" w:rsidR="00277ECB" w:rsidRPr="00342F7C" w:rsidRDefault="00277ECB">
      <w:pPr>
        <w:pStyle w:val="EMEANormal"/>
        <w:rPr>
          <w:lang w:val="en-GB"/>
        </w:rPr>
      </w:pPr>
    </w:p>
    <w:p w14:paraId="13DF6F3A" w14:textId="77777777" w:rsidR="0068223A" w:rsidRPr="00342F7C" w:rsidRDefault="0068223A" w:rsidP="0068223A">
      <w:pPr>
        <w:tabs>
          <w:tab w:val="left" w:pos="567"/>
        </w:tabs>
        <w:rPr>
          <w:sz w:val="22"/>
        </w:rPr>
      </w:pPr>
    </w:p>
    <w:p w14:paraId="7DBAB72B" w14:textId="77777777" w:rsidR="0068223A" w:rsidRPr="00342F7C" w:rsidRDefault="0068223A" w:rsidP="0068223A">
      <w:pPr>
        <w:pStyle w:val="EMEAHeadingBoxedTitle"/>
        <w:spacing w:before="0" w:after="0"/>
        <w:rPr>
          <w:rFonts w:ascii="Times New Roman" w:hAnsi="Times New Roman"/>
          <w:lang w:val="en-GB"/>
        </w:rPr>
      </w:pPr>
      <w:r w:rsidRPr="00342F7C">
        <w:rPr>
          <w:rFonts w:ascii="Times New Roman" w:hAnsi="Times New Roman"/>
          <w:lang w:val="en-GB"/>
        </w:rPr>
        <w:t>1</w:t>
      </w:r>
      <w:r>
        <w:rPr>
          <w:rFonts w:ascii="Times New Roman" w:hAnsi="Times New Roman"/>
          <w:lang w:val="en-GB"/>
        </w:rPr>
        <w:t>7</w:t>
      </w:r>
      <w:r w:rsidRPr="00342F7C">
        <w:rPr>
          <w:rFonts w:ascii="Times New Roman" w:hAnsi="Times New Roman"/>
          <w:lang w:val="en-GB"/>
        </w:rPr>
        <w:t>.</w:t>
      </w:r>
      <w:r w:rsidRPr="00342F7C">
        <w:rPr>
          <w:rFonts w:ascii="Times New Roman" w:hAnsi="Times New Roman"/>
          <w:lang w:val="en-GB"/>
        </w:rPr>
        <w:tab/>
      </w:r>
      <w:r w:rsidRPr="00C92271">
        <w:rPr>
          <w:b w:val="0"/>
          <w:noProof/>
          <w:szCs w:val="22"/>
        </w:rPr>
        <w:t>UNIQUE IDENTIFIER – 2D BARCODE</w:t>
      </w:r>
    </w:p>
    <w:p w14:paraId="7F11E82D" w14:textId="77777777" w:rsidR="0068223A" w:rsidRDefault="0068223A" w:rsidP="0068223A">
      <w:pPr>
        <w:pStyle w:val="EMEANormal"/>
        <w:rPr>
          <w:lang w:val="en-GB"/>
        </w:rPr>
      </w:pPr>
    </w:p>
    <w:p w14:paraId="6D04F46A" w14:textId="77777777" w:rsidR="0068223A" w:rsidRDefault="0068223A" w:rsidP="0068223A">
      <w:pPr>
        <w:tabs>
          <w:tab w:val="left" w:pos="567"/>
        </w:tabs>
        <w:rPr>
          <w:sz w:val="22"/>
        </w:rPr>
      </w:pPr>
      <w:r w:rsidRPr="00C92271">
        <w:rPr>
          <w:noProof/>
          <w:sz w:val="22"/>
          <w:szCs w:val="22"/>
          <w:shd w:val="clear" w:color="auto" w:fill="CCCCCC"/>
        </w:rPr>
        <w:t>Not applicable</w:t>
      </w:r>
    </w:p>
    <w:p w14:paraId="72218043" w14:textId="77777777" w:rsidR="0068223A" w:rsidRDefault="0068223A" w:rsidP="0068223A">
      <w:pPr>
        <w:tabs>
          <w:tab w:val="left" w:pos="567"/>
        </w:tabs>
        <w:rPr>
          <w:sz w:val="22"/>
        </w:rPr>
      </w:pPr>
    </w:p>
    <w:p w14:paraId="0A4290FD" w14:textId="77777777" w:rsidR="0068223A" w:rsidRPr="00342F7C" w:rsidRDefault="0068223A" w:rsidP="0068223A">
      <w:pPr>
        <w:tabs>
          <w:tab w:val="left" w:pos="567"/>
        </w:tabs>
        <w:rPr>
          <w:sz w:val="22"/>
        </w:rPr>
      </w:pPr>
    </w:p>
    <w:p w14:paraId="36C0FD1F" w14:textId="77777777" w:rsidR="0068223A" w:rsidRPr="00342F7C" w:rsidRDefault="0068223A" w:rsidP="0068223A">
      <w:pPr>
        <w:pStyle w:val="EMEAHeadingBoxedTitle"/>
        <w:spacing w:before="0" w:after="0"/>
        <w:rPr>
          <w:rFonts w:ascii="Times New Roman" w:hAnsi="Times New Roman"/>
          <w:lang w:val="en-GB"/>
        </w:rPr>
      </w:pPr>
      <w:r>
        <w:rPr>
          <w:rFonts w:ascii="Times New Roman" w:hAnsi="Times New Roman"/>
          <w:lang w:val="en-GB"/>
        </w:rPr>
        <w:t>18</w:t>
      </w:r>
      <w:r w:rsidRPr="00342F7C">
        <w:rPr>
          <w:rFonts w:ascii="Times New Roman" w:hAnsi="Times New Roman"/>
          <w:lang w:val="en-GB"/>
        </w:rPr>
        <w:t>.</w:t>
      </w:r>
      <w:r w:rsidRPr="00342F7C">
        <w:rPr>
          <w:rFonts w:ascii="Times New Roman" w:hAnsi="Times New Roman"/>
          <w:lang w:val="en-GB"/>
        </w:rPr>
        <w:tab/>
      </w:r>
      <w:r w:rsidRPr="00C92271">
        <w:rPr>
          <w:b w:val="0"/>
          <w:noProof/>
          <w:szCs w:val="22"/>
        </w:rPr>
        <w:t>UNIQUE IDENTIFIER - HUMAN READABLE DAT</w:t>
      </w:r>
      <w:r>
        <w:rPr>
          <w:b w:val="0"/>
          <w:noProof/>
          <w:szCs w:val="22"/>
        </w:rPr>
        <w:t>A</w:t>
      </w:r>
    </w:p>
    <w:p w14:paraId="24BB657B" w14:textId="77777777" w:rsidR="0068223A" w:rsidRDefault="0068223A" w:rsidP="0068223A">
      <w:pPr>
        <w:pStyle w:val="EMEANormal"/>
        <w:rPr>
          <w:lang w:val="en-GB"/>
        </w:rPr>
      </w:pPr>
    </w:p>
    <w:p w14:paraId="4430E3A5" w14:textId="77777777" w:rsidR="0068223A" w:rsidRDefault="0068223A" w:rsidP="0068223A">
      <w:pPr>
        <w:pStyle w:val="EMEANormal"/>
        <w:rPr>
          <w:lang w:val="en-GB"/>
        </w:rPr>
      </w:pPr>
      <w:r w:rsidRPr="00C92271">
        <w:rPr>
          <w:noProof/>
          <w:szCs w:val="22"/>
          <w:shd w:val="clear" w:color="auto" w:fill="CCCCCC"/>
        </w:rPr>
        <w:t>Not applicable</w:t>
      </w:r>
    </w:p>
    <w:p w14:paraId="229A011E" w14:textId="77777777" w:rsidR="00277ECB" w:rsidRPr="00342F7C" w:rsidRDefault="00277ECB">
      <w:pPr>
        <w:pStyle w:val="EMEANormal"/>
        <w:rPr>
          <w:lang w:val="en-GB"/>
        </w:rPr>
      </w:pPr>
      <w:r w:rsidRPr="00342F7C">
        <w:rPr>
          <w:lang w:val="en-GB"/>
        </w:rPr>
        <w:br w:type="page"/>
      </w:r>
    </w:p>
    <w:p w14:paraId="09299D04" w14:textId="77777777" w:rsidR="00277ECB" w:rsidRPr="00342F7C" w:rsidRDefault="00277ECB">
      <w:pPr>
        <w:pStyle w:val="EMEAHeadingBoxedTitle"/>
        <w:spacing w:before="0" w:after="0"/>
        <w:rPr>
          <w:rFonts w:ascii="Times New Roman" w:hAnsi="Times New Roman"/>
          <w:lang w:val="en-GB"/>
        </w:rPr>
      </w:pPr>
      <w:r w:rsidRPr="00342F7C">
        <w:rPr>
          <w:rFonts w:ascii="Times New Roman" w:hAnsi="Times New Roman"/>
          <w:lang w:val="en-GB"/>
        </w:rPr>
        <w:t xml:space="preserve">PARTICULARS TO APPEAR ON THE OUTER PACKAGING </w:t>
      </w:r>
    </w:p>
    <w:p w14:paraId="1C795003" w14:textId="77777777" w:rsidR="00277ECB" w:rsidRPr="00342F7C" w:rsidRDefault="00277ECB">
      <w:pPr>
        <w:pStyle w:val="EMEAHeadingBoxedTitle"/>
        <w:spacing w:before="0" w:after="0"/>
        <w:rPr>
          <w:rFonts w:ascii="Times New Roman" w:hAnsi="Times New Roman"/>
          <w:lang w:val="en-GB"/>
        </w:rPr>
      </w:pPr>
    </w:p>
    <w:p w14:paraId="74FF4759" w14:textId="77777777" w:rsidR="003400CE" w:rsidRPr="00342F7C" w:rsidRDefault="00F96DDF" w:rsidP="003400CE">
      <w:pPr>
        <w:pStyle w:val="EMEAHeadingBoxedTitle"/>
        <w:spacing w:before="0" w:after="0"/>
        <w:rPr>
          <w:rFonts w:ascii="Times New Roman" w:hAnsi="Times New Roman"/>
          <w:caps w:val="0"/>
          <w:lang w:val="en-GB"/>
        </w:rPr>
      </w:pPr>
      <w:r w:rsidRPr="00342F7C">
        <w:rPr>
          <w:rFonts w:ascii="Times New Roman" w:hAnsi="Times New Roman"/>
          <w:caps w:val="0"/>
          <w:lang w:val="en-GB"/>
        </w:rPr>
        <w:t xml:space="preserve">Outer carton of multipacks of 120 (3 cartons of 40 film-coated </w:t>
      </w:r>
      <w:r w:rsidR="001F5484">
        <w:rPr>
          <w:rFonts w:ascii="Times New Roman" w:hAnsi="Times New Roman"/>
          <w:caps w:val="0"/>
          <w:lang w:val="en-GB"/>
        </w:rPr>
        <w:t xml:space="preserve">200 mg/50 mg film-coated </w:t>
      </w:r>
      <w:r w:rsidRPr="00342F7C">
        <w:rPr>
          <w:rFonts w:ascii="Times New Roman" w:hAnsi="Times New Roman"/>
          <w:caps w:val="0"/>
          <w:lang w:val="en-GB"/>
        </w:rPr>
        <w:t>tablets</w:t>
      </w:r>
      <w:r w:rsidR="001F5484">
        <w:rPr>
          <w:rFonts w:ascii="Times New Roman" w:hAnsi="Times New Roman"/>
          <w:caps w:val="0"/>
          <w:lang w:val="en-GB"/>
        </w:rPr>
        <w:t>)</w:t>
      </w:r>
      <w:r w:rsidRPr="00342F7C">
        <w:rPr>
          <w:rFonts w:ascii="Times New Roman" w:hAnsi="Times New Roman"/>
          <w:caps w:val="0"/>
          <w:lang w:val="en-GB"/>
        </w:rPr>
        <w:t xml:space="preserve"> - </w:t>
      </w:r>
      <w:r w:rsidR="002E2EE3" w:rsidRPr="00342F7C">
        <w:rPr>
          <w:rFonts w:ascii="Times New Roman" w:hAnsi="Times New Roman"/>
          <w:caps w:val="0"/>
          <w:lang w:val="en-GB"/>
        </w:rPr>
        <w:t xml:space="preserve">including the blue box </w:t>
      </w:r>
    </w:p>
    <w:p w14:paraId="00610D62" w14:textId="77777777" w:rsidR="00277ECB" w:rsidRPr="00342F7C" w:rsidRDefault="00F96DDF" w:rsidP="008D3E9C">
      <w:pPr>
        <w:pStyle w:val="EMEAHeadingBoxedTitle"/>
        <w:spacing w:before="0" w:after="0"/>
        <w:rPr>
          <w:rFonts w:ascii="Times New Roman" w:hAnsi="Times New Roman"/>
          <w:b w:val="0"/>
          <w:caps w:val="0"/>
          <w:lang w:val="en-GB"/>
        </w:rPr>
      </w:pPr>
      <w:r w:rsidRPr="00342F7C">
        <w:rPr>
          <w:rFonts w:ascii="Times New Roman" w:hAnsi="Times New Roman"/>
          <w:caps w:val="0"/>
          <w:lang w:val="en-GB"/>
        </w:rPr>
        <w:t>C</w:t>
      </w:r>
      <w:r w:rsidR="003400CE" w:rsidRPr="00342F7C">
        <w:rPr>
          <w:rFonts w:ascii="Times New Roman" w:hAnsi="Times New Roman"/>
          <w:caps w:val="0"/>
          <w:lang w:val="en-GB"/>
        </w:rPr>
        <w:t>arton</w:t>
      </w:r>
      <w:r w:rsidR="008D3E9C" w:rsidRPr="00342F7C">
        <w:rPr>
          <w:rFonts w:ascii="Times New Roman" w:hAnsi="Times New Roman"/>
          <w:caps w:val="0"/>
          <w:lang w:val="en-GB"/>
        </w:rPr>
        <w:t xml:space="preserve"> </w:t>
      </w:r>
      <w:r w:rsidR="001F5484">
        <w:rPr>
          <w:rFonts w:ascii="Times New Roman" w:hAnsi="Times New Roman"/>
          <w:caps w:val="0"/>
          <w:lang w:val="en-GB"/>
        </w:rPr>
        <w:t xml:space="preserve">of blister pack </w:t>
      </w:r>
      <w:r w:rsidR="002E2EE3" w:rsidRPr="00342F7C">
        <w:rPr>
          <w:rFonts w:ascii="Times New Roman" w:hAnsi="Times New Roman"/>
          <w:caps w:val="0"/>
          <w:lang w:val="en-GB"/>
        </w:rPr>
        <w:t>containing</w:t>
      </w:r>
      <w:r w:rsidR="003400CE" w:rsidRPr="00342F7C">
        <w:rPr>
          <w:rFonts w:ascii="Times New Roman" w:hAnsi="Times New Roman"/>
          <w:caps w:val="0"/>
          <w:lang w:val="en-GB"/>
        </w:rPr>
        <w:t xml:space="preserve"> 12</w:t>
      </w:r>
      <w:r w:rsidR="002E2EE3" w:rsidRPr="00342F7C">
        <w:rPr>
          <w:rFonts w:ascii="Times New Roman" w:hAnsi="Times New Roman"/>
          <w:caps w:val="0"/>
          <w:lang w:val="en-GB"/>
        </w:rPr>
        <w:t>0</w:t>
      </w:r>
      <w:r w:rsidR="003400CE" w:rsidRPr="00342F7C">
        <w:rPr>
          <w:rFonts w:ascii="Times New Roman" w:hAnsi="Times New Roman"/>
          <w:caps w:val="0"/>
          <w:lang w:val="en-GB"/>
        </w:rPr>
        <w:t xml:space="preserve"> </w:t>
      </w:r>
      <w:r w:rsidR="001F5484">
        <w:rPr>
          <w:rFonts w:ascii="Times New Roman" w:hAnsi="Times New Roman"/>
          <w:caps w:val="0"/>
          <w:lang w:val="en-GB"/>
        </w:rPr>
        <w:t xml:space="preserve">200 mg/50 mg </w:t>
      </w:r>
      <w:r w:rsidR="003400CE" w:rsidRPr="00342F7C">
        <w:rPr>
          <w:rFonts w:ascii="Times New Roman" w:hAnsi="Times New Roman"/>
          <w:caps w:val="0"/>
          <w:lang w:val="en-GB"/>
        </w:rPr>
        <w:t>film-coated tablets</w:t>
      </w:r>
    </w:p>
    <w:p w14:paraId="264B1962" w14:textId="77777777" w:rsidR="00277ECB" w:rsidRDefault="00277ECB">
      <w:pPr>
        <w:pStyle w:val="EMEANormal"/>
        <w:rPr>
          <w:lang w:val="en-GB"/>
        </w:rPr>
      </w:pPr>
    </w:p>
    <w:p w14:paraId="2A198199" w14:textId="77777777" w:rsidR="0084086F" w:rsidRPr="00342F7C" w:rsidRDefault="0084086F">
      <w:pPr>
        <w:pStyle w:val="EMEANormal"/>
        <w:rPr>
          <w:lang w:val="en-GB"/>
        </w:rPr>
      </w:pPr>
    </w:p>
    <w:p w14:paraId="2F8D86E7" w14:textId="77777777" w:rsidR="00277ECB" w:rsidRPr="00342F7C" w:rsidRDefault="00277ECB" w:rsidP="0084086F">
      <w:pPr>
        <w:pStyle w:val="EMEAHeadingBoxedTitle"/>
        <w:spacing w:before="0" w:after="0"/>
        <w:rPr>
          <w:rFonts w:ascii="Times New Roman" w:hAnsi="Times New Roman"/>
          <w:lang w:val="en-GB"/>
        </w:rPr>
      </w:pPr>
      <w:r w:rsidRPr="00342F7C">
        <w:rPr>
          <w:rFonts w:ascii="Times New Roman" w:hAnsi="Times New Roman"/>
          <w:lang w:val="en-GB"/>
        </w:rPr>
        <w:t>1.</w:t>
      </w:r>
      <w:r w:rsidRPr="00342F7C">
        <w:rPr>
          <w:rFonts w:ascii="Times New Roman" w:hAnsi="Times New Roman"/>
          <w:lang w:val="en-GB"/>
        </w:rPr>
        <w:tab/>
        <w:t>NAME OF THE MEDICINAL PRODUCT</w:t>
      </w:r>
    </w:p>
    <w:p w14:paraId="637D07DC" w14:textId="77777777" w:rsidR="0084086F" w:rsidRDefault="0084086F">
      <w:pPr>
        <w:pStyle w:val="EMEANormal"/>
        <w:rPr>
          <w:lang w:val="en-GB"/>
        </w:rPr>
      </w:pPr>
    </w:p>
    <w:p w14:paraId="4EA368C0" w14:textId="77777777" w:rsidR="00277ECB" w:rsidRPr="00342F7C" w:rsidRDefault="00277ECB">
      <w:pPr>
        <w:pStyle w:val="EMEANormal"/>
        <w:rPr>
          <w:lang w:val="en-GB"/>
        </w:rPr>
      </w:pPr>
      <w:r w:rsidRPr="00342F7C">
        <w:rPr>
          <w:lang w:val="en-GB"/>
        </w:rPr>
        <w:t>Kaletra 200 mg/50 mg film-coated tablets</w:t>
      </w:r>
    </w:p>
    <w:p w14:paraId="6DF661D1" w14:textId="77777777" w:rsidR="00277ECB" w:rsidRDefault="00277ECB">
      <w:pPr>
        <w:pStyle w:val="EMEANormal"/>
        <w:rPr>
          <w:lang w:val="en-GB"/>
        </w:rPr>
      </w:pPr>
      <w:r w:rsidRPr="00342F7C">
        <w:rPr>
          <w:lang w:val="en-GB"/>
        </w:rPr>
        <w:t>lopinavir/ritonavir</w:t>
      </w:r>
    </w:p>
    <w:p w14:paraId="2013877D" w14:textId="77777777" w:rsidR="0084086F" w:rsidRDefault="0084086F">
      <w:pPr>
        <w:pStyle w:val="EMEANormal"/>
        <w:rPr>
          <w:lang w:val="en-GB"/>
        </w:rPr>
      </w:pPr>
    </w:p>
    <w:p w14:paraId="284183EE" w14:textId="77777777" w:rsidR="0084086F" w:rsidRPr="00342F7C" w:rsidRDefault="0084086F">
      <w:pPr>
        <w:pStyle w:val="EMEANormal"/>
        <w:rPr>
          <w:lang w:val="en-GB"/>
        </w:rPr>
      </w:pPr>
    </w:p>
    <w:p w14:paraId="746EF9CE" w14:textId="77777777" w:rsidR="00277ECB" w:rsidRPr="00342F7C" w:rsidRDefault="00277ECB" w:rsidP="0084086F">
      <w:pPr>
        <w:pStyle w:val="EMEAHeadingBoxedTitle"/>
        <w:spacing w:before="0" w:after="0"/>
        <w:rPr>
          <w:rFonts w:ascii="Times New Roman" w:hAnsi="Times New Roman"/>
          <w:lang w:val="en-GB"/>
        </w:rPr>
      </w:pPr>
      <w:r w:rsidRPr="00342F7C">
        <w:rPr>
          <w:rFonts w:ascii="Times New Roman" w:hAnsi="Times New Roman"/>
          <w:lang w:val="en-GB"/>
        </w:rPr>
        <w:t>2.</w:t>
      </w:r>
      <w:r w:rsidRPr="00342F7C">
        <w:rPr>
          <w:rFonts w:ascii="Times New Roman" w:hAnsi="Times New Roman"/>
          <w:lang w:val="en-GB"/>
        </w:rPr>
        <w:tab/>
        <w:t>STATEMENT OF ACTIVE SUBSTANCE(S)</w:t>
      </w:r>
    </w:p>
    <w:p w14:paraId="60724474" w14:textId="77777777" w:rsidR="0084086F" w:rsidRDefault="0084086F">
      <w:pPr>
        <w:pStyle w:val="EMEANormal"/>
        <w:rPr>
          <w:lang w:val="en-GB"/>
        </w:rPr>
      </w:pPr>
    </w:p>
    <w:p w14:paraId="1AB8F048" w14:textId="77777777" w:rsidR="00277ECB" w:rsidRDefault="00277ECB">
      <w:pPr>
        <w:pStyle w:val="EMEANormal"/>
        <w:rPr>
          <w:lang w:val="en-GB"/>
        </w:rPr>
      </w:pPr>
      <w:r w:rsidRPr="00342F7C">
        <w:rPr>
          <w:lang w:val="en-GB"/>
        </w:rPr>
        <w:t>Each film-coated tablet contains 200 mg of lopinavir co-formulated with 50 mg of ritonavir as a pharmacokinetic enhancer.</w:t>
      </w:r>
    </w:p>
    <w:p w14:paraId="43E6C157" w14:textId="77777777" w:rsidR="0084086F" w:rsidRDefault="0084086F">
      <w:pPr>
        <w:pStyle w:val="EMEANormal"/>
        <w:rPr>
          <w:lang w:val="en-GB"/>
        </w:rPr>
      </w:pPr>
    </w:p>
    <w:p w14:paraId="0693EF84" w14:textId="77777777" w:rsidR="0084086F" w:rsidRPr="00342F7C" w:rsidRDefault="0084086F">
      <w:pPr>
        <w:pStyle w:val="EMEANormal"/>
        <w:rPr>
          <w:lang w:val="en-GB"/>
        </w:rPr>
      </w:pPr>
    </w:p>
    <w:p w14:paraId="74584450" w14:textId="77777777" w:rsidR="00277ECB" w:rsidRPr="00342F7C" w:rsidRDefault="00277ECB" w:rsidP="0084086F">
      <w:pPr>
        <w:pStyle w:val="EMEAHeadingBoxedEmpty"/>
        <w:spacing w:beforeLines="0" w:before="0"/>
        <w:ind w:left="561" w:hanging="561"/>
        <w:rPr>
          <w:rFonts w:ascii="Times New Roman" w:hAnsi="Times New Roman"/>
          <w:lang w:val="en-GB"/>
        </w:rPr>
      </w:pPr>
      <w:r w:rsidRPr="00342F7C">
        <w:rPr>
          <w:rFonts w:ascii="Times New Roman" w:hAnsi="Times New Roman"/>
          <w:lang w:val="en-GB"/>
        </w:rPr>
        <w:t>3.</w:t>
      </w:r>
      <w:r w:rsidRPr="00342F7C">
        <w:rPr>
          <w:rFonts w:ascii="Times New Roman" w:hAnsi="Times New Roman"/>
          <w:lang w:val="en-GB"/>
        </w:rPr>
        <w:tab/>
        <w:t>LIST OF EXCIPIENTS</w:t>
      </w:r>
    </w:p>
    <w:p w14:paraId="79419517" w14:textId="77777777" w:rsidR="00277ECB" w:rsidRDefault="00277ECB">
      <w:pPr>
        <w:pStyle w:val="EMEANormal"/>
        <w:rPr>
          <w:lang w:val="en-GB"/>
        </w:rPr>
      </w:pPr>
    </w:p>
    <w:p w14:paraId="64018013" w14:textId="77777777" w:rsidR="0084086F" w:rsidRPr="00342F7C" w:rsidRDefault="0084086F">
      <w:pPr>
        <w:pStyle w:val="EMEANormal"/>
        <w:rPr>
          <w:lang w:val="en-GB"/>
        </w:rPr>
      </w:pPr>
    </w:p>
    <w:p w14:paraId="289B4853" w14:textId="77777777" w:rsidR="00277ECB" w:rsidRPr="00342F7C" w:rsidRDefault="00277ECB" w:rsidP="0084086F">
      <w:pPr>
        <w:pStyle w:val="EMEAHeadingBoxedTitle"/>
        <w:spacing w:before="0" w:after="0"/>
        <w:rPr>
          <w:rFonts w:ascii="Times New Roman" w:hAnsi="Times New Roman"/>
          <w:lang w:val="en-GB"/>
        </w:rPr>
      </w:pPr>
      <w:r w:rsidRPr="00342F7C">
        <w:rPr>
          <w:rFonts w:ascii="Times New Roman" w:hAnsi="Times New Roman"/>
          <w:lang w:val="en-GB"/>
        </w:rPr>
        <w:t>4.</w:t>
      </w:r>
      <w:r w:rsidRPr="00342F7C">
        <w:rPr>
          <w:rFonts w:ascii="Times New Roman" w:hAnsi="Times New Roman"/>
          <w:lang w:val="en-GB"/>
        </w:rPr>
        <w:tab/>
        <w:t>PHARMACEUTICAL FORM AND CONTENTS</w:t>
      </w:r>
    </w:p>
    <w:p w14:paraId="68324F73" w14:textId="77777777" w:rsidR="0084086F" w:rsidRDefault="0084086F" w:rsidP="00F96DDF">
      <w:pPr>
        <w:pStyle w:val="EMEANormal"/>
        <w:tabs>
          <w:tab w:val="clear" w:pos="562"/>
        </w:tabs>
        <w:rPr>
          <w:lang w:val="en-GB"/>
        </w:rPr>
      </w:pPr>
    </w:p>
    <w:p w14:paraId="6D1ECA90" w14:textId="77777777" w:rsidR="001F5484" w:rsidRDefault="002E2EE3" w:rsidP="00F96DDF">
      <w:pPr>
        <w:pStyle w:val="EMEANormal"/>
        <w:tabs>
          <w:tab w:val="clear" w:pos="562"/>
        </w:tabs>
        <w:rPr>
          <w:lang w:val="en-GB"/>
        </w:rPr>
      </w:pPr>
      <w:r w:rsidRPr="00342F7C">
        <w:rPr>
          <w:lang w:val="en-GB"/>
        </w:rPr>
        <w:t>Multipack</w:t>
      </w:r>
      <w:r w:rsidR="00F345F7">
        <w:rPr>
          <w:lang w:val="en-GB"/>
        </w:rPr>
        <w:t>:</w:t>
      </w:r>
      <w:r w:rsidRPr="00342F7C">
        <w:rPr>
          <w:lang w:val="en-GB"/>
        </w:rPr>
        <w:t xml:space="preserve"> </w:t>
      </w:r>
      <w:r w:rsidR="00277ECB" w:rsidRPr="00342F7C">
        <w:rPr>
          <w:lang w:val="en-GB"/>
        </w:rPr>
        <w:t xml:space="preserve">120 (3 </w:t>
      </w:r>
      <w:r w:rsidRPr="00342F7C">
        <w:rPr>
          <w:lang w:val="en-GB"/>
        </w:rPr>
        <w:t>packs</w:t>
      </w:r>
      <w:r w:rsidR="00277ECB" w:rsidRPr="00342F7C">
        <w:rPr>
          <w:lang w:val="en-GB"/>
        </w:rPr>
        <w:t xml:space="preserve"> of </w:t>
      </w:r>
      <w:r w:rsidRPr="00342F7C">
        <w:rPr>
          <w:lang w:val="en-GB"/>
        </w:rPr>
        <w:t>40</w:t>
      </w:r>
      <w:r w:rsidR="00F345F7">
        <w:rPr>
          <w:lang w:val="en-GB"/>
        </w:rPr>
        <w:t>) film-coated</w:t>
      </w:r>
      <w:r w:rsidR="00277ECB" w:rsidRPr="00342F7C">
        <w:rPr>
          <w:lang w:val="en-GB"/>
        </w:rPr>
        <w:t xml:space="preserve"> tablets</w:t>
      </w:r>
    </w:p>
    <w:p w14:paraId="514DE3B5" w14:textId="77777777" w:rsidR="003400CE" w:rsidRDefault="001F5484" w:rsidP="00F96DDF">
      <w:pPr>
        <w:pStyle w:val="EMEANormal"/>
        <w:tabs>
          <w:tab w:val="clear" w:pos="562"/>
        </w:tabs>
        <w:rPr>
          <w:lang w:val="en-GB"/>
        </w:rPr>
      </w:pPr>
      <w:r w:rsidRPr="001F5484">
        <w:rPr>
          <w:highlight w:val="lightGray"/>
          <w:lang w:val="en-GB"/>
        </w:rPr>
        <w:t>120 film-coated tablets</w:t>
      </w:r>
      <w:r w:rsidR="003400CE" w:rsidRPr="00342F7C">
        <w:rPr>
          <w:lang w:val="en-GB"/>
        </w:rPr>
        <w:t xml:space="preserve"> </w:t>
      </w:r>
    </w:p>
    <w:p w14:paraId="34257816" w14:textId="77777777" w:rsidR="0084086F" w:rsidRDefault="0084086F" w:rsidP="00F96DDF">
      <w:pPr>
        <w:pStyle w:val="EMEANormal"/>
        <w:tabs>
          <w:tab w:val="clear" w:pos="562"/>
        </w:tabs>
        <w:rPr>
          <w:lang w:val="en-GB"/>
        </w:rPr>
      </w:pPr>
    </w:p>
    <w:p w14:paraId="1C7CBBF6" w14:textId="77777777" w:rsidR="0084086F" w:rsidRPr="00342F7C" w:rsidRDefault="0084086F" w:rsidP="00F96DDF">
      <w:pPr>
        <w:pStyle w:val="EMEANormal"/>
        <w:tabs>
          <w:tab w:val="clear" w:pos="562"/>
        </w:tabs>
        <w:rPr>
          <w:lang w:val="en-GB"/>
        </w:rPr>
      </w:pPr>
    </w:p>
    <w:p w14:paraId="78438948" w14:textId="77777777" w:rsidR="00277ECB" w:rsidRPr="00342F7C" w:rsidRDefault="00277ECB" w:rsidP="0084086F">
      <w:pPr>
        <w:pStyle w:val="EMEAHeadingBoxedTitle"/>
        <w:spacing w:before="0" w:after="0"/>
        <w:rPr>
          <w:rFonts w:ascii="Times New Roman" w:hAnsi="Times New Roman"/>
          <w:lang w:val="en-GB"/>
        </w:rPr>
      </w:pPr>
      <w:r w:rsidRPr="00342F7C">
        <w:rPr>
          <w:rFonts w:ascii="Times New Roman" w:hAnsi="Times New Roman"/>
          <w:lang w:val="en-GB"/>
        </w:rPr>
        <w:t>5.</w:t>
      </w:r>
      <w:r w:rsidRPr="00342F7C">
        <w:rPr>
          <w:rFonts w:ascii="Times New Roman" w:hAnsi="Times New Roman"/>
          <w:lang w:val="en-GB"/>
        </w:rPr>
        <w:tab/>
        <w:t>METHOD AND ROUTE(S) OF ADMINISTRATION</w:t>
      </w:r>
    </w:p>
    <w:p w14:paraId="51F682D8" w14:textId="77777777" w:rsidR="0084086F" w:rsidRDefault="0084086F">
      <w:pPr>
        <w:pStyle w:val="EMEANormal"/>
        <w:rPr>
          <w:lang w:val="en-GB"/>
        </w:rPr>
      </w:pPr>
    </w:p>
    <w:p w14:paraId="790683B0" w14:textId="77777777" w:rsidR="00247547" w:rsidRDefault="00247547" w:rsidP="00247547">
      <w:pPr>
        <w:pStyle w:val="EMEANormal"/>
        <w:rPr>
          <w:lang w:val="en-GB"/>
        </w:rPr>
      </w:pPr>
      <w:r w:rsidRPr="00342F7C">
        <w:rPr>
          <w:lang w:val="en-GB"/>
        </w:rPr>
        <w:t>Read the package leaflet before use</w:t>
      </w:r>
      <w:r w:rsidR="0068223A">
        <w:rPr>
          <w:lang w:val="en-GB"/>
        </w:rPr>
        <w:t>.</w:t>
      </w:r>
    </w:p>
    <w:p w14:paraId="09F6F45F" w14:textId="77777777" w:rsidR="00277ECB" w:rsidRPr="00342F7C" w:rsidRDefault="00277ECB">
      <w:pPr>
        <w:pStyle w:val="EMEANormal"/>
        <w:rPr>
          <w:lang w:val="en-GB"/>
        </w:rPr>
      </w:pPr>
      <w:r w:rsidRPr="00342F7C">
        <w:rPr>
          <w:lang w:val="en-GB"/>
        </w:rPr>
        <w:t>Oral use</w:t>
      </w:r>
    </w:p>
    <w:p w14:paraId="620996AF" w14:textId="77777777" w:rsidR="002F7BB6" w:rsidRDefault="002F7BB6">
      <w:pPr>
        <w:pStyle w:val="EMEANormal"/>
        <w:rPr>
          <w:lang w:val="en-GB"/>
        </w:rPr>
      </w:pPr>
    </w:p>
    <w:p w14:paraId="24E69DEE" w14:textId="77777777" w:rsidR="002F7BB6" w:rsidRPr="00342F7C" w:rsidRDefault="002F7BB6">
      <w:pPr>
        <w:pStyle w:val="EMEANormal"/>
        <w:rPr>
          <w:lang w:val="en-GB"/>
        </w:rPr>
      </w:pPr>
    </w:p>
    <w:p w14:paraId="3E456B95" w14:textId="77777777" w:rsidR="00277ECB" w:rsidRPr="00342F7C" w:rsidRDefault="00277ECB" w:rsidP="002F7BB6">
      <w:pPr>
        <w:pStyle w:val="EMEAHeadingBoxedTitle"/>
        <w:tabs>
          <w:tab w:val="clear" w:pos="562"/>
          <w:tab w:val="left" w:pos="550"/>
        </w:tabs>
        <w:spacing w:before="0" w:after="0"/>
        <w:ind w:left="550" w:hanging="550"/>
        <w:rPr>
          <w:rFonts w:ascii="Times New Roman" w:hAnsi="Times New Roman"/>
          <w:lang w:val="en-GB"/>
        </w:rPr>
      </w:pPr>
      <w:r w:rsidRPr="00342F7C">
        <w:rPr>
          <w:rFonts w:ascii="Times New Roman" w:hAnsi="Times New Roman"/>
          <w:lang w:val="en-GB"/>
        </w:rPr>
        <w:t>6.</w:t>
      </w:r>
      <w:r w:rsidRPr="00342F7C">
        <w:rPr>
          <w:rFonts w:ascii="Times New Roman" w:hAnsi="Times New Roman"/>
          <w:lang w:val="en-GB"/>
        </w:rPr>
        <w:tab/>
        <w:t xml:space="preserve">SPECIAL WARNING THAT THE MEDICINAL PRODUCT MUST BE STORED OUT OF THE </w:t>
      </w:r>
      <w:r w:rsidR="0023490A">
        <w:rPr>
          <w:rFonts w:ascii="Times New Roman" w:hAnsi="Times New Roman"/>
          <w:lang w:val="en-GB"/>
        </w:rPr>
        <w:t>SIGHT</w:t>
      </w:r>
      <w:r w:rsidR="0023490A" w:rsidRPr="00342F7C">
        <w:rPr>
          <w:rFonts w:ascii="Times New Roman" w:hAnsi="Times New Roman"/>
          <w:lang w:val="en-GB"/>
        </w:rPr>
        <w:t xml:space="preserve"> </w:t>
      </w:r>
      <w:r w:rsidRPr="00342F7C">
        <w:rPr>
          <w:rFonts w:ascii="Times New Roman" w:hAnsi="Times New Roman"/>
          <w:lang w:val="en-GB"/>
        </w:rPr>
        <w:t xml:space="preserve">AND </w:t>
      </w:r>
      <w:r w:rsidR="0023490A">
        <w:rPr>
          <w:rFonts w:ascii="Times New Roman" w:hAnsi="Times New Roman"/>
          <w:lang w:val="en-GB"/>
        </w:rPr>
        <w:t>REACH</w:t>
      </w:r>
      <w:r w:rsidR="0023490A" w:rsidRPr="00342F7C">
        <w:rPr>
          <w:rFonts w:ascii="Times New Roman" w:hAnsi="Times New Roman"/>
          <w:lang w:val="en-GB"/>
        </w:rPr>
        <w:t xml:space="preserve"> </w:t>
      </w:r>
      <w:r w:rsidRPr="00342F7C">
        <w:rPr>
          <w:rFonts w:ascii="Times New Roman" w:hAnsi="Times New Roman"/>
          <w:lang w:val="en-GB"/>
        </w:rPr>
        <w:t>OF CHILDREN</w:t>
      </w:r>
    </w:p>
    <w:p w14:paraId="083D0ED8" w14:textId="77777777" w:rsidR="002F7BB6" w:rsidRDefault="002F7BB6">
      <w:pPr>
        <w:pStyle w:val="EMEANormal"/>
        <w:rPr>
          <w:lang w:val="en-GB"/>
        </w:rPr>
      </w:pPr>
    </w:p>
    <w:p w14:paraId="296F3489" w14:textId="77777777" w:rsidR="00277ECB" w:rsidRDefault="00277ECB">
      <w:pPr>
        <w:pStyle w:val="EMEANormal"/>
        <w:rPr>
          <w:lang w:val="en-GB"/>
        </w:rPr>
      </w:pPr>
      <w:r w:rsidRPr="00342F7C">
        <w:rPr>
          <w:lang w:val="en-GB"/>
        </w:rPr>
        <w:t xml:space="preserve">Keep out of the sight </w:t>
      </w:r>
      <w:r w:rsidR="009D5D2E">
        <w:rPr>
          <w:lang w:val="en-GB"/>
        </w:rPr>
        <w:t xml:space="preserve">and reach </w:t>
      </w:r>
      <w:r w:rsidRPr="00342F7C">
        <w:rPr>
          <w:lang w:val="en-GB"/>
        </w:rPr>
        <w:t>of children</w:t>
      </w:r>
      <w:r w:rsidR="0068223A">
        <w:rPr>
          <w:lang w:val="en-GB"/>
        </w:rPr>
        <w:t>.</w:t>
      </w:r>
    </w:p>
    <w:p w14:paraId="2A3F2ADC" w14:textId="77777777" w:rsidR="002F7BB6" w:rsidRDefault="002F7BB6">
      <w:pPr>
        <w:pStyle w:val="EMEANormal"/>
        <w:rPr>
          <w:lang w:val="en-GB"/>
        </w:rPr>
      </w:pPr>
    </w:p>
    <w:p w14:paraId="545C1183" w14:textId="77777777" w:rsidR="002F7BB6" w:rsidRPr="00342F7C" w:rsidRDefault="002F7BB6">
      <w:pPr>
        <w:pStyle w:val="EMEANormal"/>
        <w:rPr>
          <w:lang w:val="en-GB"/>
        </w:rPr>
      </w:pPr>
    </w:p>
    <w:p w14:paraId="6B18B564" w14:textId="77777777" w:rsidR="00277ECB" w:rsidRPr="00342F7C" w:rsidRDefault="00277ECB" w:rsidP="002F7BB6">
      <w:pPr>
        <w:pStyle w:val="EMEAHeadingBoxedTitle"/>
        <w:spacing w:before="0" w:after="0"/>
        <w:rPr>
          <w:rFonts w:ascii="Times New Roman" w:hAnsi="Times New Roman"/>
          <w:lang w:val="en-GB"/>
        </w:rPr>
      </w:pPr>
      <w:r w:rsidRPr="00342F7C">
        <w:rPr>
          <w:rFonts w:ascii="Times New Roman" w:hAnsi="Times New Roman"/>
          <w:lang w:val="en-GB"/>
        </w:rPr>
        <w:t>7.</w:t>
      </w:r>
      <w:r w:rsidRPr="00342F7C">
        <w:rPr>
          <w:rFonts w:ascii="Times New Roman" w:hAnsi="Times New Roman"/>
          <w:lang w:val="en-GB"/>
        </w:rPr>
        <w:tab/>
        <w:t>OTHER SPECIAL WARNING(S), IF NECESSARY</w:t>
      </w:r>
    </w:p>
    <w:p w14:paraId="2DF39F43" w14:textId="77777777" w:rsidR="00277ECB" w:rsidRDefault="00277ECB">
      <w:pPr>
        <w:pStyle w:val="EMEANormal"/>
        <w:rPr>
          <w:lang w:val="en-GB"/>
        </w:rPr>
      </w:pPr>
    </w:p>
    <w:p w14:paraId="76319066" w14:textId="77777777" w:rsidR="002F7BB6" w:rsidRPr="00342F7C" w:rsidRDefault="002F7BB6">
      <w:pPr>
        <w:pStyle w:val="EMEANormal"/>
        <w:rPr>
          <w:lang w:val="en-GB"/>
        </w:rPr>
      </w:pPr>
    </w:p>
    <w:p w14:paraId="667D88B2" w14:textId="77777777" w:rsidR="00277ECB" w:rsidRPr="00342F7C" w:rsidRDefault="00277ECB" w:rsidP="002F7BB6">
      <w:pPr>
        <w:pStyle w:val="EMEAHeadingBoxedTitle"/>
        <w:spacing w:before="0" w:after="0"/>
        <w:rPr>
          <w:rFonts w:ascii="Times New Roman" w:hAnsi="Times New Roman"/>
          <w:lang w:val="en-GB"/>
        </w:rPr>
      </w:pPr>
      <w:r w:rsidRPr="00342F7C">
        <w:rPr>
          <w:rFonts w:ascii="Times New Roman" w:hAnsi="Times New Roman"/>
          <w:lang w:val="en-GB"/>
        </w:rPr>
        <w:t>8.</w:t>
      </w:r>
      <w:r w:rsidRPr="00342F7C">
        <w:rPr>
          <w:rFonts w:ascii="Times New Roman" w:hAnsi="Times New Roman"/>
          <w:lang w:val="en-GB"/>
        </w:rPr>
        <w:tab/>
        <w:t>EXPIRY DATE</w:t>
      </w:r>
    </w:p>
    <w:p w14:paraId="78F20760" w14:textId="77777777" w:rsidR="002F7BB6" w:rsidRDefault="002F7BB6">
      <w:pPr>
        <w:pStyle w:val="EMEANormal"/>
        <w:rPr>
          <w:lang w:val="en-GB"/>
        </w:rPr>
      </w:pPr>
    </w:p>
    <w:p w14:paraId="7811F199" w14:textId="77777777" w:rsidR="00277ECB" w:rsidRDefault="00277ECB">
      <w:pPr>
        <w:pStyle w:val="EMEANormal"/>
        <w:rPr>
          <w:lang w:val="en-GB"/>
        </w:rPr>
      </w:pPr>
      <w:r w:rsidRPr="00342F7C">
        <w:rPr>
          <w:lang w:val="en-GB"/>
        </w:rPr>
        <w:t>EXP</w:t>
      </w:r>
    </w:p>
    <w:p w14:paraId="636E6102" w14:textId="77777777" w:rsidR="002F7BB6" w:rsidRDefault="002F7BB6">
      <w:pPr>
        <w:pStyle w:val="EMEANormal"/>
        <w:rPr>
          <w:lang w:val="en-GB"/>
        </w:rPr>
      </w:pPr>
    </w:p>
    <w:p w14:paraId="1C8C6F42" w14:textId="77777777" w:rsidR="002F7BB6" w:rsidRPr="00342F7C" w:rsidRDefault="002F7BB6">
      <w:pPr>
        <w:pStyle w:val="EMEANormal"/>
        <w:rPr>
          <w:lang w:val="en-GB"/>
        </w:rPr>
      </w:pPr>
    </w:p>
    <w:p w14:paraId="5294EF2C" w14:textId="77777777" w:rsidR="00277ECB" w:rsidRPr="00342F7C" w:rsidRDefault="00277ECB" w:rsidP="002F7BB6">
      <w:pPr>
        <w:pStyle w:val="EMEAHeadingBoxedTitle"/>
        <w:spacing w:before="0" w:after="0"/>
        <w:rPr>
          <w:rFonts w:ascii="Times New Roman" w:hAnsi="Times New Roman"/>
          <w:lang w:val="en-GB"/>
        </w:rPr>
      </w:pPr>
      <w:r w:rsidRPr="00342F7C">
        <w:rPr>
          <w:rFonts w:ascii="Times New Roman" w:hAnsi="Times New Roman"/>
          <w:lang w:val="en-GB"/>
        </w:rPr>
        <w:t>9.</w:t>
      </w:r>
      <w:r w:rsidRPr="00342F7C">
        <w:rPr>
          <w:rFonts w:ascii="Times New Roman" w:hAnsi="Times New Roman"/>
          <w:lang w:val="en-GB"/>
        </w:rPr>
        <w:tab/>
        <w:t>SPECIAL STORAGE CONDITIONS</w:t>
      </w:r>
    </w:p>
    <w:p w14:paraId="36A84DAA" w14:textId="77777777" w:rsidR="00277ECB" w:rsidRDefault="00277ECB">
      <w:pPr>
        <w:pStyle w:val="EMEANormal"/>
        <w:rPr>
          <w:lang w:val="en-GB"/>
        </w:rPr>
      </w:pPr>
    </w:p>
    <w:p w14:paraId="71B85510" w14:textId="77777777" w:rsidR="002F7BB6" w:rsidRPr="00342F7C" w:rsidRDefault="002F7BB6">
      <w:pPr>
        <w:pStyle w:val="EMEANormal"/>
        <w:rPr>
          <w:lang w:val="en-GB"/>
        </w:rPr>
      </w:pPr>
    </w:p>
    <w:p w14:paraId="47A42CA4" w14:textId="77777777" w:rsidR="00277ECB" w:rsidRPr="00342F7C" w:rsidRDefault="00277ECB">
      <w:pPr>
        <w:pStyle w:val="EMEAHeadingBoxedTitle"/>
        <w:tabs>
          <w:tab w:val="clear" w:pos="562"/>
          <w:tab w:val="left" w:pos="550"/>
        </w:tabs>
        <w:spacing w:before="0" w:after="0"/>
        <w:ind w:left="550" w:hanging="550"/>
        <w:rPr>
          <w:rFonts w:ascii="Times New Roman" w:hAnsi="Times New Roman"/>
          <w:lang w:val="en-GB"/>
        </w:rPr>
      </w:pPr>
      <w:r w:rsidRPr="00342F7C">
        <w:rPr>
          <w:rFonts w:ascii="Times New Roman" w:hAnsi="Times New Roman"/>
          <w:lang w:val="en-GB"/>
        </w:rPr>
        <w:t>10.</w:t>
      </w:r>
      <w:r w:rsidRPr="00342F7C">
        <w:rPr>
          <w:rFonts w:ascii="Times New Roman" w:hAnsi="Times New Roman"/>
          <w:lang w:val="en-GB"/>
        </w:rPr>
        <w:tab/>
        <w:t>SPECIAL PRECAUTIONS FOR DISPOSAL OF UNUSED MEDICINAL PRODUCTS OR WASTE MATERIALS DERIVED FROM SUCH MEDICINAL PRODUCTS, IF APPROPRIATE</w:t>
      </w:r>
    </w:p>
    <w:p w14:paraId="005163BA" w14:textId="77777777" w:rsidR="00277ECB" w:rsidRDefault="00277ECB">
      <w:pPr>
        <w:pStyle w:val="EMEANormal"/>
        <w:rPr>
          <w:lang w:val="en-GB"/>
        </w:rPr>
      </w:pPr>
    </w:p>
    <w:p w14:paraId="4D6B895F" w14:textId="77777777" w:rsidR="002F7BB6" w:rsidRPr="00342F7C" w:rsidRDefault="002F7BB6">
      <w:pPr>
        <w:pStyle w:val="EMEANormal"/>
        <w:rPr>
          <w:lang w:val="en-GB"/>
        </w:rPr>
      </w:pPr>
    </w:p>
    <w:p w14:paraId="3181E133" w14:textId="77777777" w:rsidR="00277ECB" w:rsidRPr="00342F7C" w:rsidRDefault="00277ECB" w:rsidP="002F7BB6">
      <w:pPr>
        <w:pStyle w:val="EMEAHeadingBoxedTitle"/>
        <w:spacing w:before="0" w:after="0"/>
        <w:rPr>
          <w:rFonts w:ascii="Times New Roman" w:hAnsi="Times New Roman"/>
          <w:lang w:val="en-GB"/>
        </w:rPr>
      </w:pPr>
      <w:r w:rsidRPr="00342F7C">
        <w:rPr>
          <w:rFonts w:ascii="Times New Roman" w:hAnsi="Times New Roman"/>
          <w:lang w:val="en-GB"/>
        </w:rPr>
        <w:t>11.</w:t>
      </w:r>
      <w:r w:rsidRPr="00342F7C">
        <w:rPr>
          <w:rFonts w:ascii="Times New Roman" w:hAnsi="Times New Roman"/>
          <w:lang w:val="en-GB"/>
        </w:rPr>
        <w:tab/>
        <w:t>NAME AND ADDRESS OF THE MARKETING AUTHORISATION HOLDER</w:t>
      </w:r>
    </w:p>
    <w:p w14:paraId="5EA921AA" w14:textId="77777777" w:rsidR="002F7BB6" w:rsidRDefault="002F7BB6" w:rsidP="00F423D9">
      <w:pPr>
        <w:pStyle w:val="EMEANormal"/>
        <w:rPr>
          <w:lang w:val="en-GB"/>
        </w:rPr>
      </w:pPr>
    </w:p>
    <w:p w14:paraId="197D632F" w14:textId="77777777" w:rsidR="00A118F7" w:rsidRPr="00A118F7" w:rsidRDefault="00A118F7" w:rsidP="00A118F7">
      <w:pPr>
        <w:keepNext/>
        <w:autoSpaceDE w:val="0"/>
        <w:autoSpaceDN w:val="0"/>
        <w:adjustRightInd w:val="0"/>
        <w:spacing w:line="240" w:lineRule="atLeast"/>
        <w:rPr>
          <w:sz w:val="22"/>
          <w:szCs w:val="22"/>
          <w:lang w:eastAsia="en-GB"/>
        </w:rPr>
      </w:pPr>
      <w:r w:rsidRPr="00A118F7">
        <w:rPr>
          <w:sz w:val="22"/>
          <w:szCs w:val="22"/>
          <w:lang w:eastAsia="en-GB"/>
        </w:rPr>
        <w:t>AbbVie Deutschland GmbH &amp; Co. KG</w:t>
      </w:r>
    </w:p>
    <w:p w14:paraId="7A52AF2E" w14:textId="77777777" w:rsidR="00A118F7" w:rsidRPr="00A118F7" w:rsidRDefault="00A118F7" w:rsidP="00A118F7">
      <w:pPr>
        <w:keepNext/>
        <w:autoSpaceDE w:val="0"/>
        <w:autoSpaceDN w:val="0"/>
        <w:adjustRightInd w:val="0"/>
        <w:spacing w:line="240" w:lineRule="atLeast"/>
        <w:rPr>
          <w:sz w:val="22"/>
          <w:szCs w:val="22"/>
          <w:lang w:eastAsia="en-GB"/>
        </w:rPr>
      </w:pPr>
      <w:r w:rsidRPr="00A118F7">
        <w:rPr>
          <w:sz w:val="22"/>
          <w:szCs w:val="22"/>
          <w:lang w:eastAsia="en-GB"/>
        </w:rPr>
        <w:t>Knollstrasse</w:t>
      </w:r>
    </w:p>
    <w:p w14:paraId="51175EE3" w14:textId="77777777" w:rsidR="00A118F7" w:rsidRPr="00A118F7" w:rsidRDefault="00A118F7" w:rsidP="00A118F7">
      <w:pPr>
        <w:keepNext/>
        <w:autoSpaceDE w:val="0"/>
        <w:autoSpaceDN w:val="0"/>
        <w:adjustRightInd w:val="0"/>
        <w:spacing w:line="240" w:lineRule="atLeast"/>
        <w:rPr>
          <w:sz w:val="22"/>
          <w:szCs w:val="22"/>
          <w:lang w:eastAsia="en-GB"/>
        </w:rPr>
      </w:pPr>
      <w:r w:rsidRPr="00A118F7">
        <w:rPr>
          <w:sz w:val="22"/>
          <w:szCs w:val="22"/>
          <w:lang w:eastAsia="en-GB"/>
        </w:rPr>
        <w:t>67061 Ludwigshafen</w:t>
      </w:r>
    </w:p>
    <w:p w14:paraId="08A008F4" w14:textId="77777777" w:rsidR="00F423D9" w:rsidRDefault="00A118F7" w:rsidP="00A118F7">
      <w:pPr>
        <w:pStyle w:val="EMEANormal"/>
        <w:rPr>
          <w:lang w:val="en-GB"/>
        </w:rPr>
      </w:pPr>
      <w:r w:rsidRPr="00A118F7">
        <w:rPr>
          <w:szCs w:val="22"/>
          <w:lang w:val="en-GB" w:eastAsia="en-GB"/>
        </w:rPr>
        <w:t>Germany</w:t>
      </w:r>
    </w:p>
    <w:p w14:paraId="7E842DFC" w14:textId="77777777" w:rsidR="002F7BB6" w:rsidRDefault="002F7BB6" w:rsidP="00F423D9">
      <w:pPr>
        <w:pStyle w:val="EMEANormal"/>
        <w:rPr>
          <w:lang w:val="en-GB"/>
        </w:rPr>
      </w:pPr>
    </w:p>
    <w:p w14:paraId="2FE52957" w14:textId="77777777" w:rsidR="002F7BB6" w:rsidRDefault="002F7BB6" w:rsidP="00F423D9">
      <w:pPr>
        <w:pStyle w:val="EMEANormal"/>
        <w:rPr>
          <w:lang w:val="en-GB"/>
        </w:rPr>
      </w:pPr>
    </w:p>
    <w:p w14:paraId="056FADC6" w14:textId="77777777" w:rsidR="00277ECB" w:rsidRPr="00342F7C" w:rsidRDefault="00277ECB" w:rsidP="002F7BB6">
      <w:pPr>
        <w:pStyle w:val="EMEAHeadingBoxedTitle"/>
        <w:spacing w:before="0" w:after="0"/>
        <w:rPr>
          <w:rFonts w:ascii="Times New Roman" w:hAnsi="Times New Roman"/>
          <w:lang w:val="en-GB"/>
        </w:rPr>
      </w:pPr>
      <w:r w:rsidRPr="00342F7C">
        <w:rPr>
          <w:rFonts w:ascii="Times New Roman" w:hAnsi="Times New Roman"/>
          <w:lang w:val="en-GB"/>
        </w:rPr>
        <w:t>12.</w:t>
      </w:r>
      <w:r w:rsidRPr="00342F7C">
        <w:rPr>
          <w:rFonts w:ascii="Times New Roman" w:hAnsi="Times New Roman"/>
          <w:lang w:val="en-GB"/>
        </w:rPr>
        <w:tab/>
        <w:t>MARKETING AUTHORISATION NUMBER(S)</w:t>
      </w:r>
    </w:p>
    <w:p w14:paraId="286A3D21" w14:textId="77777777" w:rsidR="002F7BB6" w:rsidRDefault="002F7BB6">
      <w:pPr>
        <w:pStyle w:val="EMEANormal"/>
        <w:rPr>
          <w:lang w:val="en-GB"/>
        </w:rPr>
      </w:pPr>
    </w:p>
    <w:p w14:paraId="0EB7D74F" w14:textId="77777777" w:rsidR="00277ECB" w:rsidRPr="00342F7C" w:rsidRDefault="00277ECB">
      <w:pPr>
        <w:pStyle w:val="EMEANormal"/>
        <w:rPr>
          <w:lang w:val="en-GB"/>
        </w:rPr>
      </w:pPr>
      <w:r w:rsidRPr="00342F7C">
        <w:rPr>
          <w:lang w:val="en-GB"/>
        </w:rPr>
        <w:t>EU/1/01/172/005</w:t>
      </w:r>
      <w:r w:rsidR="000F76DE">
        <w:rPr>
          <w:lang w:val="en-GB"/>
        </w:rPr>
        <w:t xml:space="preserve"> </w:t>
      </w:r>
      <w:r w:rsidR="000F76DE" w:rsidRPr="000F76DE">
        <w:rPr>
          <w:highlight w:val="lightGray"/>
          <w:lang w:val="en-GB"/>
        </w:rPr>
        <w:t>– multipack: 120 (3 packs of 40) film-coated tablets</w:t>
      </w:r>
    </w:p>
    <w:p w14:paraId="3DCBADA4" w14:textId="77777777" w:rsidR="003400CE" w:rsidRDefault="003400CE">
      <w:pPr>
        <w:pStyle w:val="EMEANormal"/>
        <w:rPr>
          <w:lang w:val="en-GB"/>
        </w:rPr>
      </w:pPr>
      <w:r w:rsidRPr="00342F7C">
        <w:rPr>
          <w:lang w:val="en-GB"/>
        </w:rPr>
        <w:t>EU/1/01/172/008</w:t>
      </w:r>
      <w:r w:rsidR="000F76DE">
        <w:rPr>
          <w:lang w:val="en-GB"/>
        </w:rPr>
        <w:t xml:space="preserve"> </w:t>
      </w:r>
      <w:r w:rsidR="000F76DE" w:rsidRPr="000F76DE">
        <w:rPr>
          <w:highlight w:val="lightGray"/>
          <w:lang w:val="en-GB"/>
        </w:rPr>
        <w:t>– carton of 120 film-coated tablets</w:t>
      </w:r>
    </w:p>
    <w:p w14:paraId="49D15268" w14:textId="77777777" w:rsidR="002F7BB6" w:rsidRDefault="002F7BB6">
      <w:pPr>
        <w:pStyle w:val="EMEANormal"/>
        <w:rPr>
          <w:lang w:val="en-GB"/>
        </w:rPr>
      </w:pPr>
    </w:p>
    <w:p w14:paraId="7E5333D9" w14:textId="77777777" w:rsidR="002F7BB6" w:rsidRPr="00342F7C" w:rsidRDefault="002F7BB6">
      <w:pPr>
        <w:pStyle w:val="EMEANormal"/>
        <w:rPr>
          <w:lang w:val="en-GB"/>
        </w:rPr>
      </w:pPr>
    </w:p>
    <w:p w14:paraId="58F90464" w14:textId="77777777" w:rsidR="00277ECB" w:rsidRPr="00342F7C" w:rsidRDefault="00277ECB" w:rsidP="002F7BB6">
      <w:pPr>
        <w:pStyle w:val="EMEAHeadingBoxedTitle"/>
        <w:spacing w:before="0" w:after="0"/>
        <w:rPr>
          <w:rFonts w:ascii="Times New Roman" w:hAnsi="Times New Roman"/>
          <w:lang w:val="en-GB"/>
        </w:rPr>
      </w:pPr>
      <w:r w:rsidRPr="00342F7C">
        <w:rPr>
          <w:rFonts w:ascii="Times New Roman" w:hAnsi="Times New Roman"/>
          <w:lang w:val="en-GB"/>
        </w:rPr>
        <w:t>13.</w:t>
      </w:r>
      <w:r w:rsidRPr="00342F7C">
        <w:rPr>
          <w:rFonts w:ascii="Times New Roman" w:hAnsi="Times New Roman"/>
          <w:lang w:val="en-GB"/>
        </w:rPr>
        <w:tab/>
        <w:t>BATCH NUMBER</w:t>
      </w:r>
    </w:p>
    <w:p w14:paraId="642A5435" w14:textId="77777777" w:rsidR="002F7BB6" w:rsidRDefault="002F7BB6">
      <w:pPr>
        <w:pStyle w:val="EMEANormal"/>
        <w:rPr>
          <w:lang w:val="en-GB"/>
        </w:rPr>
      </w:pPr>
    </w:p>
    <w:p w14:paraId="46ED53F7" w14:textId="77777777" w:rsidR="00277ECB" w:rsidRDefault="00277ECB">
      <w:pPr>
        <w:pStyle w:val="EMEANormal"/>
        <w:rPr>
          <w:lang w:val="en-GB"/>
        </w:rPr>
      </w:pPr>
      <w:r w:rsidRPr="00342F7C">
        <w:rPr>
          <w:lang w:val="en-GB"/>
        </w:rPr>
        <w:t>Lot</w:t>
      </w:r>
    </w:p>
    <w:p w14:paraId="19BAF4FD" w14:textId="77777777" w:rsidR="002F7BB6" w:rsidRDefault="002F7BB6">
      <w:pPr>
        <w:pStyle w:val="EMEANormal"/>
        <w:rPr>
          <w:lang w:val="en-GB"/>
        </w:rPr>
      </w:pPr>
    </w:p>
    <w:p w14:paraId="3455419D" w14:textId="77777777" w:rsidR="002F7BB6" w:rsidRPr="00342F7C" w:rsidRDefault="002F7BB6">
      <w:pPr>
        <w:pStyle w:val="EMEANormal"/>
        <w:rPr>
          <w:lang w:val="en-GB"/>
        </w:rPr>
      </w:pPr>
    </w:p>
    <w:p w14:paraId="45C2E440" w14:textId="77777777" w:rsidR="00277ECB" w:rsidRPr="00342F7C" w:rsidRDefault="00277ECB" w:rsidP="002F7BB6">
      <w:pPr>
        <w:pStyle w:val="EMEAHeadingBoxedTitle"/>
        <w:spacing w:before="0" w:after="0"/>
        <w:rPr>
          <w:rFonts w:ascii="Times New Roman" w:hAnsi="Times New Roman"/>
          <w:lang w:val="en-GB"/>
        </w:rPr>
      </w:pPr>
      <w:r w:rsidRPr="00342F7C">
        <w:rPr>
          <w:rFonts w:ascii="Times New Roman" w:hAnsi="Times New Roman"/>
          <w:lang w:val="en-GB"/>
        </w:rPr>
        <w:t>14.</w:t>
      </w:r>
      <w:r w:rsidRPr="00342F7C">
        <w:rPr>
          <w:rFonts w:ascii="Times New Roman" w:hAnsi="Times New Roman"/>
          <w:lang w:val="en-GB"/>
        </w:rPr>
        <w:tab/>
        <w:t>GENERAL CLASSIFICATION FOR SUPPLY</w:t>
      </w:r>
    </w:p>
    <w:p w14:paraId="60BB3846" w14:textId="77777777" w:rsidR="002F7BB6" w:rsidRDefault="002F7BB6">
      <w:pPr>
        <w:pStyle w:val="EMEANormal"/>
        <w:rPr>
          <w:lang w:val="en-GB"/>
        </w:rPr>
      </w:pPr>
    </w:p>
    <w:p w14:paraId="096ACB25" w14:textId="77777777" w:rsidR="002F7BB6" w:rsidRPr="00342F7C" w:rsidRDefault="002F7BB6">
      <w:pPr>
        <w:pStyle w:val="EMEANormal"/>
        <w:rPr>
          <w:lang w:val="en-GB"/>
        </w:rPr>
      </w:pPr>
    </w:p>
    <w:p w14:paraId="61000BA1" w14:textId="77777777" w:rsidR="00277ECB" w:rsidRPr="00342F7C" w:rsidRDefault="00277ECB" w:rsidP="002F7BB6">
      <w:pPr>
        <w:pStyle w:val="EMEAHeadingBoxedTitle"/>
        <w:spacing w:before="0" w:after="0"/>
        <w:rPr>
          <w:rFonts w:ascii="Times New Roman" w:hAnsi="Times New Roman"/>
          <w:lang w:val="en-GB"/>
        </w:rPr>
      </w:pPr>
      <w:r w:rsidRPr="00342F7C">
        <w:rPr>
          <w:rFonts w:ascii="Times New Roman" w:hAnsi="Times New Roman"/>
          <w:lang w:val="en-GB"/>
        </w:rPr>
        <w:t>15.</w:t>
      </w:r>
      <w:r w:rsidRPr="00342F7C">
        <w:rPr>
          <w:rFonts w:ascii="Times New Roman" w:hAnsi="Times New Roman"/>
          <w:lang w:val="en-GB"/>
        </w:rPr>
        <w:tab/>
        <w:t>INSTRUCTIONS ON USE</w:t>
      </w:r>
    </w:p>
    <w:p w14:paraId="59CAFA60" w14:textId="77777777" w:rsidR="00277ECB" w:rsidRDefault="00277ECB">
      <w:pPr>
        <w:tabs>
          <w:tab w:val="left" w:pos="567"/>
        </w:tabs>
        <w:rPr>
          <w:sz w:val="22"/>
        </w:rPr>
      </w:pPr>
    </w:p>
    <w:p w14:paraId="5AF41B60" w14:textId="77777777" w:rsidR="002F7BB6" w:rsidRPr="00342F7C" w:rsidRDefault="002F7BB6">
      <w:pPr>
        <w:tabs>
          <w:tab w:val="left" w:pos="567"/>
        </w:tabs>
        <w:rPr>
          <w:sz w:val="22"/>
        </w:rPr>
      </w:pPr>
    </w:p>
    <w:p w14:paraId="61CB1E4B" w14:textId="77777777" w:rsidR="00277ECB" w:rsidRPr="00342F7C" w:rsidRDefault="00277ECB" w:rsidP="002F7BB6">
      <w:pPr>
        <w:pStyle w:val="EMEAHeadingBoxedTitle"/>
        <w:spacing w:before="0" w:after="0"/>
        <w:rPr>
          <w:rFonts w:ascii="Times New Roman" w:hAnsi="Times New Roman"/>
          <w:lang w:val="en-GB"/>
        </w:rPr>
      </w:pPr>
      <w:r w:rsidRPr="00342F7C">
        <w:rPr>
          <w:rFonts w:ascii="Times New Roman" w:hAnsi="Times New Roman"/>
          <w:lang w:val="en-GB"/>
        </w:rPr>
        <w:t>16.</w:t>
      </w:r>
      <w:r w:rsidRPr="00342F7C">
        <w:rPr>
          <w:rFonts w:ascii="Times New Roman" w:hAnsi="Times New Roman"/>
          <w:lang w:val="en-GB"/>
        </w:rPr>
        <w:tab/>
        <w:t>Information in braille</w:t>
      </w:r>
    </w:p>
    <w:p w14:paraId="48561D14" w14:textId="77777777" w:rsidR="00247547" w:rsidRDefault="00247547">
      <w:pPr>
        <w:pStyle w:val="EMEANormal"/>
        <w:rPr>
          <w:lang w:val="en-GB"/>
        </w:rPr>
      </w:pPr>
    </w:p>
    <w:p w14:paraId="2AA66F72" w14:textId="77777777" w:rsidR="00277ECB" w:rsidRPr="00342F7C" w:rsidRDefault="00886E73">
      <w:pPr>
        <w:pStyle w:val="EMEANormal"/>
        <w:rPr>
          <w:lang w:val="en-GB"/>
        </w:rPr>
      </w:pPr>
      <w:r>
        <w:rPr>
          <w:lang w:val="en-GB"/>
        </w:rPr>
        <w:t>Kaletra 200 mg/50 </w:t>
      </w:r>
      <w:r w:rsidR="00277ECB" w:rsidRPr="00342F7C">
        <w:rPr>
          <w:lang w:val="en-GB"/>
        </w:rPr>
        <w:t xml:space="preserve">mg </w:t>
      </w:r>
      <w:r w:rsidR="007F2D80" w:rsidRPr="00342F7C">
        <w:rPr>
          <w:lang w:val="en-GB"/>
        </w:rPr>
        <w:t>tablets</w:t>
      </w:r>
    </w:p>
    <w:p w14:paraId="4E0E2076" w14:textId="77777777" w:rsidR="00277ECB" w:rsidRPr="00342F7C" w:rsidRDefault="00277ECB">
      <w:pPr>
        <w:pStyle w:val="EMEANormal"/>
        <w:rPr>
          <w:lang w:val="en-GB"/>
        </w:rPr>
      </w:pPr>
    </w:p>
    <w:p w14:paraId="0F00239D" w14:textId="77777777" w:rsidR="0068223A" w:rsidRPr="00342F7C" w:rsidRDefault="0068223A" w:rsidP="0068223A">
      <w:pPr>
        <w:pStyle w:val="EMEANormal"/>
        <w:rPr>
          <w:lang w:val="en-GB"/>
        </w:rPr>
      </w:pPr>
    </w:p>
    <w:p w14:paraId="13630239" w14:textId="77777777" w:rsidR="0068223A" w:rsidRPr="00342F7C" w:rsidRDefault="0068223A" w:rsidP="0068223A">
      <w:pPr>
        <w:pStyle w:val="EMEAHeadingBoxedTitle"/>
        <w:spacing w:before="0" w:after="0"/>
        <w:rPr>
          <w:rFonts w:ascii="Times New Roman" w:hAnsi="Times New Roman"/>
          <w:lang w:val="en-GB"/>
        </w:rPr>
      </w:pPr>
      <w:r>
        <w:rPr>
          <w:rFonts w:ascii="Times New Roman" w:hAnsi="Times New Roman"/>
          <w:lang w:val="en-GB"/>
        </w:rPr>
        <w:t>17</w:t>
      </w:r>
      <w:r w:rsidRPr="00342F7C">
        <w:rPr>
          <w:rFonts w:ascii="Times New Roman" w:hAnsi="Times New Roman"/>
          <w:lang w:val="en-GB"/>
        </w:rPr>
        <w:t>.</w:t>
      </w:r>
      <w:r w:rsidRPr="00342F7C">
        <w:rPr>
          <w:rFonts w:ascii="Times New Roman" w:hAnsi="Times New Roman"/>
          <w:lang w:val="en-GB"/>
        </w:rPr>
        <w:tab/>
      </w:r>
      <w:r>
        <w:rPr>
          <w:rFonts w:ascii="Times New Roman" w:hAnsi="Times New Roman"/>
          <w:lang w:val="en-GB"/>
        </w:rPr>
        <w:t>UNIQUE IDENTIFIER – 2D BARCODE</w:t>
      </w:r>
    </w:p>
    <w:p w14:paraId="5859036C" w14:textId="77777777" w:rsidR="0068223A" w:rsidRDefault="0068223A" w:rsidP="0068223A">
      <w:pPr>
        <w:pStyle w:val="EMEANormal"/>
        <w:rPr>
          <w:lang w:val="en-GB"/>
        </w:rPr>
      </w:pPr>
    </w:p>
    <w:p w14:paraId="69E52158" w14:textId="77777777" w:rsidR="0068223A" w:rsidRPr="00D36207" w:rsidRDefault="0068223A" w:rsidP="0068223A">
      <w:pPr>
        <w:autoSpaceDE w:val="0"/>
        <w:autoSpaceDN w:val="0"/>
        <w:adjustRightInd w:val="0"/>
        <w:rPr>
          <w:sz w:val="22"/>
          <w:szCs w:val="22"/>
          <w:lang w:eastAsia="en-GB"/>
        </w:rPr>
      </w:pPr>
      <w:r w:rsidRPr="00D36207">
        <w:rPr>
          <w:sz w:val="22"/>
          <w:szCs w:val="22"/>
          <w:highlight w:val="lightGray"/>
          <w:lang w:eastAsia="en-GB"/>
        </w:rPr>
        <w:t>2D barcode carrying the unique identifier included.</w:t>
      </w:r>
    </w:p>
    <w:p w14:paraId="163D2861" w14:textId="77777777" w:rsidR="0068223A" w:rsidRDefault="0068223A" w:rsidP="0068223A">
      <w:pPr>
        <w:pStyle w:val="EMEANormal"/>
        <w:rPr>
          <w:lang w:val="en-GB"/>
        </w:rPr>
      </w:pPr>
    </w:p>
    <w:p w14:paraId="4342CAEF" w14:textId="77777777" w:rsidR="0068223A" w:rsidRPr="00342F7C" w:rsidRDefault="0068223A" w:rsidP="0068223A">
      <w:pPr>
        <w:pStyle w:val="EMEANormal"/>
        <w:rPr>
          <w:lang w:val="en-GB"/>
        </w:rPr>
      </w:pPr>
    </w:p>
    <w:p w14:paraId="7470076A" w14:textId="77777777" w:rsidR="0068223A" w:rsidRPr="00342F7C" w:rsidRDefault="0068223A" w:rsidP="0068223A">
      <w:pPr>
        <w:pStyle w:val="EMEAHeadingBoxedTitle"/>
        <w:spacing w:before="0" w:after="0"/>
        <w:rPr>
          <w:rFonts w:ascii="Times New Roman" w:hAnsi="Times New Roman"/>
          <w:lang w:val="en-GB"/>
        </w:rPr>
      </w:pPr>
      <w:r>
        <w:rPr>
          <w:rFonts w:ascii="Times New Roman" w:hAnsi="Times New Roman"/>
          <w:lang w:val="en-GB"/>
        </w:rPr>
        <w:t>18</w:t>
      </w:r>
      <w:r w:rsidRPr="00342F7C">
        <w:rPr>
          <w:rFonts w:ascii="Times New Roman" w:hAnsi="Times New Roman"/>
          <w:lang w:val="en-GB"/>
        </w:rPr>
        <w:t>.</w:t>
      </w:r>
      <w:r w:rsidRPr="00342F7C">
        <w:rPr>
          <w:rFonts w:ascii="Times New Roman" w:hAnsi="Times New Roman"/>
          <w:lang w:val="en-GB"/>
        </w:rPr>
        <w:tab/>
      </w:r>
      <w:r>
        <w:rPr>
          <w:rFonts w:ascii="Times New Roman" w:hAnsi="Times New Roman"/>
          <w:lang w:val="en-GB"/>
        </w:rPr>
        <w:t>UNIQUE IDENTIFIER – HUMAN READABLE DATA</w:t>
      </w:r>
    </w:p>
    <w:p w14:paraId="08D9707C" w14:textId="77777777" w:rsidR="0068223A" w:rsidRDefault="0068223A" w:rsidP="0068223A">
      <w:pPr>
        <w:pStyle w:val="EMEANormal"/>
        <w:rPr>
          <w:lang w:val="en-GB"/>
        </w:rPr>
      </w:pPr>
    </w:p>
    <w:p w14:paraId="18BD0C02" w14:textId="77777777" w:rsidR="0068223A" w:rsidRPr="00D36207" w:rsidRDefault="0068223A" w:rsidP="0068223A">
      <w:pPr>
        <w:autoSpaceDE w:val="0"/>
        <w:autoSpaceDN w:val="0"/>
        <w:adjustRightInd w:val="0"/>
        <w:rPr>
          <w:sz w:val="22"/>
          <w:szCs w:val="22"/>
          <w:lang w:eastAsia="en-GB"/>
        </w:rPr>
      </w:pPr>
      <w:r w:rsidRPr="00D36207">
        <w:rPr>
          <w:sz w:val="22"/>
          <w:szCs w:val="22"/>
          <w:lang w:eastAsia="en-GB"/>
        </w:rPr>
        <w:t>PC</w:t>
      </w:r>
    </w:p>
    <w:p w14:paraId="27825CBB" w14:textId="77777777" w:rsidR="0068223A" w:rsidRPr="00D36207" w:rsidRDefault="0068223A" w:rsidP="0068223A">
      <w:pPr>
        <w:pStyle w:val="EMEANormal"/>
        <w:rPr>
          <w:szCs w:val="22"/>
          <w:lang w:eastAsia="en-GB"/>
        </w:rPr>
      </w:pPr>
      <w:r w:rsidRPr="00D36207">
        <w:rPr>
          <w:szCs w:val="22"/>
          <w:lang w:eastAsia="en-GB"/>
        </w:rPr>
        <w:t>SN</w:t>
      </w:r>
    </w:p>
    <w:p w14:paraId="4F2C27A8" w14:textId="77777777" w:rsidR="0068223A" w:rsidRPr="009F191D" w:rsidRDefault="0068223A" w:rsidP="0068223A">
      <w:pPr>
        <w:pStyle w:val="EMEANormal"/>
        <w:rPr>
          <w:lang w:val="en-GB"/>
        </w:rPr>
      </w:pPr>
      <w:r w:rsidRPr="00D36207">
        <w:rPr>
          <w:szCs w:val="22"/>
          <w:highlight w:val="lightGray"/>
          <w:lang w:eastAsia="en-GB"/>
        </w:rPr>
        <w:t>NN</w:t>
      </w:r>
    </w:p>
    <w:p w14:paraId="6BFA3AEF" w14:textId="77777777" w:rsidR="00277ECB" w:rsidRPr="00342F7C" w:rsidRDefault="00277ECB">
      <w:pPr>
        <w:pStyle w:val="EMEANormal"/>
        <w:rPr>
          <w:lang w:val="en-GB"/>
        </w:rPr>
      </w:pPr>
      <w:r w:rsidRPr="00342F7C">
        <w:rPr>
          <w:lang w:val="en-GB"/>
        </w:rPr>
        <w:br w:type="page"/>
      </w:r>
    </w:p>
    <w:p w14:paraId="79B3DA08" w14:textId="77777777" w:rsidR="00277ECB" w:rsidRPr="00342F7C" w:rsidRDefault="00277ECB">
      <w:pPr>
        <w:pStyle w:val="EMEAHeadingBoxedTitle"/>
        <w:spacing w:before="0" w:after="0"/>
        <w:rPr>
          <w:rFonts w:ascii="Times New Roman" w:hAnsi="Times New Roman"/>
          <w:lang w:val="en-GB"/>
        </w:rPr>
      </w:pPr>
      <w:r w:rsidRPr="00342F7C">
        <w:rPr>
          <w:rFonts w:ascii="Times New Roman" w:hAnsi="Times New Roman"/>
          <w:lang w:val="en-GB"/>
        </w:rPr>
        <w:t xml:space="preserve">PARTICULARS TO APPEAR ON THE </w:t>
      </w:r>
      <w:r w:rsidR="00F93CCB" w:rsidRPr="00342F7C">
        <w:rPr>
          <w:rFonts w:ascii="Times New Roman" w:hAnsi="Times New Roman"/>
          <w:lang w:val="en-GB"/>
        </w:rPr>
        <w:t>InTERMEDIATE CARTON</w:t>
      </w:r>
      <w:r w:rsidRPr="00342F7C">
        <w:rPr>
          <w:rFonts w:ascii="Times New Roman" w:hAnsi="Times New Roman"/>
          <w:lang w:val="en-GB"/>
        </w:rPr>
        <w:t xml:space="preserve"> </w:t>
      </w:r>
    </w:p>
    <w:p w14:paraId="03C064D0" w14:textId="77777777" w:rsidR="00277ECB" w:rsidRPr="00342F7C" w:rsidRDefault="00277ECB">
      <w:pPr>
        <w:pStyle w:val="EMEAHeadingBoxedTitle"/>
        <w:spacing w:before="0" w:after="0"/>
        <w:rPr>
          <w:rFonts w:ascii="Times New Roman" w:hAnsi="Times New Roman"/>
          <w:lang w:val="en-GB"/>
        </w:rPr>
      </w:pPr>
    </w:p>
    <w:p w14:paraId="06E83571" w14:textId="77777777" w:rsidR="00277ECB" w:rsidRPr="00342F7C" w:rsidRDefault="000F76DE">
      <w:pPr>
        <w:pStyle w:val="EMEAHeadingBoxedTitle"/>
        <w:spacing w:before="0" w:after="0"/>
        <w:rPr>
          <w:rFonts w:ascii="Times New Roman" w:hAnsi="Times New Roman"/>
          <w:bCs/>
          <w:lang w:val="en-GB"/>
        </w:rPr>
      </w:pPr>
      <w:r>
        <w:rPr>
          <w:bCs/>
          <w:caps w:val="0"/>
          <w:lang w:val="en-GB"/>
        </w:rPr>
        <w:t xml:space="preserve">Inner carton of </w:t>
      </w:r>
      <w:r w:rsidR="00C476A8" w:rsidRPr="00C476A8">
        <w:rPr>
          <w:bCs/>
          <w:caps w:val="0"/>
          <w:lang w:val="en-GB"/>
        </w:rPr>
        <w:t>m</w:t>
      </w:r>
      <w:r w:rsidR="00F96DDF" w:rsidRPr="00342F7C">
        <w:rPr>
          <w:bCs/>
          <w:caps w:val="0"/>
          <w:lang w:val="en-GB"/>
        </w:rPr>
        <w:t xml:space="preserve">ultipack of </w:t>
      </w:r>
      <w:r w:rsidR="00F93CCB" w:rsidRPr="00342F7C">
        <w:rPr>
          <w:rFonts w:ascii="Times New Roman" w:hAnsi="Times New Roman"/>
          <w:bCs/>
          <w:lang w:val="en-GB"/>
        </w:rPr>
        <w:t>120</w:t>
      </w:r>
      <w:r w:rsidR="00F93CCB" w:rsidRPr="00342F7C">
        <w:rPr>
          <w:bCs/>
          <w:caps w:val="0"/>
          <w:lang w:val="en-GB"/>
        </w:rPr>
        <w:t xml:space="preserve"> (3 packs of 40</w:t>
      </w:r>
      <w:r>
        <w:rPr>
          <w:bCs/>
          <w:caps w:val="0"/>
          <w:lang w:val="en-GB"/>
        </w:rPr>
        <w:t>)</w:t>
      </w:r>
      <w:r w:rsidR="00F93CCB" w:rsidRPr="00342F7C">
        <w:rPr>
          <w:bCs/>
          <w:caps w:val="0"/>
          <w:lang w:val="en-GB"/>
        </w:rPr>
        <w:t xml:space="preserve"> </w:t>
      </w:r>
      <w:r w:rsidR="00277ECB" w:rsidRPr="00342F7C">
        <w:rPr>
          <w:bCs/>
          <w:caps w:val="0"/>
          <w:lang w:val="en-GB"/>
        </w:rPr>
        <w:t xml:space="preserve">200 mg/50 mg </w:t>
      </w:r>
      <w:r>
        <w:rPr>
          <w:bCs/>
          <w:caps w:val="0"/>
          <w:lang w:val="en-GB"/>
        </w:rPr>
        <w:t xml:space="preserve">film-coated </w:t>
      </w:r>
      <w:r w:rsidR="00F96DDF" w:rsidRPr="00342F7C">
        <w:rPr>
          <w:bCs/>
          <w:caps w:val="0"/>
          <w:lang w:val="en-GB"/>
        </w:rPr>
        <w:t>tablets</w:t>
      </w:r>
      <w:r w:rsidR="00F93CCB" w:rsidRPr="00342F7C">
        <w:rPr>
          <w:bCs/>
          <w:caps w:val="0"/>
          <w:lang w:val="en-GB"/>
        </w:rPr>
        <w:t>)</w:t>
      </w:r>
      <w:r w:rsidR="00277ECB" w:rsidRPr="00342F7C">
        <w:rPr>
          <w:bCs/>
          <w:caps w:val="0"/>
          <w:lang w:val="en-GB"/>
        </w:rPr>
        <w:t xml:space="preserve"> </w:t>
      </w:r>
      <w:r w:rsidR="00F93CCB" w:rsidRPr="00342F7C">
        <w:rPr>
          <w:bCs/>
          <w:caps w:val="0"/>
          <w:lang w:val="en-GB"/>
        </w:rPr>
        <w:t>–</w:t>
      </w:r>
      <w:r w:rsidR="00277ECB" w:rsidRPr="00342F7C">
        <w:rPr>
          <w:bCs/>
          <w:caps w:val="0"/>
          <w:lang w:val="en-GB"/>
        </w:rPr>
        <w:t xml:space="preserve"> </w:t>
      </w:r>
      <w:r w:rsidR="00F93CCB" w:rsidRPr="00342F7C">
        <w:rPr>
          <w:bCs/>
          <w:caps w:val="0"/>
          <w:lang w:val="en-GB"/>
        </w:rPr>
        <w:t>without blue box</w:t>
      </w:r>
    </w:p>
    <w:p w14:paraId="1556D42B" w14:textId="77777777" w:rsidR="00277ECB" w:rsidRDefault="00277ECB">
      <w:pPr>
        <w:pStyle w:val="EMEANormal"/>
        <w:rPr>
          <w:lang w:val="en-GB"/>
        </w:rPr>
      </w:pPr>
    </w:p>
    <w:p w14:paraId="3F163E3A" w14:textId="77777777" w:rsidR="008F70A7" w:rsidRPr="00342F7C" w:rsidRDefault="008F70A7">
      <w:pPr>
        <w:pStyle w:val="EMEANormal"/>
        <w:rPr>
          <w:lang w:val="en-GB"/>
        </w:rPr>
      </w:pPr>
    </w:p>
    <w:p w14:paraId="535E1148" w14:textId="77777777" w:rsidR="00277ECB" w:rsidRPr="00342F7C" w:rsidRDefault="00277ECB" w:rsidP="008F70A7">
      <w:pPr>
        <w:pStyle w:val="EMEAHeadingBoxedTitle"/>
        <w:spacing w:before="0" w:after="0"/>
        <w:rPr>
          <w:rFonts w:ascii="Times New Roman" w:hAnsi="Times New Roman"/>
          <w:lang w:val="en-GB"/>
        </w:rPr>
      </w:pPr>
      <w:r w:rsidRPr="00342F7C">
        <w:rPr>
          <w:rFonts w:ascii="Times New Roman" w:hAnsi="Times New Roman"/>
          <w:lang w:val="en-GB"/>
        </w:rPr>
        <w:t>1.</w:t>
      </w:r>
      <w:r w:rsidRPr="00342F7C">
        <w:rPr>
          <w:rFonts w:ascii="Times New Roman" w:hAnsi="Times New Roman"/>
          <w:lang w:val="en-GB"/>
        </w:rPr>
        <w:tab/>
        <w:t>NAME OF THE MEDICINAL PRODUCT</w:t>
      </w:r>
    </w:p>
    <w:p w14:paraId="5AC9EBAB" w14:textId="77777777" w:rsidR="008F70A7" w:rsidRDefault="008F70A7">
      <w:pPr>
        <w:pStyle w:val="EMEANormal"/>
        <w:rPr>
          <w:lang w:val="en-GB"/>
        </w:rPr>
      </w:pPr>
    </w:p>
    <w:p w14:paraId="0F62EA46" w14:textId="77777777" w:rsidR="00277ECB" w:rsidRPr="00342F7C" w:rsidRDefault="00277ECB">
      <w:pPr>
        <w:pStyle w:val="EMEANormal"/>
        <w:rPr>
          <w:lang w:val="en-GB"/>
        </w:rPr>
      </w:pPr>
      <w:r w:rsidRPr="00342F7C">
        <w:rPr>
          <w:lang w:val="en-GB"/>
        </w:rPr>
        <w:t>Kaletra 200 mg/50 mg film-coated tablets</w:t>
      </w:r>
    </w:p>
    <w:p w14:paraId="60C2292A" w14:textId="77777777" w:rsidR="00277ECB" w:rsidRDefault="00277ECB">
      <w:pPr>
        <w:pStyle w:val="EMEANormal"/>
        <w:rPr>
          <w:lang w:val="en-GB"/>
        </w:rPr>
      </w:pPr>
      <w:r w:rsidRPr="00342F7C">
        <w:rPr>
          <w:lang w:val="en-GB"/>
        </w:rPr>
        <w:t>lopinavir/ritonavir</w:t>
      </w:r>
    </w:p>
    <w:p w14:paraId="13B210C5" w14:textId="77777777" w:rsidR="008F70A7" w:rsidRDefault="008F70A7">
      <w:pPr>
        <w:pStyle w:val="EMEANormal"/>
        <w:rPr>
          <w:lang w:val="en-GB"/>
        </w:rPr>
      </w:pPr>
    </w:p>
    <w:p w14:paraId="313A073F" w14:textId="77777777" w:rsidR="008F70A7" w:rsidRPr="00342F7C" w:rsidRDefault="008F70A7">
      <w:pPr>
        <w:pStyle w:val="EMEANormal"/>
        <w:rPr>
          <w:lang w:val="en-GB"/>
        </w:rPr>
      </w:pPr>
    </w:p>
    <w:p w14:paraId="1A34BFC6" w14:textId="77777777" w:rsidR="00277ECB" w:rsidRPr="00342F7C" w:rsidRDefault="00277ECB" w:rsidP="008F70A7">
      <w:pPr>
        <w:pStyle w:val="EMEAHeadingBoxedTitle"/>
        <w:spacing w:before="0" w:after="0"/>
        <w:rPr>
          <w:rFonts w:ascii="Times New Roman" w:hAnsi="Times New Roman"/>
          <w:lang w:val="en-GB"/>
        </w:rPr>
      </w:pPr>
      <w:r w:rsidRPr="00342F7C">
        <w:rPr>
          <w:rFonts w:ascii="Times New Roman" w:hAnsi="Times New Roman"/>
          <w:lang w:val="en-GB"/>
        </w:rPr>
        <w:t>2.</w:t>
      </w:r>
      <w:r w:rsidRPr="00342F7C">
        <w:rPr>
          <w:rFonts w:ascii="Times New Roman" w:hAnsi="Times New Roman"/>
          <w:lang w:val="en-GB"/>
        </w:rPr>
        <w:tab/>
        <w:t>STATEMENT OF ACTIVE SUBSTANCE(S)</w:t>
      </w:r>
    </w:p>
    <w:p w14:paraId="74ADD822" w14:textId="77777777" w:rsidR="008F70A7" w:rsidRDefault="008F70A7">
      <w:pPr>
        <w:pStyle w:val="EMEANormal"/>
        <w:rPr>
          <w:lang w:val="en-GB"/>
        </w:rPr>
      </w:pPr>
    </w:p>
    <w:p w14:paraId="4C497BF3" w14:textId="77777777" w:rsidR="00277ECB" w:rsidRDefault="00277ECB">
      <w:pPr>
        <w:pStyle w:val="EMEANormal"/>
        <w:rPr>
          <w:lang w:val="en-GB"/>
        </w:rPr>
      </w:pPr>
      <w:r w:rsidRPr="00342F7C">
        <w:rPr>
          <w:lang w:val="en-GB"/>
        </w:rPr>
        <w:t>Each film-coated tablet contains 200 mg of lopinavir co-formulated with 50 mg of ritonavir as a pharmacokinetic enhancer.</w:t>
      </w:r>
    </w:p>
    <w:p w14:paraId="3A24ECD3" w14:textId="77777777" w:rsidR="008F70A7" w:rsidRDefault="008F70A7">
      <w:pPr>
        <w:pStyle w:val="EMEANormal"/>
        <w:rPr>
          <w:lang w:val="en-GB"/>
        </w:rPr>
      </w:pPr>
    </w:p>
    <w:p w14:paraId="359E226F" w14:textId="77777777" w:rsidR="008F70A7" w:rsidRPr="00342F7C" w:rsidRDefault="008F70A7">
      <w:pPr>
        <w:pStyle w:val="EMEANormal"/>
        <w:rPr>
          <w:lang w:val="en-GB"/>
        </w:rPr>
      </w:pPr>
    </w:p>
    <w:p w14:paraId="0E9BD69E" w14:textId="77777777" w:rsidR="00277ECB" w:rsidRPr="00342F7C" w:rsidRDefault="00277ECB" w:rsidP="008F70A7">
      <w:pPr>
        <w:pStyle w:val="EMEAHeadingBoxedEmpty"/>
        <w:spacing w:beforeLines="0" w:before="0"/>
        <w:ind w:left="561" w:hanging="561"/>
        <w:rPr>
          <w:rFonts w:ascii="Times New Roman" w:hAnsi="Times New Roman"/>
          <w:lang w:val="en-GB"/>
        </w:rPr>
      </w:pPr>
      <w:r w:rsidRPr="00342F7C">
        <w:rPr>
          <w:rFonts w:ascii="Times New Roman" w:hAnsi="Times New Roman"/>
          <w:lang w:val="en-GB"/>
        </w:rPr>
        <w:t>3.</w:t>
      </w:r>
      <w:r w:rsidRPr="00342F7C">
        <w:rPr>
          <w:rFonts w:ascii="Times New Roman" w:hAnsi="Times New Roman"/>
          <w:lang w:val="en-GB"/>
        </w:rPr>
        <w:tab/>
        <w:t>LIST OF EXCIPIENTS</w:t>
      </w:r>
    </w:p>
    <w:p w14:paraId="0B851A28" w14:textId="77777777" w:rsidR="00277ECB" w:rsidRDefault="00277ECB">
      <w:pPr>
        <w:pStyle w:val="EMEANormal"/>
        <w:rPr>
          <w:lang w:val="en-GB"/>
        </w:rPr>
      </w:pPr>
    </w:p>
    <w:p w14:paraId="0C493133" w14:textId="77777777" w:rsidR="008F70A7" w:rsidRPr="00342F7C" w:rsidRDefault="008F70A7">
      <w:pPr>
        <w:pStyle w:val="EMEANormal"/>
        <w:rPr>
          <w:lang w:val="en-GB"/>
        </w:rPr>
      </w:pPr>
    </w:p>
    <w:p w14:paraId="6EF11BA2" w14:textId="77777777" w:rsidR="00277ECB" w:rsidRPr="00342F7C" w:rsidRDefault="00277ECB" w:rsidP="008F70A7">
      <w:pPr>
        <w:pStyle w:val="EMEAHeadingBoxedTitle"/>
        <w:spacing w:before="0" w:after="0"/>
        <w:rPr>
          <w:rFonts w:ascii="Times New Roman" w:hAnsi="Times New Roman"/>
          <w:lang w:val="en-GB"/>
        </w:rPr>
      </w:pPr>
      <w:r w:rsidRPr="00342F7C">
        <w:rPr>
          <w:rFonts w:ascii="Times New Roman" w:hAnsi="Times New Roman"/>
          <w:lang w:val="en-GB"/>
        </w:rPr>
        <w:t>4.</w:t>
      </w:r>
      <w:r w:rsidRPr="00342F7C">
        <w:rPr>
          <w:rFonts w:ascii="Times New Roman" w:hAnsi="Times New Roman"/>
          <w:lang w:val="en-GB"/>
        </w:rPr>
        <w:tab/>
        <w:t>PHARMACEUTICAL FORM AND CONTENTS</w:t>
      </w:r>
    </w:p>
    <w:p w14:paraId="32BE1934" w14:textId="77777777" w:rsidR="008F70A7" w:rsidRDefault="008F70A7" w:rsidP="008D3E9C">
      <w:pPr>
        <w:pStyle w:val="EMEANormal"/>
        <w:rPr>
          <w:lang w:val="en-GB"/>
        </w:rPr>
      </w:pPr>
    </w:p>
    <w:p w14:paraId="41D9A367" w14:textId="77777777" w:rsidR="00277ECB" w:rsidRDefault="000F76DE" w:rsidP="008D3E9C">
      <w:pPr>
        <w:pStyle w:val="EMEANormal"/>
        <w:rPr>
          <w:lang w:val="en-GB"/>
        </w:rPr>
      </w:pPr>
      <w:r>
        <w:rPr>
          <w:lang w:val="en-GB"/>
        </w:rPr>
        <w:t xml:space="preserve">40 film-coated tablets.  </w:t>
      </w:r>
      <w:r w:rsidR="00F93CCB" w:rsidRPr="00342F7C">
        <w:rPr>
          <w:lang w:val="en-GB"/>
        </w:rPr>
        <w:t>Component of a multipack</w:t>
      </w:r>
      <w:r>
        <w:rPr>
          <w:lang w:val="en-GB"/>
        </w:rPr>
        <w:t>, can’t be sold separately.</w:t>
      </w:r>
      <w:r w:rsidR="00F93CCB" w:rsidRPr="00342F7C">
        <w:rPr>
          <w:lang w:val="en-GB"/>
        </w:rPr>
        <w:t xml:space="preserve"> </w:t>
      </w:r>
    </w:p>
    <w:p w14:paraId="555E7325" w14:textId="77777777" w:rsidR="008F70A7" w:rsidRDefault="008F70A7" w:rsidP="008D3E9C">
      <w:pPr>
        <w:pStyle w:val="EMEANormal"/>
        <w:rPr>
          <w:lang w:val="en-GB"/>
        </w:rPr>
      </w:pPr>
    </w:p>
    <w:p w14:paraId="23742C48" w14:textId="77777777" w:rsidR="008F70A7" w:rsidRPr="00342F7C" w:rsidRDefault="008F70A7" w:rsidP="008D3E9C">
      <w:pPr>
        <w:pStyle w:val="EMEANormal"/>
        <w:rPr>
          <w:lang w:val="en-GB"/>
        </w:rPr>
      </w:pPr>
    </w:p>
    <w:p w14:paraId="3AD397D4" w14:textId="77777777" w:rsidR="00277ECB" w:rsidRPr="00342F7C" w:rsidRDefault="00277ECB" w:rsidP="008F70A7">
      <w:pPr>
        <w:pStyle w:val="EMEAHeadingBoxedTitle"/>
        <w:spacing w:before="0" w:after="0"/>
        <w:rPr>
          <w:rFonts w:ascii="Times New Roman" w:hAnsi="Times New Roman"/>
          <w:lang w:val="en-GB"/>
        </w:rPr>
      </w:pPr>
      <w:r w:rsidRPr="00342F7C">
        <w:rPr>
          <w:rFonts w:ascii="Times New Roman" w:hAnsi="Times New Roman"/>
          <w:lang w:val="en-GB"/>
        </w:rPr>
        <w:t>5.</w:t>
      </w:r>
      <w:r w:rsidRPr="00342F7C">
        <w:rPr>
          <w:rFonts w:ascii="Times New Roman" w:hAnsi="Times New Roman"/>
          <w:lang w:val="en-GB"/>
        </w:rPr>
        <w:tab/>
        <w:t>METHOD AND ROUTE(S) OF ADMINISTRATION</w:t>
      </w:r>
    </w:p>
    <w:p w14:paraId="62747967" w14:textId="77777777" w:rsidR="000016F4" w:rsidRDefault="000016F4">
      <w:pPr>
        <w:pStyle w:val="EMEANormal"/>
        <w:rPr>
          <w:lang w:val="en-GB"/>
        </w:rPr>
      </w:pPr>
    </w:p>
    <w:p w14:paraId="29625902" w14:textId="77777777" w:rsidR="00247547" w:rsidRDefault="00247547" w:rsidP="00247547">
      <w:pPr>
        <w:pStyle w:val="EMEANormal"/>
        <w:rPr>
          <w:lang w:val="en-GB"/>
        </w:rPr>
      </w:pPr>
      <w:r w:rsidRPr="00342F7C">
        <w:rPr>
          <w:lang w:val="en-GB"/>
        </w:rPr>
        <w:t>Read the package leaflet before use</w:t>
      </w:r>
      <w:r w:rsidR="0068223A">
        <w:rPr>
          <w:lang w:val="en-GB"/>
        </w:rPr>
        <w:t>.</w:t>
      </w:r>
    </w:p>
    <w:p w14:paraId="3CFD6D7B" w14:textId="77777777" w:rsidR="00277ECB" w:rsidRPr="00342F7C" w:rsidRDefault="00277ECB">
      <w:pPr>
        <w:pStyle w:val="EMEANormal"/>
        <w:rPr>
          <w:lang w:val="en-GB"/>
        </w:rPr>
      </w:pPr>
      <w:r w:rsidRPr="00342F7C">
        <w:rPr>
          <w:lang w:val="en-GB"/>
        </w:rPr>
        <w:t>Oral use</w:t>
      </w:r>
    </w:p>
    <w:p w14:paraId="615DD3A9" w14:textId="77777777" w:rsidR="000016F4" w:rsidRDefault="000016F4">
      <w:pPr>
        <w:pStyle w:val="EMEANormal"/>
        <w:rPr>
          <w:lang w:val="en-GB"/>
        </w:rPr>
      </w:pPr>
    </w:p>
    <w:p w14:paraId="678DDB46" w14:textId="77777777" w:rsidR="000016F4" w:rsidRPr="00342F7C" w:rsidRDefault="000016F4">
      <w:pPr>
        <w:pStyle w:val="EMEANormal"/>
        <w:rPr>
          <w:lang w:val="en-GB"/>
        </w:rPr>
      </w:pPr>
    </w:p>
    <w:p w14:paraId="48220750" w14:textId="77777777" w:rsidR="00277ECB" w:rsidRPr="00342F7C" w:rsidRDefault="00277ECB" w:rsidP="000016F4">
      <w:pPr>
        <w:pStyle w:val="EMEAHeadingBoxedTitle"/>
        <w:tabs>
          <w:tab w:val="clear" w:pos="562"/>
          <w:tab w:val="left" w:pos="550"/>
        </w:tabs>
        <w:spacing w:before="0" w:after="0"/>
        <w:ind w:left="550" w:hanging="550"/>
        <w:rPr>
          <w:rFonts w:ascii="Times New Roman" w:hAnsi="Times New Roman"/>
          <w:lang w:val="en-GB"/>
        </w:rPr>
      </w:pPr>
      <w:r w:rsidRPr="00342F7C">
        <w:rPr>
          <w:rFonts w:ascii="Times New Roman" w:hAnsi="Times New Roman"/>
          <w:lang w:val="en-GB"/>
        </w:rPr>
        <w:t>6.</w:t>
      </w:r>
      <w:r w:rsidRPr="00342F7C">
        <w:rPr>
          <w:rFonts w:ascii="Times New Roman" w:hAnsi="Times New Roman"/>
          <w:lang w:val="en-GB"/>
        </w:rPr>
        <w:tab/>
        <w:t xml:space="preserve">SPECIAL WARNING THAT THE MEDICINAL PRODUCT MUST BE STORED OUT OF THE </w:t>
      </w:r>
      <w:r w:rsidR="0023490A">
        <w:rPr>
          <w:rFonts w:ascii="Times New Roman" w:hAnsi="Times New Roman"/>
          <w:lang w:val="en-GB"/>
        </w:rPr>
        <w:t>SIGHT</w:t>
      </w:r>
      <w:r w:rsidR="0023490A" w:rsidRPr="00342F7C">
        <w:rPr>
          <w:rFonts w:ascii="Times New Roman" w:hAnsi="Times New Roman"/>
          <w:lang w:val="en-GB"/>
        </w:rPr>
        <w:t xml:space="preserve"> </w:t>
      </w:r>
      <w:r w:rsidRPr="00342F7C">
        <w:rPr>
          <w:rFonts w:ascii="Times New Roman" w:hAnsi="Times New Roman"/>
          <w:lang w:val="en-GB"/>
        </w:rPr>
        <w:t xml:space="preserve">AND </w:t>
      </w:r>
      <w:r w:rsidR="0023490A">
        <w:rPr>
          <w:rFonts w:ascii="Times New Roman" w:hAnsi="Times New Roman"/>
          <w:lang w:val="en-GB"/>
        </w:rPr>
        <w:t>REACH</w:t>
      </w:r>
      <w:r w:rsidR="0023490A" w:rsidRPr="00342F7C">
        <w:rPr>
          <w:rFonts w:ascii="Times New Roman" w:hAnsi="Times New Roman"/>
          <w:lang w:val="en-GB"/>
        </w:rPr>
        <w:t xml:space="preserve"> </w:t>
      </w:r>
      <w:r w:rsidRPr="00342F7C">
        <w:rPr>
          <w:rFonts w:ascii="Times New Roman" w:hAnsi="Times New Roman"/>
          <w:lang w:val="en-GB"/>
        </w:rPr>
        <w:t>OF CHILDREN</w:t>
      </w:r>
    </w:p>
    <w:p w14:paraId="5C7F5DB4" w14:textId="77777777" w:rsidR="000016F4" w:rsidRDefault="000016F4">
      <w:pPr>
        <w:pStyle w:val="EMEANormal"/>
        <w:rPr>
          <w:lang w:val="en-GB"/>
        </w:rPr>
      </w:pPr>
    </w:p>
    <w:p w14:paraId="1D3AB3D6" w14:textId="77777777" w:rsidR="00277ECB" w:rsidRDefault="00277ECB">
      <w:pPr>
        <w:pStyle w:val="EMEANormal"/>
        <w:rPr>
          <w:lang w:val="en-GB"/>
        </w:rPr>
      </w:pPr>
      <w:r w:rsidRPr="00342F7C">
        <w:rPr>
          <w:lang w:val="en-GB"/>
        </w:rPr>
        <w:t>Keep out of the sight</w:t>
      </w:r>
      <w:r w:rsidR="009D5D2E">
        <w:rPr>
          <w:lang w:val="en-GB"/>
        </w:rPr>
        <w:t xml:space="preserve"> and reach</w:t>
      </w:r>
      <w:r w:rsidRPr="00342F7C">
        <w:rPr>
          <w:lang w:val="en-GB"/>
        </w:rPr>
        <w:t xml:space="preserve"> of children</w:t>
      </w:r>
      <w:r w:rsidR="0068223A">
        <w:rPr>
          <w:lang w:val="en-GB"/>
        </w:rPr>
        <w:t>.</w:t>
      </w:r>
    </w:p>
    <w:p w14:paraId="7011CC5D" w14:textId="77777777" w:rsidR="000016F4" w:rsidRDefault="000016F4">
      <w:pPr>
        <w:pStyle w:val="EMEANormal"/>
        <w:rPr>
          <w:lang w:val="en-GB"/>
        </w:rPr>
      </w:pPr>
    </w:p>
    <w:p w14:paraId="75DA11C1" w14:textId="77777777" w:rsidR="000016F4" w:rsidRPr="00342F7C" w:rsidRDefault="000016F4">
      <w:pPr>
        <w:pStyle w:val="EMEANormal"/>
        <w:rPr>
          <w:lang w:val="en-GB"/>
        </w:rPr>
      </w:pPr>
    </w:p>
    <w:p w14:paraId="49E810A0" w14:textId="77777777" w:rsidR="00277ECB" w:rsidRPr="00342F7C" w:rsidRDefault="00277ECB" w:rsidP="000016F4">
      <w:pPr>
        <w:pStyle w:val="EMEAHeadingBoxedTitle"/>
        <w:spacing w:before="0" w:after="0"/>
        <w:rPr>
          <w:rFonts w:ascii="Times New Roman" w:hAnsi="Times New Roman"/>
          <w:lang w:val="en-GB"/>
        </w:rPr>
      </w:pPr>
      <w:r w:rsidRPr="00342F7C">
        <w:rPr>
          <w:rFonts w:ascii="Times New Roman" w:hAnsi="Times New Roman"/>
          <w:lang w:val="en-GB"/>
        </w:rPr>
        <w:t>7.</w:t>
      </w:r>
      <w:r w:rsidRPr="00342F7C">
        <w:rPr>
          <w:rFonts w:ascii="Times New Roman" w:hAnsi="Times New Roman"/>
          <w:lang w:val="en-GB"/>
        </w:rPr>
        <w:tab/>
        <w:t>OTHER SPECIAL WARNING(S), IF NECESSARY</w:t>
      </w:r>
    </w:p>
    <w:p w14:paraId="66D2992C" w14:textId="77777777" w:rsidR="00277ECB" w:rsidRDefault="00277ECB">
      <w:pPr>
        <w:pStyle w:val="EMEANormal"/>
        <w:rPr>
          <w:lang w:val="en-GB"/>
        </w:rPr>
      </w:pPr>
    </w:p>
    <w:p w14:paraId="384B1F07" w14:textId="77777777" w:rsidR="000016F4" w:rsidRPr="00342F7C" w:rsidRDefault="000016F4">
      <w:pPr>
        <w:pStyle w:val="EMEANormal"/>
        <w:rPr>
          <w:lang w:val="en-GB"/>
        </w:rPr>
      </w:pPr>
    </w:p>
    <w:p w14:paraId="34F2148E" w14:textId="77777777" w:rsidR="00277ECB" w:rsidRPr="00342F7C" w:rsidRDefault="00277ECB" w:rsidP="000016F4">
      <w:pPr>
        <w:pStyle w:val="EMEAHeadingBoxedTitle"/>
        <w:spacing w:before="0" w:after="0"/>
        <w:rPr>
          <w:rFonts w:ascii="Times New Roman" w:hAnsi="Times New Roman"/>
          <w:lang w:val="en-GB"/>
        </w:rPr>
      </w:pPr>
      <w:r w:rsidRPr="00342F7C">
        <w:rPr>
          <w:rFonts w:ascii="Times New Roman" w:hAnsi="Times New Roman"/>
          <w:lang w:val="en-GB"/>
        </w:rPr>
        <w:t>8.</w:t>
      </w:r>
      <w:r w:rsidRPr="00342F7C">
        <w:rPr>
          <w:rFonts w:ascii="Times New Roman" w:hAnsi="Times New Roman"/>
          <w:lang w:val="en-GB"/>
        </w:rPr>
        <w:tab/>
        <w:t>EXPIRY DATE</w:t>
      </w:r>
    </w:p>
    <w:p w14:paraId="460B4A3A" w14:textId="77777777" w:rsidR="000016F4" w:rsidRDefault="000016F4">
      <w:pPr>
        <w:pStyle w:val="EMEANormal"/>
        <w:rPr>
          <w:lang w:val="en-GB"/>
        </w:rPr>
      </w:pPr>
    </w:p>
    <w:p w14:paraId="3A2B6737" w14:textId="77777777" w:rsidR="00277ECB" w:rsidRDefault="00277ECB">
      <w:pPr>
        <w:pStyle w:val="EMEANormal"/>
        <w:rPr>
          <w:lang w:val="en-GB"/>
        </w:rPr>
      </w:pPr>
      <w:r w:rsidRPr="00342F7C">
        <w:rPr>
          <w:lang w:val="en-GB"/>
        </w:rPr>
        <w:t>EXP</w:t>
      </w:r>
    </w:p>
    <w:p w14:paraId="2E238226" w14:textId="77777777" w:rsidR="000016F4" w:rsidRDefault="000016F4">
      <w:pPr>
        <w:pStyle w:val="EMEANormal"/>
        <w:rPr>
          <w:lang w:val="en-GB"/>
        </w:rPr>
      </w:pPr>
    </w:p>
    <w:p w14:paraId="2344A520" w14:textId="77777777" w:rsidR="000016F4" w:rsidRPr="00342F7C" w:rsidRDefault="000016F4">
      <w:pPr>
        <w:pStyle w:val="EMEANormal"/>
        <w:rPr>
          <w:lang w:val="en-GB"/>
        </w:rPr>
      </w:pPr>
    </w:p>
    <w:p w14:paraId="1B7F94BE" w14:textId="77777777" w:rsidR="00277ECB" w:rsidRPr="00342F7C" w:rsidRDefault="00277ECB" w:rsidP="000016F4">
      <w:pPr>
        <w:pStyle w:val="EMEAHeadingBoxedTitle"/>
        <w:spacing w:before="0" w:after="0"/>
        <w:rPr>
          <w:rFonts w:ascii="Times New Roman" w:hAnsi="Times New Roman"/>
          <w:lang w:val="en-GB"/>
        </w:rPr>
      </w:pPr>
      <w:r w:rsidRPr="00342F7C">
        <w:rPr>
          <w:rFonts w:ascii="Times New Roman" w:hAnsi="Times New Roman"/>
          <w:lang w:val="en-GB"/>
        </w:rPr>
        <w:t>9.</w:t>
      </w:r>
      <w:r w:rsidRPr="00342F7C">
        <w:rPr>
          <w:rFonts w:ascii="Times New Roman" w:hAnsi="Times New Roman"/>
          <w:lang w:val="en-GB"/>
        </w:rPr>
        <w:tab/>
        <w:t>SPECIAL STORAGE CONDITIONS</w:t>
      </w:r>
    </w:p>
    <w:p w14:paraId="087A07E1" w14:textId="77777777" w:rsidR="00277ECB" w:rsidRDefault="00277ECB">
      <w:pPr>
        <w:pStyle w:val="EMEANormal"/>
        <w:rPr>
          <w:lang w:val="en-GB"/>
        </w:rPr>
      </w:pPr>
    </w:p>
    <w:p w14:paraId="4C8D07D2" w14:textId="77777777" w:rsidR="000016F4" w:rsidRPr="00342F7C" w:rsidRDefault="000016F4">
      <w:pPr>
        <w:pStyle w:val="EMEANormal"/>
        <w:rPr>
          <w:lang w:val="en-GB"/>
        </w:rPr>
      </w:pPr>
    </w:p>
    <w:p w14:paraId="5971EF42" w14:textId="77777777" w:rsidR="00277ECB" w:rsidRPr="00342F7C" w:rsidRDefault="00277ECB">
      <w:pPr>
        <w:pStyle w:val="EMEAHeadingBoxedTitle"/>
        <w:spacing w:before="0" w:after="0"/>
        <w:ind w:left="550" w:hanging="550"/>
        <w:rPr>
          <w:rFonts w:ascii="Times New Roman" w:hAnsi="Times New Roman"/>
          <w:lang w:val="en-GB"/>
        </w:rPr>
      </w:pPr>
      <w:r w:rsidRPr="00342F7C">
        <w:rPr>
          <w:rFonts w:ascii="Times New Roman" w:hAnsi="Times New Roman"/>
          <w:lang w:val="en-GB"/>
        </w:rPr>
        <w:t>10.</w:t>
      </w:r>
      <w:r w:rsidRPr="00342F7C">
        <w:rPr>
          <w:rFonts w:ascii="Times New Roman" w:hAnsi="Times New Roman"/>
          <w:lang w:val="en-GB"/>
        </w:rPr>
        <w:tab/>
        <w:t>SPECIAL PRECAUTIONS FOR DISPOSAL OF UNUSED MEDICINAL PRODUCTS OR WASTE MATERIALS DERIVED FROM SUCH MEDICINAL PRODUCTS, IF APPROPRIATE</w:t>
      </w:r>
    </w:p>
    <w:p w14:paraId="02F4AD5E" w14:textId="77777777" w:rsidR="00277ECB" w:rsidRDefault="00277ECB">
      <w:pPr>
        <w:pStyle w:val="EMEANormal"/>
        <w:rPr>
          <w:lang w:val="en-GB"/>
        </w:rPr>
      </w:pPr>
    </w:p>
    <w:p w14:paraId="7FABA252" w14:textId="77777777" w:rsidR="000016F4" w:rsidRPr="00342F7C" w:rsidRDefault="000016F4">
      <w:pPr>
        <w:pStyle w:val="EMEANormal"/>
        <w:rPr>
          <w:lang w:val="en-GB"/>
        </w:rPr>
      </w:pPr>
    </w:p>
    <w:p w14:paraId="767F2650" w14:textId="77777777" w:rsidR="00277ECB" w:rsidRPr="00342F7C" w:rsidRDefault="00277ECB" w:rsidP="000016F4">
      <w:pPr>
        <w:pStyle w:val="EMEAHeadingBoxedTitle"/>
        <w:spacing w:before="0" w:after="0"/>
        <w:rPr>
          <w:rFonts w:ascii="Times New Roman" w:hAnsi="Times New Roman"/>
          <w:lang w:val="en-GB"/>
        </w:rPr>
      </w:pPr>
      <w:r w:rsidRPr="00342F7C">
        <w:rPr>
          <w:rFonts w:ascii="Times New Roman" w:hAnsi="Times New Roman"/>
          <w:lang w:val="en-GB"/>
        </w:rPr>
        <w:t>11.</w:t>
      </w:r>
      <w:r w:rsidRPr="00342F7C">
        <w:rPr>
          <w:rFonts w:ascii="Times New Roman" w:hAnsi="Times New Roman"/>
          <w:lang w:val="en-GB"/>
        </w:rPr>
        <w:tab/>
        <w:t>NAME AND ADDRESS OF THE MARKETING AUTHORISATION HOLDER</w:t>
      </w:r>
    </w:p>
    <w:p w14:paraId="06EDCC05" w14:textId="77777777" w:rsidR="000016F4" w:rsidRDefault="000016F4" w:rsidP="00F423D9">
      <w:pPr>
        <w:pStyle w:val="EMEANormal"/>
        <w:rPr>
          <w:lang w:val="en-GB"/>
        </w:rPr>
      </w:pPr>
    </w:p>
    <w:p w14:paraId="6BB88027" w14:textId="77777777" w:rsidR="00A118F7" w:rsidRPr="00A118F7" w:rsidRDefault="00A118F7" w:rsidP="00A118F7">
      <w:pPr>
        <w:keepNext/>
        <w:autoSpaceDE w:val="0"/>
        <w:autoSpaceDN w:val="0"/>
        <w:adjustRightInd w:val="0"/>
        <w:spacing w:line="240" w:lineRule="atLeast"/>
        <w:rPr>
          <w:sz w:val="22"/>
          <w:szCs w:val="22"/>
          <w:lang w:eastAsia="en-GB"/>
        </w:rPr>
      </w:pPr>
      <w:r w:rsidRPr="00A118F7">
        <w:rPr>
          <w:sz w:val="22"/>
          <w:szCs w:val="22"/>
          <w:lang w:eastAsia="en-GB"/>
        </w:rPr>
        <w:t>AbbVie Deutschland GmbH &amp; Co. KG</w:t>
      </w:r>
    </w:p>
    <w:p w14:paraId="20195C0B" w14:textId="77777777" w:rsidR="00A118F7" w:rsidRPr="00A118F7" w:rsidRDefault="00A118F7" w:rsidP="00A118F7">
      <w:pPr>
        <w:keepNext/>
        <w:autoSpaceDE w:val="0"/>
        <w:autoSpaceDN w:val="0"/>
        <w:adjustRightInd w:val="0"/>
        <w:spacing w:line="240" w:lineRule="atLeast"/>
        <w:rPr>
          <w:sz w:val="22"/>
          <w:szCs w:val="22"/>
          <w:lang w:eastAsia="en-GB"/>
        </w:rPr>
      </w:pPr>
      <w:r w:rsidRPr="00A118F7">
        <w:rPr>
          <w:sz w:val="22"/>
          <w:szCs w:val="22"/>
          <w:lang w:eastAsia="en-GB"/>
        </w:rPr>
        <w:t>Knollstrasse</w:t>
      </w:r>
    </w:p>
    <w:p w14:paraId="07ECDFDA" w14:textId="77777777" w:rsidR="00A118F7" w:rsidRPr="00A118F7" w:rsidRDefault="00A118F7" w:rsidP="00A118F7">
      <w:pPr>
        <w:keepNext/>
        <w:autoSpaceDE w:val="0"/>
        <w:autoSpaceDN w:val="0"/>
        <w:adjustRightInd w:val="0"/>
        <w:spacing w:line="240" w:lineRule="atLeast"/>
        <w:rPr>
          <w:sz w:val="22"/>
          <w:szCs w:val="22"/>
          <w:lang w:eastAsia="en-GB"/>
        </w:rPr>
      </w:pPr>
      <w:r w:rsidRPr="00A118F7">
        <w:rPr>
          <w:sz w:val="22"/>
          <w:szCs w:val="22"/>
          <w:lang w:eastAsia="en-GB"/>
        </w:rPr>
        <w:t>67061 Ludwigshafen</w:t>
      </w:r>
    </w:p>
    <w:p w14:paraId="2554571C" w14:textId="77777777" w:rsidR="00F423D9" w:rsidRDefault="00A118F7" w:rsidP="00A118F7">
      <w:pPr>
        <w:pStyle w:val="EMEANormal"/>
        <w:rPr>
          <w:lang w:val="en-GB"/>
        </w:rPr>
      </w:pPr>
      <w:r w:rsidRPr="00A118F7">
        <w:rPr>
          <w:szCs w:val="22"/>
          <w:lang w:val="en-GB" w:eastAsia="en-GB"/>
        </w:rPr>
        <w:t>Germany</w:t>
      </w:r>
    </w:p>
    <w:p w14:paraId="2F9E8764" w14:textId="77777777" w:rsidR="000016F4" w:rsidRDefault="000016F4" w:rsidP="00F423D9">
      <w:pPr>
        <w:pStyle w:val="EMEANormal"/>
        <w:rPr>
          <w:lang w:val="en-GB"/>
        </w:rPr>
      </w:pPr>
    </w:p>
    <w:p w14:paraId="6FBCE656" w14:textId="77777777" w:rsidR="000016F4" w:rsidRDefault="000016F4" w:rsidP="00F423D9">
      <w:pPr>
        <w:pStyle w:val="EMEANormal"/>
        <w:rPr>
          <w:lang w:val="en-GB"/>
        </w:rPr>
      </w:pPr>
    </w:p>
    <w:p w14:paraId="3CDD575F" w14:textId="77777777" w:rsidR="00277ECB" w:rsidRPr="00342F7C" w:rsidRDefault="00277ECB" w:rsidP="000016F4">
      <w:pPr>
        <w:pStyle w:val="EMEAHeadingBoxedTitle"/>
        <w:spacing w:before="0" w:after="0"/>
        <w:rPr>
          <w:rFonts w:ascii="Times New Roman" w:hAnsi="Times New Roman"/>
          <w:lang w:val="en-GB"/>
        </w:rPr>
      </w:pPr>
      <w:r w:rsidRPr="00342F7C">
        <w:rPr>
          <w:rFonts w:ascii="Times New Roman" w:hAnsi="Times New Roman"/>
          <w:lang w:val="en-GB"/>
        </w:rPr>
        <w:t>12.</w:t>
      </w:r>
      <w:r w:rsidRPr="00342F7C">
        <w:rPr>
          <w:rFonts w:ascii="Times New Roman" w:hAnsi="Times New Roman"/>
          <w:lang w:val="en-GB"/>
        </w:rPr>
        <w:tab/>
        <w:t>MARKETING AUTHORISATION NUMBER(S)</w:t>
      </w:r>
    </w:p>
    <w:p w14:paraId="126DA12B" w14:textId="77777777" w:rsidR="000016F4" w:rsidRDefault="000016F4">
      <w:pPr>
        <w:pStyle w:val="EMEANormal"/>
        <w:rPr>
          <w:lang w:val="en-GB"/>
        </w:rPr>
      </w:pPr>
    </w:p>
    <w:p w14:paraId="12CCB74E" w14:textId="77777777" w:rsidR="00277ECB" w:rsidRDefault="00277ECB">
      <w:pPr>
        <w:pStyle w:val="EMEANormal"/>
        <w:rPr>
          <w:lang w:val="en-GB"/>
        </w:rPr>
      </w:pPr>
      <w:r w:rsidRPr="00342F7C">
        <w:rPr>
          <w:lang w:val="en-GB"/>
        </w:rPr>
        <w:t>EU/1/01/172/005</w:t>
      </w:r>
    </w:p>
    <w:p w14:paraId="52A0E627" w14:textId="77777777" w:rsidR="000016F4" w:rsidRDefault="000016F4">
      <w:pPr>
        <w:pStyle w:val="EMEANormal"/>
        <w:rPr>
          <w:lang w:val="en-GB"/>
        </w:rPr>
      </w:pPr>
    </w:p>
    <w:p w14:paraId="01AA5691" w14:textId="77777777" w:rsidR="000016F4" w:rsidRPr="00342F7C" w:rsidRDefault="000016F4">
      <w:pPr>
        <w:pStyle w:val="EMEANormal"/>
        <w:rPr>
          <w:lang w:val="en-GB"/>
        </w:rPr>
      </w:pPr>
    </w:p>
    <w:p w14:paraId="7EC79778" w14:textId="77777777" w:rsidR="00277ECB" w:rsidRPr="00342F7C" w:rsidRDefault="00277ECB" w:rsidP="000016F4">
      <w:pPr>
        <w:pStyle w:val="EMEAHeadingBoxedTitle"/>
        <w:spacing w:before="0" w:after="0"/>
        <w:rPr>
          <w:rFonts w:ascii="Times New Roman" w:hAnsi="Times New Roman"/>
          <w:lang w:val="en-GB"/>
        </w:rPr>
      </w:pPr>
      <w:r w:rsidRPr="00342F7C">
        <w:rPr>
          <w:rFonts w:ascii="Times New Roman" w:hAnsi="Times New Roman"/>
          <w:lang w:val="en-GB"/>
        </w:rPr>
        <w:t>13.</w:t>
      </w:r>
      <w:r w:rsidRPr="00342F7C">
        <w:rPr>
          <w:rFonts w:ascii="Times New Roman" w:hAnsi="Times New Roman"/>
          <w:lang w:val="en-GB"/>
        </w:rPr>
        <w:tab/>
        <w:t>BATCH NUMBER</w:t>
      </w:r>
    </w:p>
    <w:p w14:paraId="4A0AC989" w14:textId="77777777" w:rsidR="000016F4" w:rsidRDefault="000016F4">
      <w:pPr>
        <w:pStyle w:val="EMEANormal"/>
        <w:rPr>
          <w:lang w:val="en-GB"/>
        </w:rPr>
      </w:pPr>
    </w:p>
    <w:p w14:paraId="1AE26437" w14:textId="77777777" w:rsidR="00277ECB" w:rsidRDefault="00277ECB">
      <w:pPr>
        <w:pStyle w:val="EMEANormal"/>
        <w:rPr>
          <w:lang w:val="en-GB"/>
        </w:rPr>
      </w:pPr>
      <w:r w:rsidRPr="00342F7C">
        <w:rPr>
          <w:lang w:val="en-GB"/>
        </w:rPr>
        <w:t>Lot</w:t>
      </w:r>
    </w:p>
    <w:p w14:paraId="7A2B447B" w14:textId="77777777" w:rsidR="000016F4" w:rsidRDefault="000016F4">
      <w:pPr>
        <w:pStyle w:val="EMEANormal"/>
        <w:rPr>
          <w:lang w:val="en-GB"/>
        </w:rPr>
      </w:pPr>
    </w:p>
    <w:p w14:paraId="68EF0CDB" w14:textId="77777777" w:rsidR="000016F4" w:rsidRPr="00342F7C" w:rsidRDefault="000016F4">
      <w:pPr>
        <w:pStyle w:val="EMEANormal"/>
        <w:rPr>
          <w:lang w:val="en-GB"/>
        </w:rPr>
      </w:pPr>
    </w:p>
    <w:p w14:paraId="35CD163C" w14:textId="77777777" w:rsidR="00277ECB" w:rsidRPr="00342F7C" w:rsidRDefault="00277ECB" w:rsidP="000016F4">
      <w:pPr>
        <w:pStyle w:val="EMEAHeadingBoxedTitle"/>
        <w:spacing w:before="0" w:after="0"/>
        <w:rPr>
          <w:rFonts w:ascii="Times New Roman" w:hAnsi="Times New Roman"/>
          <w:lang w:val="en-GB"/>
        </w:rPr>
      </w:pPr>
      <w:r w:rsidRPr="00342F7C">
        <w:rPr>
          <w:rFonts w:ascii="Times New Roman" w:hAnsi="Times New Roman"/>
          <w:lang w:val="en-GB"/>
        </w:rPr>
        <w:t>14.</w:t>
      </w:r>
      <w:r w:rsidRPr="00342F7C">
        <w:rPr>
          <w:rFonts w:ascii="Times New Roman" w:hAnsi="Times New Roman"/>
          <w:lang w:val="en-GB"/>
        </w:rPr>
        <w:tab/>
        <w:t>GENERAL CLASSIFICATION FOR SUPPLY</w:t>
      </w:r>
    </w:p>
    <w:p w14:paraId="17DACC1F" w14:textId="77777777" w:rsidR="000016F4" w:rsidRDefault="000016F4">
      <w:pPr>
        <w:pStyle w:val="EMEANormal"/>
        <w:rPr>
          <w:lang w:val="en-GB"/>
        </w:rPr>
      </w:pPr>
    </w:p>
    <w:p w14:paraId="3FD59050" w14:textId="77777777" w:rsidR="000016F4" w:rsidRPr="00342F7C" w:rsidRDefault="000016F4">
      <w:pPr>
        <w:pStyle w:val="EMEANormal"/>
        <w:rPr>
          <w:lang w:val="en-GB"/>
        </w:rPr>
      </w:pPr>
    </w:p>
    <w:p w14:paraId="7F0E18BD" w14:textId="77777777" w:rsidR="00277ECB" w:rsidRPr="00342F7C" w:rsidRDefault="00277ECB" w:rsidP="000016F4">
      <w:pPr>
        <w:pStyle w:val="EMEAHeadingBoxedTitle"/>
        <w:spacing w:before="0" w:after="0"/>
        <w:rPr>
          <w:rFonts w:ascii="Times New Roman" w:hAnsi="Times New Roman"/>
          <w:lang w:val="en-GB"/>
        </w:rPr>
      </w:pPr>
      <w:r w:rsidRPr="00342F7C">
        <w:rPr>
          <w:rFonts w:ascii="Times New Roman" w:hAnsi="Times New Roman"/>
          <w:lang w:val="en-GB"/>
        </w:rPr>
        <w:t>15</w:t>
      </w:r>
      <w:r w:rsidRPr="00342F7C">
        <w:rPr>
          <w:rFonts w:ascii="Times New Roman" w:hAnsi="Times New Roman"/>
          <w:caps w:val="0"/>
          <w:lang w:val="en-GB"/>
        </w:rPr>
        <w:t>.</w:t>
      </w:r>
      <w:r w:rsidRPr="00342F7C">
        <w:rPr>
          <w:rFonts w:ascii="Times New Roman" w:hAnsi="Times New Roman"/>
          <w:lang w:val="en-GB"/>
        </w:rPr>
        <w:tab/>
        <w:t>INSTRUCTIONS ON USE</w:t>
      </w:r>
    </w:p>
    <w:p w14:paraId="5AD7F608" w14:textId="77777777" w:rsidR="00277ECB" w:rsidRDefault="00277ECB">
      <w:pPr>
        <w:pStyle w:val="EMEANormal"/>
        <w:rPr>
          <w:lang w:val="en-GB"/>
        </w:rPr>
      </w:pPr>
    </w:p>
    <w:p w14:paraId="2A0675FC" w14:textId="77777777" w:rsidR="000016F4" w:rsidRPr="00342F7C" w:rsidRDefault="000016F4">
      <w:pPr>
        <w:pStyle w:val="EMEANormal"/>
        <w:rPr>
          <w:lang w:val="en-GB"/>
        </w:rPr>
      </w:pPr>
    </w:p>
    <w:p w14:paraId="54E91FA9" w14:textId="77777777" w:rsidR="00277ECB" w:rsidRPr="00342F7C" w:rsidRDefault="00277ECB" w:rsidP="000016F4">
      <w:pPr>
        <w:pStyle w:val="EMEAHeadingBoxedTitle"/>
        <w:spacing w:before="0" w:after="0"/>
        <w:rPr>
          <w:rFonts w:ascii="Times New Roman" w:hAnsi="Times New Roman"/>
          <w:lang w:val="en-GB"/>
        </w:rPr>
      </w:pPr>
      <w:r w:rsidRPr="00342F7C">
        <w:rPr>
          <w:rFonts w:ascii="Times New Roman" w:hAnsi="Times New Roman"/>
          <w:lang w:val="en-GB"/>
        </w:rPr>
        <w:t>16.</w:t>
      </w:r>
      <w:r w:rsidRPr="00342F7C">
        <w:rPr>
          <w:rFonts w:ascii="Times New Roman" w:hAnsi="Times New Roman"/>
          <w:lang w:val="en-GB"/>
        </w:rPr>
        <w:tab/>
        <w:t>Information in braille</w:t>
      </w:r>
    </w:p>
    <w:p w14:paraId="0E706B71" w14:textId="77777777" w:rsidR="000016F4" w:rsidRDefault="000016F4">
      <w:pPr>
        <w:pStyle w:val="EMEANormal"/>
        <w:rPr>
          <w:lang w:val="en-GB"/>
        </w:rPr>
      </w:pPr>
    </w:p>
    <w:p w14:paraId="09D687C0" w14:textId="77777777" w:rsidR="00277ECB" w:rsidRPr="00342F7C" w:rsidRDefault="00277ECB">
      <w:pPr>
        <w:pStyle w:val="EMEANormal"/>
        <w:rPr>
          <w:lang w:val="en-GB"/>
        </w:rPr>
      </w:pPr>
      <w:r w:rsidRPr="00342F7C">
        <w:rPr>
          <w:lang w:val="en-GB"/>
        </w:rPr>
        <w:t>Kaletra 200</w:t>
      </w:r>
      <w:r w:rsidR="003F3D02" w:rsidRPr="00342F7C">
        <w:rPr>
          <w:lang w:val="en-GB"/>
        </w:rPr>
        <w:t> </w:t>
      </w:r>
      <w:r w:rsidRPr="00342F7C">
        <w:rPr>
          <w:lang w:val="en-GB"/>
        </w:rPr>
        <w:t>mg/50</w:t>
      </w:r>
      <w:r w:rsidR="003F3D02" w:rsidRPr="00342F7C">
        <w:rPr>
          <w:lang w:val="en-GB"/>
        </w:rPr>
        <w:t> </w:t>
      </w:r>
      <w:r w:rsidRPr="00342F7C">
        <w:rPr>
          <w:lang w:val="en-GB"/>
        </w:rPr>
        <w:t>mg tablets</w:t>
      </w:r>
    </w:p>
    <w:p w14:paraId="06227EFC" w14:textId="77777777" w:rsidR="0068223A" w:rsidRPr="00067B16" w:rsidRDefault="0068223A" w:rsidP="0068223A">
      <w:pPr>
        <w:rPr>
          <w:noProof/>
          <w:szCs w:val="22"/>
          <w:shd w:val="clear" w:color="auto" w:fill="CCCCCC"/>
        </w:rPr>
      </w:pPr>
    </w:p>
    <w:p w14:paraId="746E3FCB" w14:textId="77777777" w:rsidR="0068223A" w:rsidRPr="00342F7C" w:rsidRDefault="0068223A" w:rsidP="0068223A">
      <w:pPr>
        <w:tabs>
          <w:tab w:val="left" w:pos="567"/>
        </w:tabs>
        <w:rPr>
          <w:sz w:val="22"/>
        </w:rPr>
      </w:pPr>
    </w:p>
    <w:p w14:paraId="44923C11" w14:textId="77777777" w:rsidR="0068223A" w:rsidRPr="00342F7C" w:rsidRDefault="0068223A" w:rsidP="0068223A">
      <w:pPr>
        <w:pStyle w:val="EMEAHeadingBoxedTitle"/>
        <w:spacing w:before="0" w:after="0"/>
        <w:rPr>
          <w:rFonts w:ascii="Times New Roman" w:hAnsi="Times New Roman"/>
          <w:lang w:val="en-GB"/>
        </w:rPr>
      </w:pPr>
      <w:r w:rsidRPr="00342F7C">
        <w:rPr>
          <w:rFonts w:ascii="Times New Roman" w:hAnsi="Times New Roman"/>
          <w:lang w:val="en-GB"/>
        </w:rPr>
        <w:t>1</w:t>
      </w:r>
      <w:r>
        <w:rPr>
          <w:rFonts w:ascii="Times New Roman" w:hAnsi="Times New Roman"/>
          <w:lang w:val="en-GB"/>
        </w:rPr>
        <w:t>7</w:t>
      </w:r>
      <w:r w:rsidRPr="00342F7C">
        <w:rPr>
          <w:rFonts w:ascii="Times New Roman" w:hAnsi="Times New Roman"/>
          <w:lang w:val="en-GB"/>
        </w:rPr>
        <w:t>.</w:t>
      </w:r>
      <w:r w:rsidRPr="00342F7C">
        <w:rPr>
          <w:rFonts w:ascii="Times New Roman" w:hAnsi="Times New Roman"/>
          <w:lang w:val="en-GB"/>
        </w:rPr>
        <w:tab/>
      </w:r>
      <w:r w:rsidRPr="00C92271">
        <w:rPr>
          <w:b w:val="0"/>
          <w:noProof/>
          <w:szCs w:val="22"/>
        </w:rPr>
        <w:t>UNIQUE IDENTIFIER – 2D BARCODE</w:t>
      </w:r>
    </w:p>
    <w:p w14:paraId="3917329D" w14:textId="77777777" w:rsidR="0068223A" w:rsidRDefault="0068223A" w:rsidP="0068223A">
      <w:pPr>
        <w:pStyle w:val="EMEANormal"/>
        <w:rPr>
          <w:lang w:val="en-GB"/>
        </w:rPr>
      </w:pPr>
    </w:p>
    <w:p w14:paraId="49FD9417" w14:textId="77777777" w:rsidR="0068223A" w:rsidRDefault="0068223A" w:rsidP="0068223A">
      <w:pPr>
        <w:tabs>
          <w:tab w:val="left" w:pos="567"/>
        </w:tabs>
        <w:rPr>
          <w:sz w:val="22"/>
        </w:rPr>
      </w:pPr>
      <w:r w:rsidRPr="00C92271">
        <w:rPr>
          <w:noProof/>
          <w:sz w:val="22"/>
          <w:szCs w:val="22"/>
          <w:shd w:val="clear" w:color="auto" w:fill="CCCCCC"/>
        </w:rPr>
        <w:t>Not applicable</w:t>
      </w:r>
    </w:p>
    <w:p w14:paraId="20271524" w14:textId="77777777" w:rsidR="0068223A" w:rsidRDefault="0068223A" w:rsidP="0068223A">
      <w:pPr>
        <w:tabs>
          <w:tab w:val="left" w:pos="567"/>
        </w:tabs>
        <w:rPr>
          <w:sz w:val="22"/>
        </w:rPr>
      </w:pPr>
    </w:p>
    <w:p w14:paraId="1662D74E" w14:textId="77777777" w:rsidR="0068223A" w:rsidRPr="00342F7C" w:rsidRDefault="0068223A" w:rsidP="0068223A">
      <w:pPr>
        <w:tabs>
          <w:tab w:val="left" w:pos="567"/>
        </w:tabs>
        <w:rPr>
          <w:sz w:val="22"/>
        </w:rPr>
      </w:pPr>
    </w:p>
    <w:p w14:paraId="68EA7AEA" w14:textId="77777777" w:rsidR="0068223A" w:rsidRPr="00342F7C" w:rsidRDefault="0068223A" w:rsidP="0068223A">
      <w:pPr>
        <w:pStyle w:val="EMEAHeadingBoxedTitle"/>
        <w:spacing w:before="0" w:after="0"/>
        <w:rPr>
          <w:rFonts w:ascii="Times New Roman" w:hAnsi="Times New Roman"/>
          <w:lang w:val="en-GB"/>
        </w:rPr>
      </w:pPr>
      <w:r>
        <w:rPr>
          <w:rFonts w:ascii="Times New Roman" w:hAnsi="Times New Roman"/>
          <w:lang w:val="en-GB"/>
        </w:rPr>
        <w:t>18</w:t>
      </w:r>
      <w:r w:rsidRPr="00342F7C">
        <w:rPr>
          <w:rFonts w:ascii="Times New Roman" w:hAnsi="Times New Roman"/>
          <w:lang w:val="en-GB"/>
        </w:rPr>
        <w:t>.</w:t>
      </w:r>
      <w:r w:rsidRPr="00342F7C">
        <w:rPr>
          <w:rFonts w:ascii="Times New Roman" w:hAnsi="Times New Roman"/>
          <w:lang w:val="en-GB"/>
        </w:rPr>
        <w:tab/>
      </w:r>
      <w:r w:rsidRPr="00C92271">
        <w:rPr>
          <w:b w:val="0"/>
          <w:noProof/>
          <w:szCs w:val="22"/>
        </w:rPr>
        <w:t>UNIQUE IDENTIFIER - HUMAN READABLE DAT</w:t>
      </w:r>
      <w:r>
        <w:rPr>
          <w:b w:val="0"/>
          <w:noProof/>
          <w:szCs w:val="22"/>
        </w:rPr>
        <w:t>A</w:t>
      </w:r>
    </w:p>
    <w:p w14:paraId="067A49F7" w14:textId="77777777" w:rsidR="0068223A" w:rsidRDefault="0068223A" w:rsidP="0068223A">
      <w:pPr>
        <w:pStyle w:val="EMEANormal"/>
        <w:rPr>
          <w:lang w:val="en-GB"/>
        </w:rPr>
      </w:pPr>
    </w:p>
    <w:p w14:paraId="1C742BE0" w14:textId="77777777" w:rsidR="0068223A" w:rsidRDefault="0068223A" w:rsidP="0068223A">
      <w:pPr>
        <w:pStyle w:val="EMEANormal"/>
        <w:rPr>
          <w:lang w:val="en-GB"/>
        </w:rPr>
      </w:pPr>
      <w:r w:rsidRPr="00C92271">
        <w:rPr>
          <w:noProof/>
          <w:szCs w:val="22"/>
          <w:shd w:val="clear" w:color="auto" w:fill="CCCCCC"/>
        </w:rPr>
        <w:t>Not applicable</w:t>
      </w:r>
    </w:p>
    <w:p w14:paraId="2FC3EB1F" w14:textId="77777777" w:rsidR="00277ECB" w:rsidRPr="00342F7C" w:rsidRDefault="00277ECB">
      <w:pPr>
        <w:pStyle w:val="EMEANormal"/>
        <w:rPr>
          <w:lang w:val="en-GB"/>
        </w:rPr>
      </w:pPr>
      <w:r w:rsidRPr="00342F7C">
        <w:rPr>
          <w:lang w:val="en-GB"/>
        </w:rPr>
        <w:br w:type="page"/>
      </w:r>
    </w:p>
    <w:p w14:paraId="0A1FC753" w14:textId="77777777" w:rsidR="00277ECB" w:rsidRPr="00342F7C" w:rsidRDefault="00277ECB">
      <w:pPr>
        <w:pStyle w:val="EMEAHeadingBoxedTitle"/>
        <w:spacing w:before="0" w:after="0"/>
        <w:rPr>
          <w:rFonts w:ascii="Times New Roman" w:hAnsi="Times New Roman"/>
          <w:lang w:val="en-GB"/>
        </w:rPr>
      </w:pPr>
      <w:r w:rsidRPr="00342F7C">
        <w:rPr>
          <w:rFonts w:ascii="Times New Roman" w:hAnsi="Times New Roman"/>
          <w:lang w:val="en-GB"/>
        </w:rPr>
        <w:t>MINIMUM PARTICULARS TO APPEAR ON BLISTERS OR STRIPS</w:t>
      </w:r>
    </w:p>
    <w:p w14:paraId="002E8470" w14:textId="77777777" w:rsidR="00277ECB" w:rsidRPr="00342F7C" w:rsidRDefault="00277ECB">
      <w:pPr>
        <w:pStyle w:val="EMEAHeadingBoxedTitle"/>
        <w:spacing w:before="0" w:after="0"/>
        <w:rPr>
          <w:rFonts w:ascii="Times New Roman" w:hAnsi="Times New Roman"/>
          <w:lang w:val="en-GB"/>
        </w:rPr>
      </w:pPr>
    </w:p>
    <w:p w14:paraId="139B6288" w14:textId="77777777" w:rsidR="00277ECB" w:rsidRPr="00342F7C" w:rsidRDefault="00277ECB">
      <w:pPr>
        <w:pStyle w:val="EMEAHeadingBoxedTitle"/>
        <w:spacing w:before="0" w:after="0"/>
        <w:rPr>
          <w:caps w:val="0"/>
          <w:lang w:val="en-GB"/>
        </w:rPr>
      </w:pPr>
      <w:r w:rsidRPr="00342F7C">
        <w:rPr>
          <w:caps w:val="0"/>
          <w:lang w:val="en-GB"/>
        </w:rPr>
        <w:t xml:space="preserve">200 mg/50 mg </w:t>
      </w:r>
      <w:r w:rsidR="00F96DDF" w:rsidRPr="00342F7C">
        <w:rPr>
          <w:caps w:val="0"/>
          <w:lang w:val="en-GB"/>
        </w:rPr>
        <w:t>tablets – Blister of 8 film-coated tablets or Blister of 12 film-coated tablets</w:t>
      </w:r>
    </w:p>
    <w:p w14:paraId="4B1FA478" w14:textId="77777777" w:rsidR="00277ECB" w:rsidRDefault="00277ECB">
      <w:pPr>
        <w:pStyle w:val="EMEANormal"/>
        <w:rPr>
          <w:lang w:val="en-GB"/>
        </w:rPr>
      </w:pPr>
    </w:p>
    <w:p w14:paraId="17F5661F" w14:textId="77777777" w:rsidR="000016F4" w:rsidRPr="00342F7C" w:rsidRDefault="000016F4">
      <w:pPr>
        <w:pStyle w:val="EMEANormal"/>
        <w:rPr>
          <w:lang w:val="en-GB"/>
        </w:rPr>
      </w:pPr>
    </w:p>
    <w:p w14:paraId="3C5B66BD" w14:textId="77777777" w:rsidR="00277ECB" w:rsidRPr="00342F7C" w:rsidRDefault="00277ECB" w:rsidP="000016F4">
      <w:pPr>
        <w:pStyle w:val="EMEAHeadingBoxedTitle"/>
        <w:spacing w:before="0" w:after="0"/>
        <w:rPr>
          <w:rFonts w:ascii="Times New Roman" w:hAnsi="Times New Roman"/>
          <w:lang w:val="en-GB"/>
        </w:rPr>
      </w:pPr>
      <w:r w:rsidRPr="00342F7C">
        <w:rPr>
          <w:rFonts w:ascii="Times New Roman" w:hAnsi="Times New Roman"/>
          <w:lang w:val="en-GB"/>
        </w:rPr>
        <w:t>1.</w:t>
      </w:r>
      <w:r w:rsidRPr="00342F7C">
        <w:rPr>
          <w:rFonts w:ascii="Times New Roman" w:hAnsi="Times New Roman"/>
          <w:lang w:val="en-GB"/>
        </w:rPr>
        <w:tab/>
        <w:t>NAME OF THE MEDICINAL PRODUCT</w:t>
      </w:r>
    </w:p>
    <w:p w14:paraId="19813256" w14:textId="77777777" w:rsidR="000016F4" w:rsidRDefault="000016F4">
      <w:pPr>
        <w:pStyle w:val="EMEANormal"/>
        <w:rPr>
          <w:lang w:val="en-GB"/>
        </w:rPr>
      </w:pPr>
    </w:p>
    <w:p w14:paraId="0C74C046" w14:textId="77777777" w:rsidR="00277ECB" w:rsidRPr="00342F7C" w:rsidRDefault="00277ECB">
      <w:pPr>
        <w:pStyle w:val="EMEANormal"/>
        <w:rPr>
          <w:lang w:val="en-GB"/>
        </w:rPr>
      </w:pPr>
      <w:r w:rsidRPr="00342F7C">
        <w:rPr>
          <w:lang w:val="en-GB"/>
        </w:rPr>
        <w:t>Kaletra 200 mg/50 mg film-coated tablets</w:t>
      </w:r>
    </w:p>
    <w:p w14:paraId="7600E54A" w14:textId="77777777" w:rsidR="00277ECB" w:rsidRDefault="00277ECB">
      <w:pPr>
        <w:pStyle w:val="EMEANormal"/>
        <w:rPr>
          <w:lang w:val="en-GB"/>
        </w:rPr>
      </w:pPr>
      <w:r w:rsidRPr="00342F7C">
        <w:rPr>
          <w:lang w:val="en-GB"/>
        </w:rPr>
        <w:t>lopinavir/ritonavir</w:t>
      </w:r>
    </w:p>
    <w:p w14:paraId="1B693A00" w14:textId="77777777" w:rsidR="000016F4" w:rsidRDefault="000016F4">
      <w:pPr>
        <w:pStyle w:val="EMEANormal"/>
        <w:rPr>
          <w:lang w:val="en-GB"/>
        </w:rPr>
      </w:pPr>
    </w:p>
    <w:p w14:paraId="2EE2DE0E" w14:textId="77777777" w:rsidR="000016F4" w:rsidRPr="00342F7C" w:rsidRDefault="000016F4">
      <w:pPr>
        <w:pStyle w:val="EMEANormal"/>
        <w:rPr>
          <w:lang w:val="en-GB"/>
        </w:rPr>
      </w:pPr>
    </w:p>
    <w:p w14:paraId="506D8093" w14:textId="77777777" w:rsidR="00277ECB" w:rsidRPr="00342F7C" w:rsidRDefault="00277ECB" w:rsidP="000016F4">
      <w:pPr>
        <w:pStyle w:val="EMEAHeadingBoxedTitle"/>
        <w:spacing w:before="0" w:after="0"/>
        <w:rPr>
          <w:rFonts w:ascii="Times New Roman" w:hAnsi="Times New Roman"/>
          <w:lang w:val="en-GB"/>
        </w:rPr>
      </w:pPr>
      <w:r w:rsidRPr="00342F7C">
        <w:rPr>
          <w:rFonts w:ascii="Times New Roman" w:hAnsi="Times New Roman"/>
          <w:lang w:val="en-GB"/>
        </w:rPr>
        <w:t>2.</w:t>
      </w:r>
      <w:r w:rsidRPr="00342F7C">
        <w:rPr>
          <w:rFonts w:ascii="Times New Roman" w:hAnsi="Times New Roman"/>
          <w:lang w:val="en-GB"/>
        </w:rPr>
        <w:tab/>
        <w:t>NAME OF THE MARKETING AUTHORISATION HOLDER</w:t>
      </w:r>
    </w:p>
    <w:p w14:paraId="13EA57CE" w14:textId="77777777" w:rsidR="000016F4" w:rsidRDefault="000016F4">
      <w:pPr>
        <w:pStyle w:val="EMEANormal"/>
        <w:rPr>
          <w:lang w:val="en-GB"/>
        </w:rPr>
      </w:pPr>
    </w:p>
    <w:p w14:paraId="2037297E" w14:textId="77777777" w:rsidR="003207CA" w:rsidRDefault="003207CA">
      <w:pPr>
        <w:pStyle w:val="EMEANormal"/>
        <w:rPr>
          <w:lang w:val="en-GB"/>
        </w:rPr>
      </w:pPr>
      <w:r w:rsidRPr="009D0475">
        <w:rPr>
          <w:lang w:val="en-GB"/>
        </w:rPr>
        <w:t xml:space="preserve">AbbVie </w:t>
      </w:r>
      <w:r w:rsidR="009D0475" w:rsidRPr="009D0475">
        <w:rPr>
          <w:szCs w:val="22"/>
          <w:highlight w:val="lightGray"/>
          <w:lang w:val="en-GB" w:eastAsia="en-GB"/>
        </w:rPr>
        <w:t>(as logo)</w:t>
      </w:r>
    </w:p>
    <w:p w14:paraId="7F3F8E54" w14:textId="77777777" w:rsidR="000016F4" w:rsidRDefault="000016F4">
      <w:pPr>
        <w:pStyle w:val="EMEANormal"/>
        <w:rPr>
          <w:lang w:val="en-GB"/>
        </w:rPr>
      </w:pPr>
    </w:p>
    <w:p w14:paraId="44441843" w14:textId="77777777" w:rsidR="000016F4" w:rsidRDefault="000016F4">
      <w:pPr>
        <w:pStyle w:val="EMEANormal"/>
        <w:rPr>
          <w:lang w:val="en-GB"/>
        </w:rPr>
      </w:pPr>
    </w:p>
    <w:p w14:paraId="0363A3FA" w14:textId="77777777" w:rsidR="003207CA" w:rsidRDefault="003207CA" w:rsidP="000016F4">
      <w:pPr>
        <w:pStyle w:val="EMEAHeadingBoxedTitle"/>
        <w:spacing w:before="0" w:after="0"/>
        <w:rPr>
          <w:lang w:val="en-GB"/>
        </w:rPr>
      </w:pPr>
      <w:r w:rsidRPr="00342F7C">
        <w:rPr>
          <w:rFonts w:ascii="Times New Roman" w:hAnsi="Times New Roman"/>
          <w:lang w:val="en-GB"/>
        </w:rPr>
        <w:t>3.</w:t>
      </w:r>
      <w:r w:rsidRPr="00342F7C">
        <w:rPr>
          <w:rFonts w:ascii="Times New Roman" w:hAnsi="Times New Roman"/>
          <w:lang w:val="en-GB"/>
        </w:rPr>
        <w:tab/>
        <w:t>EXPIRY DATE</w:t>
      </w:r>
    </w:p>
    <w:p w14:paraId="209654EF" w14:textId="77777777" w:rsidR="003207CA" w:rsidRDefault="003207CA">
      <w:pPr>
        <w:pStyle w:val="EMEANormal"/>
        <w:rPr>
          <w:lang w:val="en-GB"/>
        </w:rPr>
      </w:pPr>
    </w:p>
    <w:p w14:paraId="4245279F" w14:textId="77777777" w:rsidR="00277ECB" w:rsidRDefault="00277ECB">
      <w:pPr>
        <w:pStyle w:val="EMEANormal"/>
        <w:rPr>
          <w:lang w:val="en-GB"/>
        </w:rPr>
      </w:pPr>
      <w:r w:rsidRPr="00342F7C">
        <w:rPr>
          <w:lang w:val="en-GB"/>
        </w:rPr>
        <w:t>EXP</w:t>
      </w:r>
    </w:p>
    <w:p w14:paraId="720DCD95" w14:textId="77777777" w:rsidR="000016F4" w:rsidRDefault="000016F4">
      <w:pPr>
        <w:pStyle w:val="EMEANormal"/>
        <w:rPr>
          <w:lang w:val="en-GB"/>
        </w:rPr>
      </w:pPr>
    </w:p>
    <w:p w14:paraId="1694D0A2" w14:textId="77777777" w:rsidR="000016F4" w:rsidRPr="00342F7C" w:rsidRDefault="000016F4">
      <w:pPr>
        <w:pStyle w:val="EMEANormal"/>
        <w:rPr>
          <w:lang w:val="en-GB"/>
        </w:rPr>
      </w:pPr>
    </w:p>
    <w:p w14:paraId="661481EF" w14:textId="77777777" w:rsidR="00277ECB" w:rsidRPr="00342F7C" w:rsidRDefault="00277ECB" w:rsidP="000016F4">
      <w:pPr>
        <w:pStyle w:val="EMEAHeadingBoxedTitle"/>
        <w:pBdr>
          <w:left w:val="single" w:sz="4" w:space="0" w:color="auto"/>
        </w:pBdr>
        <w:spacing w:before="0" w:after="0"/>
        <w:rPr>
          <w:rFonts w:ascii="Times New Roman" w:hAnsi="Times New Roman"/>
          <w:lang w:val="en-GB"/>
        </w:rPr>
      </w:pPr>
      <w:r w:rsidRPr="00342F7C">
        <w:rPr>
          <w:rFonts w:ascii="Times New Roman" w:hAnsi="Times New Roman"/>
          <w:lang w:val="en-GB"/>
        </w:rPr>
        <w:t>4.</w:t>
      </w:r>
      <w:r w:rsidRPr="00342F7C">
        <w:rPr>
          <w:rFonts w:ascii="Times New Roman" w:hAnsi="Times New Roman"/>
          <w:lang w:val="en-GB"/>
        </w:rPr>
        <w:tab/>
        <w:t>BATCH NUMBER</w:t>
      </w:r>
    </w:p>
    <w:p w14:paraId="3BC998AC" w14:textId="77777777" w:rsidR="000016F4" w:rsidRDefault="000016F4">
      <w:pPr>
        <w:pStyle w:val="EMEANormal"/>
        <w:rPr>
          <w:lang w:val="en-GB"/>
        </w:rPr>
      </w:pPr>
    </w:p>
    <w:p w14:paraId="3FF2D913" w14:textId="77777777" w:rsidR="00277ECB" w:rsidRDefault="00277ECB">
      <w:pPr>
        <w:pStyle w:val="EMEANormal"/>
        <w:rPr>
          <w:lang w:val="en-GB"/>
        </w:rPr>
      </w:pPr>
      <w:r w:rsidRPr="00342F7C">
        <w:rPr>
          <w:lang w:val="en-GB"/>
        </w:rPr>
        <w:t>Lot</w:t>
      </w:r>
    </w:p>
    <w:p w14:paraId="627E7887" w14:textId="77777777" w:rsidR="00AA1F12" w:rsidRDefault="00AA1F12">
      <w:pPr>
        <w:pStyle w:val="EMEANormal"/>
        <w:rPr>
          <w:lang w:val="en-GB"/>
        </w:rPr>
      </w:pPr>
    </w:p>
    <w:p w14:paraId="28E2CFF3" w14:textId="77777777" w:rsidR="00AA1F12" w:rsidRPr="00342F7C" w:rsidRDefault="00AA1F12">
      <w:pPr>
        <w:pStyle w:val="EMEANormal"/>
        <w:rPr>
          <w:lang w:val="en-GB"/>
        </w:rPr>
      </w:pPr>
    </w:p>
    <w:p w14:paraId="20506F40" w14:textId="77777777" w:rsidR="00277ECB" w:rsidRPr="00342F7C" w:rsidRDefault="00277ECB" w:rsidP="00AA1F12">
      <w:pPr>
        <w:pStyle w:val="EMEAHeadingBoxed"/>
        <w:numPr>
          <w:ilvl w:val="0"/>
          <w:numId w:val="5"/>
        </w:numPr>
        <w:tabs>
          <w:tab w:val="clear" w:pos="915"/>
        </w:tabs>
        <w:spacing w:beforeLines="0" w:before="0" w:afterLines="0" w:after="0"/>
        <w:ind w:left="0" w:firstLine="0"/>
        <w:rPr>
          <w:rFonts w:ascii="Times New Roman" w:hAnsi="Times New Roman"/>
          <w:lang w:val="en-GB"/>
        </w:rPr>
      </w:pPr>
      <w:r w:rsidRPr="00342F7C">
        <w:rPr>
          <w:rFonts w:ascii="Times New Roman" w:hAnsi="Times New Roman"/>
          <w:lang w:val="en-GB"/>
        </w:rPr>
        <w:t>OTHER</w:t>
      </w:r>
    </w:p>
    <w:p w14:paraId="48C8B926" w14:textId="77777777" w:rsidR="00277ECB" w:rsidRPr="00342F7C" w:rsidRDefault="00277ECB">
      <w:pPr>
        <w:pStyle w:val="EMEANormal"/>
        <w:rPr>
          <w:lang w:val="en-GB"/>
        </w:rPr>
      </w:pPr>
    </w:p>
    <w:p w14:paraId="5773CAE8" w14:textId="77777777" w:rsidR="00277ECB" w:rsidRPr="00342F7C" w:rsidRDefault="00277ECB">
      <w:pPr>
        <w:pStyle w:val="EMEAHeadingBoxedTitle"/>
        <w:spacing w:before="0" w:after="0"/>
        <w:rPr>
          <w:rFonts w:ascii="Times New Roman" w:hAnsi="Times New Roman"/>
          <w:lang w:val="en-GB"/>
        </w:rPr>
      </w:pPr>
      <w:r w:rsidRPr="00342F7C">
        <w:rPr>
          <w:rFonts w:ascii="Times New Roman" w:hAnsi="Times New Roman"/>
          <w:lang w:val="en-GB"/>
        </w:rPr>
        <w:br w:type="page"/>
        <w:t xml:space="preserve">PARTICULARS TO APPEAR ON THE OUTER PACKAGING </w:t>
      </w:r>
    </w:p>
    <w:p w14:paraId="103C19E6" w14:textId="77777777" w:rsidR="00277ECB" w:rsidRPr="00342F7C" w:rsidRDefault="00277ECB">
      <w:pPr>
        <w:pStyle w:val="EMEAHeadingBoxedTitle"/>
        <w:spacing w:before="0" w:after="0"/>
        <w:rPr>
          <w:rFonts w:ascii="Times New Roman" w:hAnsi="Times New Roman"/>
          <w:lang w:val="en-GB"/>
        </w:rPr>
      </w:pPr>
    </w:p>
    <w:p w14:paraId="6CBA4A71" w14:textId="77777777" w:rsidR="00277ECB" w:rsidRPr="00342F7C" w:rsidRDefault="00277ECB" w:rsidP="00AA1F12">
      <w:pPr>
        <w:pStyle w:val="EMEAHeadingBoxedTitle"/>
        <w:spacing w:before="0" w:after="0"/>
        <w:rPr>
          <w:caps w:val="0"/>
          <w:lang w:val="en-GB"/>
        </w:rPr>
      </w:pPr>
      <w:r w:rsidRPr="00342F7C">
        <w:rPr>
          <w:caps w:val="0"/>
          <w:lang w:val="en-GB"/>
        </w:rPr>
        <w:t>100 mg/ 25 mg t</w:t>
      </w:r>
      <w:r w:rsidR="00F96DDF" w:rsidRPr="00342F7C">
        <w:rPr>
          <w:caps w:val="0"/>
          <w:lang w:val="en-GB"/>
        </w:rPr>
        <w:t>ablets – Carton of 1 bottle</w:t>
      </w:r>
    </w:p>
    <w:p w14:paraId="41C6D29A" w14:textId="77777777" w:rsidR="00277ECB" w:rsidRDefault="00277ECB">
      <w:pPr>
        <w:pStyle w:val="EMEANormal"/>
        <w:rPr>
          <w:lang w:val="en-GB"/>
        </w:rPr>
      </w:pPr>
    </w:p>
    <w:p w14:paraId="038A3A09" w14:textId="77777777" w:rsidR="00AA1F12" w:rsidRPr="00342F7C" w:rsidRDefault="00AA1F12">
      <w:pPr>
        <w:pStyle w:val="EMEANormal"/>
        <w:rPr>
          <w:lang w:val="en-GB"/>
        </w:rPr>
      </w:pPr>
    </w:p>
    <w:p w14:paraId="68E127CF" w14:textId="77777777" w:rsidR="00277ECB" w:rsidRPr="00342F7C" w:rsidRDefault="00277ECB" w:rsidP="00AA1F12">
      <w:pPr>
        <w:pStyle w:val="EMEAHeadingBoxedTitle"/>
        <w:spacing w:before="0" w:after="0"/>
        <w:rPr>
          <w:rFonts w:ascii="Times New Roman" w:hAnsi="Times New Roman"/>
          <w:lang w:val="en-GB"/>
        </w:rPr>
      </w:pPr>
      <w:r w:rsidRPr="00342F7C">
        <w:rPr>
          <w:rFonts w:ascii="Times New Roman" w:hAnsi="Times New Roman"/>
          <w:lang w:val="en-GB"/>
        </w:rPr>
        <w:t>1.</w:t>
      </w:r>
      <w:r w:rsidRPr="00342F7C">
        <w:rPr>
          <w:rFonts w:ascii="Times New Roman" w:hAnsi="Times New Roman"/>
          <w:lang w:val="en-GB"/>
        </w:rPr>
        <w:tab/>
        <w:t>NAME OF THE MEDICINAL PRODUCT</w:t>
      </w:r>
    </w:p>
    <w:p w14:paraId="20C1276A" w14:textId="77777777" w:rsidR="00AA1F12" w:rsidRDefault="00AA1F12">
      <w:pPr>
        <w:pStyle w:val="EMEANormal"/>
        <w:rPr>
          <w:lang w:val="en-GB"/>
        </w:rPr>
      </w:pPr>
    </w:p>
    <w:p w14:paraId="2D11C09C" w14:textId="77777777" w:rsidR="00277ECB" w:rsidRPr="00342F7C" w:rsidRDefault="00277ECB">
      <w:pPr>
        <w:pStyle w:val="EMEANormal"/>
        <w:rPr>
          <w:lang w:val="en-GB"/>
        </w:rPr>
      </w:pPr>
      <w:r w:rsidRPr="00342F7C">
        <w:rPr>
          <w:lang w:val="en-GB"/>
        </w:rPr>
        <w:t>Kaletra 100 mg/25 mg film-coated tablets</w:t>
      </w:r>
    </w:p>
    <w:p w14:paraId="1D16F5DE" w14:textId="77777777" w:rsidR="00277ECB" w:rsidRDefault="00277ECB">
      <w:pPr>
        <w:pStyle w:val="EMEANormal"/>
        <w:rPr>
          <w:lang w:val="en-GB"/>
        </w:rPr>
      </w:pPr>
      <w:r w:rsidRPr="00342F7C">
        <w:rPr>
          <w:lang w:val="en-GB"/>
        </w:rPr>
        <w:t>lopinavir/ritonavir</w:t>
      </w:r>
    </w:p>
    <w:p w14:paraId="14E30D48" w14:textId="77777777" w:rsidR="00AA1F12" w:rsidRDefault="00AA1F12">
      <w:pPr>
        <w:pStyle w:val="EMEANormal"/>
        <w:rPr>
          <w:lang w:val="en-GB"/>
        </w:rPr>
      </w:pPr>
    </w:p>
    <w:p w14:paraId="65814F82" w14:textId="77777777" w:rsidR="00AA1F12" w:rsidRPr="00342F7C" w:rsidRDefault="00AA1F12">
      <w:pPr>
        <w:pStyle w:val="EMEANormal"/>
        <w:rPr>
          <w:lang w:val="en-GB"/>
        </w:rPr>
      </w:pPr>
    </w:p>
    <w:p w14:paraId="2CD40B97" w14:textId="77777777" w:rsidR="00277ECB" w:rsidRPr="00342F7C" w:rsidRDefault="00277ECB" w:rsidP="00AA1F12">
      <w:pPr>
        <w:pStyle w:val="EMEAHeadingBoxedTitle"/>
        <w:spacing w:before="0" w:after="0"/>
        <w:rPr>
          <w:rFonts w:ascii="Times New Roman" w:hAnsi="Times New Roman"/>
          <w:lang w:val="en-GB"/>
        </w:rPr>
      </w:pPr>
      <w:r w:rsidRPr="00342F7C">
        <w:rPr>
          <w:rFonts w:ascii="Times New Roman" w:hAnsi="Times New Roman"/>
          <w:vertAlign w:val="subscript"/>
          <w:lang w:val="en-GB"/>
        </w:rPr>
        <w:t xml:space="preserve"> </w:t>
      </w:r>
      <w:r w:rsidRPr="00342F7C">
        <w:rPr>
          <w:rFonts w:ascii="Times New Roman" w:hAnsi="Times New Roman"/>
          <w:lang w:val="en-GB"/>
        </w:rPr>
        <w:t>2.</w:t>
      </w:r>
      <w:r w:rsidRPr="00342F7C">
        <w:rPr>
          <w:rFonts w:ascii="Times New Roman" w:hAnsi="Times New Roman"/>
          <w:lang w:val="en-GB"/>
        </w:rPr>
        <w:tab/>
        <w:t>STATEMENT OF ACTIVE SUBSTANCE(S)</w:t>
      </w:r>
    </w:p>
    <w:p w14:paraId="5DCD5FC5" w14:textId="77777777" w:rsidR="00AA1F12" w:rsidRDefault="00AA1F12">
      <w:pPr>
        <w:pStyle w:val="EMEANormal"/>
        <w:rPr>
          <w:lang w:val="en-GB"/>
        </w:rPr>
      </w:pPr>
    </w:p>
    <w:p w14:paraId="2ADFE016" w14:textId="77777777" w:rsidR="00277ECB" w:rsidRDefault="00277ECB">
      <w:pPr>
        <w:pStyle w:val="EMEANormal"/>
        <w:rPr>
          <w:lang w:val="en-GB"/>
        </w:rPr>
      </w:pPr>
      <w:r w:rsidRPr="00342F7C">
        <w:rPr>
          <w:lang w:val="en-GB"/>
        </w:rPr>
        <w:t>Each film-coated tablet contains 100 mg of lopinavir co-formulated with 25 mg of ritonavir as a pharmacokinetic enhancer.</w:t>
      </w:r>
    </w:p>
    <w:p w14:paraId="69A46576" w14:textId="77777777" w:rsidR="00AA1F12" w:rsidRDefault="00AA1F12">
      <w:pPr>
        <w:pStyle w:val="EMEANormal"/>
        <w:rPr>
          <w:lang w:val="en-GB"/>
        </w:rPr>
      </w:pPr>
    </w:p>
    <w:p w14:paraId="62D545EB" w14:textId="77777777" w:rsidR="00AA1F12" w:rsidRPr="00342F7C" w:rsidRDefault="00AA1F12">
      <w:pPr>
        <w:pStyle w:val="EMEANormal"/>
        <w:rPr>
          <w:lang w:val="en-GB"/>
        </w:rPr>
      </w:pPr>
    </w:p>
    <w:p w14:paraId="2AE83159" w14:textId="77777777" w:rsidR="00277ECB" w:rsidRPr="00342F7C" w:rsidRDefault="00277ECB" w:rsidP="00AA1F12">
      <w:pPr>
        <w:pStyle w:val="EMEAHeadingBoxedEmpty"/>
        <w:spacing w:beforeLines="0" w:before="0"/>
        <w:ind w:left="561" w:hanging="561"/>
        <w:rPr>
          <w:rFonts w:ascii="Times New Roman" w:hAnsi="Times New Roman"/>
          <w:lang w:val="en-GB"/>
        </w:rPr>
      </w:pPr>
      <w:r w:rsidRPr="00342F7C">
        <w:rPr>
          <w:rFonts w:ascii="Times New Roman" w:hAnsi="Times New Roman"/>
          <w:lang w:val="en-GB"/>
        </w:rPr>
        <w:t>3.</w:t>
      </w:r>
      <w:r w:rsidRPr="00342F7C">
        <w:rPr>
          <w:rFonts w:ascii="Times New Roman" w:hAnsi="Times New Roman"/>
          <w:lang w:val="en-GB"/>
        </w:rPr>
        <w:tab/>
        <w:t>LIST OF EXCIPIENTS</w:t>
      </w:r>
    </w:p>
    <w:p w14:paraId="28B9E92B" w14:textId="77777777" w:rsidR="00277ECB" w:rsidRDefault="00277ECB">
      <w:pPr>
        <w:pStyle w:val="EMEANormal"/>
        <w:rPr>
          <w:lang w:val="en-GB"/>
        </w:rPr>
      </w:pPr>
    </w:p>
    <w:p w14:paraId="7F32D52F" w14:textId="77777777" w:rsidR="00AA1F12" w:rsidRPr="00342F7C" w:rsidRDefault="00AA1F12">
      <w:pPr>
        <w:pStyle w:val="EMEANormal"/>
        <w:rPr>
          <w:lang w:val="en-GB"/>
        </w:rPr>
      </w:pPr>
    </w:p>
    <w:p w14:paraId="5C295F9D" w14:textId="77777777" w:rsidR="00277ECB" w:rsidRPr="00342F7C" w:rsidRDefault="00277ECB" w:rsidP="00AA1F12">
      <w:pPr>
        <w:pStyle w:val="EMEAHeadingBoxedTitle"/>
        <w:spacing w:before="0" w:after="0"/>
        <w:rPr>
          <w:rFonts w:ascii="Times New Roman" w:hAnsi="Times New Roman"/>
          <w:lang w:val="en-GB"/>
        </w:rPr>
      </w:pPr>
      <w:r w:rsidRPr="00342F7C">
        <w:rPr>
          <w:rFonts w:ascii="Times New Roman" w:hAnsi="Times New Roman"/>
          <w:lang w:val="en-GB"/>
        </w:rPr>
        <w:t>4.</w:t>
      </w:r>
      <w:r w:rsidRPr="00342F7C">
        <w:rPr>
          <w:rFonts w:ascii="Times New Roman" w:hAnsi="Times New Roman"/>
          <w:lang w:val="en-GB"/>
        </w:rPr>
        <w:tab/>
        <w:t>PHARMACEUTICAL FORM AND CONTENTS</w:t>
      </w:r>
    </w:p>
    <w:p w14:paraId="3A45E779" w14:textId="77777777" w:rsidR="00AA1F12" w:rsidRDefault="00AA1F12">
      <w:pPr>
        <w:pStyle w:val="EMEANormal"/>
        <w:rPr>
          <w:lang w:val="en-GB"/>
        </w:rPr>
      </w:pPr>
    </w:p>
    <w:p w14:paraId="26CDD3D7" w14:textId="77777777" w:rsidR="00277ECB" w:rsidRDefault="00277ECB">
      <w:pPr>
        <w:pStyle w:val="EMEANormal"/>
        <w:rPr>
          <w:lang w:val="en-GB"/>
        </w:rPr>
      </w:pPr>
      <w:r w:rsidRPr="00342F7C">
        <w:rPr>
          <w:lang w:val="en-GB"/>
        </w:rPr>
        <w:t>60 film-coated tablets</w:t>
      </w:r>
    </w:p>
    <w:p w14:paraId="4144B280" w14:textId="77777777" w:rsidR="00AA1F12" w:rsidRDefault="00AA1F12">
      <w:pPr>
        <w:pStyle w:val="EMEANormal"/>
        <w:rPr>
          <w:lang w:val="en-GB"/>
        </w:rPr>
      </w:pPr>
    </w:p>
    <w:p w14:paraId="0380B8B6" w14:textId="77777777" w:rsidR="00426315" w:rsidRPr="00342F7C" w:rsidRDefault="00426315">
      <w:pPr>
        <w:pStyle w:val="EMEANormal"/>
        <w:rPr>
          <w:lang w:val="en-GB"/>
        </w:rPr>
      </w:pPr>
    </w:p>
    <w:p w14:paraId="7C3ADA48" w14:textId="77777777" w:rsidR="00277ECB" w:rsidRPr="00342F7C" w:rsidRDefault="00277ECB" w:rsidP="00AA1F12">
      <w:pPr>
        <w:pStyle w:val="EMEAHeadingBoxedTitle"/>
        <w:spacing w:before="0" w:after="0"/>
        <w:rPr>
          <w:rFonts w:ascii="Times New Roman" w:hAnsi="Times New Roman"/>
          <w:lang w:val="en-GB"/>
        </w:rPr>
      </w:pPr>
      <w:r w:rsidRPr="00342F7C">
        <w:rPr>
          <w:rFonts w:ascii="Times New Roman" w:hAnsi="Times New Roman"/>
          <w:lang w:val="en-GB"/>
        </w:rPr>
        <w:t>5.</w:t>
      </w:r>
      <w:r w:rsidRPr="00342F7C">
        <w:rPr>
          <w:rFonts w:ascii="Times New Roman" w:hAnsi="Times New Roman"/>
          <w:lang w:val="en-GB"/>
        </w:rPr>
        <w:tab/>
        <w:t>METHOD AND ROUTE(S) OF ADMINISTRATION</w:t>
      </w:r>
    </w:p>
    <w:p w14:paraId="78D4F6E3" w14:textId="77777777" w:rsidR="00AA1F12" w:rsidRDefault="00AA1F12">
      <w:pPr>
        <w:pStyle w:val="EMEANormal"/>
        <w:rPr>
          <w:lang w:val="en-GB"/>
        </w:rPr>
      </w:pPr>
    </w:p>
    <w:p w14:paraId="1D1050B0" w14:textId="77777777" w:rsidR="00247547" w:rsidRDefault="00247547" w:rsidP="00247547">
      <w:pPr>
        <w:pStyle w:val="EMEANormal"/>
        <w:rPr>
          <w:lang w:val="en-GB"/>
        </w:rPr>
      </w:pPr>
      <w:r w:rsidRPr="00342F7C">
        <w:rPr>
          <w:lang w:val="en-GB"/>
        </w:rPr>
        <w:t>Read the package leaflet before use</w:t>
      </w:r>
      <w:r w:rsidR="0068223A">
        <w:rPr>
          <w:lang w:val="en-GB"/>
        </w:rPr>
        <w:t>.</w:t>
      </w:r>
    </w:p>
    <w:p w14:paraId="15F42AE9" w14:textId="77777777" w:rsidR="00277ECB" w:rsidRPr="00342F7C" w:rsidRDefault="00277ECB">
      <w:pPr>
        <w:pStyle w:val="EMEANormal"/>
        <w:rPr>
          <w:lang w:val="en-GB"/>
        </w:rPr>
      </w:pPr>
      <w:r w:rsidRPr="00342F7C">
        <w:rPr>
          <w:lang w:val="en-GB"/>
        </w:rPr>
        <w:t>Oral use</w:t>
      </w:r>
    </w:p>
    <w:p w14:paraId="531EDE3F" w14:textId="77777777" w:rsidR="00AA1F12" w:rsidRDefault="00AA1F12">
      <w:pPr>
        <w:pStyle w:val="EMEANormal"/>
        <w:rPr>
          <w:lang w:val="en-GB"/>
        </w:rPr>
      </w:pPr>
    </w:p>
    <w:p w14:paraId="6240FA2A" w14:textId="77777777" w:rsidR="00AA1F12" w:rsidRPr="00342F7C" w:rsidRDefault="00AA1F12">
      <w:pPr>
        <w:pStyle w:val="EMEANormal"/>
        <w:rPr>
          <w:lang w:val="en-GB"/>
        </w:rPr>
      </w:pPr>
    </w:p>
    <w:p w14:paraId="71CA10F2" w14:textId="77777777" w:rsidR="00277ECB" w:rsidRPr="00342F7C" w:rsidRDefault="00277ECB" w:rsidP="00AA1F12">
      <w:pPr>
        <w:pStyle w:val="EMEAHeadingBoxedTitle"/>
        <w:tabs>
          <w:tab w:val="clear" w:pos="562"/>
          <w:tab w:val="left" w:pos="550"/>
        </w:tabs>
        <w:spacing w:before="0" w:after="0"/>
        <w:ind w:left="550" w:hanging="550"/>
        <w:rPr>
          <w:rFonts w:ascii="Times New Roman" w:hAnsi="Times New Roman"/>
          <w:lang w:val="en-GB"/>
        </w:rPr>
      </w:pPr>
      <w:r w:rsidRPr="00342F7C">
        <w:rPr>
          <w:rFonts w:ascii="Times New Roman" w:hAnsi="Times New Roman"/>
          <w:lang w:val="en-GB"/>
        </w:rPr>
        <w:t>6.</w:t>
      </w:r>
      <w:r w:rsidRPr="00342F7C">
        <w:rPr>
          <w:rFonts w:ascii="Times New Roman" w:hAnsi="Times New Roman"/>
          <w:lang w:val="en-GB"/>
        </w:rPr>
        <w:tab/>
        <w:t xml:space="preserve">SPECIAL WARNING THAT THE MEDICINAL PRODUCT MUST BE STORED OUT OF THE </w:t>
      </w:r>
      <w:r w:rsidR="0023490A">
        <w:rPr>
          <w:rFonts w:ascii="Times New Roman" w:hAnsi="Times New Roman"/>
          <w:lang w:val="en-GB"/>
        </w:rPr>
        <w:t>SIGHT</w:t>
      </w:r>
      <w:r w:rsidR="0023490A" w:rsidRPr="00342F7C">
        <w:rPr>
          <w:rFonts w:ascii="Times New Roman" w:hAnsi="Times New Roman"/>
          <w:lang w:val="en-GB"/>
        </w:rPr>
        <w:t xml:space="preserve"> </w:t>
      </w:r>
      <w:r w:rsidRPr="00342F7C">
        <w:rPr>
          <w:rFonts w:ascii="Times New Roman" w:hAnsi="Times New Roman"/>
          <w:lang w:val="en-GB"/>
        </w:rPr>
        <w:t xml:space="preserve">AND </w:t>
      </w:r>
      <w:r w:rsidR="0023490A">
        <w:rPr>
          <w:rFonts w:ascii="Times New Roman" w:hAnsi="Times New Roman"/>
          <w:lang w:val="en-GB"/>
        </w:rPr>
        <w:t>REACH</w:t>
      </w:r>
      <w:r w:rsidR="0023490A" w:rsidRPr="00342F7C">
        <w:rPr>
          <w:rFonts w:ascii="Times New Roman" w:hAnsi="Times New Roman"/>
          <w:lang w:val="en-GB"/>
        </w:rPr>
        <w:t xml:space="preserve"> </w:t>
      </w:r>
      <w:r w:rsidRPr="00342F7C">
        <w:rPr>
          <w:rFonts w:ascii="Times New Roman" w:hAnsi="Times New Roman"/>
          <w:lang w:val="en-GB"/>
        </w:rPr>
        <w:t>OF CHILDREN</w:t>
      </w:r>
    </w:p>
    <w:p w14:paraId="6FF8FF22" w14:textId="77777777" w:rsidR="00AA1F12" w:rsidRDefault="00AA1F12">
      <w:pPr>
        <w:pStyle w:val="EMEANormal"/>
        <w:rPr>
          <w:lang w:val="en-GB"/>
        </w:rPr>
      </w:pPr>
    </w:p>
    <w:p w14:paraId="3E60B8DB" w14:textId="77777777" w:rsidR="00277ECB" w:rsidRDefault="00277ECB">
      <w:pPr>
        <w:pStyle w:val="EMEANormal"/>
        <w:rPr>
          <w:lang w:val="en-GB"/>
        </w:rPr>
      </w:pPr>
      <w:r w:rsidRPr="00342F7C">
        <w:rPr>
          <w:lang w:val="en-GB"/>
        </w:rPr>
        <w:t>Keep out of the sight</w:t>
      </w:r>
      <w:r w:rsidR="009D5D2E">
        <w:rPr>
          <w:lang w:val="en-GB"/>
        </w:rPr>
        <w:t xml:space="preserve"> and reach</w:t>
      </w:r>
      <w:r w:rsidRPr="00342F7C">
        <w:rPr>
          <w:lang w:val="en-GB"/>
        </w:rPr>
        <w:t xml:space="preserve"> of children</w:t>
      </w:r>
      <w:r w:rsidR="0068223A">
        <w:rPr>
          <w:lang w:val="en-GB"/>
        </w:rPr>
        <w:t>.</w:t>
      </w:r>
    </w:p>
    <w:p w14:paraId="1FA08CFE" w14:textId="77777777" w:rsidR="00AA1F12" w:rsidRDefault="00AA1F12">
      <w:pPr>
        <w:pStyle w:val="EMEANormal"/>
        <w:rPr>
          <w:lang w:val="en-GB"/>
        </w:rPr>
      </w:pPr>
    </w:p>
    <w:p w14:paraId="6D4DA12C" w14:textId="77777777" w:rsidR="00AA1F12" w:rsidRPr="00342F7C" w:rsidRDefault="00AA1F12">
      <w:pPr>
        <w:pStyle w:val="EMEANormal"/>
        <w:rPr>
          <w:lang w:val="en-GB"/>
        </w:rPr>
      </w:pPr>
    </w:p>
    <w:p w14:paraId="562CF7F7" w14:textId="77777777" w:rsidR="00277ECB" w:rsidRPr="00342F7C" w:rsidRDefault="00277ECB" w:rsidP="00AA1F12">
      <w:pPr>
        <w:pStyle w:val="EMEAHeadingBoxedEmpty"/>
        <w:spacing w:beforeLines="0" w:before="0"/>
        <w:ind w:left="561" w:hanging="561"/>
        <w:rPr>
          <w:rFonts w:ascii="Times New Roman" w:hAnsi="Times New Roman"/>
          <w:lang w:val="en-GB"/>
        </w:rPr>
      </w:pPr>
      <w:r w:rsidRPr="00342F7C">
        <w:rPr>
          <w:rFonts w:ascii="Times New Roman" w:hAnsi="Times New Roman"/>
          <w:lang w:val="en-GB"/>
        </w:rPr>
        <w:t>7.</w:t>
      </w:r>
      <w:r w:rsidRPr="00342F7C">
        <w:rPr>
          <w:rFonts w:ascii="Times New Roman" w:hAnsi="Times New Roman"/>
          <w:lang w:val="en-GB"/>
        </w:rPr>
        <w:tab/>
        <w:t>OTHER SPECIAL WARNING(S), IF NECESSARY</w:t>
      </w:r>
    </w:p>
    <w:p w14:paraId="163196A0" w14:textId="77777777" w:rsidR="00277ECB" w:rsidRDefault="00277ECB">
      <w:pPr>
        <w:pStyle w:val="EMEANormal"/>
        <w:rPr>
          <w:lang w:val="en-GB"/>
        </w:rPr>
      </w:pPr>
    </w:p>
    <w:p w14:paraId="076C2E14" w14:textId="77777777" w:rsidR="00AA1F12" w:rsidRPr="00342F7C" w:rsidRDefault="00AA1F12">
      <w:pPr>
        <w:pStyle w:val="EMEANormal"/>
        <w:rPr>
          <w:lang w:val="en-GB"/>
        </w:rPr>
      </w:pPr>
    </w:p>
    <w:p w14:paraId="5C306059" w14:textId="77777777" w:rsidR="00277ECB" w:rsidRPr="00342F7C" w:rsidRDefault="00277ECB" w:rsidP="00AA1F12">
      <w:pPr>
        <w:pStyle w:val="EMEAHeadingBoxed"/>
        <w:spacing w:beforeLines="0" w:before="0" w:afterLines="0" w:after="0"/>
        <w:ind w:left="561" w:hanging="561"/>
        <w:rPr>
          <w:rFonts w:ascii="Times New Roman" w:hAnsi="Times New Roman"/>
          <w:lang w:val="en-GB"/>
        </w:rPr>
      </w:pPr>
      <w:r w:rsidRPr="00342F7C">
        <w:rPr>
          <w:rFonts w:ascii="Times New Roman" w:hAnsi="Times New Roman"/>
          <w:lang w:val="en-GB"/>
        </w:rPr>
        <w:t>8.</w:t>
      </w:r>
      <w:r w:rsidRPr="00342F7C">
        <w:rPr>
          <w:rFonts w:ascii="Times New Roman" w:hAnsi="Times New Roman"/>
          <w:lang w:val="en-GB"/>
        </w:rPr>
        <w:tab/>
        <w:t>EXPIRY DATE</w:t>
      </w:r>
    </w:p>
    <w:p w14:paraId="46ED212E" w14:textId="77777777" w:rsidR="00AA1F12" w:rsidRDefault="00AA1F12">
      <w:pPr>
        <w:pStyle w:val="EMEANormal"/>
        <w:rPr>
          <w:lang w:val="en-GB"/>
        </w:rPr>
      </w:pPr>
    </w:p>
    <w:p w14:paraId="121EBC4D" w14:textId="77777777" w:rsidR="00277ECB" w:rsidRDefault="00277ECB">
      <w:pPr>
        <w:pStyle w:val="EMEANormal"/>
        <w:rPr>
          <w:lang w:val="en-GB"/>
        </w:rPr>
      </w:pPr>
      <w:r w:rsidRPr="00342F7C">
        <w:rPr>
          <w:lang w:val="en-GB"/>
        </w:rPr>
        <w:t>EXP</w:t>
      </w:r>
    </w:p>
    <w:p w14:paraId="402AA09A" w14:textId="77777777" w:rsidR="00AA1F12" w:rsidRDefault="00AA1F12">
      <w:pPr>
        <w:pStyle w:val="EMEANormal"/>
        <w:rPr>
          <w:lang w:val="en-GB"/>
        </w:rPr>
      </w:pPr>
    </w:p>
    <w:p w14:paraId="3E600A7D" w14:textId="77777777" w:rsidR="00AA1F12" w:rsidRPr="00342F7C" w:rsidRDefault="00AA1F12">
      <w:pPr>
        <w:pStyle w:val="EMEANormal"/>
        <w:rPr>
          <w:lang w:val="en-GB"/>
        </w:rPr>
      </w:pPr>
    </w:p>
    <w:p w14:paraId="057F2F63" w14:textId="77777777" w:rsidR="00277ECB" w:rsidRPr="00342F7C" w:rsidRDefault="00277ECB" w:rsidP="00AA1F12">
      <w:pPr>
        <w:pStyle w:val="EMEAHeadingBoxedEmpty"/>
        <w:spacing w:beforeLines="0" w:before="0"/>
        <w:ind w:left="561" w:hanging="561"/>
        <w:rPr>
          <w:rFonts w:ascii="Times New Roman" w:hAnsi="Times New Roman"/>
          <w:lang w:val="en-GB"/>
        </w:rPr>
      </w:pPr>
      <w:r w:rsidRPr="00342F7C">
        <w:rPr>
          <w:rFonts w:ascii="Times New Roman" w:hAnsi="Times New Roman"/>
          <w:lang w:val="en-GB"/>
        </w:rPr>
        <w:t>9.</w:t>
      </w:r>
      <w:r w:rsidRPr="00342F7C">
        <w:rPr>
          <w:rFonts w:ascii="Times New Roman" w:hAnsi="Times New Roman"/>
          <w:lang w:val="en-GB"/>
        </w:rPr>
        <w:tab/>
        <w:t>SPECIAL STORAGE CONDITIONS</w:t>
      </w:r>
    </w:p>
    <w:p w14:paraId="7B49917F" w14:textId="77777777" w:rsidR="00277ECB" w:rsidRDefault="00277ECB">
      <w:pPr>
        <w:pStyle w:val="EMEANormal"/>
        <w:rPr>
          <w:lang w:val="en-GB"/>
        </w:rPr>
      </w:pPr>
    </w:p>
    <w:p w14:paraId="505FBF9B" w14:textId="77777777" w:rsidR="00AA1F12" w:rsidRPr="00342F7C" w:rsidRDefault="00AA1F12">
      <w:pPr>
        <w:pStyle w:val="EMEANormal"/>
        <w:rPr>
          <w:lang w:val="en-GB"/>
        </w:rPr>
      </w:pPr>
    </w:p>
    <w:p w14:paraId="04466A90" w14:textId="77777777" w:rsidR="00277ECB" w:rsidRPr="00342F7C" w:rsidRDefault="00277ECB" w:rsidP="00AA1F12">
      <w:pPr>
        <w:pStyle w:val="EMEAHeadingBoxedTitle"/>
        <w:tabs>
          <w:tab w:val="clear" w:pos="562"/>
          <w:tab w:val="left" w:pos="550"/>
        </w:tabs>
        <w:spacing w:before="0" w:after="0"/>
        <w:ind w:left="550" w:hanging="550"/>
        <w:rPr>
          <w:rFonts w:ascii="Times New Roman" w:hAnsi="Times New Roman"/>
          <w:lang w:val="en-GB"/>
        </w:rPr>
      </w:pPr>
      <w:r w:rsidRPr="00342F7C">
        <w:rPr>
          <w:rFonts w:ascii="Times New Roman" w:hAnsi="Times New Roman"/>
          <w:lang w:val="en-GB"/>
        </w:rPr>
        <w:t>10.</w:t>
      </w:r>
      <w:r w:rsidRPr="00342F7C">
        <w:rPr>
          <w:rFonts w:ascii="Times New Roman" w:hAnsi="Times New Roman"/>
          <w:lang w:val="en-GB"/>
        </w:rPr>
        <w:tab/>
        <w:t>SPECIAL PRECAUTIONS FOR DISPOSAL OF UNUSED MEDICINAL PRODUCTS OR WASTE MATERIALS DERIVED FROM SUCH MEDICINAL PRODUCTS, IF APPROPRIATE</w:t>
      </w:r>
    </w:p>
    <w:p w14:paraId="1C72D435" w14:textId="77777777" w:rsidR="00277ECB" w:rsidRDefault="00277ECB">
      <w:pPr>
        <w:pStyle w:val="EMEANormal"/>
        <w:rPr>
          <w:lang w:val="en-GB"/>
        </w:rPr>
      </w:pPr>
    </w:p>
    <w:p w14:paraId="7C43AA13" w14:textId="77777777" w:rsidR="00F75D4E" w:rsidRPr="00342F7C" w:rsidRDefault="00F75D4E">
      <w:pPr>
        <w:pStyle w:val="EMEANormal"/>
        <w:rPr>
          <w:lang w:val="en-GB"/>
        </w:rPr>
      </w:pPr>
    </w:p>
    <w:p w14:paraId="4AE09D47" w14:textId="77777777" w:rsidR="00277ECB" w:rsidRPr="00342F7C" w:rsidRDefault="00277ECB" w:rsidP="00F75D4E">
      <w:pPr>
        <w:pStyle w:val="EMEAHeadingBoxedTitle"/>
        <w:keepNext/>
        <w:pBdr>
          <w:bottom w:val="single" w:sz="4" w:space="2" w:color="auto"/>
        </w:pBdr>
        <w:spacing w:before="0" w:after="0"/>
        <w:rPr>
          <w:rFonts w:ascii="Times New Roman" w:hAnsi="Times New Roman"/>
          <w:lang w:val="en-GB"/>
        </w:rPr>
      </w:pPr>
      <w:r w:rsidRPr="00342F7C">
        <w:rPr>
          <w:rFonts w:ascii="Times New Roman" w:hAnsi="Times New Roman"/>
          <w:lang w:val="en-GB"/>
        </w:rPr>
        <w:t>11.</w:t>
      </w:r>
      <w:r w:rsidRPr="00342F7C">
        <w:rPr>
          <w:rFonts w:ascii="Times New Roman" w:hAnsi="Times New Roman"/>
          <w:lang w:val="en-GB"/>
        </w:rPr>
        <w:tab/>
        <w:t>NAME AND ADDRESS OF THE MARKETING AUTHORISATION HOLDER</w:t>
      </w:r>
    </w:p>
    <w:p w14:paraId="25FE88BB" w14:textId="77777777" w:rsidR="00AA1F12" w:rsidRDefault="00AA1F12" w:rsidP="00F75D4E">
      <w:pPr>
        <w:pStyle w:val="EMEANormal"/>
        <w:keepNext/>
        <w:rPr>
          <w:lang w:val="en-GB"/>
        </w:rPr>
      </w:pPr>
    </w:p>
    <w:p w14:paraId="30D042E7" w14:textId="77777777" w:rsidR="009D0475" w:rsidRPr="00406B21" w:rsidRDefault="009D0475" w:rsidP="009D0475">
      <w:pPr>
        <w:keepNext/>
        <w:autoSpaceDE w:val="0"/>
        <w:autoSpaceDN w:val="0"/>
        <w:adjustRightInd w:val="0"/>
        <w:spacing w:line="240" w:lineRule="atLeast"/>
        <w:rPr>
          <w:sz w:val="22"/>
          <w:szCs w:val="22"/>
          <w:lang w:eastAsia="en-GB"/>
        </w:rPr>
      </w:pPr>
      <w:r w:rsidRPr="00406B21">
        <w:rPr>
          <w:sz w:val="22"/>
          <w:szCs w:val="22"/>
          <w:lang w:eastAsia="en-GB"/>
        </w:rPr>
        <w:t>AbbVie Deutschland GmbH &amp; Co. KG</w:t>
      </w:r>
    </w:p>
    <w:p w14:paraId="40A37102" w14:textId="77777777" w:rsidR="009D0475" w:rsidRPr="00406B21" w:rsidRDefault="009D0475" w:rsidP="009D0475">
      <w:pPr>
        <w:keepNext/>
        <w:autoSpaceDE w:val="0"/>
        <w:autoSpaceDN w:val="0"/>
        <w:adjustRightInd w:val="0"/>
        <w:spacing w:line="240" w:lineRule="atLeast"/>
        <w:rPr>
          <w:sz w:val="22"/>
          <w:szCs w:val="22"/>
          <w:lang w:eastAsia="en-GB"/>
        </w:rPr>
      </w:pPr>
      <w:r w:rsidRPr="00406B21">
        <w:rPr>
          <w:sz w:val="22"/>
          <w:szCs w:val="22"/>
          <w:lang w:eastAsia="en-GB"/>
        </w:rPr>
        <w:t>Knollstrasse</w:t>
      </w:r>
    </w:p>
    <w:p w14:paraId="59333271" w14:textId="77777777" w:rsidR="009D0475" w:rsidRPr="00406B21" w:rsidRDefault="009D0475" w:rsidP="009D0475">
      <w:pPr>
        <w:keepNext/>
        <w:autoSpaceDE w:val="0"/>
        <w:autoSpaceDN w:val="0"/>
        <w:adjustRightInd w:val="0"/>
        <w:spacing w:line="240" w:lineRule="atLeast"/>
        <w:rPr>
          <w:sz w:val="22"/>
          <w:szCs w:val="22"/>
          <w:lang w:eastAsia="en-GB"/>
        </w:rPr>
      </w:pPr>
      <w:r w:rsidRPr="00406B21">
        <w:rPr>
          <w:sz w:val="22"/>
          <w:szCs w:val="22"/>
          <w:lang w:eastAsia="en-GB"/>
        </w:rPr>
        <w:t>67061 Ludwigshafen</w:t>
      </w:r>
    </w:p>
    <w:p w14:paraId="1C22F54A" w14:textId="77777777" w:rsidR="00F423D9" w:rsidRDefault="009D0475" w:rsidP="009D0475">
      <w:pPr>
        <w:pStyle w:val="EMEANormal"/>
        <w:keepNext/>
        <w:rPr>
          <w:lang w:val="en-GB"/>
        </w:rPr>
      </w:pPr>
      <w:r w:rsidRPr="00406B21">
        <w:rPr>
          <w:szCs w:val="22"/>
          <w:lang w:val="en-GB" w:eastAsia="en-GB"/>
        </w:rPr>
        <w:t>Germany</w:t>
      </w:r>
    </w:p>
    <w:p w14:paraId="0428E25E" w14:textId="77777777" w:rsidR="00AA1F12" w:rsidRDefault="00AA1F12" w:rsidP="00F423D9">
      <w:pPr>
        <w:pStyle w:val="EMEANormal"/>
        <w:rPr>
          <w:lang w:val="en-GB"/>
        </w:rPr>
      </w:pPr>
    </w:p>
    <w:p w14:paraId="2F80D264" w14:textId="77777777" w:rsidR="00AA1F12" w:rsidRDefault="00AA1F12" w:rsidP="00F423D9">
      <w:pPr>
        <w:pStyle w:val="EMEANormal"/>
        <w:rPr>
          <w:lang w:val="en-GB"/>
        </w:rPr>
      </w:pPr>
    </w:p>
    <w:p w14:paraId="7C14208A" w14:textId="77777777" w:rsidR="00277ECB" w:rsidRPr="00342F7C" w:rsidRDefault="00277ECB" w:rsidP="00AA1F12">
      <w:pPr>
        <w:pStyle w:val="EMEAHeadingBoxedTitle"/>
        <w:spacing w:before="0" w:after="0"/>
        <w:rPr>
          <w:rFonts w:ascii="Times New Roman" w:hAnsi="Times New Roman"/>
          <w:lang w:val="en-GB"/>
        </w:rPr>
      </w:pPr>
      <w:r w:rsidRPr="00342F7C">
        <w:rPr>
          <w:rFonts w:ascii="Times New Roman" w:hAnsi="Times New Roman"/>
          <w:lang w:val="en-GB"/>
        </w:rPr>
        <w:t>12.</w:t>
      </w:r>
      <w:r w:rsidRPr="00342F7C">
        <w:rPr>
          <w:rFonts w:ascii="Times New Roman" w:hAnsi="Times New Roman"/>
          <w:lang w:val="en-GB"/>
        </w:rPr>
        <w:tab/>
        <w:t>MARKETING AUTHORISATION NUMBER(S)</w:t>
      </w:r>
    </w:p>
    <w:p w14:paraId="2B3142A6" w14:textId="77777777" w:rsidR="00AA1F12" w:rsidRDefault="00AA1F12">
      <w:pPr>
        <w:pStyle w:val="EMEANormal"/>
        <w:rPr>
          <w:lang w:val="en-GB"/>
        </w:rPr>
      </w:pPr>
    </w:p>
    <w:p w14:paraId="1BD69F2B" w14:textId="77777777" w:rsidR="00277ECB" w:rsidRDefault="00277ECB">
      <w:pPr>
        <w:pStyle w:val="EMEANormal"/>
        <w:rPr>
          <w:lang w:val="en-GB"/>
        </w:rPr>
      </w:pPr>
      <w:r w:rsidRPr="00342F7C">
        <w:rPr>
          <w:lang w:val="en-GB"/>
        </w:rPr>
        <w:t>EU/1/01/172/006</w:t>
      </w:r>
    </w:p>
    <w:p w14:paraId="13A4E554" w14:textId="77777777" w:rsidR="00AA1F12" w:rsidRDefault="00AA1F12">
      <w:pPr>
        <w:pStyle w:val="EMEANormal"/>
        <w:rPr>
          <w:lang w:val="en-GB"/>
        </w:rPr>
      </w:pPr>
    </w:p>
    <w:p w14:paraId="37FE7D8A" w14:textId="77777777" w:rsidR="00AA1F12" w:rsidRPr="00342F7C" w:rsidRDefault="00AA1F12">
      <w:pPr>
        <w:pStyle w:val="EMEANormal"/>
        <w:rPr>
          <w:lang w:val="en-GB"/>
        </w:rPr>
      </w:pPr>
    </w:p>
    <w:p w14:paraId="3922EF8D" w14:textId="77777777" w:rsidR="00277ECB" w:rsidRPr="00342F7C" w:rsidRDefault="00277ECB" w:rsidP="00AA1F12">
      <w:pPr>
        <w:pStyle w:val="EMEAHeadingBoxedTitle"/>
        <w:spacing w:before="0" w:after="0"/>
        <w:rPr>
          <w:rFonts w:ascii="Times New Roman" w:hAnsi="Times New Roman"/>
          <w:lang w:val="en-GB"/>
        </w:rPr>
      </w:pPr>
      <w:r w:rsidRPr="00342F7C">
        <w:rPr>
          <w:rFonts w:ascii="Times New Roman" w:hAnsi="Times New Roman"/>
          <w:lang w:val="en-GB"/>
        </w:rPr>
        <w:t>13.</w:t>
      </w:r>
      <w:r w:rsidRPr="00342F7C">
        <w:rPr>
          <w:rFonts w:ascii="Times New Roman" w:hAnsi="Times New Roman"/>
          <w:lang w:val="en-GB"/>
        </w:rPr>
        <w:tab/>
        <w:t>BATCH NUMBER</w:t>
      </w:r>
    </w:p>
    <w:p w14:paraId="0C4CB497" w14:textId="77777777" w:rsidR="00AA1F12" w:rsidRDefault="00AA1F12">
      <w:pPr>
        <w:pStyle w:val="EMEANormal"/>
        <w:rPr>
          <w:lang w:val="en-GB"/>
        </w:rPr>
      </w:pPr>
    </w:p>
    <w:p w14:paraId="75B8B974" w14:textId="77777777" w:rsidR="00277ECB" w:rsidRDefault="00277ECB">
      <w:pPr>
        <w:pStyle w:val="EMEANormal"/>
        <w:rPr>
          <w:lang w:val="en-GB"/>
        </w:rPr>
      </w:pPr>
      <w:r w:rsidRPr="00342F7C">
        <w:rPr>
          <w:lang w:val="en-GB"/>
        </w:rPr>
        <w:t>Lot</w:t>
      </w:r>
    </w:p>
    <w:p w14:paraId="4AAF849C" w14:textId="77777777" w:rsidR="00AA1F12" w:rsidRDefault="00AA1F12">
      <w:pPr>
        <w:pStyle w:val="EMEANormal"/>
        <w:rPr>
          <w:lang w:val="en-GB"/>
        </w:rPr>
      </w:pPr>
    </w:p>
    <w:p w14:paraId="4A7F3D0C" w14:textId="77777777" w:rsidR="00AA1F12" w:rsidRPr="00342F7C" w:rsidRDefault="00AA1F12">
      <w:pPr>
        <w:pStyle w:val="EMEANormal"/>
        <w:rPr>
          <w:lang w:val="en-GB"/>
        </w:rPr>
      </w:pPr>
    </w:p>
    <w:p w14:paraId="0E55D02D" w14:textId="77777777" w:rsidR="00277ECB" w:rsidRPr="00342F7C" w:rsidRDefault="00277ECB" w:rsidP="00AA1F12">
      <w:pPr>
        <w:pStyle w:val="EMEAHeadingBoxedTitle"/>
        <w:spacing w:before="0" w:after="0"/>
        <w:rPr>
          <w:rFonts w:ascii="Times New Roman" w:hAnsi="Times New Roman"/>
          <w:lang w:val="en-GB"/>
        </w:rPr>
      </w:pPr>
      <w:r w:rsidRPr="00342F7C">
        <w:rPr>
          <w:rFonts w:ascii="Times New Roman" w:hAnsi="Times New Roman"/>
          <w:lang w:val="en-GB"/>
        </w:rPr>
        <w:t>14.</w:t>
      </w:r>
      <w:r w:rsidRPr="00342F7C">
        <w:rPr>
          <w:rFonts w:ascii="Times New Roman" w:hAnsi="Times New Roman"/>
          <w:lang w:val="en-GB"/>
        </w:rPr>
        <w:tab/>
        <w:t>GENERAL CLASSIFICATION FOR SUPPLY</w:t>
      </w:r>
    </w:p>
    <w:p w14:paraId="0D200785" w14:textId="77777777" w:rsidR="00AA1F12" w:rsidRDefault="00AA1F12">
      <w:pPr>
        <w:pStyle w:val="EMEANormal"/>
        <w:rPr>
          <w:lang w:val="en-GB"/>
        </w:rPr>
      </w:pPr>
    </w:p>
    <w:p w14:paraId="20CD437F" w14:textId="77777777" w:rsidR="00AA1F12" w:rsidRPr="00342F7C" w:rsidRDefault="00AA1F12">
      <w:pPr>
        <w:pStyle w:val="EMEANormal"/>
        <w:rPr>
          <w:lang w:val="en-GB"/>
        </w:rPr>
      </w:pPr>
    </w:p>
    <w:p w14:paraId="7DA3323B" w14:textId="77777777" w:rsidR="00277ECB" w:rsidRPr="00342F7C" w:rsidRDefault="00277ECB" w:rsidP="00AA1F12">
      <w:pPr>
        <w:pStyle w:val="EMEAHeadingBoxedTitle"/>
        <w:spacing w:before="0" w:after="0"/>
        <w:rPr>
          <w:rFonts w:ascii="Times New Roman" w:hAnsi="Times New Roman"/>
          <w:lang w:val="en-GB"/>
        </w:rPr>
      </w:pPr>
      <w:r w:rsidRPr="00342F7C">
        <w:rPr>
          <w:rFonts w:ascii="Times New Roman" w:hAnsi="Times New Roman"/>
          <w:lang w:val="en-GB"/>
        </w:rPr>
        <w:t>15.</w:t>
      </w:r>
      <w:r w:rsidRPr="00342F7C">
        <w:rPr>
          <w:rFonts w:ascii="Times New Roman" w:hAnsi="Times New Roman"/>
          <w:lang w:val="en-GB"/>
        </w:rPr>
        <w:tab/>
        <w:t>INSTRUCTIONS ON USE</w:t>
      </w:r>
    </w:p>
    <w:p w14:paraId="78CAEC21" w14:textId="77777777" w:rsidR="00277ECB" w:rsidRDefault="00277ECB">
      <w:pPr>
        <w:pStyle w:val="EMEANormal"/>
        <w:rPr>
          <w:lang w:val="en-GB"/>
        </w:rPr>
      </w:pPr>
    </w:p>
    <w:p w14:paraId="1BD1A101" w14:textId="77777777" w:rsidR="00AA1F12" w:rsidRPr="00342F7C" w:rsidRDefault="00AA1F12">
      <w:pPr>
        <w:pStyle w:val="EMEANormal"/>
        <w:rPr>
          <w:lang w:val="en-GB"/>
        </w:rPr>
      </w:pPr>
    </w:p>
    <w:p w14:paraId="541A764F" w14:textId="77777777" w:rsidR="00277ECB" w:rsidRPr="00342F7C" w:rsidRDefault="00277ECB" w:rsidP="00AA1F12">
      <w:pPr>
        <w:pStyle w:val="EMEAHeadingBoxedTitle"/>
        <w:spacing w:before="0" w:after="0"/>
        <w:rPr>
          <w:rFonts w:ascii="Times New Roman" w:hAnsi="Times New Roman"/>
          <w:lang w:val="en-GB"/>
        </w:rPr>
      </w:pPr>
      <w:r w:rsidRPr="00342F7C">
        <w:rPr>
          <w:rFonts w:ascii="Times New Roman" w:hAnsi="Times New Roman"/>
          <w:lang w:val="en-GB"/>
        </w:rPr>
        <w:t>16.</w:t>
      </w:r>
      <w:r w:rsidRPr="00342F7C">
        <w:rPr>
          <w:rFonts w:ascii="Times New Roman" w:hAnsi="Times New Roman"/>
          <w:lang w:val="en-GB"/>
        </w:rPr>
        <w:tab/>
        <w:t>Information in braille</w:t>
      </w:r>
    </w:p>
    <w:p w14:paraId="16399177" w14:textId="77777777" w:rsidR="00AA1F12" w:rsidRDefault="00AA1F12">
      <w:pPr>
        <w:pStyle w:val="EMEANormal"/>
        <w:rPr>
          <w:lang w:val="en-GB"/>
        </w:rPr>
      </w:pPr>
    </w:p>
    <w:p w14:paraId="398E30C3" w14:textId="77777777" w:rsidR="00277ECB" w:rsidRPr="00342F7C" w:rsidRDefault="003F3D02">
      <w:pPr>
        <w:pStyle w:val="EMEANormal"/>
        <w:rPr>
          <w:lang w:val="en-GB"/>
        </w:rPr>
      </w:pPr>
      <w:r w:rsidRPr="00342F7C">
        <w:rPr>
          <w:lang w:val="en-GB"/>
        </w:rPr>
        <w:t>Kaletra 100 mg/25 </w:t>
      </w:r>
      <w:r w:rsidR="00277ECB" w:rsidRPr="00342F7C">
        <w:rPr>
          <w:lang w:val="en-GB"/>
        </w:rPr>
        <w:t>mg tablets</w:t>
      </w:r>
    </w:p>
    <w:p w14:paraId="1EF17AF7" w14:textId="77777777" w:rsidR="0068223A" w:rsidRDefault="0068223A" w:rsidP="0068223A">
      <w:pPr>
        <w:pStyle w:val="EMEANormal"/>
        <w:rPr>
          <w:lang w:val="fr-FR"/>
        </w:rPr>
      </w:pPr>
    </w:p>
    <w:p w14:paraId="31070C34" w14:textId="77777777" w:rsidR="0068223A" w:rsidRPr="00342F7C" w:rsidRDefault="0068223A" w:rsidP="0068223A">
      <w:pPr>
        <w:pStyle w:val="EMEANormal"/>
        <w:rPr>
          <w:lang w:val="en-GB"/>
        </w:rPr>
      </w:pPr>
    </w:p>
    <w:p w14:paraId="766C02C0" w14:textId="77777777" w:rsidR="0068223A" w:rsidRPr="00342F7C" w:rsidRDefault="0068223A" w:rsidP="0068223A">
      <w:pPr>
        <w:pStyle w:val="EMEAHeadingBoxedTitle"/>
        <w:spacing w:before="0" w:after="0"/>
        <w:rPr>
          <w:rFonts w:ascii="Times New Roman" w:hAnsi="Times New Roman"/>
          <w:lang w:val="en-GB"/>
        </w:rPr>
      </w:pPr>
      <w:r>
        <w:rPr>
          <w:rFonts w:ascii="Times New Roman" w:hAnsi="Times New Roman"/>
          <w:lang w:val="en-GB"/>
        </w:rPr>
        <w:t>17</w:t>
      </w:r>
      <w:r w:rsidRPr="00342F7C">
        <w:rPr>
          <w:rFonts w:ascii="Times New Roman" w:hAnsi="Times New Roman"/>
          <w:lang w:val="en-GB"/>
        </w:rPr>
        <w:t>.</w:t>
      </w:r>
      <w:r w:rsidRPr="00342F7C">
        <w:rPr>
          <w:rFonts w:ascii="Times New Roman" w:hAnsi="Times New Roman"/>
          <w:lang w:val="en-GB"/>
        </w:rPr>
        <w:tab/>
      </w:r>
      <w:r>
        <w:rPr>
          <w:rFonts w:ascii="Times New Roman" w:hAnsi="Times New Roman"/>
          <w:lang w:val="en-GB"/>
        </w:rPr>
        <w:t>UNIQUE IDENTIFIER – 2D BARCODE</w:t>
      </w:r>
    </w:p>
    <w:p w14:paraId="28B2741E" w14:textId="77777777" w:rsidR="0068223A" w:rsidRDefault="0068223A" w:rsidP="0068223A">
      <w:pPr>
        <w:pStyle w:val="EMEANormal"/>
        <w:rPr>
          <w:lang w:val="en-GB"/>
        </w:rPr>
      </w:pPr>
    </w:p>
    <w:p w14:paraId="611D59D2" w14:textId="77777777" w:rsidR="0068223A" w:rsidRPr="00D36207" w:rsidRDefault="0068223A" w:rsidP="0068223A">
      <w:pPr>
        <w:autoSpaceDE w:val="0"/>
        <w:autoSpaceDN w:val="0"/>
        <w:adjustRightInd w:val="0"/>
        <w:rPr>
          <w:sz w:val="22"/>
          <w:szCs w:val="22"/>
          <w:lang w:eastAsia="en-GB"/>
        </w:rPr>
      </w:pPr>
      <w:r w:rsidRPr="00D36207">
        <w:rPr>
          <w:sz w:val="22"/>
          <w:szCs w:val="22"/>
          <w:highlight w:val="lightGray"/>
          <w:lang w:eastAsia="en-GB"/>
        </w:rPr>
        <w:t>2D barcode carrying the unique identifier included.</w:t>
      </w:r>
    </w:p>
    <w:p w14:paraId="3E0BAC99" w14:textId="77777777" w:rsidR="0068223A" w:rsidRDefault="0068223A" w:rsidP="0068223A">
      <w:pPr>
        <w:pStyle w:val="EMEANormal"/>
        <w:rPr>
          <w:lang w:val="en-GB"/>
        </w:rPr>
      </w:pPr>
    </w:p>
    <w:p w14:paraId="60E94538" w14:textId="77777777" w:rsidR="0068223A" w:rsidRPr="00342F7C" w:rsidRDefault="0068223A" w:rsidP="0068223A">
      <w:pPr>
        <w:pStyle w:val="EMEANormal"/>
        <w:rPr>
          <w:lang w:val="en-GB"/>
        </w:rPr>
      </w:pPr>
    </w:p>
    <w:p w14:paraId="701154CD" w14:textId="77777777" w:rsidR="0068223A" w:rsidRPr="00342F7C" w:rsidRDefault="0068223A" w:rsidP="0068223A">
      <w:pPr>
        <w:pStyle w:val="EMEAHeadingBoxedTitle"/>
        <w:spacing w:before="0" w:after="0"/>
        <w:rPr>
          <w:rFonts w:ascii="Times New Roman" w:hAnsi="Times New Roman"/>
          <w:lang w:val="en-GB"/>
        </w:rPr>
      </w:pPr>
      <w:r>
        <w:rPr>
          <w:rFonts w:ascii="Times New Roman" w:hAnsi="Times New Roman"/>
          <w:lang w:val="en-GB"/>
        </w:rPr>
        <w:t>18</w:t>
      </w:r>
      <w:r w:rsidRPr="00342F7C">
        <w:rPr>
          <w:rFonts w:ascii="Times New Roman" w:hAnsi="Times New Roman"/>
          <w:lang w:val="en-GB"/>
        </w:rPr>
        <w:t>.</w:t>
      </w:r>
      <w:r w:rsidRPr="00342F7C">
        <w:rPr>
          <w:rFonts w:ascii="Times New Roman" w:hAnsi="Times New Roman"/>
          <w:lang w:val="en-GB"/>
        </w:rPr>
        <w:tab/>
      </w:r>
      <w:r>
        <w:rPr>
          <w:rFonts w:ascii="Times New Roman" w:hAnsi="Times New Roman"/>
          <w:lang w:val="en-GB"/>
        </w:rPr>
        <w:t>UNIQUE IDENTIFIER – HUMAN READABLE DATA</w:t>
      </w:r>
    </w:p>
    <w:p w14:paraId="63EF260B" w14:textId="77777777" w:rsidR="0068223A" w:rsidRDefault="0068223A" w:rsidP="0068223A">
      <w:pPr>
        <w:pStyle w:val="EMEANormal"/>
        <w:rPr>
          <w:lang w:val="en-GB"/>
        </w:rPr>
      </w:pPr>
    </w:p>
    <w:p w14:paraId="689371A6" w14:textId="77777777" w:rsidR="0068223A" w:rsidRPr="00D36207" w:rsidRDefault="0068223A" w:rsidP="0068223A">
      <w:pPr>
        <w:autoSpaceDE w:val="0"/>
        <w:autoSpaceDN w:val="0"/>
        <w:adjustRightInd w:val="0"/>
        <w:rPr>
          <w:sz w:val="22"/>
          <w:szCs w:val="22"/>
          <w:lang w:eastAsia="en-GB"/>
        </w:rPr>
      </w:pPr>
      <w:r w:rsidRPr="00D36207">
        <w:rPr>
          <w:sz w:val="22"/>
          <w:szCs w:val="22"/>
          <w:lang w:eastAsia="en-GB"/>
        </w:rPr>
        <w:t>PC</w:t>
      </w:r>
    </w:p>
    <w:p w14:paraId="7B7BDE98" w14:textId="77777777" w:rsidR="0068223A" w:rsidRPr="00D36207" w:rsidRDefault="0068223A" w:rsidP="0068223A">
      <w:pPr>
        <w:pStyle w:val="EMEANormal"/>
        <w:rPr>
          <w:szCs w:val="22"/>
          <w:lang w:eastAsia="en-GB"/>
        </w:rPr>
      </w:pPr>
      <w:r w:rsidRPr="00D36207">
        <w:rPr>
          <w:szCs w:val="22"/>
          <w:lang w:eastAsia="en-GB"/>
        </w:rPr>
        <w:t>SN</w:t>
      </w:r>
    </w:p>
    <w:p w14:paraId="5A175FA2" w14:textId="77777777" w:rsidR="0068223A" w:rsidRPr="00D36207" w:rsidRDefault="0068223A" w:rsidP="0068223A">
      <w:pPr>
        <w:pStyle w:val="EMEANormal"/>
        <w:rPr>
          <w:szCs w:val="22"/>
          <w:lang w:eastAsia="en-GB"/>
        </w:rPr>
      </w:pPr>
      <w:r w:rsidRPr="00D36207">
        <w:rPr>
          <w:szCs w:val="22"/>
          <w:highlight w:val="lightGray"/>
          <w:lang w:eastAsia="en-GB"/>
        </w:rPr>
        <w:t>NN</w:t>
      </w:r>
    </w:p>
    <w:p w14:paraId="4DBCB1C7" w14:textId="77777777" w:rsidR="00277ECB" w:rsidRPr="00342F7C" w:rsidRDefault="00277ECB">
      <w:pPr>
        <w:pStyle w:val="EMEANormal"/>
        <w:rPr>
          <w:lang w:val="en-GB"/>
        </w:rPr>
      </w:pPr>
      <w:r w:rsidRPr="00342F7C">
        <w:rPr>
          <w:lang w:val="en-GB"/>
        </w:rPr>
        <w:br w:type="page"/>
      </w:r>
    </w:p>
    <w:p w14:paraId="5AFCF6A8" w14:textId="77777777" w:rsidR="00277ECB" w:rsidRPr="00342F7C" w:rsidRDefault="00277ECB">
      <w:pPr>
        <w:pStyle w:val="EMEAHeadingBoxedTitle"/>
        <w:spacing w:before="0" w:after="0"/>
        <w:rPr>
          <w:rFonts w:ascii="Times New Roman" w:hAnsi="Times New Roman"/>
          <w:lang w:val="en-GB"/>
        </w:rPr>
      </w:pPr>
      <w:r w:rsidRPr="00342F7C">
        <w:rPr>
          <w:rFonts w:ascii="Times New Roman" w:hAnsi="Times New Roman"/>
          <w:lang w:val="en-GB"/>
        </w:rPr>
        <w:t>PARTICULARS TO APPEAR ON THE ON THE IMMEDIATE PACKAGING</w:t>
      </w:r>
    </w:p>
    <w:p w14:paraId="358F834B" w14:textId="77777777" w:rsidR="00277ECB" w:rsidRPr="00342F7C" w:rsidRDefault="00277ECB">
      <w:pPr>
        <w:pStyle w:val="EMEAHeadingBoxedTitle"/>
        <w:spacing w:before="0" w:after="0"/>
        <w:rPr>
          <w:rFonts w:ascii="Times New Roman" w:hAnsi="Times New Roman"/>
          <w:lang w:val="en-GB"/>
        </w:rPr>
      </w:pPr>
    </w:p>
    <w:p w14:paraId="5DAC9C2D" w14:textId="77777777" w:rsidR="00277ECB" w:rsidRPr="00342F7C" w:rsidRDefault="00277ECB">
      <w:pPr>
        <w:pStyle w:val="EMEAHeadingBoxedTitle"/>
        <w:spacing w:before="0" w:after="0"/>
        <w:rPr>
          <w:caps w:val="0"/>
          <w:lang w:val="en-GB"/>
        </w:rPr>
      </w:pPr>
      <w:r w:rsidRPr="00342F7C">
        <w:rPr>
          <w:caps w:val="0"/>
          <w:lang w:val="en-GB"/>
        </w:rPr>
        <w:t>100 mg/25 mg t</w:t>
      </w:r>
      <w:r w:rsidR="002E59ED" w:rsidRPr="00342F7C">
        <w:rPr>
          <w:caps w:val="0"/>
          <w:lang w:val="en-GB"/>
        </w:rPr>
        <w:t>ablets - bottle</w:t>
      </w:r>
      <w:r w:rsidRPr="00342F7C">
        <w:rPr>
          <w:caps w:val="0"/>
          <w:lang w:val="en-GB"/>
        </w:rPr>
        <w:t xml:space="preserve"> label</w:t>
      </w:r>
    </w:p>
    <w:p w14:paraId="41F05293" w14:textId="77777777" w:rsidR="00277ECB" w:rsidRDefault="00277ECB">
      <w:pPr>
        <w:pStyle w:val="EMEANormal"/>
        <w:rPr>
          <w:lang w:val="en-GB"/>
        </w:rPr>
      </w:pPr>
    </w:p>
    <w:p w14:paraId="3B9C9E48" w14:textId="77777777" w:rsidR="005C68A8" w:rsidRPr="00342F7C" w:rsidRDefault="005C68A8">
      <w:pPr>
        <w:pStyle w:val="EMEANormal"/>
        <w:rPr>
          <w:lang w:val="en-GB"/>
        </w:rPr>
      </w:pPr>
    </w:p>
    <w:p w14:paraId="0270F193" w14:textId="77777777" w:rsidR="00277ECB" w:rsidRPr="00342F7C" w:rsidRDefault="00277ECB" w:rsidP="005C68A8">
      <w:pPr>
        <w:pStyle w:val="EMEAHeadingBoxedTitle"/>
        <w:spacing w:before="0" w:after="0"/>
        <w:rPr>
          <w:rFonts w:ascii="Times New Roman" w:hAnsi="Times New Roman"/>
          <w:lang w:val="en-GB"/>
        </w:rPr>
      </w:pPr>
      <w:r w:rsidRPr="00342F7C">
        <w:rPr>
          <w:rFonts w:ascii="Times New Roman" w:hAnsi="Times New Roman"/>
          <w:lang w:val="en-GB"/>
        </w:rPr>
        <w:t>1.</w:t>
      </w:r>
      <w:r w:rsidRPr="00342F7C">
        <w:rPr>
          <w:rFonts w:ascii="Times New Roman" w:hAnsi="Times New Roman"/>
          <w:lang w:val="en-GB"/>
        </w:rPr>
        <w:tab/>
        <w:t>NAME OF THE MEDICINAL PRODUCT</w:t>
      </w:r>
    </w:p>
    <w:p w14:paraId="41F03778" w14:textId="77777777" w:rsidR="005C68A8" w:rsidRDefault="005C68A8">
      <w:pPr>
        <w:pStyle w:val="EMEANormal"/>
        <w:rPr>
          <w:lang w:val="en-GB"/>
        </w:rPr>
      </w:pPr>
    </w:p>
    <w:p w14:paraId="378CD0BC" w14:textId="77777777" w:rsidR="00277ECB" w:rsidRPr="00342F7C" w:rsidRDefault="00277ECB">
      <w:pPr>
        <w:pStyle w:val="EMEANormal"/>
        <w:rPr>
          <w:lang w:val="en-GB"/>
        </w:rPr>
      </w:pPr>
      <w:r w:rsidRPr="00342F7C">
        <w:rPr>
          <w:lang w:val="en-GB"/>
        </w:rPr>
        <w:t>Kaletra 100 mg/25 mg film-coated tablets</w:t>
      </w:r>
    </w:p>
    <w:p w14:paraId="30309A7C" w14:textId="77777777" w:rsidR="00277ECB" w:rsidRDefault="00277ECB">
      <w:pPr>
        <w:pStyle w:val="EMEANormal"/>
        <w:rPr>
          <w:lang w:val="en-GB"/>
        </w:rPr>
      </w:pPr>
      <w:r w:rsidRPr="00342F7C">
        <w:rPr>
          <w:lang w:val="en-GB"/>
        </w:rPr>
        <w:t>lopinavir/ritonavir</w:t>
      </w:r>
    </w:p>
    <w:p w14:paraId="53A346E3" w14:textId="77777777" w:rsidR="005C68A8" w:rsidRDefault="005C68A8">
      <w:pPr>
        <w:pStyle w:val="EMEANormal"/>
        <w:rPr>
          <w:lang w:val="en-GB"/>
        </w:rPr>
      </w:pPr>
    </w:p>
    <w:p w14:paraId="39E34303" w14:textId="77777777" w:rsidR="005C68A8" w:rsidRPr="00342F7C" w:rsidRDefault="005C68A8">
      <w:pPr>
        <w:pStyle w:val="EMEANormal"/>
        <w:rPr>
          <w:lang w:val="en-GB"/>
        </w:rPr>
      </w:pPr>
    </w:p>
    <w:p w14:paraId="5E8EAE0B" w14:textId="77777777" w:rsidR="00277ECB" w:rsidRPr="00342F7C" w:rsidRDefault="00277ECB" w:rsidP="005C68A8">
      <w:pPr>
        <w:pStyle w:val="EMEAHeadingBoxedTitle"/>
        <w:spacing w:before="0" w:after="0"/>
        <w:rPr>
          <w:rFonts w:ascii="Times New Roman" w:hAnsi="Times New Roman"/>
          <w:lang w:val="en-GB"/>
        </w:rPr>
      </w:pPr>
      <w:r w:rsidRPr="00342F7C">
        <w:rPr>
          <w:rFonts w:ascii="Times New Roman" w:hAnsi="Times New Roman"/>
          <w:lang w:val="en-GB"/>
        </w:rPr>
        <w:t>2.</w:t>
      </w:r>
      <w:r w:rsidRPr="00342F7C">
        <w:rPr>
          <w:rFonts w:ascii="Times New Roman" w:hAnsi="Times New Roman"/>
          <w:lang w:val="en-GB"/>
        </w:rPr>
        <w:tab/>
        <w:t>STATEMENT OF ACTIVE SUBSTANCE(S)</w:t>
      </w:r>
    </w:p>
    <w:p w14:paraId="22B7C1AD" w14:textId="77777777" w:rsidR="005C68A8" w:rsidRDefault="005C68A8">
      <w:pPr>
        <w:pStyle w:val="EMEANormal"/>
        <w:rPr>
          <w:lang w:val="en-GB"/>
        </w:rPr>
      </w:pPr>
    </w:p>
    <w:p w14:paraId="7E8DCFFA" w14:textId="77777777" w:rsidR="00277ECB" w:rsidRDefault="00277ECB">
      <w:pPr>
        <w:pStyle w:val="EMEANormal"/>
        <w:rPr>
          <w:lang w:val="en-GB"/>
        </w:rPr>
      </w:pPr>
      <w:r w:rsidRPr="00342F7C">
        <w:rPr>
          <w:lang w:val="en-GB"/>
        </w:rPr>
        <w:t>Each film-coated tablet contains 100 mg of lopinavir co-formulated with 25 mg of ritonavir as a pharmacokinetic enhancer.</w:t>
      </w:r>
    </w:p>
    <w:p w14:paraId="2170AAA0" w14:textId="77777777" w:rsidR="005C68A8" w:rsidRDefault="005C68A8">
      <w:pPr>
        <w:pStyle w:val="EMEANormal"/>
        <w:rPr>
          <w:lang w:val="en-GB"/>
        </w:rPr>
      </w:pPr>
    </w:p>
    <w:p w14:paraId="7A4E78E3" w14:textId="77777777" w:rsidR="005C68A8" w:rsidRPr="00342F7C" w:rsidRDefault="005C68A8">
      <w:pPr>
        <w:pStyle w:val="EMEANormal"/>
        <w:rPr>
          <w:lang w:val="en-GB"/>
        </w:rPr>
      </w:pPr>
    </w:p>
    <w:p w14:paraId="2F80A895" w14:textId="77777777" w:rsidR="00277ECB" w:rsidRPr="00342F7C" w:rsidRDefault="00277ECB" w:rsidP="005C68A8">
      <w:pPr>
        <w:pStyle w:val="EMEAHeadingBoxedEmpty"/>
        <w:spacing w:beforeLines="0" w:before="0"/>
        <w:ind w:left="561" w:hanging="561"/>
        <w:rPr>
          <w:rFonts w:ascii="Times New Roman" w:hAnsi="Times New Roman"/>
          <w:lang w:val="en-GB"/>
        </w:rPr>
      </w:pPr>
      <w:r w:rsidRPr="00342F7C">
        <w:rPr>
          <w:rFonts w:ascii="Times New Roman" w:hAnsi="Times New Roman"/>
          <w:lang w:val="en-GB"/>
        </w:rPr>
        <w:t>3.</w:t>
      </w:r>
      <w:r w:rsidRPr="00342F7C">
        <w:rPr>
          <w:rFonts w:ascii="Times New Roman" w:hAnsi="Times New Roman"/>
          <w:lang w:val="en-GB"/>
        </w:rPr>
        <w:tab/>
        <w:t>LIST OF EXCIPIENTS</w:t>
      </w:r>
    </w:p>
    <w:p w14:paraId="75D02961" w14:textId="77777777" w:rsidR="00277ECB" w:rsidRDefault="00277ECB">
      <w:pPr>
        <w:pStyle w:val="EMEANormal"/>
        <w:rPr>
          <w:lang w:val="en-GB"/>
        </w:rPr>
      </w:pPr>
    </w:p>
    <w:p w14:paraId="4DD0527E" w14:textId="77777777" w:rsidR="005C68A8" w:rsidRPr="00342F7C" w:rsidRDefault="005C68A8">
      <w:pPr>
        <w:pStyle w:val="EMEANormal"/>
        <w:rPr>
          <w:lang w:val="en-GB"/>
        </w:rPr>
      </w:pPr>
    </w:p>
    <w:p w14:paraId="4BF9871C" w14:textId="77777777" w:rsidR="00277ECB" w:rsidRPr="00342F7C" w:rsidRDefault="00277ECB" w:rsidP="005C68A8">
      <w:pPr>
        <w:pStyle w:val="EMEAHeadingBoxedTitle"/>
        <w:spacing w:before="0" w:after="0"/>
        <w:rPr>
          <w:rFonts w:ascii="Times New Roman" w:hAnsi="Times New Roman"/>
          <w:lang w:val="en-GB"/>
        </w:rPr>
      </w:pPr>
      <w:r w:rsidRPr="00342F7C">
        <w:rPr>
          <w:rFonts w:ascii="Times New Roman" w:hAnsi="Times New Roman"/>
          <w:lang w:val="en-GB"/>
        </w:rPr>
        <w:t>4.</w:t>
      </w:r>
      <w:r w:rsidRPr="00342F7C">
        <w:rPr>
          <w:rFonts w:ascii="Times New Roman" w:hAnsi="Times New Roman"/>
          <w:lang w:val="en-GB"/>
        </w:rPr>
        <w:tab/>
        <w:t>PHARMACEUTICAL FORM AND CONTENTS</w:t>
      </w:r>
    </w:p>
    <w:p w14:paraId="3EC1271F" w14:textId="77777777" w:rsidR="005C68A8" w:rsidRDefault="005C68A8">
      <w:pPr>
        <w:pStyle w:val="EMEANormal"/>
        <w:rPr>
          <w:lang w:val="en-GB"/>
        </w:rPr>
      </w:pPr>
    </w:p>
    <w:p w14:paraId="1306A3F6" w14:textId="77777777" w:rsidR="00277ECB" w:rsidRDefault="00277ECB">
      <w:pPr>
        <w:pStyle w:val="EMEANormal"/>
        <w:rPr>
          <w:lang w:val="en-GB"/>
        </w:rPr>
      </w:pPr>
      <w:r w:rsidRPr="00342F7C">
        <w:rPr>
          <w:lang w:val="en-GB"/>
        </w:rPr>
        <w:t>60 film-coated tablets</w:t>
      </w:r>
    </w:p>
    <w:p w14:paraId="00CCC3BA" w14:textId="77777777" w:rsidR="005C68A8" w:rsidRDefault="005C68A8">
      <w:pPr>
        <w:pStyle w:val="EMEANormal"/>
        <w:rPr>
          <w:lang w:val="en-GB"/>
        </w:rPr>
      </w:pPr>
    </w:p>
    <w:p w14:paraId="4A7D6241" w14:textId="77777777" w:rsidR="005C68A8" w:rsidRPr="00342F7C" w:rsidRDefault="005C68A8">
      <w:pPr>
        <w:pStyle w:val="EMEANormal"/>
        <w:rPr>
          <w:lang w:val="en-GB"/>
        </w:rPr>
      </w:pPr>
    </w:p>
    <w:p w14:paraId="472F2D7B" w14:textId="77777777" w:rsidR="00277ECB" w:rsidRPr="00342F7C" w:rsidRDefault="00277ECB" w:rsidP="005C68A8">
      <w:pPr>
        <w:pStyle w:val="EMEAHeadingBoxedTitle"/>
        <w:spacing w:before="0" w:after="0"/>
        <w:rPr>
          <w:rFonts w:ascii="Times New Roman" w:hAnsi="Times New Roman"/>
          <w:lang w:val="en-GB"/>
        </w:rPr>
      </w:pPr>
      <w:r w:rsidRPr="00342F7C">
        <w:rPr>
          <w:rFonts w:ascii="Times New Roman" w:hAnsi="Times New Roman"/>
          <w:lang w:val="en-GB"/>
        </w:rPr>
        <w:t>5.</w:t>
      </w:r>
      <w:r w:rsidRPr="00342F7C">
        <w:rPr>
          <w:rFonts w:ascii="Times New Roman" w:hAnsi="Times New Roman"/>
          <w:lang w:val="en-GB"/>
        </w:rPr>
        <w:tab/>
        <w:t>METHOD AND ROUTE(S) OF ADMINISTRATION</w:t>
      </w:r>
    </w:p>
    <w:p w14:paraId="77F0B321" w14:textId="77777777" w:rsidR="005C68A8" w:rsidRDefault="005C68A8">
      <w:pPr>
        <w:pStyle w:val="EMEANormal"/>
        <w:rPr>
          <w:lang w:val="en-GB"/>
        </w:rPr>
      </w:pPr>
    </w:p>
    <w:p w14:paraId="6814E4F5" w14:textId="77777777" w:rsidR="00247547" w:rsidRDefault="00247547" w:rsidP="00247547">
      <w:pPr>
        <w:pStyle w:val="EMEANormal"/>
        <w:rPr>
          <w:lang w:val="en-GB"/>
        </w:rPr>
      </w:pPr>
      <w:r w:rsidRPr="00342F7C">
        <w:rPr>
          <w:lang w:val="en-GB"/>
        </w:rPr>
        <w:t>Read the package leaflet before use</w:t>
      </w:r>
      <w:r w:rsidR="0068223A">
        <w:rPr>
          <w:lang w:val="en-GB"/>
        </w:rPr>
        <w:t>.</w:t>
      </w:r>
    </w:p>
    <w:p w14:paraId="04A08178" w14:textId="77777777" w:rsidR="00277ECB" w:rsidRPr="00342F7C" w:rsidRDefault="00277ECB">
      <w:pPr>
        <w:pStyle w:val="EMEANormal"/>
        <w:rPr>
          <w:lang w:val="en-GB"/>
        </w:rPr>
      </w:pPr>
      <w:r w:rsidRPr="00342F7C">
        <w:rPr>
          <w:lang w:val="en-GB"/>
        </w:rPr>
        <w:t>Oral use</w:t>
      </w:r>
    </w:p>
    <w:p w14:paraId="1C9392BE" w14:textId="77777777" w:rsidR="005C68A8" w:rsidRDefault="005C68A8">
      <w:pPr>
        <w:pStyle w:val="EMEANormal"/>
        <w:rPr>
          <w:lang w:val="en-GB"/>
        </w:rPr>
      </w:pPr>
    </w:p>
    <w:p w14:paraId="647134B3" w14:textId="77777777" w:rsidR="005C68A8" w:rsidRPr="00342F7C" w:rsidRDefault="005C68A8">
      <w:pPr>
        <w:pStyle w:val="EMEANormal"/>
        <w:rPr>
          <w:lang w:val="en-GB"/>
        </w:rPr>
      </w:pPr>
    </w:p>
    <w:p w14:paraId="65FFA146" w14:textId="77777777" w:rsidR="00277ECB" w:rsidRPr="00342F7C" w:rsidRDefault="00277ECB" w:rsidP="005C68A8">
      <w:pPr>
        <w:pStyle w:val="EMEAHeadingBoxedTitle"/>
        <w:spacing w:before="0" w:after="0"/>
        <w:ind w:left="550" w:hanging="550"/>
        <w:rPr>
          <w:rFonts w:ascii="Times New Roman" w:hAnsi="Times New Roman"/>
          <w:lang w:val="en-GB"/>
        </w:rPr>
      </w:pPr>
      <w:r w:rsidRPr="00342F7C">
        <w:rPr>
          <w:rFonts w:ascii="Times New Roman" w:hAnsi="Times New Roman"/>
          <w:lang w:val="en-GB"/>
        </w:rPr>
        <w:t>6.</w:t>
      </w:r>
      <w:r w:rsidRPr="00342F7C">
        <w:rPr>
          <w:rFonts w:ascii="Times New Roman" w:hAnsi="Times New Roman"/>
          <w:lang w:val="en-GB"/>
        </w:rPr>
        <w:tab/>
        <w:t xml:space="preserve">SPECIAL WARNING THAT THE MEDICINAL PRODUCT MUST BE STORED OUT OF THE </w:t>
      </w:r>
      <w:r w:rsidR="0023490A">
        <w:rPr>
          <w:rFonts w:ascii="Times New Roman" w:hAnsi="Times New Roman"/>
          <w:lang w:val="en-GB"/>
        </w:rPr>
        <w:t>SIGHT</w:t>
      </w:r>
      <w:r w:rsidR="0023490A" w:rsidRPr="00342F7C">
        <w:rPr>
          <w:rFonts w:ascii="Times New Roman" w:hAnsi="Times New Roman"/>
          <w:lang w:val="en-GB"/>
        </w:rPr>
        <w:t xml:space="preserve"> </w:t>
      </w:r>
      <w:r w:rsidRPr="00342F7C">
        <w:rPr>
          <w:rFonts w:ascii="Times New Roman" w:hAnsi="Times New Roman"/>
          <w:lang w:val="en-GB"/>
        </w:rPr>
        <w:t xml:space="preserve">AND </w:t>
      </w:r>
      <w:r w:rsidR="0023490A">
        <w:rPr>
          <w:rFonts w:ascii="Times New Roman" w:hAnsi="Times New Roman"/>
          <w:lang w:val="en-GB"/>
        </w:rPr>
        <w:t>REACH</w:t>
      </w:r>
      <w:r w:rsidR="0023490A" w:rsidRPr="00342F7C">
        <w:rPr>
          <w:rFonts w:ascii="Times New Roman" w:hAnsi="Times New Roman"/>
          <w:lang w:val="en-GB"/>
        </w:rPr>
        <w:t xml:space="preserve"> </w:t>
      </w:r>
      <w:r w:rsidRPr="00342F7C">
        <w:rPr>
          <w:rFonts w:ascii="Times New Roman" w:hAnsi="Times New Roman"/>
          <w:lang w:val="en-GB"/>
        </w:rPr>
        <w:t>OF CHILDREN</w:t>
      </w:r>
    </w:p>
    <w:p w14:paraId="1ADAEA00" w14:textId="77777777" w:rsidR="005C68A8" w:rsidRDefault="005C68A8">
      <w:pPr>
        <w:pStyle w:val="EMEANormal"/>
        <w:rPr>
          <w:lang w:val="en-GB"/>
        </w:rPr>
      </w:pPr>
    </w:p>
    <w:p w14:paraId="5B4FC73B" w14:textId="77777777" w:rsidR="00277ECB" w:rsidRDefault="00277ECB">
      <w:pPr>
        <w:pStyle w:val="EMEANormal"/>
        <w:rPr>
          <w:lang w:val="en-GB"/>
        </w:rPr>
      </w:pPr>
      <w:r w:rsidRPr="00342F7C">
        <w:rPr>
          <w:lang w:val="en-GB"/>
        </w:rPr>
        <w:t xml:space="preserve">Keep out of the sight </w:t>
      </w:r>
      <w:r w:rsidR="009D5D2E">
        <w:rPr>
          <w:lang w:val="en-GB"/>
        </w:rPr>
        <w:t xml:space="preserve">and reach </w:t>
      </w:r>
      <w:r w:rsidRPr="00342F7C">
        <w:rPr>
          <w:lang w:val="en-GB"/>
        </w:rPr>
        <w:t>of children</w:t>
      </w:r>
      <w:r w:rsidR="0068223A">
        <w:rPr>
          <w:lang w:val="en-GB"/>
        </w:rPr>
        <w:t>.</w:t>
      </w:r>
    </w:p>
    <w:p w14:paraId="1E9B1C58" w14:textId="77777777" w:rsidR="005C68A8" w:rsidRDefault="005C68A8">
      <w:pPr>
        <w:pStyle w:val="EMEANormal"/>
        <w:rPr>
          <w:lang w:val="en-GB"/>
        </w:rPr>
      </w:pPr>
    </w:p>
    <w:p w14:paraId="3F9B23C0" w14:textId="77777777" w:rsidR="005C68A8" w:rsidRPr="00342F7C" w:rsidRDefault="005C68A8">
      <w:pPr>
        <w:pStyle w:val="EMEANormal"/>
        <w:rPr>
          <w:lang w:val="en-GB"/>
        </w:rPr>
      </w:pPr>
    </w:p>
    <w:p w14:paraId="3DB7570A" w14:textId="77777777" w:rsidR="00277ECB" w:rsidRPr="00342F7C" w:rsidRDefault="00277ECB" w:rsidP="005C68A8">
      <w:pPr>
        <w:pStyle w:val="EMEAHeadingBoxedEmpty"/>
        <w:spacing w:beforeLines="0" w:before="0"/>
        <w:ind w:left="561" w:hanging="561"/>
        <w:rPr>
          <w:rFonts w:ascii="Times New Roman" w:hAnsi="Times New Roman"/>
          <w:lang w:val="en-GB"/>
        </w:rPr>
      </w:pPr>
      <w:r w:rsidRPr="00342F7C">
        <w:rPr>
          <w:rFonts w:ascii="Times New Roman" w:hAnsi="Times New Roman"/>
          <w:lang w:val="en-GB"/>
        </w:rPr>
        <w:t>7.</w:t>
      </w:r>
      <w:r w:rsidRPr="00342F7C">
        <w:rPr>
          <w:rFonts w:ascii="Times New Roman" w:hAnsi="Times New Roman"/>
          <w:lang w:val="en-GB"/>
        </w:rPr>
        <w:tab/>
        <w:t>OTHER SPECIAL WARNING(S), IF NECESSARY</w:t>
      </w:r>
    </w:p>
    <w:p w14:paraId="3D92EFC0" w14:textId="77777777" w:rsidR="00277ECB" w:rsidRDefault="00277ECB">
      <w:pPr>
        <w:pStyle w:val="EMEANormal"/>
        <w:rPr>
          <w:lang w:val="en-GB"/>
        </w:rPr>
      </w:pPr>
    </w:p>
    <w:p w14:paraId="49047FC7" w14:textId="77777777" w:rsidR="005C68A8" w:rsidRPr="00342F7C" w:rsidRDefault="005C68A8">
      <w:pPr>
        <w:pStyle w:val="EMEANormal"/>
        <w:rPr>
          <w:lang w:val="en-GB"/>
        </w:rPr>
      </w:pPr>
    </w:p>
    <w:p w14:paraId="4CA6C5C4" w14:textId="77777777" w:rsidR="00277ECB" w:rsidRPr="00342F7C" w:rsidRDefault="00277ECB" w:rsidP="005C68A8">
      <w:pPr>
        <w:pStyle w:val="EMEAHeadingBoxed"/>
        <w:spacing w:beforeLines="0" w:before="0" w:afterLines="0" w:after="0"/>
        <w:ind w:left="561" w:hanging="561"/>
        <w:rPr>
          <w:rFonts w:ascii="Times New Roman" w:hAnsi="Times New Roman"/>
          <w:lang w:val="en-GB"/>
        </w:rPr>
      </w:pPr>
      <w:r w:rsidRPr="00342F7C">
        <w:rPr>
          <w:rFonts w:ascii="Times New Roman" w:hAnsi="Times New Roman"/>
          <w:lang w:val="en-GB"/>
        </w:rPr>
        <w:t>8.</w:t>
      </w:r>
      <w:r w:rsidRPr="00342F7C">
        <w:rPr>
          <w:rFonts w:ascii="Times New Roman" w:hAnsi="Times New Roman"/>
          <w:lang w:val="en-GB"/>
        </w:rPr>
        <w:tab/>
        <w:t>EXPIRY DATE</w:t>
      </w:r>
    </w:p>
    <w:p w14:paraId="34FDCD31" w14:textId="77777777" w:rsidR="005C68A8" w:rsidRDefault="005C68A8">
      <w:pPr>
        <w:pStyle w:val="EMEANormal"/>
        <w:rPr>
          <w:lang w:val="en-GB"/>
        </w:rPr>
      </w:pPr>
    </w:p>
    <w:p w14:paraId="07B5943D" w14:textId="77777777" w:rsidR="00277ECB" w:rsidRDefault="00277ECB">
      <w:pPr>
        <w:pStyle w:val="EMEANormal"/>
        <w:rPr>
          <w:lang w:val="en-GB"/>
        </w:rPr>
      </w:pPr>
      <w:r w:rsidRPr="00342F7C">
        <w:rPr>
          <w:lang w:val="en-GB"/>
        </w:rPr>
        <w:t>EXP</w:t>
      </w:r>
    </w:p>
    <w:p w14:paraId="5C04ADEB" w14:textId="77777777" w:rsidR="005C68A8" w:rsidRDefault="005C68A8">
      <w:pPr>
        <w:pStyle w:val="EMEANormal"/>
        <w:rPr>
          <w:lang w:val="en-GB"/>
        </w:rPr>
      </w:pPr>
    </w:p>
    <w:p w14:paraId="3A90EE55" w14:textId="77777777" w:rsidR="005C68A8" w:rsidRPr="00342F7C" w:rsidRDefault="005C68A8">
      <w:pPr>
        <w:pStyle w:val="EMEANormal"/>
        <w:rPr>
          <w:lang w:val="en-GB"/>
        </w:rPr>
      </w:pPr>
    </w:p>
    <w:p w14:paraId="6514042D" w14:textId="77777777" w:rsidR="00277ECB" w:rsidRPr="00342F7C" w:rsidRDefault="00277ECB" w:rsidP="005C68A8">
      <w:pPr>
        <w:pStyle w:val="EMEAHeadingBoxedTitle"/>
        <w:spacing w:before="0" w:after="0"/>
        <w:rPr>
          <w:rFonts w:ascii="Times New Roman" w:hAnsi="Times New Roman"/>
          <w:lang w:val="en-GB"/>
        </w:rPr>
      </w:pPr>
      <w:r w:rsidRPr="00342F7C">
        <w:rPr>
          <w:rFonts w:ascii="Times New Roman" w:hAnsi="Times New Roman"/>
          <w:lang w:val="en-GB"/>
        </w:rPr>
        <w:t>9.</w:t>
      </w:r>
      <w:r w:rsidRPr="00342F7C">
        <w:rPr>
          <w:rFonts w:ascii="Times New Roman" w:hAnsi="Times New Roman"/>
          <w:lang w:val="en-GB"/>
        </w:rPr>
        <w:tab/>
        <w:t>SPECIAL STORAGE CONDITIONS</w:t>
      </w:r>
    </w:p>
    <w:p w14:paraId="4BF10F42" w14:textId="77777777" w:rsidR="00277ECB" w:rsidRDefault="00277ECB">
      <w:pPr>
        <w:pStyle w:val="EMEANormal"/>
        <w:rPr>
          <w:lang w:val="en-GB"/>
        </w:rPr>
      </w:pPr>
    </w:p>
    <w:p w14:paraId="79E339CE" w14:textId="77777777" w:rsidR="005C68A8" w:rsidRPr="00342F7C" w:rsidRDefault="005C68A8">
      <w:pPr>
        <w:pStyle w:val="EMEANormal"/>
        <w:rPr>
          <w:lang w:val="en-GB"/>
        </w:rPr>
      </w:pPr>
    </w:p>
    <w:p w14:paraId="1D2D8415" w14:textId="77777777" w:rsidR="00277ECB" w:rsidRPr="00342F7C" w:rsidRDefault="00277ECB">
      <w:pPr>
        <w:pStyle w:val="EMEAHeadingBoxedTitle"/>
        <w:tabs>
          <w:tab w:val="clear" w:pos="562"/>
          <w:tab w:val="left" w:pos="550"/>
        </w:tabs>
        <w:spacing w:before="0" w:after="0"/>
        <w:ind w:left="550" w:hanging="550"/>
        <w:rPr>
          <w:rFonts w:ascii="Times New Roman" w:hAnsi="Times New Roman"/>
          <w:lang w:val="en-GB"/>
        </w:rPr>
      </w:pPr>
      <w:r w:rsidRPr="00342F7C">
        <w:rPr>
          <w:rFonts w:ascii="Times New Roman" w:hAnsi="Times New Roman"/>
          <w:lang w:val="en-GB"/>
        </w:rPr>
        <w:t>10.</w:t>
      </w:r>
      <w:r w:rsidRPr="00342F7C">
        <w:rPr>
          <w:rFonts w:ascii="Times New Roman" w:hAnsi="Times New Roman"/>
          <w:lang w:val="en-GB"/>
        </w:rPr>
        <w:tab/>
        <w:t>SPECIAL PRECAUTIONS FOR DISPOSAL OF UNUSED MEDICINAL PRODUCTS OR WASTE MATERIALS DERIVED FROM SUCH MEDICINAL PRODUCTS, IF APPROPRIATE</w:t>
      </w:r>
    </w:p>
    <w:p w14:paraId="7630D0FF" w14:textId="77777777" w:rsidR="00277ECB" w:rsidRDefault="00277ECB">
      <w:pPr>
        <w:pStyle w:val="EMEANormal"/>
        <w:rPr>
          <w:lang w:val="en-GB"/>
        </w:rPr>
      </w:pPr>
    </w:p>
    <w:p w14:paraId="49CECFC1" w14:textId="77777777" w:rsidR="005C68A8" w:rsidRPr="00342F7C" w:rsidRDefault="005C68A8">
      <w:pPr>
        <w:pStyle w:val="EMEANormal"/>
        <w:rPr>
          <w:lang w:val="en-GB"/>
        </w:rPr>
      </w:pPr>
    </w:p>
    <w:p w14:paraId="1E05088A" w14:textId="77777777" w:rsidR="00277ECB" w:rsidRPr="00342F7C" w:rsidRDefault="00277ECB" w:rsidP="005C68A8">
      <w:pPr>
        <w:pStyle w:val="EMEAHeadingBoxedTitle"/>
        <w:spacing w:before="0" w:after="0"/>
        <w:rPr>
          <w:rFonts w:ascii="Times New Roman" w:hAnsi="Times New Roman"/>
          <w:lang w:val="en-GB"/>
        </w:rPr>
      </w:pPr>
      <w:r w:rsidRPr="00342F7C">
        <w:rPr>
          <w:rFonts w:ascii="Times New Roman" w:hAnsi="Times New Roman"/>
          <w:lang w:val="en-GB"/>
        </w:rPr>
        <w:t>11.</w:t>
      </w:r>
      <w:r w:rsidRPr="00342F7C">
        <w:rPr>
          <w:rFonts w:ascii="Times New Roman" w:hAnsi="Times New Roman"/>
          <w:lang w:val="en-GB"/>
        </w:rPr>
        <w:tab/>
        <w:t>NAME AND ADDRESS OF THE MARKETING AUTHORISATION HOLDER</w:t>
      </w:r>
    </w:p>
    <w:p w14:paraId="42255F6A" w14:textId="77777777" w:rsidR="005C68A8" w:rsidRDefault="005C68A8" w:rsidP="00F423D9">
      <w:pPr>
        <w:pStyle w:val="EMEANormal"/>
        <w:rPr>
          <w:lang w:val="en-GB"/>
        </w:rPr>
      </w:pPr>
    </w:p>
    <w:p w14:paraId="2ECA31B6" w14:textId="77777777" w:rsidR="00A118F7" w:rsidRPr="00A118F7" w:rsidRDefault="00A118F7" w:rsidP="00A118F7">
      <w:pPr>
        <w:keepNext/>
        <w:autoSpaceDE w:val="0"/>
        <w:autoSpaceDN w:val="0"/>
        <w:adjustRightInd w:val="0"/>
        <w:spacing w:line="240" w:lineRule="atLeast"/>
        <w:rPr>
          <w:sz w:val="22"/>
          <w:szCs w:val="22"/>
          <w:lang w:eastAsia="en-GB"/>
        </w:rPr>
      </w:pPr>
      <w:r w:rsidRPr="00A118F7">
        <w:rPr>
          <w:sz w:val="22"/>
          <w:szCs w:val="22"/>
          <w:lang w:eastAsia="en-GB"/>
        </w:rPr>
        <w:t>AbbVie Deutschland GmbH &amp; Co. KG</w:t>
      </w:r>
    </w:p>
    <w:p w14:paraId="1DE1E28B" w14:textId="77777777" w:rsidR="00A118F7" w:rsidRPr="00A118F7" w:rsidRDefault="00A118F7" w:rsidP="00A118F7">
      <w:pPr>
        <w:keepNext/>
        <w:autoSpaceDE w:val="0"/>
        <w:autoSpaceDN w:val="0"/>
        <w:adjustRightInd w:val="0"/>
        <w:spacing w:line="240" w:lineRule="atLeast"/>
        <w:rPr>
          <w:sz w:val="22"/>
          <w:szCs w:val="22"/>
          <w:lang w:eastAsia="en-GB"/>
        </w:rPr>
      </w:pPr>
      <w:r w:rsidRPr="00A118F7">
        <w:rPr>
          <w:sz w:val="22"/>
          <w:szCs w:val="22"/>
          <w:lang w:eastAsia="en-GB"/>
        </w:rPr>
        <w:t>Knollstrasse</w:t>
      </w:r>
    </w:p>
    <w:p w14:paraId="7DBCB6A6" w14:textId="77777777" w:rsidR="00A118F7" w:rsidRPr="00A118F7" w:rsidRDefault="00A118F7" w:rsidP="00A118F7">
      <w:pPr>
        <w:keepNext/>
        <w:autoSpaceDE w:val="0"/>
        <w:autoSpaceDN w:val="0"/>
        <w:adjustRightInd w:val="0"/>
        <w:spacing w:line="240" w:lineRule="atLeast"/>
        <w:rPr>
          <w:sz w:val="22"/>
          <w:szCs w:val="22"/>
          <w:lang w:eastAsia="en-GB"/>
        </w:rPr>
      </w:pPr>
      <w:r w:rsidRPr="00A118F7">
        <w:rPr>
          <w:sz w:val="22"/>
          <w:szCs w:val="22"/>
          <w:lang w:eastAsia="en-GB"/>
        </w:rPr>
        <w:t>67061 Ludwigshafen</w:t>
      </w:r>
    </w:p>
    <w:p w14:paraId="4BB7FB6F" w14:textId="77777777" w:rsidR="00F423D9" w:rsidRDefault="00A118F7" w:rsidP="00A118F7">
      <w:pPr>
        <w:pStyle w:val="EMEANormal"/>
        <w:rPr>
          <w:lang w:val="en-GB"/>
        </w:rPr>
      </w:pPr>
      <w:r w:rsidRPr="00A118F7">
        <w:rPr>
          <w:szCs w:val="22"/>
          <w:lang w:val="en-GB" w:eastAsia="en-GB"/>
        </w:rPr>
        <w:t>Germany</w:t>
      </w:r>
    </w:p>
    <w:p w14:paraId="6C35B859" w14:textId="77777777" w:rsidR="005C68A8" w:rsidRDefault="005C68A8" w:rsidP="00F423D9">
      <w:pPr>
        <w:pStyle w:val="EMEANormal"/>
        <w:rPr>
          <w:lang w:val="en-GB"/>
        </w:rPr>
      </w:pPr>
    </w:p>
    <w:p w14:paraId="63EE252B" w14:textId="77777777" w:rsidR="005C68A8" w:rsidRDefault="005C68A8" w:rsidP="00F423D9">
      <w:pPr>
        <w:pStyle w:val="EMEANormal"/>
        <w:rPr>
          <w:lang w:val="en-GB"/>
        </w:rPr>
      </w:pPr>
    </w:p>
    <w:p w14:paraId="4214BFC2" w14:textId="77777777" w:rsidR="00277ECB" w:rsidRPr="00342F7C" w:rsidRDefault="00277ECB" w:rsidP="005C68A8">
      <w:pPr>
        <w:pStyle w:val="EMEAHeadingBoxedTitle"/>
        <w:spacing w:before="0" w:after="0"/>
        <w:rPr>
          <w:rFonts w:ascii="Times New Roman" w:hAnsi="Times New Roman"/>
          <w:lang w:val="en-GB"/>
        </w:rPr>
      </w:pPr>
      <w:r w:rsidRPr="00342F7C">
        <w:rPr>
          <w:rFonts w:ascii="Times New Roman" w:hAnsi="Times New Roman"/>
          <w:lang w:val="en-GB"/>
        </w:rPr>
        <w:t>12.</w:t>
      </w:r>
      <w:r w:rsidRPr="00342F7C">
        <w:rPr>
          <w:rFonts w:ascii="Times New Roman" w:hAnsi="Times New Roman"/>
          <w:lang w:val="en-GB"/>
        </w:rPr>
        <w:tab/>
        <w:t>MARKETING AUTHORISATION NUMBER(S)</w:t>
      </w:r>
    </w:p>
    <w:p w14:paraId="310D46DA" w14:textId="77777777" w:rsidR="005C68A8" w:rsidRDefault="005C68A8">
      <w:pPr>
        <w:pStyle w:val="EMEANormal"/>
        <w:rPr>
          <w:lang w:val="en-GB"/>
        </w:rPr>
      </w:pPr>
    </w:p>
    <w:p w14:paraId="6563D6B6" w14:textId="77777777" w:rsidR="00277ECB" w:rsidRDefault="00277ECB">
      <w:pPr>
        <w:pStyle w:val="EMEANormal"/>
        <w:rPr>
          <w:lang w:val="en-GB"/>
        </w:rPr>
      </w:pPr>
      <w:r w:rsidRPr="00342F7C">
        <w:rPr>
          <w:lang w:val="en-GB"/>
        </w:rPr>
        <w:t>EU/1/01/172/006</w:t>
      </w:r>
    </w:p>
    <w:p w14:paraId="4230E2D4" w14:textId="77777777" w:rsidR="005C68A8" w:rsidRDefault="005C68A8">
      <w:pPr>
        <w:pStyle w:val="EMEANormal"/>
        <w:rPr>
          <w:lang w:val="en-GB"/>
        </w:rPr>
      </w:pPr>
    </w:p>
    <w:p w14:paraId="687AA944" w14:textId="77777777" w:rsidR="005C68A8" w:rsidRPr="00342F7C" w:rsidRDefault="005C68A8">
      <w:pPr>
        <w:pStyle w:val="EMEANormal"/>
        <w:rPr>
          <w:lang w:val="en-GB"/>
        </w:rPr>
      </w:pPr>
    </w:p>
    <w:p w14:paraId="44BC9621" w14:textId="77777777" w:rsidR="00277ECB" w:rsidRPr="00342F7C" w:rsidRDefault="00277ECB" w:rsidP="005C68A8">
      <w:pPr>
        <w:pStyle w:val="EMEAHeadingBoxedTitle"/>
        <w:spacing w:before="0" w:after="0"/>
        <w:rPr>
          <w:rFonts w:ascii="Times New Roman" w:hAnsi="Times New Roman"/>
          <w:lang w:val="en-GB"/>
        </w:rPr>
      </w:pPr>
      <w:r w:rsidRPr="00342F7C">
        <w:rPr>
          <w:rFonts w:ascii="Times New Roman" w:hAnsi="Times New Roman"/>
          <w:lang w:val="en-GB"/>
        </w:rPr>
        <w:t>13.</w:t>
      </w:r>
      <w:r w:rsidRPr="00342F7C">
        <w:rPr>
          <w:rFonts w:ascii="Times New Roman" w:hAnsi="Times New Roman"/>
          <w:lang w:val="en-GB"/>
        </w:rPr>
        <w:tab/>
        <w:t>BATCH NUMBER</w:t>
      </w:r>
    </w:p>
    <w:p w14:paraId="11D85691" w14:textId="77777777" w:rsidR="005C68A8" w:rsidRDefault="005C68A8">
      <w:pPr>
        <w:pStyle w:val="EMEANormal"/>
        <w:rPr>
          <w:lang w:val="en-GB"/>
        </w:rPr>
      </w:pPr>
    </w:p>
    <w:p w14:paraId="337DC5B4" w14:textId="77777777" w:rsidR="00277ECB" w:rsidRDefault="00277ECB">
      <w:pPr>
        <w:pStyle w:val="EMEANormal"/>
        <w:rPr>
          <w:lang w:val="en-GB"/>
        </w:rPr>
      </w:pPr>
      <w:r w:rsidRPr="00342F7C">
        <w:rPr>
          <w:lang w:val="en-GB"/>
        </w:rPr>
        <w:t>Lot</w:t>
      </w:r>
    </w:p>
    <w:p w14:paraId="7B1659BD" w14:textId="77777777" w:rsidR="005C68A8" w:rsidRDefault="005C68A8">
      <w:pPr>
        <w:pStyle w:val="EMEANormal"/>
        <w:rPr>
          <w:lang w:val="en-GB"/>
        </w:rPr>
      </w:pPr>
    </w:p>
    <w:p w14:paraId="237D8F37" w14:textId="77777777" w:rsidR="005C68A8" w:rsidRPr="00342F7C" w:rsidRDefault="005C68A8">
      <w:pPr>
        <w:pStyle w:val="EMEANormal"/>
        <w:rPr>
          <w:lang w:val="en-GB"/>
        </w:rPr>
      </w:pPr>
    </w:p>
    <w:p w14:paraId="22EBE5A8" w14:textId="77777777" w:rsidR="00277ECB" w:rsidRPr="00342F7C" w:rsidRDefault="00277ECB" w:rsidP="005C68A8">
      <w:pPr>
        <w:pStyle w:val="EMEAHeadingBoxedTitle"/>
        <w:spacing w:before="0" w:after="0"/>
        <w:rPr>
          <w:rFonts w:ascii="Times New Roman" w:hAnsi="Times New Roman"/>
          <w:lang w:val="en-GB"/>
        </w:rPr>
      </w:pPr>
      <w:r w:rsidRPr="00342F7C">
        <w:rPr>
          <w:rFonts w:ascii="Times New Roman" w:hAnsi="Times New Roman"/>
          <w:lang w:val="en-GB"/>
        </w:rPr>
        <w:t>14.</w:t>
      </w:r>
      <w:r w:rsidRPr="00342F7C">
        <w:rPr>
          <w:rFonts w:ascii="Times New Roman" w:hAnsi="Times New Roman"/>
          <w:lang w:val="en-GB"/>
        </w:rPr>
        <w:tab/>
        <w:t>GENERAL CLASSIFICATION FOR SUPPLY</w:t>
      </w:r>
    </w:p>
    <w:p w14:paraId="4ED62C1B" w14:textId="77777777" w:rsidR="005C68A8" w:rsidRDefault="005C68A8">
      <w:pPr>
        <w:pStyle w:val="EMEANormal"/>
        <w:rPr>
          <w:lang w:val="en-GB"/>
        </w:rPr>
      </w:pPr>
    </w:p>
    <w:p w14:paraId="0966EBFE" w14:textId="77777777" w:rsidR="005C68A8" w:rsidRPr="00342F7C" w:rsidRDefault="005C68A8">
      <w:pPr>
        <w:pStyle w:val="EMEANormal"/>
        <w:rPr>
          <w:lang w:val="en-GB"/>
        </w:rPr>
      </w:pPr>
    </w:p>
    <w:p w14:paraId="4C781D21" w14:textId="77777777" w:rsidR="00277ECB" w:rsidRPr="00342F7C" w:rsidRDefault="00277ECB" w:rsidP="005C68A8">
      <w:pPr>
        <w:pStyle w:val="EMEAHeadingBoxedTitle"/>
        <w:spacing w:before="0" w:after="0"/>
        <w:rPr>
          <w:rFonts w:ascii="Times New Roman" w:hAnsi="Times New Roman"/>
          <w:lang w:val="en-GB"/>
        </w:rPr>
      </w:pPr>
      <w:r w:rsidRPr="00342F7C">
        <w:rPr>
          <w:rFonts w:ascii="Times New Roman" w:hAnsi="Times New Roman"/>
          <w:lang w:val="en-GB"/>
        </w:rPr>
        <w:t>15.</w:t>
      </w:r>
      <w:r w:rsidRPr="00342F7C">
        <w:rPr>
          <w:rFonts w:ascii="Times New Roman" w:hAnsi="Times New Roman"/>
          <w:lang w:val="en-GB"/>
        </w:rPr>
        <w:tab/>
        <w:t>INSTRUCTIONS ON USE</w:t>
      </w:r>
    </w:p>
    <w:p w14:paraId="37025B1F" w14:textId="77777777" w:rsidR="00277ECB" w:rsidRDefault="00277ECB">
      <w:pPr>
        <w:tabs>
          <w:tab w:val="left" w:pos="567"/>
        </w:tabs>
        <w:rPr>
          <w:sz w:val="22"/>
        </w:rPr>
      </w:pPr>
    </w:p>
    <w:p w14:paraId="706E8FD2" w14:textId="77777777" w:rsidR="005C68A8" w:rsidRPr="00342F7C" w:rsidRDefault="005C68A8">
      <w:pPr>
        <w:tabs>
          <w:tab w:val="left" w:pos="567"/>
        </w:tabs>
        <w:rPr>
          <w:sz w:val="22"/>
        </w:rPr>
      </w:pPr>
    </w:p>
    <w:p w14:paraId="5C906A24" w14:textId="77777777" w:rsidR="00277ECB" w:rsidRPr="00342F7C" w:rsidRDefault="00277ECB" w:rsidP="005C68A8">
      <w:pPr>
        <w:pStyle w:val="EMEAHeadingBoxedTitle"/>
        <w:spacing w:before="0" w:after="0"/>
        <w:rPr>
          <w:rFonts w:ascii="Times New Roman" w:hAnsi="Times New Roman"/>
          <w:lang w:val="en-GB"/>
        </w:rPr>
      </w:pPr>
      <w:r w:rsidRPr="00342F7C">
        <w:rPr>
          <w:rFonts w:ascii="Times New Roman" w:hAnsi="Times New Roman"/>
          <w:lang w:val="en-GB"/>
        </w:rPr>
        <w:t>16.</w:t>
      </w:r>
      <w:r w:rsidRPr="00342F7C">
        <w:rPr>
          <w:rFonts w:ascii="Times New Roman" w:hAnsi="Times New Roman"/>
          <w:lang w:val="en-GB"/>
        </w:rPr>
        <w:tab/>
        <w:t>Information in braille</w:t>
      </w:r>
    </w:p>
    <w:p w14:paraId="2B44D4DA" w14:textId="77777777" w:rsidR="00277ECB" w:rsidRPr="00342F7C" w:rsidRDefault="00277ECB">
      <w:pPr>
        <w:pStyle w:val="EMEANormal"/>
        <w:rPr>
          <w:lang w:val="en-GB"/>
        </w:rPr>
      </w:pPr>
    </w:p>
    <w:p w14:paraId="0AA666A5" w14:textId="77777777" w:rsidR="0068223A" w:rsidRPr="00342F7C" w:rsidRDefault="0068223A" w:rsidP="0068223A">
      <w:pPr>
        <w:tabs>
          <w:tab w:val="left" w:pos="567"/>
        </w:tabs>
        <w:rPr>
          <w:sz w:val="22"/>
        </w:rPr>
      </w:pPr>
    </w:p>
    <w:p w14:paraId="2CBC8B4E" w14:textId="77777777" w:rsidR="0068223A" w:rsidRPr="00342F7C" w:rsidRDefault="0068223A" w:rsidP="0068223A">
      <w:pPr>
        <w:pStyle w:val="EMEAHeadingBoxedTitle"/>
        <w:spacing w:before="0" w:after="0"/>
        <w:rPr>
          <w:rFonts w:ascii="Times New Roman" w:hAnsi="Times New Roman"/>
          <w:lang w:val="en-GB"/>
        </w:rPr>
      </w:pPr>
      <w:r w:rsidRPr="00342F7C">
        <w:rPr>
          <w:rFonts w:ascii="Times New Roman" w:hAnsi="Times New Roman"/>
          <w:lang w:val="en-GB"/>
        </w:rPr>
        <w:t>1</w:t>
      </w:r>
      <w:r>
        <w:rPr>
          <w:rFonts w:ascii="Times New Roman" w:hAnsi="Times New Roman"/>
          <w:lang w:val="en-GB"/>
        </w:rPr>
        <w:t>7</w:t>
      </w:r>
      <w:r w:rsidRPr="00342F7C">
        <w:rPr>
          <w:rFonts w:ascii="Times New Roman" w:hAnsi="Times New Roman"/>
          <w:lang w:val="en-GB"/>
        </w:rPr>
        <w:t>.</w:t>
      </w:r>
      <w:r w:rsidRPr="00342F7C">
        <w:rPr>
          <w:rFonts w:ascii="Times New Roman" w:hAnsi="Times New Roman"/>
          <w:lang w:val="en-GB"/>
        </w:rPr>
        <w:tab/>
      </w:r>
      <w:r w:rsidRPr="00C92271">
        <w:rPr>
          <w:b w:val="0"/>
          <w:noProof/>
          <w:szCs w:val="22"/>
        </w:rPr>
        <w:t>UNIQUE IDENTIFIER – 2D BARCODE</w:t>
      </w:r>
    </w:p>
    <w:p w14:paraId="5838EE20" w14:textId="77777777" w:rsidR="0068223A" w:rsidRDefault="0068223A" w:rsidP="0068223A">
      <w:pPr>
        <w:pStyle w:val="EMEANormal"/>
        <w:rPr>
          <w:lang w:val="en-GB"/>
        </w:rPr>
      </w:pPr>
    </w:p>
    <w:p w14:paraId="1B1423B5" w14:textId="77777777" w:rsidR="0068223A" w:rsidRDefault="0068223A" w:rsidP="0068223A">
      <w:pPr>
        <w:tabs>
          <w:tab w:val="left" w:pos="567"/>
        </w:tabs>
        <w:rPr>
          <w:sz w:val="22"/>
        </w:rPr>
      </w:pPr>
      <w:r w:rsidRPr="00C92271">
        <w:rPr>
          <w:noProof/>
          <w:sz w:val="22"/>
          <w:szCs w:val="22"/>
          <w:shd w:val="clear" w:color="auto" w:fill="CCCCCC"/>
        </w:rPr>
        <w:t>Not applicable</w:t>
      </w:r>
    </w:p>
    <w:p w14:paraId="6EAAA7AD" w14:textId="77777777" w:rsidR="0068223A" w:rsidRDefault="0068223A" w:rsidP="0068223A">
      <w:pPr>
        <w:tabs>
          <w:tab w:val="left" w:pos="567"/>
        </w:tabs>
        <w:rPr>
          <w:sz w:val="22"/>
        </w:rPr>
      </w:pPr>
    </w:p>
    <w:p w14:paraId="23EF7848" w14:textId="77777777" w:rsidR="0068223A" w:rsidRPr="00342F7C" w:rsidRDefault="0068223A" w:rsidP="0068223A">
      <w:pPr>
        <w:tabs>
          <w:tab w:val="left" w:pos="567"/>
        </w:tabs>
        <w:rPr>
          <w:sz w:val="22"/>
        </w:rPr>
      </w:pPr>
    </w:p>
    <w:p w14:paraId="34E6334E" w14:textId="77777777" w:rsidR="0068223A" w:rsidRPr="00342F7C" w:rsidRDefault="0068223A" w:rsidP="0068223A">
      <w:pPr>
        <w:pStyle w:val="EMEAHeadingBoxedTitle"/>
        <w:spacing w:before="0" w:after="0"/>
        <w:rPr>
          <w:rFonts w:ascii="Times New Roman" w:hAnsi="Times New Roman"/>
          <w:lang w:val="en-GB"/>
        </w:rPr>
      </w:pPr>
      <w:r>
        <w:rPr>
          <w:rFonts w:ascii="Times New Roman" w:hAnsi="Times New Roman"/>
          <w:lang w:val="en-GB"/>
        </w:rPr>
        <w:t>18</w:t>
      </w:r>
      <w:r w:rsidRPr="00342F7C">
        <w:rPr>
          <w:rFonts w:ascii="Times New Roman" w:hAnsi="Times New Roman"/>
          <w:lang w:val="en-GB"/>
        </w:rPr>
        <w:t>.</w:t>
      </w:r>
      <w:r w:rsidRPr="00342F7C">
        <w:rPr>
          <w:rFonts w:ascii="Times New Roman" w:hAnsi="Times New Roman"/>
          <w:lang w:val="en-GB"/>
        </w:rPr>
        <w:tab/>
      </w:r>
      <w:r w:rsidRPr="00C92271">
        <w:rPr>
          <w:b w:val="0"/>
          <w:noProof/>
          <w:szCs w:val="22"/>
        </w:rPr>
        <w:t>UNIQUE IDENTIFIER - HUMAN READABLE DAT</w:t>
      </w:r>
      <w:r>
        <w:rPr>
          <w:b w:val="0"/>
          <w:noProof/>
          <w:szCs w:val="22"/>
        </w:rPr>
        <w:t>A</w:t>
      </w:r>
    </w:p>
    <w:p w14:paraId="7E4B064F" w14:textId="77777777" w:rsidR="0068223A" w:rsidRDefault="0068223A" w:rsidP="0068223A">
      <w:pPr>
        <w:pStyle w:val="EMEANormal"/>
        <w:rPr>
          <w:lang w:val="en-GB"/>
        </w:rPr>
      </w:pPr>
    </w:p>
    <w:p w14:paraId="1F3DEFC6" w14:textId="77777777" w:rsidR="0068223A" w:rsidRDefault="0068223A" w:rsidP="0068223A">
      <w:pPr>
        <w:pStyle w:val="EMEANormal"/>
        <w:rPr>
          <w:lang w:val="en-GB"/>
        </w:rPr>
      </w:pPr>
      <w:r w:rsidRPr="00C92271">
        <w:rPr>
          <w:noProof/>
          <w:szCs w:val="22"/>
          <w:shd w:val="clear" w:color="auto" w:fill="CCCCCC"/>
        </w:rPr>
        <w:t>Not applicable</w:t>
      </w:r>
    </w:p>
    <w:p w14:paraId="26244823" w14:textId="77777777" w:rsidR="00277ECB" w:rsidRPr="00342F7C" w:rsidRDefault="00277ECB">
      <w:pPr>
        <w:pStyle w:val="EMEANormal"/>
        <w:rPr>
          <w:lang w:val="en-GB"/>
        </w:rPr>
      </w:pPr>
      <w:r w:rsidRPr="00342F7C">
        <w:rPr>
          <w:lang w:val="en-GB"/>
        </w:rPr>
        <w:br w:type="page"/>
      </w:r>
    </w:p>
    <w:p w14:paraId="58F02BF3" w14:textId="77777777" w:rsidR="00277ECB" w:rsidRPr="00342F7C" w:rsidRDefault="00277ECB">
      <w:pPr>
        <w:pStyle w:val="EMEANormal"/>
        <w:rPr>
          <w:lang w:val="en-GB"/>
        </w:rPr>
      </w:pPr>
    </w:p>
    <w:p w14:paraId="10D2DCD3" w14:textId="77777777" w:rsidR="00277ECB" w:rsidRPr="00342F7C" w:rsidRDefault="00277ECB">
      <w:pPr>
        <w:pStyle w:val="EMEANormal"/>
        <w:rPr>
          <w:lang w:val="en-GB"/>
        </w:rPr>
      </w:pPr>
    </w:p>
    <w:p w14:paraId="046E5270" w14:textId="77777777" w:rsidR="00277ECB" w:rsidRPr="00342F7C" w:rsidRDefault="00277ECB">
      <w:pPr>
        <w:pStyle w:val="EMEANormal"/>
        <w:rPr>
          <w:lang w:val="en-GB"/>
        </w:rPr>
      </w:pPr>
    </w:p>
    <w:p w14:paraId="175D469E" w14:textId="77777777" w:rsidR="00277ECB" w:rsidRPr="00342F7C" w:rsidRDefault="00277ECB">
      <w:pPr>
        <w:pStyle w:val="EMEANormal"/>
        <w:rPr>
          <w:lang w:val="en-GB"/>
        </w:rPr>
      </w:pPr>
    </w:p>
    <w:p w14:paraId="706ACA27" w14:textId="77777777" w:rsidR="00277ECB" w:rsidRPr="00342F7C" w:rsidRDefault="00277ECB">
      <w:pPr>
        <w:pStyle w:val="EMEANormal"/>
        <w:rPr>
          <w:lang w:val="en-GB"/>
        </w:rPr>
      </w:pPr>
    </w:p>
    <w:p w14:paraId="4BDA2132" w14:textId="77777777" w:rsidR="00277ECB" w:rsidRPr="00342F7C" w:rsidRDefault="00277ECB">
      <w:pPr>
        <w:pStyle w:val="EMEANormal"/>
        <w:rPr>
          <w:lang w:val="en-GB"/>
        </w:rPr>
      </w:pPr>
    </w:p>
    <w:p w14:paraId="0A384BB7" w14:textId="77777777" w:rsidR="00277ECB" w:rsidRPr="00342F7C" w:rsidRDefault="00277ECB">
      <w:pPr>
        <w:pStyle w:val="EMEANormal"/>
        <w:rPr>
          <w:lang w:val="en-GB"/>
        </w:rPr>
      </w:pPr>
    </w:p>
    <w:p w14:paraId="2CBD6913" w14:textId="77777777" w:rsidR="00277ECB" w:rsidRPr="00342F7C" w:rsidRDefault="00277ECB">
      <w:pPr>
        <w:pStyle w:val="EMEANormal"/>
        <w:rPr>
          <w:lang w:val="en-GB"/>
        </w:rPr>
      </w:pPr>
    </w:p>
    <w:p w14:paraId="7974BD37" w14:textId="77777777" w:rsidR="00277ECB" w:rsidRPr="00342F7C" w:rsidRDefault="00277ECB">
      <w:pPr>
        <w:pStyle w:val="EMEANormal"/>
        <w:rPr>
          <w:lang w:val="en-GB"/>
        </w:rPr>
      </w:pPr>
    </w:p>
    <w:p w14:paraId="0E8BD37B" w14:textId="77777777" w:rsidR="00277ECB" w:rsidRPr="00342F7C" w:rsidRDefault="00277ECB">
      <w:pPr>
        <w:pStyle w:val="EMEANormal"/>
        <w:rPr>
          <w:lang w:val="en-GB"/>
        </w:rPr>
      </w:pPr>
    </w:p>
    <w:p w14:paraId="253CC9C3" w14:textId="77777777" w:rsidR="00277ECB" w:rsidRPr="00342F7C" w:rsidRDefault="00277ECB">
      <w:pPr>
        <w:pStyle w:val="EMEANormal"/>
        <w:rPr>
          <w:lang w:val="en-GB"/>
        </w:rPr>
      </w:pPr>
    </w:p>
    <w:p w14:paraId="2814FA89" w14:textId="77777777" w:rsidR="00277ECB" w:rsidRPr="00342F7C" w:rsidRDefault="00277ECB">
      <w:pPr>
        <w:pStyle w:val="EMEANormal"/>
        <w:rPr>
          <w:lang w:val="en-GB"/>
        </w:rPr>
      </w:pPr>
    </w:p>
    <w:p w14:paraId="47DC1231" w14:textId="77777777" w:rsidR="00277ECB" w:rsidRPr="00342F7C" w:rsidRDefault="00277ECB">
      <w:pPr>
        <w:pStyle w:val="EMEANormal"/>
        <w:rPr>
          <w:lang w:val="en-GB"/>
        </w:rPr>
      </w:pPr>
    </w:p>
    <w:p w14:paraId="60B2B305" w14:textId="77777777" w:rsidR="00277ECB" w:rsidRPr="00342F7C" w:rsidRDefault="00277ECB">
      <w:pPr>
        <w:pStyle w:val="EMEANormal"/>
        <w:rPr>
          <w:lang w:val="en-GB"/>
        </w:rPr>
      </w:pPr>
    </w:p>
    <w:p w14:paraId="428AC31F" w14:textId="77777777" w:rsidR="00277ECB" w:rsidRPr="00342F7C" w:rsidRDefault="00277ECB">
      <w:pPr>
        <w:pStyle w:val="EMEANormal"/>
        <w:rPr>
          <w:lang w:val="en-GB"/>
        </w:rPr>
      </w:pPr>
    </w:p>
    <w:p w14:paraId="606C6336" w14:textId="77777777" w:rsidR="00277ECB" w:rsidRDefault="00277ECB">
      <w:pPr>
        <w:pStyle w:val="EMEANormal"/>
        <w:rPr>
          <w:lang w:val="en-GB"/>
        </w:rPr>
      </w:pPr>
    </w:p>
    <w:p w14:paraId="3926FE7C" w14:textId="77777777" w:rsidR="00B23671" w:rsidRPr="00342F7C" w:rsidRDefault="00B23671">
      <w:pPr>
        <w:pStyle w:val="EMEANormal"/>
        <w:rPr>
          <w:lang w:val="en-GB"/>
        </w:rPr>
      </w:pPr>
    </w:p>
    <w:p w14:paraId="27FDBC28" w14:textId="77777777" w:rsidR="00277ECB" w:rsidRPr="00342F7C" w:rsidRDefault="00277ECB">
      <w:pPr>
        <w:pStyle w:val="EMEANormal"/>
        <w:rPr>
          <w:lang w:val="en-GB"/>
        </w:rPr>
      </w:pPr>
    </w:p>
    <w:p w14:paraId="4C280D97" w14:textId="77777777" w:rsidR="00277ECB" w:rsidRPr="00342F7C" w:rsidRDefault="00277ECB">
      <w:pPr>
        <w:pStyle w:val="EMEANormal"/>
        <w:rPr>
          <w:lang w:val="en-GB"/>
        </w:rPr>
      </w:pPr>
    </w:p>
    <w:p w14:paraId="379E4980" w14:textId="77777777" w:rsidR="00277ECB" w:rsidRPr="00342F7C" w:rsidRDefault="00277ECB">
      <w:pPr>
        <w:pStyle w:val="EMEANormal"/>
        <w:rPr>
          <w:lang w:val="en-GB"/>
        </w:rPr>
      </w:pPr>
    </w:p>
    <w:p w14:paraId="4E767FB4" w14:textId="77777777" w:rsidR="00277ECB" w:rsidRPr="00342F7C" w:rsidRDefault="00277ECB">
      <w:pPr>
        <w:pStyle w:val="EMEANormal"/>
        <w:rPr>
          <w:lang w:val="en-GB"/>
        </w:rPr>
      </w:pPr>
    </w:p>
    <w:p w14:paraId="330DEBD1" w14:textId="77777777" w:rsidR="00277ECB" w:rsidRPr="00342F7C" w:rsidRDefault="00277ECB">
      <w:pPr>
        <w:pStyle w:val="EMEANormal"/>
        <w:rPr>
          <w:lang w:val="en-GB"/>
        </w:rPr>
      </w:pPr>
    </w:p>
    <w:p w14:paraId="381C7915" w14:textId="77777777" w:rsidR="00277ECB" w:rsidRPr="00342F7C" w:rsidRDefault="00277ECB">
      <w:pPr>
        <w:pStyle w:val="EMEANormal"/>
        <w:rPr>
          <w:lang w:val="en-GB"/>
        </w:rPr>
      </w:pPr>
    </w:p>
    <w:p w14:paraId="375DF166" w14:textId="77777777" w:rsidR="00277ECB" w:rsidRPr="00342F7C" w:rsidRDefault="00277ECB" w:rsidP="005C57F6">
      <w:pPr>
        <w:pStyle w:val="BMCENTRED"/>
      </w:pPr>
      <w:r w:rsidRPr="00342F7C">
        <w:t>B. PACKAGE LEAFLET</w:t>
      </w:r>
    </w:p>
    <w:p w14:paraId="2A029692" w14:textId="77777777" w:rsidR="00F47E04" w:rsidRPr="00342F7C" w:rsidRDefault="00277ECB" w:rsidP="005745A0">
      <w:pPr>
        <w:pStyle w:val="EMEABullet"/>
        <w:numPr>
          <w:ilvl w:val="0"/>
          <w:numId w:val="0"/>
        </w:numPr>
        <w:tabs>
          <w:tab w:val="left" w:pos="600"/>
        </w:tabs>
        <w:rPr>
          <w:lang w:val="en-GB"/>
        </w:rPr>
      </w:pPr>
      <w:r w:rsidRPr="00342F7C">
        <w:rPr>
          <w:lang w:val="en-GB"/>
        </w:rPr>
        <w:br w:type="page"/>
      </w:r>
      <w:r w:rsidR="00483E19" w:rsidRPr="00342F7C" w:rsidDel="00483E19">
        <w:rPr>
          <w:lang w:val="en-GB"/>
        </w:rPr>
        <w:t xml:space="preserve"> </w:t>
      </w:r>
    </w:p>
    <w:p w14:paraId="40572193" w14:textId="77777777" w:rsidR="00277ECB" w:rsidRDefault="00097EED" w:rsidP="005C68A8">
      <w:pPr>
        <w:pStyle w:val="EMEAHeadingLeaflet"/>
        <w:spacing w:beforeLines="0" w:before="0" w:afterLines="0" w:after="0"/>
        <w:jc w:val="center"/>
        <w:rPr>
          <w:rFonts w:ascii="Times New Roman" w:hAnsi="Times New Roman"/>
          <w:lang w:val="en-GB"/>
        </w:rPr>
      </w:pPr>
      <w:r>
        <w:rPr>
          <w:rFonts w:ascii="Times New Roman" w:hAnsi="Times New Roman"/>
          <w:lang w:val="en-GB"/>
        </w:rPr>
        <w:t>P</w:t>
      </w:r>
      <w:r w:rsidR="0075514E">
        <w:rPr>
          <w:rFonts w:ascii="Times New Roman" w:hAnsi="Times New Roman"/>
          <w:lang w:val="en-GB"/>
        </w:rPr>
        <w:t>ackage leaflet: Information for the u</w:t>
      </w:r>
      <w:r>
        <w:rPr>
          <w:rFonts w:ascii="Times New Roman" w:hAnsi="Times New Roman"/>
          <w:lang w:val="en-GB"/>
        </w:rPr>
        <w:t>ser</w:t>
      </w:r>
    </w:p>
    <w:p w14:paraId="69AFE9A1" w14:textId="77777777" w:rsidR="005C68A8" w:rsidRPr="005C68A8" w:rsidRDefault="005C68A8" w:rsidP="005C68A8">
      <w:pPr>
        <w:pStyle w:val="EMEANormal"/>
        <w:rPr>
          <w:lang w:val="en-GB"/>
        </w:rPr>
      </w:pPr>
    </w:p>
    <w:p w14:paraId="1CA2AE8A" w14:textId="77777777" w:rsidR="00277ECB" w:rsidRPr="007E1E2E" w:rsidRDefault="0068223A">
      <w:pPr>
        <w:pStyle w:val="EMEANormal"/>
        <w:jc w:val="center"/>
        <w:rPr>
          <w:b/>
          <w:bCs/>
          <w:lang w:val="fr-FR"/>
        </w:rPr>
      </w:pPr>
      <w:r>
        <w:rPr>
          <w:b/>
          <w:bCs/>
          <w:lang w:val="fr-FR"/>
        </w:rPr>
        <w:t>Kaletra</w:t>
      </w:r>
      <w:r w:rsidRPr="007E1E2E">
        <w:rPr>
          <w:b/>
          <w:bCs/>
          <w:lang w:val="fr-FR"/>
        </w:rPr>
        <w:t xml:space="preserve"> </w:t>
      </w:r>
      <w:r w:rsidR="006D283F">
        <w:rPr>
          <w:b/>
          <w:bCs/>
          <w:lang w:val="fr-FR"/>
        </w:rPr>
        <w:t>(80 mg + 20 </w:t>
      </w:r>
      <w:r w:rsidR="00277ECB" w:rsidRPr="007E1E2E">
        <w:rPr>
          <w:b/>
          <w:bCs/>
          <w:lang w:val="fr-FR"/>
        </w:rPr>
        <w:t>mg) / ml oral solution</w:t>
      </w:r>
    </w:p>
    <w:p w14:paraId="280EB0F0" w14:textId="77777777" w:rsidR="00277ECB" w:rsidRPr="007E1E2E" w:rsidRDefault="00277ECB">
      <w:pPr>
        <w:pStyle w:val="EMEANormal"/>
        <w:jc w:val="center"/>
        <w:rPr>
          <w:lang w:val="fr-FR"/>
        </w:rPr>
      </w:pPr>
      <w:r w:rsidRPr="007E1E2E">
        <w:rPr>
          <w:lang w:val="fr-FR"/>
        </w:rPr>
        <w:t>(lopinavir + ritonavir)</w:t>
      </w:r>
    </w:p>
    <w:p w14:paraId="56A6A1A1" w14:textId="77777777" w:rsidR="00277ECB" w:rsidRPr="007E1E2E" w:rsidRDefault="00277ECB">
      <w:pPr>
        <w:pStyle w:val="EMEANormal"/>
        <w:jc w:val="center"/>
        <w:rPr>
          <w:lang w:val="fr-FR"/>
        </w:rPr>
      </w:pPr>
    </w:p>
    <w:p w14:paraId="51939167" w14:textId="77777777" w:rsidR="00277ECB" w:rsidRPr="00342F7C" w:rsidRDefault="00277ECB">
      <w:pPr>
        <w:pStyle w:val="EMEANormal"/>
        <w:rPr>
          <w:b/>
          <w:bCs/>
          <w:lang w:val="en-GB"/>
        </w:rPr>
      </w:pPr>
      <w:r w:rsidRPr="00342F7C">
        <w:rPr>
          <w:b/>
          <w:bCs/>
          <w:lang w:val="en-GB"/>
        </w:rPr>
        <w:t>Read all of this leaflet carefully before you start taking this medicine</w:t>
      </w:r>
      <w:r w:rsidR="002674AF">
        <w:rPr>
          <w:b/>
          <w:bCs/>
          <w:lang w:val="en-GB"/>
        </w:rPr>
        <w:t xml:space="preserve"> because it contains important information for you</w:t>
      </w:r>
      <w:r w:rsidR="00247547">
        <w:rPr>
          <w:b/>
          <w:bCs/>
          <w:lang w:val="en-GB"/>
        </w:rPr>
        <w:t xml:space="preserve"> or your child</w:t>
      </w:r>
      <w:r w:rsidRPr="00342F7C">
        <w:rPr>
          <w:b/>
          <w:bCs/>
          <w:lang w:val="en-GB"/>
        </w:rPr>
        <w:t>.</w:t>
      </w:r>
    </w:p>
    <w:p w14:paraId="253DF62F" w14:textId="77777777" w:rsidR="00277ECB" w:rsidRPr="00342F7C" w:rsidRDefault="00277ECB">
      <w:pPr>
        <w:pStyle w:val="EMEANormal"/>
        <w:numPr>
          <w:ilvl w:val="0"/>
          <w:numId w:val="4"/>
        </w:numPr>
        <w:rPr>
          <w:lang w:val="en-GB"/>
        </w:rPr>
      </w:pPr>
      <w:r w:rsidRPr="00342F7C">
        <w:rPr>
          <w:lang w:val="en-GB"/>
        </w:rPr>
        <w:t xml:space="preserve">Keep this leaflet. </w:t>
      </w:r>
      <w:r w:rsidR="001B0216" w:rsidRPr="00342F7C">
        <w:rPr>
          <w:lang w:val="en-GB"/>
        </w:rPr>
        <w:t xml:space="preserve"> </w:t>
      </w:r>
      <w:r w:rsidRPr="00342F7C">
        <w:rPr>
          <w:lang w:val="en-GB"/>
        </w:rPr>
        <w:t>You may need to read it again.</w:t>
      </w:r>
    </w:p>
    <w:p w14:paraId="551A33C7" w14:textId="77777777" w:rsidR="00277ECB" w:rsidRPr="00342F7C" w:rsidRDefault="00277ECB">
      <w:pPr>
        <w:pStyle w:val="EMEANormal"/>
        <w:numPr>
          <w:ilvl w:val="0"/>
          <w:numId w:val="4"/>
        </w:numPr>
        <w:rPr>
          <w:lang w:val="en-GB"/>
        </w:rPr>
      </w:pPr>
      <w:r w:rsidRPr="00342F7C">
        <w:rPr>
          <w:lang w:val="en-GB"/>
        </w:rPr>
        <w:t>If you have any further questions, ask your doctor or pharmacist</w:t>
      </w:r>
      <w:r w:rsidR="002674AF">
        <w:rPr>
          <w:lang w:val="en-GB"/>
        </w:rPr>
        <w:t>.</w:t>
      </w:r>
    </w:p>
    <w:p w14:paraId="694136CD" w14:textId="77777777" w:rsidR="00277ECB" w:rsidRPr="00342F7C" w:rsidRDefault="00277ECB">
      <w:pPr>
        <w:pStyle w:val="EMEANormal"/>
        <w:numPr>
          <w:ilvl w:val="0"/>
          <w:numId w:val="4"/>
        </w:numPr>
        <w:rPr>
          <w:lang w:val="en-GB"/>
        </w:rPr>
      </w:pPr>
      <w:r w:rsidRPr="00342F7C">
        <w:rPr>
          <w:lang w:val="en-GB"/>
        </w:rPr>
        <w:t>This medicine has been prescribed for you</w:t>
      </w:r>
      <w:r w:rsidR="002674AF">
        <w:rPr>
          <w:lang w:val="en-GB"/>
        </w:rPr>
        <w:t xml:space="preserve"> </w:t>
      </w:r>
      <w:r w:rsidR="005201D6">
        <w:rPr>
          <w:lang w:val="en-GB"/>
        </w:rPr>
        <w:t xml:space="preserve">or your child </w:t>
      </w:r>
      <w:r w:rsidR="002674AF">
        <w:rPr>
          <w:lang w:val="en-GB"/>
        </w:rPr>
        <w:t>only</w:t>
      </w:r>
      <w:r w:rsidRPr="00342F7C">
        <w:rPr>
          <w:lang w:val="en-GB"/>
        </w:rPr>
        <w:t>.  Do not pass it on</w:t>
      </w:r>
      <w:r w:rsidR="002674AF">
        <w:rPr>
          <w:lang w:val="en-GB"/>
        </w:rPr>
        <w:t xml:space="preserve"> </w:t>
      </w:r>
      <w:r w:rsidRPr="00342F7C">
        <w:rPr>
          <w:lang w:val="en-GB"/>
        </w:rPr>
        <w:t xml:space="preserve">to others.  It may harm them, even if their </w:t>
      </w:r>
      <w:r w:rsidR="002674AF">
        <w:rPr>
          <w:lang w:val="en-GB"/>
        </w:rPr>
        <w:t>signs of illness</w:t>
      </w:r>
      <w:r w:rsidR="002674AF" w:rsidRPr="00342F7C">
        <w:rPr>
          <w:lang w:val="en-GB"/>
        </w:rPr>
        <w:t xml:space="preserve"> </w:t>
      </w:r>
      <w:r w:rsidRPr="00342F7C">
        <w:rPr>
          <w:lang w:val="en-GB"/>
        </w:rPr>
        <w:t>are the same as yours.</w:t>
      </w:r>
    </w:p>
    <w:p w14:paraId="05E04AB1" w14:textId="77777777" w:rsidR="00277ECB" w:rsidRPr="00342F7C" w:rsidRDefault="00277ECB">
      <w:pPr>
        <w:pStyle w:val="EMEANormal"/>
        <w:numPr>
          <w:ilvl w:val="0"/>
          <w:numId w:val="4"/>
        </w:numPr>
        <w:rPr>
          <w:lang w:val="en-GB"/>
        </w:rPr>
      </w:pPr>
      <w:r w:rsidRPr="00342F7C">
        <w:rPr>
          <w:lang w:val="en-GB"/>
        </w:rPr>
        <w:t xml:space="preserve">If </w:t>
      </w:r>
      <w:r w:rsidR="002674AF">
        <w:rPr>
          <w:lang w:val="en-GB"/>
        </w:rPr>
        <w:t xml:space="preserve">you get </w:t>
      </w:r>
      <w:r w:rsidRPr="00342F7C">
        <w:rPr>
          <w:lang w:val="en-GB"/>
        </w:rPr>
        <w:t>any side effects</w:t>
      </w:r>
      <w:r w:rsidR="002674AF">
        <w:rPr>
          <w:lang w:val="en-GB"/>
        </w:rPr>
        <w:t xml:space="preserve">, talk to your doctor or pharmacist. </w:t>
      </w:r>
      <w:r w:rsidRPr="00342F7C">
        <w:rPr>
          <w:lang w:val="en-GB"/>
        </w:rPr>
        <w:t xml:space="preserve"> </w:t>
      </w:r>
      <w:r w:rsidR="002674AF">
        <w:rPr>
          <w:lang w:val="en-GB"/>
        </w:rPr>
        <w:t>This includes any possible side effects not listed in this leaflet.  See section 4</w:t>
      </w:r>
      <w:r w:rsidR="00235411">
        <w:rPr>
          <w:lang w:val="en-GB"/>
        </w:rPr>
        <w:t>.</w:t>
      </w:r>
    </w:p>
    <w:p w14:paraId="089E1137" w14:textId="77777777" w:rsidR="00277ECB" w:rsidRPr="00342F7C" w:rsidRDefault="00277ECB">
      <w:pPr>
        <w:pStyle w:val="EMEANormal"/>
        <w:rPr>
          <w:lang w:val="en-GB"/>
        </w:rPr>
      </w:pPr>
    </w:p>
    <w:p w14:paraId="33072533" w14:textId="77777777" w:rsidR="00277ECB" w:rsidRPr="00342F7C" w:rsidRDefault="00571B86">
      <w:pPr>
        <w:pStyle w:val="EMEANormal"/>
        <w:rPr>
          <w:b/>
          <w:bCs/>
          <w:lang w:val="en-GB"/>
        </w:rPr>
      </w:pPr>
      <w:r>
        <w:rPr>
          <w:b/>
          <w:bCs/>
          <w:lang w:val="en-GB"/>
        </w:rPr>
        <w:t>What is i</w:t>
      </w:r>
      <w:r w:rsidR="00277ECB" w:rsidRPr="00342F7C">
        <w:rPr>
          <w:b/>
          <w:bCs/>
          <w:lang w:val="en-GB"/>
        </w:rPr>
        <w:t>n this leaflet:</w:t>
      </w:r>
    </w:p>
    <w:p w14:paraId="342AF48A" w14:textId="77777777" w:rsidR="00277ECB" w:rsidRPr="00342F7C" w:rsidRDefault="00277ECB">
      <w:pPr>
        <w:pStyle w:val="EMEANormal"/>
        <w:rPr>
          <w:lang w:val="en-GB"/>
        </w:rPr>
      </w:pPr>
      <w:r w:rsidRPr="00342F7C">
        <w:rPr>
          <w:lang w:val="en-GB"/>
        </w:rPr>
        <w:t>1.</w:t>
      </w:r>
      <w:r w:rsidRPr="00342F7C">
        <w:rPr>
          <w:lang w:val="en-GB"/>
        </w:rPr>
        <w:tab/>
        <w:t>What Kaletra is and what it is used for</w:t>
      </w:r>
    </w:p>
    <w:p w14:paraId="6EF411E5" w14:textId="77777777" w:rsidR="00277ECB" w:rsidRPr="00342F7C" w:rsidRDefault="00277ECB">
      <w:pPr>
        <w:pStyle w:val="EMEANormal"/>
        <w:rPr>
          <w:lang w:val="en-GB"/>
        </w:rPr>
      </w:pPr>
      <w:r w:rsidRPr="00342F7C">
        <w:rPr>
          <w:lang w:val="en-GB"/>
        </w:rPr>
        <w:t>2.</w:t>
      </w:r>
      <w:r w:rsidRPr="00342F7C">
        <w:rPr>
          <w:lang w:val="en-GB"/>
        </w:rPr>
        <w:tab/>
      </w:r>
      <w:r w:rsidR="002674AF">
        <w:rPr>
          <w:lang w:val="en-GB"/>
        </w:rPr>
        <w:t>What you need to know b</w:t>
      </w:r>
      <w:r w:rsidRPr="00342F7C">
        <w:rPr>
          <w:lang w:val="en-GB"/>
        </w:rPr>
        <w:t xml:space="preserve">efore you </w:t>
      </w:r>
      <w:r w:rsidR="00247547">
        <w:rPr>
          <w:lang w:val="en-GB"/>
        </w:rPr>
        <w:t xml:space="preserve">or your child </w:t>
      </w:r>
      <w:r w:rsidRPr="00342F7C">
        <w:rPr>
          <w:lang w:val="en-GB"/>
        </w:rPr>
        <w:t>take</w:t>
      </w:r>
      <w:r w:rsidR="00BD5486">
        <w:rPr>
          <w:lang w:val="en-GB"/>
        </w:rPr>
        <w:t>s</w:t>
      </w:r>
      <w:r w:rsidRPr="00342F7C">
        <w:rPr>
          <w:lang w:val="en-GB"/>
        </w:rPr>
        <w:t xml:space="preserve"> Kaletra</w:t>
      </w:r>
    </w:p>
    <w:p w14:paraId="245F6E23" w14:textId="77777777" w:rsidR="00277ECB" w:rsidRPr="00342F7C" w:rsidRDefault="00277ECB">
      <w:pPr>
        <w:pStyle w:val="EMEANormal"/>
        <w:rPr>
          <w:lang w:val="en-GB"/>
        </w:rPr>
      </w:pPr>
      <w:r w:rsidRPr="00342F7C">
        <w:rPr>
          <w:lang w:val="en-GB"/>
        </w:rPr>
        <w:t>3.</w:t>
      </w:r>
      <w:r w:rsidRPr="00342F7C">
        <w:rPr>
          <w:lang w:val="en-GB"/>
        </w:rPr>
        <w:tab/>
        <w:t>How to take Kaletra</w:t>
      </w:r>
    </w:p>
    <w:p w14:paraId="7C10F693" w14:textId="77777777" w:rsidR="00277ECB" w:rsidRPr="00342F7C" w:rsidRDefault="00277ECB">
      <w:pPr>
        <w:pStyle w:val="EMEANormal"/>
        <w:rPr>
          <w:lang w:val="en-GB"/>
        </w:rPr>
      </w:pPr>
      <w:r w:rsidRPr="00342F7C">
        <w:rPr>
          <w:lang w:val="en-GB"/>
        </w:rPr>
        <w:t>4.</w:t>
      </w:r>
      <w:r w:rsidRPr="00342F7C">
        <w:rPr>
          <w:lang w:val="en-GB"/>
        </w:rPr>
        <w:tab/>
        <w:t>Possible side effects</w:t>
      </w:r>
    </w:p>
    <w:p w14:paraId="31D058A5" w14:textId="77777777" w:rsidR="00277ECB" w:rsidRPr="00342F7C" w:rsidRDefault="00277ECB">
      <w:pPr>
        <w:pStyle w:val="EMEANormal"/>
        <w:rPr>
          <w:lang w:val="en-GB"/>
        </w:rPr>
      </w:pPr>
      <w:r w:rsidRPr="00342F7C">
        <w:rPr>
          <w:lang w:val="en-GB"/>
        </w:rPr>
        <w:t>5.</w:t>
      </w:r>
      <w:r w:rsidRPr="00342F7C">
        <w:rPr>
          <w:lang w:val="en-GB"/>
        </w:rPr>
        <w:tab/>
        <w:t>How to store Kaletra</w:t>
      </w:r>
    </w:p>
    <w:p w14:paraId="20E57382" w14:textId="77777777" w:rsidR="00277ECB" w:rsidRDefault="00277ECB">
      <w:pPr>
        <w:pStyle w:val="EMEANormal"/>
        <w:rPr>
          <w:lang w:val="en-GB"/>
        </w:rPr>
      </w:pPr>
      <w:r w:rsidRPr="00342F7C">
        <w:rPr>
          <w:lang w:val="en-GB"/>
        </w:rPr>
        <w:t>6.</w:t>
      </w:r>
      <w:r w:rsidRPr="00342F7C">
        <w:rPr>
          <w:lang w:val="en-GB"/>
        </w:rPr>
        <w:tab/>
      </w:r>
      <w:r w:rsidR="002674AF">
        <w:rPr>
          <w:lang w:val="en-GB"/>
        </w:rPr>
        <w:t>Contents of the pack and other</w:t>
      </w:r>
      <w:r w:rsidR="002674AF" w:rsidRPr="00342F7C">
        <w:rPr>
          <w:lang w:val="en-GB"/>
        </w:rPr>
        <w:t xml:space="preserve"> </w:t>
      </w:r>
      <w:r w:rsidRPr="00342F7C">
        <w:rPr>
          <w:lang w:val="en-GB"/>
        </w:rPr>
        <w:t>information</w:t>
      </w:r>
    </w:p>
    <w:p w14:paraId="1D8CF33B" w14:textId="77777777" w:rsidR="00A02565" w:rsidRDefault="00A02565">
      <w:pPr>
        <w:pStyle w:val="EMEANormal"/>
        <w:rPr>
          <w:lang w:val="en-GB"/>
        </w:rPr>
      </w:pPr>
    </w:p>
    <w:p w14:paraId="435BF055" w14:textId="77777777" w:rsidR="00A02565" w:rsidRPr="00342F7C" w:rsidRDefault="00A02565">
      <w:pPr>
        <w:pStyle w:val="EMEANormal"/>
        <w:rPr>
          <w:lang w:val="en-GB"/>
        </w:rPr>
      </w:pPr>
    </w:p>
    <w:p w14:paraId="391FB4D0" w14:textId="77777777" w:rsidR="00277ECB" w:rsidRPr="00282043" w:rsidRDefault="00277ECB" w:rsidP="008B7635">
      <w:pPr>
        <w:rPr>
          <w:b/>
          <w:sz w:val="22"/>
          <w:szCs w:val="22"/>
        </w:rPr>
      </w:pPr>
      <w:r w:rsidRPr="00282043">
        <w:rPr>
          <w:sz w:val="22"/>
          <w:szCs w:val="22"/>
        </w:rPr>
        <w:t>1.</w:t>
      </w:r>
      <w:r w:rsidRPr="00282043">
        <w:rPr>
          <w:sz w:val="22"/>
          <w:szCs w:val="22"/>
        </w:rPr>
        <w:tab/>
      </w:r>
      <w:r w:rsidRPr="00282043">
        <w:rPr>
          <w:b/>
          <w:sz w:val="22"/>
          <w:szCs w:val="22"/>
        </w:rPr>
        <w:t>W</w:t>
      </w:r>
      <w:r w:rsidR="00A02565" w:rsidRPr="00282043">
        <w:rPr>
          <w:b/>
          <w:sz w:val="22"/>
          <w:szCs w:val="22"/>
        </w:rPr>
        <w:t xml:space="preserve">hat Kaletra is and </w:t>
      </w:r>
      <w:r w:rsidR="0037785E" w:rsidRPr="00282043">
        <w:rPr>
          <w:b/>
          <w:sz w:val="22"/>
          <w:szCs w:val="22"/>
        </w:rPr>
        <w:t xml:space="preserve">what </w:t>
      </w:r>
      <w:r w:rsidR="00A02565" w:rsidRPr="00282043">
        <w:rPr>
          <w:b/>
          <w:sz w:val="22"/>
          <w:szCs w:val="22"/>
        </w:rPr>
        <w:t>it is used for</w:t>
      </w:r>
    </w:p>
    <w:p w14:paraId="1068516D" w14:textId="77777777" w:rsidR="008B7635" w:rsidRPr="00A02565" w:rsidRDefault="008B7635" w:rsidP="008B7635">
      <w:pPr>
        <w:rPr>
          <w:b/>
        </w:rPr>
      </w:pPr>
    </w:p>
    <w:p w14:paraId="0D088F7A" w14:textId="77777777" w:rsidR="00277ECB" w:rsidRDefault="00277ECB" w:rsidP="0052761E">
      <w:pPr>
        <w:pStyle w:val="EMEABullet"/>
        <w:numPr>
          <w:ilvl w:val="0"/>
          <w:numId w:val="24"/>
        </w:numPr>
        <w:tabs>
          <w:tab w:val="clear" w:pos="709"/>
          <w:tab w:val="num" w:pos="567"/>
        </w:tabs>
        <w:ind w:left="567"/>
      </w:pPr>
      <w:r w:rsidRPr="00342F7C">
        <w:t>Your doctor has prescribed Kaletra to help to control your Human Immunodeficiency Virus (HIV) infection.  Kaletra does this by slowing down the spread of the infection in your body.</w:t>
      </w:r>
    </w:p>
    <w:p w14:paraId="1C74FCBC" w14:textId="77777777" w:rsidR="005201D6" w:rsidRDefault="005201D6" w:rsidP="0052761E">
      <w:pPr>
        <w:pStyle w:val="EMEABullet"/>
        <w:numPr>
          <w:ilvl w:val="0"/>
          <w:numId w:val="24"/>
        </w:numPr>
        <w:tabs>
          <w:tab w:val="clear" w:pos="709"/>
          <w:tab w:val="num" w:pos="567"/>
        </w:tabs>
        <w:ind w:left="567"/>
      </w:pPr>
      <w:r>
        <w:t>Kaletra is not a cure for HIV infection or AIDS.</w:t>
      </w:r>
    </w:p>
    <w:p w14:paraId="4F1081BA" w14:textId="77777777" w:rsidR="00277ECB" w:rsidRPr="00342F7C" w:rsidRDefault="00277ECB" w:rsidP="0052761E">
      <w:pPr>
        <w:pStyle w:val="EMEABullet"/>
        <w:numPr>
          <w:ilvl w:val="0"/>
          <w:numId w:val="24"/>
        </w:numPr>
        <w:tabs>
          <w:tab w:val="clear" w:pos="709"/>
          <w:tab w:val="num" w:pos="567"/>
        </w:tabs>
        <w:ind w:left="567"/>
        <w:rPr>
          <w:lang w:val="en-GB"/>
        </w:rPr>
      </w:pPr>
      <w:r w:rsidRPr="00342F7C">
        <w:rPr>
          <w:lang w:val="en-GB"/>
        </w:rPr>
        <w:t xml:space="preserve">Kaletra is used by children </w:t>
      </w:r>
      <w:r w:rsidR="005201D6">
        <w:rPr>
          <w:lang w:val="en-GB"/>
        </w:rPr>
        <w:t>14 days</w:t>
      </w:r>
      <w:r w:rsidRPr="00342F7C">
        <w:rPr>
          <w:lang w:val="en-GB"/>
        </w:rPr>
        <w:t xml:space="preserve"> of age </w:t>
      </w:r>
      <w:r w:rsidR="005201D6">
        <w:rPr>
          <w:lang w:val="en-GB"/>
        </w:rPr>
        <w:t>and</w:t>
      </w:r>
      <w:r w:rsidR="005201D6" w:rsidRPr="00342F7C">
        <w:rPr>
          <w:lang w:val="en-GB"/>
        </w:rPr>
        <w:t xml:space="preserve"> </w:t>
      </w:r>
      <w:r w:rsidRPr="00342F7C">
        <w:rPr>
          <w:lang w:val="en-GB"/>
        </w:rPr>
        <w:t>older</w:t>
      </w:r>
      <w:r w:rsidR="00D14016">
        <w:rPr>
          <w:lang w:val="en-GB"/>
        </w:rPr>
        <w:t>, adolescents</w:t>
      </w:r>
      <w:r w:rsidRPr="00342F7C">
        <w:rPr>
          <w:lang w:val="en-GB"/>
        </w:rPr>
        <w:t xml:space="preserve"> and adults who are infected with HIV, the virus which causes AIDS.  </w:t>
      </w:r>
    </w:p>
    <w:p w14:paraId="474D96B5" w14:textId="77777777" w:rsidR="00277ECB" w:rsidRPr="00342F7C" w:rsidRDefault="00D14016" w:rsidP="0052761E">
      <w:pPr>
        <w:pStyle w:val="EMEABullet"/>
        <w:numPr>
          <w:ilvl w:val="0"/>
          <w:numId w:val="24"/>
        </w:numPr>
        <w:tabs>
          <w:tab w:val="clear" w:pos="709"/>
          <w:tab w:val="num" w:pos="567"/>
        </w:tabs>
        <w:ind w:left="567"/>
        <w:rPr>
          <w:lang w:val="en-GB"/>
        </w:rPr>
      </w:pPr>
      <w:r>
        <w:t>Kaletra contains the active substance</w:t>
      </w:r>
      <w:r w:rsidR="00506240">
        <w:t>s</w:t>
      </w:r>
      <w:r>
        <w:t xml:space="preserve"> </w:t>
      </w:r>
      <w:r w:rsidRPr="00342F7C">
        <w:rPr>
          <w:lang w:val="en-GB"/>
        </w:rPr>
        <w:t xml:space="preserve">lopinavir </w:t>
      </w:r>
      <w:r w:rsidR="00620B62">
        <w:rPr>
          <w:lang w:val="en-GB"/>
        </w:rPr>
        <w:t xml:space="preserve">and </w:t>
      </w:r>
      <w:r w:rsidRPr="00342F7C">
        <w:rPr>
          <w:lang w:val="en-GB"/>
        </w:rPr>
        <w:t>ritonavir.</w:t>
      </w:r>
      <w:r>
        <w:t xml:space="preserve">  </w:t>
      </w:r>
      <w:r w:rsidR="00277ECB" w:rsidRPr="00342F7C">
        <w:rPr>
          <w:lang w:val="en-GB"/>
        </w:rPr>
        <w:t>Kaletra is an antiretroviral medicine.  It belongs to a group of medicines called protease inhibitors.</w:t>
      </w:r>
    </w:p>
    <w:p w14:paraId="069B8B4E" w14:textId="77777777" w:rsidR="00277ECB" w:rsidRDefault="00277ECB" w:rsidP="0052761E">
      <w:pPr>
        <w:pStyle w:val="EMEABullet"/>
        <w:numPr>
          <w:ilvl w:val="0"/>
          <w:numId w:val="24"/>
        </w:numPr>
        <w:tabs>
          <w:tab w:val="clear" w:pos="709"/>
          <w:tab w:val="num" w:pos="567"/>
        </w:tabs>
        <w:ind w:left="567"/>
        <w:rPr>
          <w:lang w:val="en-GB"/>
        </w:rPr>
      </w:pPr>
      <w:r w:rsidRPr="00342F7C">
        <w:rPr>
          <w:lang w:val="en-GB"/>
        </w:rPr>
        <w:t xml:space="preserve">Kaletra is prescribed for use in combination with other antiviral medicines.  Your doctor will </w:t>
      </w:r>
      <w:r w:rsidR="00454ACF" w:rsidRPr="00342F7C">
        <w:rPr>
          <w:lang w:val="en-GB"/>
        </w:rPr>
        <w:t xml:space="preserve">discuss with you and </w:t>
      </w:r>
      <w:r w:rsidRPr="00342F7C">
        <w:rPr>
          <w:lang w:val="en-GB"/>
        </w:rPr>
        <w:t>determine which medicines are best for you.</w:t>
      </w:r>
    </w:p>
    <w:p w14:paraId="183BD1E1" w14:textId="77777777" w:rsidR="00A02565" w:rsidRDefault="00A02565" w:rsidP="00A02565">
      <w:pPr>
        <w:pStyle w:val="EMEABullet"/>
        <w:numPr>
          <w:ilvl w:val="0"/>
          <w:numId w:val="0"/>
        </w:numPr>
        <w:ind w:left="567" w:hanging="567"/>
        <w:rPr>
          <w:lang w:val="en-GB"/>
        </w:rPr>
      </w:pPr>
    </w:p>
    <w:p w14:paraId="49EF7476" w14:textId="77777777" w:rsidR="00A02565" w:rsidRPr="00342F7C" w:rsidRDefault="00A02565" w:rsidP="00A02565">
      <w:pPr>
        <w:pStyle w:val="EMEABullet"/>
        <w:numPr>
          <w:ilvl w:val="0"/>
          <w:numId w:val="0"/>
        </w:numPr>
        <w:ind w:left="567" w:hanging="567"/>
        <w:rPr>
          <w:lang w:val="en-GB"/>
        </w:rPr>
      </w:pPr>
    </w:p>
    <w:p w14:paraId="0253B6E7" w14:textId="77777777" w:rsidR="00277ECB" w:rsidRPr="00282043" w:rsidRDefault="00277ECB" w:rsidP="00A02565">
      <w:pPr>
        <w:rPr>
          <w:b/>
          <w:sz w:val="22"/>
          <w:szCs w:val="22"/>
        </w:rPr>
      </w:pPr>
      <w:r w:rsidRPr="00282043">
        <w:rPr>
          <w:b/>
          <w:sz w:val="22"/>
          <w:szCs w:val="22"/>
        </w:rPr>
        <w:t>2.</w:t>
      </w:r>
      <w:r w:rsidRPr="00282043">
        <w:rPr>
          <w:b/>
          <w:sz w:val="22"/>
          <w:szCs w:val="22"/>
        </w:rPr>
        <w:tab/>
      </w:r>
      <w:r w:rsidR="00A02565" w:rsidRPr="00282043">
        <w:rPr>
          <w:b/>
          <w:sz w:val="22"/>
          <w:szCs w:val="22"/>
        </w:rPr>
        <w:t xml:space="preserve">What you need to know before you </w:t>
      </w:r>
      <w:r w:rsidR="00247547" w:rsidRPr="00282043">
        <w:rPr>
          <w:b/>
          <w:sz w:val="22"/>
          <w:szCs w:val="22"/>
        </w:rPr>
        <w:t xml:space="preserve">or your child </w:t>
      </w:r>
      <w:r w:rsidR="00A02565" w:rsidRPr="00282043">
        <w:rPr>
          <w:b/>
          <w:sz w:val="22"/>
          <w:szCs w:val="22"/>
        </w:rPr>
        <w:t>take</w:t>
      </w:r>
      <w:r w:rsidR="00BD5486" w:rsidRPr="00282043">
        <w:rPr>
          <w:b/>
          <w:sz w:val="22"/>
          <w:szCs w:val="22"/>
        </w:rPr>
        <w:t>s</w:t>
      </w:r>
      <w:r w:rsidR="00A02565" w:rsidRPr="00282043">
        <w:rPr>
          <w:b/>
          <w:sz w:val="22"/>
          <w:szCs w:val="22"/>
        </w:rPr>
        <w:t xml:space="preserve"> Kaletra</w:t>
      </w:r>
    </w:p>
    <w:p w14:paraId="609C5BD6" w14:textId="77777777" w:rsidR="005C68A8" w:rsidRPr="00A02565" w:rsidRDefault="005C68A8" w:rsidP="00A02565">
      <w:pPr>
        <w:rPr>
          <w:b/>
        </w:rPr>
      </w:pPr>
    </w:p>
    <w:p w14:paraId="697C091E" w14:textId="77777777" w:rsidR="00277ECB" w:rsidRPr="00342F7C" w:rsidRDefault="00277ECB" w:rsidP="005C68A8">
      <w:pPr>
        <w:pStyle w:val="EMEAHeadingLeaflet"/>
        <w:spacing w:beforeLines="0" w:before="0" w:afterLines="0" w:after="0"/>
        <w:rPr>
          <w:rFonts w:ascii="Times New Roman" w:hAnsi="Times New Roman"/>
          <w:lang w:val="en-GB"/>
        </w:rPr>
      </w:pPr>
      <w:r w:rsidRPr="00342F7C">
        <w:rPr>
          <w:rFonts w:ascii="Times New Roman" w:hAnsi="Times New Roman"/>
          <w:lang w:val="en-GB"/>
        </w:rPr>
        <w:t>Do not take Kaletra</w:t>
      </w:r>
    </w:p>
    <w:p w14:paraId="5676B5B7" w14:textId="77777777" w:rsidR="00277ECB" w:rsidRPr="00342F7C" w:rsidRDefault="00C56AE6" w:rsidP="0052761E">
      <w:pPr>
        <w:pStyle w:val="EMEABullet"/>
        <w:numPr>
          <w:ilvl w:val="0"/>
          <w:numId w:val="25"/>
        </w:numPr>
        <w:tabs>
          <w:tab w:val="clear" w:pos="709"/>
          <w:tab w:val="num" w:pos="567"/>
        </w:tabs>
        <w:ind w:left="567"/>
        <w:rPr>
          <w:lang w:val="en-GB"/>
        </w:rPr>
      </w:pPr>
      <w:r>
        <w:rPr>
          <w:lang w:val="en-GB"/>
        </w:rPr>
        <w:t xml:space="preserve">if </w:t>
      </w:r>
      <w:r w:rsidR="00277ECB" w:rsidRPr="00342F7C">
        <w:rPr>
          <w:lang w:val="en-GB"/>
        </w:rPr>
        <w:t>you are allergic to lopinavir, ritonavir or any of the other ingredients of Kaletra</w:t>
      </w:r>
      <w:r w:rsidR="00711D9E">
        <w:rPr>
          <w:lang w:val="en-GB"/>
        </w:rPr>
        <w:t xml:space="preserve"> (see section 6)</w:t>
      </w:r>
      <w:r w:rsidR="00615939">
        <w:rPr>
          <w:lang w:val="en-GB"/>
        </w:rPr>
        <w:t>;</w:t>
      </w:r>
      <w:r w:rsidR="00277ECB" w:rsidRPr="00342F7C">
        <w:rPr>
          <w:lang w:val="en-GB"/>
        </w:rPr>
        <w:t xml:space="preserve"> </w:t>
      </w:r>
    </w:p>
    <w:p w14:paraId="232603F3" w14:textId="77777777" w:rsidR="00277ECB" w:rsidRPr="00342F7C" w:rsidRDefault="00C56AE6" w:rsidP="0052761E">
      <w:pPr>
        <w:pStyle w:val="EMEABullet"/>
        <w:numPr>
          <w:ilvl w:val="0"/>
          <w:numId w:val="25"/>
        </w:numPr>
        <w:tabs>
          <w:tab w:val="clear" w:pos="709"/>
          <w:tab w:val="num" w:pos="567"/>
        </w:tabs>
        <w:ind w:left="567"/>
        <w:rPr>
          <w:lang w:val="en-GB"/>
        </w:rPr>
      </w:pPr>
      <w:r>
        <w:rPr>
          <w:lang w:val="en-GB"/>
        </w:rPr>
        <w:t xml:space="preserve">if </w:t>
      </w:r>
      <w:r w:rsidR="00277ECB" w:rsidRPr="00342F7C">
        <w:rPr>
          <w:lang w:val="en-GB"/>
        </w:rPr>
        <w:t>you have severe liver problems.</w:t>
      </w:r>
    </w:p>
    <w:p w14:paraId="04724C49" w14:textId="77777777" w:rsidR="00277ECB" w:rsidRPr="00342F7C" w:rsidRDefault="00277ECB">
      <w:pPr>
        <w:pStyle w:val="EMEANormal"/>
        <w:rPr>
          <w:lang w:val="en-GB"/>
        </w:rPr>
      </w:pPr>
    </w:p>
    <w:p w14:paraId="2FE5392E" w14:textId="77777777" w:rsidR="00277ECB" w:rsidRPr="00342F7C" w:rsidRDefault="00277ECB">
      <w:pPr>
        <w:pStyle w:val="EMEABullet"/>
        <w:numPr>
          <w:ilvl w:val="0"/>
          <w:numId w:val="0"/>
        </w:numPr>
        <w:rPr>
          <w:lang w:val="en-GB"/>
        </w:rPr>
      </w:pPr>
      <w:r w:rsidRPr="00342F7C">
        <w:rPr>
          <w:b/>
          <w:bCs/>
          <w:lang w:val="en-GB"/>
        </w:rPr>
        <w:t>Do not take Kaletra with any of the following medicines:</w:t>
      </w:r>
    </w:p>
    <w:p w14:paraId="07CF5715" w14:textId="77777777" w:rsidR="00277ECB" w:rsidRPr="00342F7C" w:rsidRDefault="00711D9E" w:rsidP="0052761E">
      <w:pPr>
        <w:pStyle w:val="EMEABullet"/>
        <w:numPr>
          <w:ilvl w:val="1"/>
          <w:numId w:val="26"/>
        </w:numPr>
        <w:tabs>
          <w:tab w:val="clear" w:pos="1134"/>
          <w:tab w:val="left" w:pos="567"/>
        </w:tabs>
        <w:ind w:left="567"/>
        <w:rPr>
          <w:lang w:val="en-GB"/>
        </w:rPr>
      </w:pPr>
      <w:r>
        <w:rPr>
          <w:lang w:val="en-GB"/>
        </w:rPr>
        <w:t>a</w:t>
      </w:r>
      <w:r w:rsidR="00277ECB" w:rsidRPr="00342F7C">
        <w:rPr>
          <w:lang w:val="en-GB"/>
        </w:rPr>
        <w:t>stemizole or terfenadine (commonly used to treat allergy symptoms – these medicines may be available without prescription);</w:t>
      </w:r>
    </w:p>
    <w:p w14:paraId="384C6B0A" w14:textId="77777777" w:rsidR="00277ECB" w:rsidRPr="00342F7C" w:rsidRDefault="00711D9E" w:rsidP="0052761E">
      <w:pPr>
        <w:pStyle w:val="EMEABullet"/>
        <w:numPr>
          <w:ilvl w:val="1"/>
          <w:numId w:val="26"/>
        </w:numPr>
        <w:tabs>
          <w:tab w:val="clear" w:pos="1134"/>
          <w:tab w:val="left" w:pos="567"/>
        </w:tabs>
        <w:ind w:left="567"/>
        <w:rPr>
          <w:lang w:val="en-GB"/>
        </w:rPr>
      </w:pPr>
      <w:r>
        <w:rPr>
          <w:lang w:val="en-GB"/>
        </w:rPr>
        <w:t>m</w:t>
      </w:r>
      <w:r w:rsidR="00277ECB" w:rsidRPr="00342F7C">
        <w:rPr>
          <w:lang w:val="en-GB"/>
        </w:rPr>
        <w:t>idazolam taken orally (taken by mouth), triazolam (used to relieve anxiety and/or trouble sleeping);</w:t>
      </w:r>
    </w:p>
    <w:p w14:paraId="66B33120" w14:textId="77777777" w:rsidR="00277ECB" w:rsidRDefault="00711D9E" w:rsidP="0052761E">
      <w:pPr>
        <w:pStyle w:val="EMEABullet"/>
        <w:numPr>
          <w:ilvl w:val="1"/>
          <w:numId w:val="26"/>
        </w:numPr>
        <w:tabs>
          <w:tab w:val="clear" w:pos="1134"/>
          <w:tab w:val="left" w:pos="567"/>
        </w:tabs>
        <w:ind w:left="567"/>
        <w:rPr>
          <w:lang w:val="en-GB"/>
        </w:rPr>
      </w:pPr>
      <w:r>
        <w:rPr>
          <w:lang w:val="en-GB"/>
        </w:rPr>
        <w:t>p</w:t>
      </w:r>
      <w:r w:rsidR="00277ECB" w:rsidRPr="00342F7C">
        <w:rPr>
          <w:lang w:val="en-GB"/>
        </w:rPr>
        <w:t>imozide (used to treat schizophrenia);</w:t>
      </w:r>
    </w:p>
    <w:p w14:paraId="0370984F" w14:textId="77777777" w:rsidR="004737B7" w:rsidRDefault="00711D9E" w:rsidP="0052761E">
      <w:pPr>
        <w:pStyle w:val="EMEABullet"/>
        <w:numPr>
          <w:ilvl w:val="1"/>
          <w:numId w:val="26"/>
        </w:numPr>
        <w:tabs>
          <w:tab w:val="clear" w:pos="1134"/>
          <w:tab w:val="left" w:pos="567"/>
        </w:tabs>
        <w:ind w:left="567"/>
        <w:rPr>
          <w:lang w:val="en-GB"/>
        </w:rPr>
      </w:pPr>
      <w:r>
        <w:rPr>
          <w:lang w:val="en-GB"/>
        </w:rPr>
        <w:t>q</w:t>
      </w:r>
      <w:r w:rsidR="004737B7" w:rsidRPr="00B8664C">
        <w:rPr>
          <w:lang w:val="en-GB"/>
        </w:rPr>
        <w:t>uetiapine (used to treat schizophrenia, bipolar disorder and major depressive disorder)</w:t>
      </w:r>
      <w:r w:rsidR="004737B7" w:rsidRPr="00797BFA">
        <w:rPr>
          <w:lang w:val="en-GB"/>
        </w:rPr>
        <w:t>;</w:t>
      </w:r>
    </w:p>
    <w:p w14:paraId="118FAF99" w14:textId="77777777" w:rsidR="00E011E0" w:rsidRDefault="00E011E0" w:rsidP="0052761E">
      <w:pPr>
        <w:pStyle w:val="EMEABullet"/>
        <w:numPr>
          <w:ilvl w:val="1"/>
          <w:numId w:val="26"/>
        </w:numPr>
        <w:tabs>
          <w:tab w:val="clear" w:pos="1134"/>
          <w:tab w:val="left" w:pos="567"/>
        </w:tabs>
        <w:ind w:left="567"/>
        <w:rPr>
          <w:lang w:val="en-GB"/>
        </w:rPr>
      </w:pPr>
      <w:r>
        <w:rPr>
          <w:lang w:val="en-GB"/>
        </w:rPr>
        <w:t>lurasidone (used to treat depression);</w:t>
      </w:r>
    </w:p>
    <w:p w14:paraId="50502A17" w14:textId="77777777" w:rsidR="00C40BDF" w:rsidRPr="00797BFA" w:rsidRDefault="00C40BDF" w:rsidP="0052761E">
      <w:pPr>
        <w:pStyle w:val="EMEABullet"/>
        <w:numPr>
          <w:ilvl w:val="1"/>
          <w:numId w:val="26"/>
        </w:numPr>
        <w:tabs>
          <w:tab w:val="clear" w:pos="1134"/>
          <w:tab w:val="left" w:pos="567"/>
        </w:tabs>
        <w:ind w:left="567"/>
        <w:rPr>
          <w:lang w:val="en-GB"/>
        </w:rPr>
      </w:pPr>
      <w:r>
        <w:rPr>
          <w:lang w:val="en-GB"/>
        </w:rPr>
        <w:t>ranolazine (used to treat chronic chest pain [angina]);</w:t>
      </w:r>
    </w:p>
    <w:p w14:paraId="2E6BA653" w14:textId="77777777" w:rsidR="00277ECB" w:rsidRPr="00342F7C" w:rsidRDefault="00711D9E" w:rsidP="0052761E">
      <w:pPr>
        <w:pStyle w:val="EMEABullet"/>
        <w:numPr>
          <w:ilvl w:val="1"/>
          <w:numId w:val="26"/>
        </w:numPr>
        <w:tabs>
          <w:tab w:val="clear" w:pos="1134"/>
          <w:tab w:val="left" w:pos="567"/>
        </w:tabs>
        <w:ind w:left="567"/>
        <w:rPr>
          <w:lang w:val="en-GB"/>
        </w:rPr>
      </w:pPr>
      <w:r>
        <w:rPr>
          <w:lang w:val="en-GB"/>
        </w:rPr>
        <w:t>c</w:t>
      </w:r>
      <w:r w:rsidR="00277ECB" w:rsidRPr="00342F7C">
        <w:rPr>
          <w:lang w:val="en-GB"/>
        </w:rPr>
        <w:t>isapride (used to relieve certain stomach problems);</w:t>
      </w:r>
    </w:p>
    <w:p w14:paraId="72D87C31" w14:textId="77777777" w:rsidR="00277ECB" w:rsidRPr="00342F7C" w:rsidRDefault="00711D9E" w:rsidP="0052761E">
      <w:pPr>
        <w:pStyle w:val="EMEABullet"/>
        <w:numPr>
          <w:ilvl w:val="1"/>
          <w:numId w:val="26"/>
        </w:numPr>
        <w:tabs>
          <w:tab w:val="clear" w:pos="1134"/>
          <w:tab w:val="left" w:pos="567"/>
        </w:tabs>
        <w:ind w:left="567"/>
        <w:rPr>
          <w:lang w:val="en-GB"/>
        </w:rPr>
      </w:pPr>
      <w:r>
        <w:rPr>
          <w:lang w:val="en-GB"/>
        </w:rPr>
        <w:t>e</w:t>
      </w:r>
      <w:r w:rsidR="00277ECB" w:rsidRPr="00342F7C">
        <w:rPr>
          <w:lang w:val="en-GB"/>
        </w:rPr>
        <w:t>rgotamine, dihydroergotamine, ergonovine, methylergonovine (used to treat headaches);</w:t>
      </w:r>
    </w:p>
    <w:p w14:paraId="76214CEC" w14:textId="77777777" w:rsidR="00277ECB" w:rsidRPr="00342F7C" w:rsidRDefault="00711D9E" w:rsidP="0052761E">
      <w:pPr>
        <w:pStyle w:val="EMEABullet"/>
        <w:numPr>
          <w:ilvl w:val="1"/>
          <w:numId w:val="26"/>
        </w:numPr>
        <w:tabs>
          <w:tab w:val="clear" w:pos="1134"/>
          <w:tab w:val="left" w:pos="567"/>
        </w:tabs>
        <w:ind w:left="567"/>
        <w:rPr>
          <w:lang w:val="en-GB"/>
        </w:rPr>
      </w:pPr>
      <w:r>
        <w:rPr>
          <w:lang w:val="en-GB"/>
        </w:rPr>
        <w:t>a</w:t>
      </w:r>
      <w:r w:rsidR="00277ECB" w:rsidRPr="00342F7C">
        <w:rPr>
          <w:lang w:val="en-GB"/>
        </w:rPr>
        <w:t>miodarone</w:t>
      </w:r>
      <w:r w:rsidR="00531A5A">
        <w:rPr>
          <w:lang w:val="en-GB"/>
        </w:rPr>
        <w:t>, dronedarone</w:t>
      </w:r>
      <w:r w:rsidR="00277ECB" w:rsidRPr="00342F7C">
        <w:rPr>
          <w:lang w:val="en-GB"/>
        </w:rPr>
        <w:t xml:space="preserve"> (used to treat abnormal heart beat);</w:t>
      </w:r>
    </w:p>
    <w:p w14:paraId="7690F3F0" w14:textId="77777777" w:rsidR="002153AE" w:rsidRDefault="00711D9E" w:rsidP="0052761E">
      <w:pPr>
        <w:pStyle w:val="EMEABullet"/>
        <w:numPr>
          <w:ilvl w:val="1"/>
          <w:numId w:val="26"/>
        </w:numPr>
        <w:tabs>
          <w:tab w:val="clear" w:pos="1134"/>
          <w:tab w:val="left" w:pos="567"/>
        </w:tabs>
        <w:ind w:left="567"/>
        <w:rPr>
          <w:lang w:val="en-GB"/>
        </w:rPr>
      </w:pPr>
      <w:r>
        <w:rPr>
          <w:lang w:val="en-GB"/>
        </w:rPr>
        <w:t>l</w:t>
      </w:r>
      <w:r w:rsidR="002153AE" w:rsidRPr="00342F7C">
        <w:rPr>
          <w:lang w:val="en-GB"/>
        </w:rPr>
        <w:t>ovastatin, simvastatin (used to lower blood cholesterol);</w:t>
      </w:r>
    </w:p>
    <w:p w14:paraId="31EB4848" w14:textId="77777777" w:rsidR="002279CA" w:rsidRDefault="002279CA" w:rsidP="0052761E">
      <w:pPr>
        <w:pStyle w:val="EMEABullet"/>
        <w:numPr>
          <w:ilvl w:val="1"/>
          <w:numId w:val="26"/>
        </w:numPr>
        <w:tabs>
          <w:tab w:val="clear" w:pos="1134"/>
          <w:tab w:val="left" w:pos="567"/>
        </w:tabs>
        <w:ind w:left="567"/>
        <w:rPr>
          <w:lang w:val="en-GB"/>
        </w:rPr>
      </w:pPr>
      <w:r>
        <w:rPr>
          <w:lang w:val="en-GB"/>
        </w:rPr>
        <w:t>lomitapide (used to lower blood cholesterol);</w:t>
      </w:r>
    </w:p>
    <w:p w14:paraId="2A40C301" w14:textId="77777777" w:rsidR="00BE1421" w:rsidRDefault="00711D9E" w:rsidP="0052761E">
      <w:pPr>
        <w:pStyle w:val="EMEABullet"/>
        <w:numPr>
          <w:ilvl w:val="0"/>
          <w:numId w:val="27"/>
        </w:numPr>
        <w:tabs>
          <w:tab w:val="left" w:pos="567"/>
        </w:tabs>
        <w:ind w:left="567" w:hanging="567"/>
        <w:rPr>
          <w:lang w:val="en-GB"/>
        </w:rPr>
      </w:pPr>
      <w:r>
        <w:rPr>
          <w:lang w:val="en-GB"/>
        </w:rPr>
        <w:t>a</w:t>
      </w:r>
      <w:r w:rsidR="00C63A89">
        <w:rPr>
          <w:lang w:val="en-GB"/>
        </w:rPr>
        <w:t>lfuzosin (used in men to treat symptoms of an enlarged prostate (benign prostatic hyperplasia (BPH));</w:t>
      </w:r>
    </w:p>
    <w:p w14:paraId="1185D6D5" w14:textId="77777777" w:rsidR="00C63A89" w:rsidRPr="00AC3B88" w:rsidRDefault="00711D9E" w:rsidP="0052761E">
      <w:pPr>
        <w:pStyle w:val="EMEABullet"/>
        <w:numPr>
          <w:ilvl w:val="0"/>
          <w:numId w:val="27"/>
        </w:numPr>
        <w:tabs>
          <w:tab w:val="left" w:pos="567"/>
        </w:tabs>
        <w:ind w:left="567" w:hanging="567"/>
        <w:rPr>
          <w:lang w:val="en-GB"/>
        </w:rPr>
      </w:pPr>
      <w:r>
        <w:rPr>
          <w:lang w:val="en-GB"/>
        </w:rPr>
        <w:t>f</w:t>
      </w:r>
      <w:r w:rsidR="00C63A89">
        <w:rPr>
          <w:lang w:val="en-GB"/>
        </w:rPr>
        <w:t xml:space="preserve">usidic acid (used to treat skin infections caused by </w:t>
      </w:r>
      <w:r w:rsidR="00C63A89" w:rsidRPr="00ED161C">
        <w:rPr>
          <w:i/>
          <w:lang w:val="en-GB"/>
        </w:rPr>
        <w:t>Staphylococcus</w:t>
      </w:r>
      <w:r w:rsidR="00C63A89">
        <w:rPr>
          <w:lang w:val="en-GB"/>
        </w:rPr>
        <w:t xml:space="preserve"> bacteria such as impetigo and infected dermatitis</w:t>
      </w:r>
      <w:r w:rsidR="006E48E5">
        <w:rPr>
          <w:lang w:val="en-GB"/>
        </w:rPr>
        <w:t>)</w:t>
      </w:r>
      <w:r w:rsidR="00C63A89">
        <w:rPr>
          <w:lang w:val="en-GB"/>
        </w:rPr>
        <w:t xml:space="preserve">.  </w:t>
      </w:r>
      <w:r w:rsidR="00C63A89" w:rsidRPr="00AC3B88">
        <w:rPr>
          <w:lang w:val="en-GB"/>
        </w:rPr>
        <w:t>Fusidic acid used to treat long-term infections of the bones and joints may be taken unde</w:t>
      </w:r>
      <w:r w:rsidR="007C4B96">
        <w:rPr>
          <w:lang w:val="en-GB"/>
        </w:rPr>
        <w:t xml:space="preserve">r doctor’s supervision (see </w:t>
      </w:r>
      <w:r w:rsidR="009832C1" w:rsidRPr="00282043">
        <w:rPr>
          <w:b/>
          <w:lang w:val="en-GB"/>
        </w:rPr>
        <w:t>O</w:t>
      </w:r>
      <w:r w:rsidR="00C63A89" w:rsidRPr="00282043">
        <w:rPr>
          <w:b/>
          <w:lang w:val="en-GB"/>
        </w:rPr>
        <w:t xml:space="preserve">ther medicines </w:t>
      </w:r>
      <w:r w:rsidR="009832C1" w:rsidRPr="00282043">
        <w:rPr>
          <w:b/>
          <w:lang w:val="en-GB"/>
        </w:rPr>
        <w:t>and Kaletra</w:t>
      </w:r>
      <w:r w:rsidR="009832C1">
        <w:rPr>
          <w:lang w:val="en-GB"/>
        </w:rPr>
        <w:t xml:space="preserve"> </w:t>
      </w:r>
      <w:r w:rsidR="00C63A89" w:rsidRPr="00AC3B88">
        <w:rPr>
          <w:lang w:val="en-GB"/>
        </w:rPr>
        <w:t>section);</w:t>
      </w:r>
    </w:p>
    <w:p w14:paraId="568F5835" w14:textId="77777777" w:rsidR="00C63A89" w:rsidRDefault="00711D9E" w:rsidP="0052761E">
      <w:pPr>
        <w:pStyle w:val="EMEABullet"/>
        <w:numPr>
          <w:ilvl w:val="0"/>
          <w:numId w:val="27"/>
        </w:numPr>
        <w:tabs>
          <w:tab w:val="left" w:pos="567"/>
        </w:tabs>
        <w:ind w:left="567" w:hanging="567"/>
        <w:rPr>
          <w:lang w:val="en-GB"/>
        </w:rPr>
      </w:pPr>
      <w:r>
        <w:rPr>
          <w:lang w:val="en-GB"/>
        </w:rPr>
        <w:t>c</w:t>
      </w:r>
      <w:r w:rsidR="00C63A89" w:rsidRPr="00AC3B88">
        <w:rPr>
          <w:lang w:val="en-GB"/>
        </w:rPr>
        <w:t>olchicine (</w:t>
      </w:r>
      <w:r w:rsidR="00391D50">
        <w:rPr>
          <w:lang w:val="en-GB"/>
        </w:rPr>
        <w:t>used to treat gout</w:t>
      </w:r>
      <w:r w:rsidR="00C63A89" w:rsidRPr="00AC3B88">
        <w:rPr>
          <w:lang w:val="en-GB"/>
        </w:rPr>
        <w:t xml:space="preserve">) </w:t>
      </w:r>
      <w:r w:rsidR="00391D50">
        <w:rPr>
          <w:lang w:val="en-GB"/>
        </w:rPr>
        <w:t xml:space="preserve">if you have kidney and/or liver problems (see the section on </w:t>
      </w:r>
      <w:r w:rsidR="00391D50" w:rsidRPr="00531A5A">
        <w:rPr>
          <w:b/>
          <w:lang w:val="en-GB"/>
        </w:rPr>
        <w:t>Other medicines and Kaletra</w:t>
      </w:r>
      <w:r w:rsidR="001B5A55" w:rsidRPr="00937181">
        <w:rPr>
          <w:lang w:val="en-GB"/>
        </w:rPr>
        <w:t>)</w:t>
      </w:r>
      <w:r w:rsidR="00C63A89" w:rsidRPr="00AC3B88">
        <w:rPr>
          <w:lang w:val="en-GB"/>
        </w:rPr>
        <w:t>;</w:t>
      </w:r>
    </w:p>
    <w:p w14:paraId="5437D73F" w14:textId="77777777" w:rsidR="005D447D" w:rsidRDefault="005D447D" w:rsidP="0052761E">
      <w:pPr>
        <w:pStyle w:val="EMEABullet"/>
        <w:numPr>
          <w:ilvl w:val="0"/>
          <w:numId w:val="27"/>
        </w:numPr>
        <w:tabs>
          <w:tab w:val="left" w:pos="567"/>
        </w:tabs>
        <w:ind w:left="567" w:hanging="567"/>
        <w:rPr>
          <w:lang w:val="en-GB"/>
        </w:rPr>
      </w:pPr>
      <w:r>
        <w:rPr>
          <w:lang w:val="en-GB"/>
        </w:rPr>
        <w:t xml:space="preserve">elbasvir/grazoprevir (used </w:t>
      </w:r>
      <w:r w:rsidR="00F3626C">
        <w:rPr>
          <w:lang w:val="en-GB"/>
        </w:rPr>
        <w:t>to</w:t>
      </w:r>
      <w:r>
        <w:rPr>
          <w:lang w:val="en-GB"/>
        </w:rPr>
        <w:t xml:space="preserve"> treat chronic hepatitis C virus [HCV]);</w:t>
      </w:r>
    </w:p>
    <w:p w14:paraId="7D497E99" w14:textId="77777777" w:rsidR="00FE7DD3" w:rsidRDefault="00FE7DD3" w:rsidP="0052761E">
      <w:pPr>
        <w:pStyle w:val="EMEABullet"/>
        <w:numPr>
          <w:ilvl w:val="0"/>
          <w:numId w:val="27"/>
        </w:numPr>
        <w:tabs>
          <w:tab w:val="left" w:pos="567"/>
        </w:tabs>
        <w:ind w:left="567" w:hanging="567"/>
        <w:rPr>
          <w:lang w:val="en-GB"/>
        </w:rPr>
      </w:pPr>
      <w:r>
        <w:rPr>
          <w:lang w:val="en-GB"/>
        </w:rPr>
        <w:t xml:space="preserve">ombitasvir/paritaprevir/ritonavir with or without dasabuvir </w:t>
      </w:r>
      <w:r w:rsidRPr="00B25BAD">
        <w:rPr>
          <w:lang w:val="en-GB"/>
        </w:rPr>
        <w:t>(used to treat chronic hepatitis C virus [HCV])</w:t>
      </w:r>
      <w:r>
        <w:rPr>
          <w:lang w:val="en-GB"/>
        </w:rPr>
        <w:t>;</w:t>
      </w:r>
    </w:p>
    <w:p w14:paraId="078AB74F" w14:textId="77777777" w:rsidR="007B5A95" w:rsidRPr="00AC3B88" w:rsidRDefault="007B5A95" w:rsidP="0052761E">
      <w:pPr>
        <w:pStyle w:val="EMEABullet"/>
        <w:numPr>
          <w:ilvl w:val="0"/>
          <w:numId w:val="27"/>
        </w:numPr>
        <w:tabs>
          <w:tab w:val="left" w:pos="567"/>
        </w:tabs>
        <w:ind w:left="567" w:hanging="567"/>
        <w:rPr>
          <w:lang w:val="en-GB"/>
        </w:rPr>
      </w:pPr>
      <w:r>
        <w:rPr>
          <w:lang w:val="en-GB"/>
        </w:rPr>
        <w:t>neratinib (used to treat breast cancer);</w:t>
      </w:r>
    </w:p>
    <w:p w14:paraId="6FA711C3" w14:textId="77777777" w:rsidR="00277ECB" w:rsidRDefault="00711D9E" w:rsidP="0052761E">
      <w:pPr>
        <w:pStyle w:val="EMEABullet"/>
        <w:numPr>
          <w:ilvl w:val="0"/>
          <w:numId w:val="28"/>
        </w:numPr>
        <w:tabs>
          <w:tab w:val="left" w:pos="567"/>
        </w:tabs>
        <w:ind w:left="567" w:hanging="567"/>
        <w:rPr>
          <w:lang w:val="en-GB"/>
        </w:rPr>
      </w:pPr>
      <w:r>
        <w:rPr>
          <w:lang w:val="en-GB"/>
        </w:rPr>
        <w:t>a</w:t>
      </w:r>
      <w:r w:rsidR="00D40FAE">
        <w:rPr>
          <w:lang w:val="en-GB"/>
        </w:rPr>
        <w:t>vanafil or v</w:t>
      </w:r>
      <w:r w:rsidR="00277ECB" w:rsidRPr="00342F7C">
        <w:rPr>
          <w:lang w:val="en-GB"/>
        </w:rPr>
        <w:t>ardenafil (used to treat erectile dysfunction);</w:t>
      </w:r>
    </w:p>
    <w:p w14:paraId="77614B4A" w14:textId="77777777" w:rsidR="002153AE" w:rsidRDefault="00711D9E" w:rsidP="0052761E">
      <w:pPr>
        <w:pStyle w:val="EMEABullet"/>
        <w:numPr>
          <w:ilvl w:val="0"/>
          <w:numId w:val="28"/>
        </w:numPr>
        <w:tabs>
          <w:tab w:val="left" w:pos="567"/>
        </w:tabs>
        <w:ind w:left="567" w:hanging="567"/>
        <w:rPr>
          <w:lang w:val="en-GB"/>
        </w:rPr>
      </w:pPr>
      <w:r>
        <w:rPr>
          <w:lang w:val="en-GB"/>
        </w:rPr>
        <w:t>s</w:t>
      </w:r>
      <w:r w:rsidR="002153AE" w:rsidRPr="00342F7C">
        <w:rPr>
          <w:lang w:val="en-GB"/>
        </w:rPr>
        <w:t>ildenafil used to treat pulmonary arterial hypertension</w:t>
      </w:r>
      <w:r w:rsidR="00C63A89">
        <w:rPr>
          <w:lang w:val="en-GB"/>
        </w:rPr>
        <w:t xml:space="preserve"> (high blood pressure in the pulmonary artery)</w:t>
      </w:r>
      <w:r w:rsidR="002153AE" w:rsidRPr="00342F7C">
        <w:rPr>
          <w:lang w:val="en-GB"/>
        </w:rPr>
        <w:t xml:space="preserve">.  Sildenafil used to treat erectile dysfunction may be taken under doctor’s supervision (see </w:t>
      </w:r>
      <w:r w:rsidR="005201D6">
        <w:rPr>
          <w:b/>
          <w:lang w:val="en-GB"/>
        </w:rPr>
        <w:t>Other medicines and Kaletra</w:t>
      </w:r>
      <w:r w:rsidR="002153AE" w:rsidRPr="00342F7C">
        <w:rPr>
          <w:lang w:val="en-GB"/>
        </w:rPr>
        <w:t xml:space="preserve"> section)</w:t>
      </w:r>
      <w:r w:rsidR="00B65B9A" w:rsidRPr="00342F7C">
        <w:rPr>
          <w:lang w:val="en-GB"/>
        </w:rPr>
        <w:t>;</w:t>
      </w:r>
    </w:p>
    <w:p w14:paraId="6A9253FC" w14:textId="77777777" w:rsidR="00277ECB" w:rsidRPr="00342F7C" w:rsidRDefault="00711D9E" w:rsidP="0052761E">
      <w:pPr>
        <w:pStyle w:val="EMEABullet"/>
        <w:numPr>
          <w:ilvl w:val="0"/>
          <w:numId w:val="28"/>
        </w:numPr>
        <w:tabs>
          <w:tab w:val="left" w:pos="567"/>
        </w:tabs>
        <w:ind w:left="567" w:hanging="567"/>
        <w:rPr>
          <w:lang w:val="en-GB"/>
        </w:rPr>
      </w:pPr>
      <w:r>
        <w:rPr>
          <w:lang w:val="en-GB"/>
        </w:rPr>
        <w:t>p</w:t>
      </w:r>
      <w:r w:rsidR="00277ECB" w:rsidRPr="00342F7C">
        <w:rPr>
          <w:lang w:val="en-GB"/>
        </w:rPr>
        <w:t>roducts that contain St John’s wort (</w:t>
      </w:r>
      <w:r w:rsidR="00277ECB" w:rsidRPr="00342F7C">
        <w:rPr>
          <w:i/>
          <w:iCs/>
          <w:lang w:val="en-GB"/>
        </w:rPr>
        <w:t>Hypericum perforatum</w:t>
      </w:r>
      <w:r w:rsidR="00277ECB" w:rsidRPr="00342F7C">
        <w:rPr>
          <w:lang w:val="en-GB"/>
        </w:rPr>
        <w:t>).</w:t>
      </w:r>
    </w:p>
    <w:p w14:paraId="0AACDF5D" w14:textId="77777777" w:rsidR="00277ECB" w:rsidRPr="00342F7C" w:rsidRDefault="00277ECB">
      <w:pPr>
        <w:pStyle w:val="EMEANormal"/>
        <w:rPr>
          <w:lang w:val="en-GB"/>
        </w:rPr>
      </w:pPr>
    </w:p>
    <w:p w14:paraId="2501AD15" w14:textId="77777777" w:rsidR="00277ECB" w:rsidRPr="00342F7C" w:rsidRDefault="00277ECB">
      <w:pPr>
        <w:pStyle w:val="EMEANormal"/>
        <w:tabs>
          <w:tab w:val="clear" w:pos="562"/>
        </w:tabs>
        <w:rPr>
          <w:b/>
          <w:bCs/>
          <w:lang w:val="en-GB"/>
        </w:rPr>
      </w:pPr>
      <w:r w:rsidRPr="00342F7C">
        <w:rPr>
          <w:b/>
          <w:bCs/>
          <w:lang w:val="en-GB"/>
        </w:rPr>
        <w:t xml:space="preserve">Read the list of medicines </w:t>
      </w:r>
      <w:r w:rsidR="005201D6">
        <w:rPr>
          <w:b/>
          <w:bCs/>
          <w:lang w:val="en-GB"/>
        </w:rPr>
        <w:t xml:space="preserve">below </w:t>
      </w:r>
      <w:r w:rsidRPr="00342F7C">
        <w:rPr>
          <w:b/>
          <w:bCs/>
          <w:lang w:val="en-GB"/>
        </w:rPr>
        <w:t>under ‘</w:t>
      </w:r>
      <w:r w:rsidR="00F265F5">
        <w:rPr>
          <w:b/>
          <w:bCs/>
          <w:lang w:val="en-GB"/>
        </w:rPr>
        <w:t>O</w:t>
      </w:r>
      <w:r w:rsidRPr="00342F7C">
        <w:rPr>
          <w:b/>
          <w:bCs/>
          <w:lang w:val="en-GB"/>
        </w:rPr>
        <w:t>ther medicines</w:t>
      </w:r>
      <w:r w:rsidR="00F265F5">
        <w:rPr>
          <w:b/>
          <w:bCs/>
          <w:lang w:val="en-GB"/>
        </w:rPr>
        <w:t xml:space="preserve"> and Kaletra</w:t>
      </w:r>
      <w:r w:rsidRPr="00342F7C">
        <w:rPr>
          <w:b/>
          <w:bCs/>
          <w:lang w:val="en-GB"/>
        </w:rPr>
        <w:t xml:space="preserve">’ </w:t>
      </w:r>
      <w:r w:rsidRPr="00342F7C">
        <w:rPr>
          <w:lang w:val="en-GB"/>
        </w:rPr>
        <w:t>for information on certain other medicines which require special care.</w:t>
      </w:r>
    </w:p>
    <w:p w14:paraId="4C59BE3E" w14:textId="77777777" w:rsidR="00277ECB" w:rsidRPr="00342F7C" w:rsidRDefault="00277ECB">
      <w:pPr>
        <w:pStyle w:val="EMEANormal"/>
        <w:ind w:left="600" w:hanging="600"/>
        <w:rPr>
          <w:b/>
          <w:bCs/>
          <w:lang w:val="en-GB"/>
        </w:rPr>
      </w:pPr>
    </w:p>
    <w:p w14:paraId="29E43288" w14:textId="77777777" w:rsidR="00277ECB" w:rsidRDefault="00277ECB">
      <w:pPr>
        <w:pStyle w:val="EMEANormal"/>
        <w:rPr>
          <w:lang w:val="en-GB"/>
        </w:rPr>
      </w:pPr>
      <w:r w:rsidRPr="00342F7C">
        <w:rPr>
          <w:lang w:val="en-GB"/>
        </w:rPr>
        <w:t xml:space="preserve">If you are currently taking any of these medicines, ask your doctor about </w:t>
      </w:r>
      <w:r w:rsidR="00FC7283" w:rsidRPr="00342F7C">
        <w:rPr>
          <w:lang w:val="en-GB"/>
        </w:rPr>
        <w:t>making necessary changes either in the treatment for your other condition(s) or in your antiretroviral treatment.</w:t>
      </w:r>
      <w:r w:rsidRPr="00342F7C">
        <w:rPr>
          <w:lang w:val="en-GB"/>
        </w:rPr>
        <w:t xml:space="preserve"> </w:t>
      </w:r>
    </w:p>
    <w:p w14:paraId="3273555D" w14:textId="77777777" w:rsidR="005C68A8" w:rsidRPr="00342F7C" w:rsidRDefault="005C68A8">
      <w:pPr>
        <w:pStyle w:val="EMEANormal"/>
        <w:rPr>
          <w:lang w:val="en-GB"/>
        </w:rPr>
      </w:pPr>
    </w:p>
    <w:p w14:paraId="0D9E8EFB" w14:textId="77777777" w:rsidR="00277ECB" w:rsidRDefault="00711D9E" w:rsidP="005C68A8">
      <w:pPr>
        <w:pStyle w:val="EMEAHeadingLeaflet"/>
        <w:spacing w:beforeLines="0" w:before="0" w:afterLines="0" w:after="0"/>
        <w:rPr>
          <w:rFonts w:ascii="Times New Roman" w:hAnsi="Times New Roman"/>
          <w:lang w:val="en-GB"/>
        </w:rPr>
      </w:pPr>
      <w:r>
        <w:rPr>
          <w:rFonts w:ascii="Times New Roman" w:hAnsi="Times New Roman"/>
          <w:lang w:val="en-GB"/>
        </w:rPr>
        <w:t>Warnings and precautions</w:t>
      </w:r>
    </w:p>
    <w:p w14:paraId="16DFDD85" w14:textId="77777777" w:rsidR="00711D9E" w:rsidRDefault="00711D9E" w:rsidP="0017061C">
      <w:pPr>
        <w:pStyle w:val="EMEANormal"/>
        <w:rPr>
          <w:lang w:val="en-GB"/>
        </w:rPr>
      </w:pPr>
    </w:p>
    <w:p w14:paraId="254202D9" w14:textId="77777777" w:rsidR="00711D9E" w:rsidRPr="00711D9E" w:rsidRDefault="00711D9E" w:rsidP="0017061C">
      <w:pPr>
        <w:pStyle w:val="EMEANormal"/>
        <w:rPr>
          <w:lang w:val="en-GB"/>
        </w:rPr>
      </w:pPr>
      <w:r>
        <w:rPr>
          <w:lang w:val="en-GB"/>
        </w:rPr>
        <w:t xml:space="preserve">Talk to your doctor </w:t>
      </w:r>
      <w:r w:rsidR="005201D6">
        <w:rPr>
          <w:lang w:val="en-GB"/>
        </w:rPr>
        <w:t xml:space="preserve">or pharmacist </w:t>
      </w:r>
      <w:r>
        <w:rPr>
          <w:lang w:val="en-GB"/>
        </w:rPr>
        <w:t>before taking Kaletra.</w:t>
      </w:r>
    </w:p>
    <w:p w14:paraId="7073F5E7" w14:textId="77777777" w:rsidR="005C68A8" w:rsidRPr="005C68A8" w:rsidRDefault="005C68A8" w:rsidP="005C68A8">
      <w:pPr>
        <w:pStyle w:val="EMEANormal"/>
        <w:rPr>
          <w:lang w:val="en-GB"/>
        </w:rPr>
      </w:pPr>
    </w:p>
    <w:p w14:paraId="2BAD8C2A" w14:textId="77777777" w:rsidR="00277ECB" w:rsidRDefault="00277ECB">
      <w:pPr>
        <w:pStyle w:val="EMEANormal"/>
        <w:rPr>
          <w:b/>
          <w:lang w:val="en-GB"/>
        </w:rPr>
      </w:pPr>
      <w:r w:rsidRPr="0017061C">
        <w:rPr>
          <w:b/>
          <w:lang w:val="en-GB"/>
        </w:rPr>
        <w:t>Important information</w:t>
      </w:r>
    </w:p>
    <w:p w14:paraId="3BE6FACE" w14:textId="77777777" w:rsidR="00711D9E" w:rsidRPr="008C1BBF" w:rsidRDefault="00711D9E">
      <w:pPr>
        <w:pStyle w:val="EMEANormal"/>
        <w:rPr>
          <w:u w:val="single"/>
          <w:lang w:val="en-GB"/>
        </w:rPr>
      </w:pPr>
    </w:p>
    <w:p w14:paraId="2730789E" w14:textId="77777777" w:rsidR="00277ECB" w:rsidRPr="00342F7C" w:rsidRDefault="00277ECB" w:rsidP="0052761E">
      <w:pPr>
        <w:pStyle w:val="EMEABullet"/>
        <w:numPr>
          <w:ilvl w:val="0"/>
          <w:numId w:val="32"/>
        </w:numPr>
        <w:tabs>
          <w:tab w:val="clear" w:pos="709"/>
          <w:tab w:val="num" w:pos="567"/>
        </w:tabs>
        <w:ind w:left="567"/>
        <w:rPr>
          <w:b/>
          <w:bCs/>
          <w:lang w:val="en-GB"/>
        </w:rPr>
      </w:pPr>
      <w:r w:rsidRPr="00342F7C">
        <w:rPr>
          <w:lang w:val="en-GB"/>
        </w:rPr>
        <w:t xml:space="preserve">People taking Kaletra may still develop infections or other illnesses associated with HIV disease and AIDS.  It is therefore important that you remain under the supervision of your doctor while taking Kaletra.  </w:t>
      </w:r>
    </w:p>
    <w:p w14:paraId="09901FB1" w14:textId="77777777" w:rsidR="00277ECB" w:rsidRPr="005C68A8" w:rsidRDefault="000C6F32" w:rsidP="0052761E">
      <w:pPr>
        <w:pStyle w:val="EMEABullet"/>
        <w:numPr>
          <w:ilvl w:val="0"/>
          <w:numId w:val="32"/>
        </w:numPr>
        <w:tabs>
          <w:tab w:val="clear" w:pos="709"/>
          <w:tab w:val="num" w:pos="567"/>
        </w:tabs>
        <w:ind w:left="567"/>
        <w:rPr>
          <w:b/>
          <w:bCs/>
          <w:lang w:val="en-GB"/>
        </w:rPr>
      </w:pPr>
      <w:r w:rsidRPr="00654753">
        <w:rPr>
          <w:b/>
          <w:lang w:val="en-GB"/>
        </w:rPr>
        <w:t>You can still pass on HIV when taking this medicine</w:t>
      </w:r>
      <w:r>
        <w:rPr>
          <w:lang w:val="en-GB"/>
        </w:rPr>
        <w:t xml:space="preserve">, although the risk is lowered by effective antiretroviral therapy.  Discuss with your </w:t>
      </w:r>
      <w:r w:rsidR="005201D6">
        <w:rPr>
          <w:lang w:val="en-GB"/>
        </w:rPr>
        <w:t xml:space="preserve">doctor </w:t>
      </w:r>
      <w:r>
        <w:rPr>
          <w:lang w:val="en-GB"/>
        </w:rPr>
        <w:t>the precautions needed to avoid infecting other people</w:t>
      </w:r>
      <w:r w:rsidR="00277ECB" w:rsidRPr="00342F7C">
        <w:rPr>
          <w:lang w:val="en-GB"/>
        </w:rPr>
        <w:t>.</w:t>
      </w:r>
    </w:p>
    <w:p w14:paraId="791C780E" w14:textId="77777777" w:rsidR="005C68A8" w:rsidRPr="00342F7C" w:rsidRDefault="005C68A8" w:rsidP="005C68A8">
      <w:pPr>
        <w:pStyle w:val="EMEABullet"/>
        <w:numPr>
          <w:ilvl w:val="0"/>
          <w:numId w:val="0"/>
        </w:numPr>
        <w:ind w:left="567"/>
        <w:rPr>
          <w:b/>
          <w:bCs/>
          <w:lang w:val="en-GB"/>
        </w:rPr>
      </w:pPr>
    </w:p>
    <w:p w14:paraId="5436981D" w14:textId="77777777" w:rsidR="00277ECB" w:rsidRDefault="00277ECB" w:rsidP="005C68A8">
      <w:pPr>
        <w:pStyle w:val="EMEAHeadingLeaflet"/>
        <w:spacing w:beforeLines="0" w:before="0" w:afterLines="0" w:after="0"/>
        <w:rPr>
          <w:rFonts w:ascii="Times New Roman" w:hAnsi="Times New Roman"/>
          <w:b w:val="0"/>
          <w:bCs/>
          <w:u w:val="single"/>
          <w:lang w:val="en-GB"/>
        </w:rPr>
      </w:pPr>
      <w:r w:rsidRPr="0017061C">
        <w:rPr>
          <w:rFonts w:ascii="Times New Roman" w:hAnsi="Times New Roman"/>
          <w:bCs/>
          <w:lang w:val="en-GB"/>
        </w:rPr>
        <w:t xml:space="preserve">Tell your doctor if you </w:t>
      </w:r>
      <w:r w:rsidR="005201D6">
        <w:rPr>
          <w:rFonts w:ascii="Times New Roman" w:hAnsi="Times New Roman"/>
          <w:bCs/>
          <w:lang w:val="en-GB"/>
        </w:rPr>
        <w:t xml:space="preserve">or your child </w:t>
      </w:r>
      <w:r w:rsidRPr="0017061C">
        <w:rPr>
          <w:rFonts w:ascii="Times New Roman" w:hAnsi="Times New Roman"/>
          <w:bCs/>
          <w:lang w:val="en-GB"/>
        </w:rPr>
        <w:t>have/had</w:t>
      </w:r>
    </w:p>
    <w:p w14:paraId="4D766115" w14:textId="77777777" w:rsidR="00711D9E" w:rsidRPr="0017061C" w:rsidRDefault="00711D9E" w:rsidP="008C1BBF">
      <w:pPr>
        <w:pStyle w:val="EMEANormal"/>
        <w:rPr>
          <w:lang w:val="en-GB"/>
        </w:rPr>
      </w:pPr>
    </w:p>
    <w:p w14:paraId="51774695" w14:textId="77777777" w:rsidR="00277ECB" w:rsidRPr="00342F7C" w:rsidRDefault="00277ECB" w:rsidP="0052761E">
      <w:pPr>
        <w:pStyle w:val="EMEABullet"/>
        <w:numPr>
          <w:ilvl w:val="0"/>
          <w:numId w:val="33"/>
        </w:numPr>
        <w:tabs>
          <w:tab w:val="left" w:pos="567"/>
        </w:tabs>
        <w:ind w:left="567" w:hanging="567"/>
        <w:rPr>
          <w:lang w:val="en-GB"/>
        </w:rPr>
      </w:pPr>
      <w:r w:rsidRPr="00342F7C">
        <w:rPr>
          <w:b/>
          <w:bCs/>
          <w:lang w:val="en-GB"/>
        </w:rPr>
        <w:t>Haemophilia</w:t>
      </w:r>
      <w:r w:rsidRPr="00342F7C">
        <w:rPr>
          <w:lang w:val="en-GB"/>
        </w:rPr>
        <w:t xml:space="preserve"> type A and B as Kaletra might increase the risk of bleeding.</w:t>
      </w:r>
    </w:p>
    <w:p w14:paraId="67DBA7CE" w14:textId="77777777" w:rsidR="00277ECB" w:rsidRPr="00342F7C" w:rsidRDefault="00277ECB" w:rsidP="0052761E">
      <w:pPr>
        <w:pStyle w:val="EMEABullet"/>
        <w:numPr>
          <w:ilvl w:val="0"/>
          <w:numId w:val="33"/>
        </w:numPr>
        <w:tabs>
          <w:tab w:val="left" w:pos="567"/>
        </w:tabs>
        <w:ind w:left="567" w:hanging="567"/>
        <w:rPr>
          <w:lang w:val="en-GB"/>
        </w:rPr>
      </w:pPr>
      <w:r w:rsidRPr="00342F7C">
        <w:rPr>
          <w:b/>
          <w:bCs/>
          <w:lang w:val="en-GB"/>
        </w:rPr>
        <w:t>Diabetes</w:t>
      </w:r>
      <w:r w:rsidRPr="00342F7C">
        <w:rPr>
          <w:lang w:val="en-GB"/>
        </w:rPr>
        <w:t xml:space="preserve"> as increased blood sugars ha</w:t>
      </w:r>
      <w:r w:rsidR="00755871" w:rsidRPr="00342F7C">
        <w:rPr>
          <w:lang w:val="en-GB"/>
        </w:rPr>
        <w:t>s</w:t>
      </w:r>
      <w:r w:rsidRPr="00342F7C">
        <w:rPr>
          <w:lang w:val="en-GB"/>
        </w:rPr>
        <w:t xml:space="preserve"> been reported in patients receiving Kaletra.</w:t>
      </w:r>
    </w:p>
    <w:p w14:paraId="70C17654" w14:textId="77777777" w:rsidR="00277ECB" w:rsidRPr="00342F7C" w:rsidRDefault="00277ECB" w:rsidP="0052761E">
      <w:pPr>
        <w:pStyle w:val="EMEABullet"/>
        <w:numPr>
          <w:ilvl w:val="0"/>
          <w:numId w:val="33"/>
        </w:numPr>
        <w:tabs>
          <w:tab w:val="left" w:pos="567"/>
        </w:tabs>
        <w:ind w:left="567" w:hanging="567"/>
        <w:rPr>
          <w:lang w:val="en-GB"/>
        </w:rPr>
      </w:pPr>
      <w:r w:rsidRPr="00342F7C">
        <w:rPr>
          <w:lang w:val="en-GB"/>
        </w:rPr>
        <w:t xml:space="preserve">A history of </w:t>
      </w:r>
      <w:r w:rsidRPr="00342F7C">
        <w:rPr>
          <w:b/>
          <w:bCs/>
          <w:lang w:val="en-GB"/>
        </w:rPr>
        <w:t>liver problems</w:t>
      </w:r>
      <w:r w:rsidRPr="00342F7C">
        <w:rPr>
          <w:lang w:val="en-GB"/>
        </w:rPr>
        <w:t xml:space="preserve"> as patients with a history of liver disease, including chronic hepatitis B or C are at increased risk of severe and potentially fatal liver side effects.</w:t>
      </w:r>
    </w:p>
    <w:p w14:paraId="48E57551" w14:textId="77777777" w:rsidR="005C68A8" w:rsidRDefault="005C68A8" w:rsidP="00FE6D86">
      <w:pPr>
        <w:pStyle w:val="EMEAHeadingLeaflet"/>
        <w:tabs>
          <w:tab w:val="clear" w:pos="562"/>
          <w:tab w:val="num" w:pos="567"/>
        </w:tabs>
        <w:spacing w:beforeLines="0" w:before="0" w:afterLines="0" w:after="0"/>
        <w:ind w:left="567" w:hanging="567"/>
        <w:rPr>
          <w:rFonts w:ascii="Times New Roman" w:hAnsi="Times New Roman"/>
          <w:b w:val="0"/>
          <w:bCs/>
          <w:u w:val="single"/>
          <w:lang w:val="en-GB"/>
        </w:rPr>
      </w:pPr>
    </w:p>
    <w:p w14:paraId="25D2878F" w14:textId="77777777" w:rsidR="00711D9E" w:rsidRPr="0017061C" w:rsidRDefault="00277ECB" w:rsidP="005C68A8">
      <w:pPr>
        <w:pStyle w:val="EMEAHeadingLeaflet"/>
        <w:spacing w:beforeLines="0" w:before="0" w:afterLines="0" w:after="0"/>
        <w:rPr>
          <w:rFonts w:ascii="Times New Roman" w:hAnsi="Times New Roman"/>
          <w:bCs/>
          <w:lang w:val="en-GB"/>
        </w:rPr>
      </w:pPr>
      <w:r w:rsidRPr="0017061C">
        <w:rPr>
          <w:rFonts w:ascii="Times New Roman" w:hAnsi="Times New Roman"/>
          <w:bCs/>
          <w:lang w:val="en-GB"/>
        </w:rPr>
        <w:t xml:space="preserve">Tell your doctor if you </w:t>
      </w:r>
      <w:r w:rsidR="005201D6">
        <w:rPr>
          <w:rFonts w:ascii="Times New Roman" w:hAnsi="Times New Roman"/>
          <w:bCs/>
          <w:lang w:val="en-GB"/>
        </w:rPr>
        <w:t xml:space="preserve">or your child </w:t>
      </w:r>
      <w:r w:rsidRPr="0017061C">
        <w:rPr>
          <w:rFonts w:ascii="Times New Roman" w:hAnsi="Times New Roman"/>
          <w:bCs/>
          <w:lang w:val="en-GB"/>
        </w:rPr>
        <w:t>experience</w:t>
      </w:r>
    </w:p>
    <w:p w14:paraId="18A73857" w14:textId="77777777" w:rsidR="00277ECB" w:rsidRPr="00342F7C" w:rsidRDefault="00277ECB" w:rsidP="005C68A8">
      <w:pPr>
        <w:pStyle w:val="EMEAHeadingLeaflet"/>
        <w:spacing w:beforeLines="0" w:before="0" w:afterLines="0" w:after="0"/>
        <w:rPr>
          <w:rFonts w:ascii="Times New Roman" w:hAnsi="Times New Roman"/>
          <w:b w:val="0"/>
          <w:bCs/>
          <w:u w:val="single"/>
          <w:lang w:val="en-GB"/>
        </w:rPr>
      </w:pPr>
    </w:p>
    <w:p w14:paraId="62292EB4" w14:textId="77777777" w:rsidR="00277ECB" w:rsidRPr="00342F7C" w:rsidRDefault="00277ECB" w:rsidP="0052761E">
      <w:pPr>
        <w:pStyle w:val="EMEABullet"/>
        <w:numPr>
          <w:ilvl w:val="0"/>
          <w:numId w:val="34"/>
        </w:numPr>
        <w:tabs>
          <w:tab w:val="clear" w:pos="709"/>
          <w:tab w:val="num" w:pos="567"/>
        </w:tabs>
        <w:ind w:left="567"/>
        <w:rPr>
          <w:lang w:val="en-GB"/>
        </w:rPr>
      </w:pPr>
      <w:r w:rsidRPr="00342F7C">
        <w:rPr>
          <w:lang w:val="en-GB"/>
        </w:rPr>
        <w:t>Nausea, vomiting, abdominal pain, difficulty breathing and severe weakness of the muscles in the legs and arms as these symptoms may indicate raised lactic acid levels.</w:t>
      </w:r>
    </w:p>
    <w:p w14:paraId="60F1AC12" w14:textId="77777777" w:rsidR="00277ECB" w:rsidRPr="00342F7C" w:rsidRDefault="00277ECB" w:rsidP="0052761E">
      <w:pPr>
        <w:pStyle w:val="EMEABullet"/>
        <w:numPr>
          <w:ilvl w:val="0"/>
          <w:numId w:val="34"/>
        </w:numPr>
        <w:tabs>
          <w:tab w:val="clear" w:pos="709"/>
          <w:tab w:val="num" w:pos="567"/>
        </w:tabs>
        <w:ind w:left="567"/>
        <w:rPr>
          <w:lang w:val="en-GB"/>
        </w:rPr>
      </w:pPr>
      <w:r w:rsidRPr="00342F7C">
        <w:rPr>
          <w:lang w:val="en-GB"/>
        </w:rPr>
        <w:t>Thirst, frequent urination, blurred vision or weight loss as this may indicate raised sugar levels in the blood.</w:t>
      </w:r>
    </w:p>
    <w:p w14:paraId="326311F8" w14:textId="77777777" w:rsidR="00277ECB" w:rsidRPr="00342F7C" w:rsidRDefault="00277ECB" w:rsidP="0052761E">
      <w:pPr>
        <w:pStyle w:val="EMEABullet"/>
        <w:numPr>
          <w:ilvl w:val="0"/>
          <w:numId w:val="34"/>
        </w:numPr>
        <w:tabs>
          <w:tab w:val="clear" w:pos="709"/>
          <w:tab w:val="num" w:pos="567"/>
        </w:tabs>
        <w:ind w:left="567"/>
        <w:rPr>
          <w:lang w:val="en-GB"/>
        </w:rPr>
      </w:pPr>
      <w:r w:rsidRPr="00342F7C">
        <w:rPr>
          <w:lang w:val="en-GB"/>
        </w:rPr>
        <w:t>Nausea, vomiting, abdominal pain as large increases in the amount of triglycerides (fats in the blood) have been considered a risk factor for pancreatitis (inflammation of the pancreas) and these symptoms may suggest this condition.</w:t>
      </w:r>
    </w:p>
    <w:p w14:paraId="1DB5325C" w14:textId="77777777" w:rsidR="00EF6E3A" w:rsidRDefault="00E3514B" w:rsidP="0052761E">
      <w:pPr>
        <w:pStyle w:val="EMEABullet"/>
        <w:numPr>
          <w:ilvl w:val="0"/>
          <w:numId w:val="34"/>
        </w:numPr>
        <w:tabs>
          <w:tab w:val="clear" w:pos="709"/>
          <w:tab w:val="num" w:pos="567"/>
        </w:tabs>
        <w:ind w:left="567"/>
        <w:rPr>
          <w:lang w:val="en-GB"/>
        </w:rPr>
      </w:pPr>
      <w:r w:rsidRPr="00342F7C">
        <w:rPr>
          <w:lang w:val="en-GB" w:eastAsia="en-GB"/>
        </w:rPr>
        <w:t xml:space="preserve">In some patients with advanced HIV infection and a history of opportunistic infection, signs and symptoms of inflammation from previous infections may occur soon after </w:t>
      </w:r>
      <w:r w:rsidR="00EF6E3A">
        <w:rPr>
          <w:lang w:val="en-GB" w:eastAsia="en-GB"/>
        </w:rPr>
        <w:t xml:space="preserve">anti-HIV treatment is started. </w:t>
      </w:r>
      <w:r w:rsidRPr="00342F7C">
        <w:rPr>
          <w:lang w:val="en-GB" w:eastAsia="en-GB"/>
        </w:rPr>
        <w:t>It is believed that these symptoms are due to an improvement in the body’s immune response, enabling the body to fight infections that may have been pre</w:t>
      </w:r>
      <w:r w:rsidR="006472F5">
        <w:rPr>
          <w:lang w:val="en-GB" w:eastAsia="en-GB"/>
        </w:rPr>
        <w:t>sent with no obvious symptoms.</w:t>
      </w:r>
    </w:p>
    <w:p w14:paraId="4B59B00A" w14:textId="77777777" w:rsidR="005C512B" w:rsidRPr="00342F7C" w:rsidRDefault="006472F5" w:rsidP="0052761E">
      <w:pPr>
        <w:pStyle w:val="EMEABullet"/>
        <w:numPr>
          <w:ilvl w:val="0"/>
          <w:numId w:val="34"/>
        </w:numPr>
        <w:tabs>
          <w:tab w:val="clear" w:pos="709"/>
          <w:tab w:val="num" w:pos="567"/>
        </w:tabs>
        <w:ind w:left="567"/>
        <w:rPr>
          <w:lang w:val="en-GB" w:eastAsia="en-GB"/>
        </w:rPr>
      </w:pPr>
      <w:r w:rsidRPr="007E5CAB">
        <w:rPr>
          <w:lang w:val="en-GB" w:eastAsia="en-GB"/>
        </w:rPr>
        <w:t>In addition to the opportunistic infections, autoimmune disorders (a condition that occurs when the immune system attacks healthy body tissue) may also occur after you start taking medicines for the treatment of your HIV infection.  Autoimmune disorders may occur many months after the start of treatment</w:t>
      </w:r>
      <w:r w:rsidR="00BA65D0">
        <w:rPr>
          <w:lang w:val="en-GB" w:eastAsia="en-GB"/>
        </w:rPr>
        <w:t xml:space="preserve">. </w:t>
      </w:r>
      <w:r>
        <w:rPr>
          <w:lang w:val="en-GB" w:eastAsia="en-GB"/>
        </w:rPr>
        <w:t xml:space="preserve"> </w:t>
      </w:r>
      <w:r w:rsidR="00E3514B" w:rsidRPr="00342F7C">
        <w:rPr>
          <w:lang w:val="en-GB" w:eastAsia="en-GB"/>
        </w:rPr>
        <w:t>If you notice any symptoms of infection</w:t>
      </w:r>
      <w:r>
        <w:rPr>
          <w:lang w:val="en-GB" w:eastAsia="en-GB"/>
        </w:rPr>
        <w:t xml:space="preserve"> </w:t>
      </w:r>
      <w:r w:rsidRPr="007E5CAB">
        <w:rPr>
          <w:lang w:val="en-GB" w:eastAsia="en-GB"/>
        </w:rPr>
        <w:t>or other symptoms such as muscle weakness, weakness beginning in the hands and feet and moving up towards the trunk of the body, palpitations, tremor or hyperactivity</w:t>
      </w:r>
      <w:r w:rsidR="00E3514B" w:rsidRPr="00342F7C">
        <w:rPr>
          <w:lang w:val="en-GB" w:eastAsia="en-GB"/>
        </w:rPr>
        <w:t>, please inform your doctor immediately to seek necessary treatment.</w:t>
      </w:r>
    </w:p>
    <w:p w14:paraId="4AC34773" w14:textId="77777777" w:rsidR="00277ECB" w:rsidRPr="00342F7C" w:rsidRDefault="00277ECB" w:rsidP="0052761E">
      <w:pPr>
        <w:pStyle w:val="EMEABullet"/>
        <w:numPr>
          <w:ilvl w:val="0"/>
          <w:numId w:val="35"/>
        </w:numPr>
        <w:tabs>
          <w:tab w:val="clear" w:pos="709"/>
          <w:tab w:val="num" w:pos="567"/>
        </w:tabs>
        <w:ind w:left="567"/>
        <w:rPr>
          <w:lang w:val="en-GB"/>
        </w:rPr>
      </w:pPr>
      <w:r w:rsidRPr="00342F7C">
        <w:rPr>
          <w:b/>
          <w:bCs/>
          <w:lang w:val="en-GB"/>
        </w:rPr>
        <w:t xml:space="preserve">Joint stiffness, aches and pains </w:t>
      </w:r>
      <w:r w:rsidRPr="00342F7C">
        <w:rPr>
          <w:lang w:val="en-GB"/>
        </w:rPr>
        <w:t>(especially of the hip, knee and shoulder) and difficulty in movement</w:t>
      </w:r>
      <w:r w:rsidRPr="00342F7C">
        <w:rPr>
          <w:b/>
          <w:bCs/>
          <w:lang w:val="en-GB"/>
        </w:rPr>
        <w:t xml:space="preserve"> </w:t>
      </w:r>
      <w:r w:rsidRPr="00342F7C">
        <w:rPr>
          <w:lang w:val="en-GB"/>
        </w:rPr>
        <w:t>as some patients taking these medicines may develop a bone disease called osteonecrosis (death of bone tissue caused by loss of blood supply to the bone).  The length of combination</w:t>
      </w:r>
      <w:r w:rsidRPr="00342F7C">
        <w:rPr>
          <w:szCs w:val="22"/>
          <w:lang w:val="en-GB"/>
        </w:rPr>
        <w:t xml:space="preserve"> antiretroviral therapy, corticosteroid use, alcohol consumption, severe immunosuppression (reduction in the activity of the immune system), higher body mass index, among others, may be some of the many risk factors for developing this disease.  </w:t>
      </w:r>
    </w:p>
    <w:p w14:paraId="4098DC1F" w14:textId="77777777" w:rsidR="00E3514B" w:rsidRPr="00342F7C" w:rsidRDefault="00277ECB" w:rsidP="0052761E">
      <w:pPr>
        <w:pStyle w:val="EMEABullet"/>
        <w:numPr>
          <w:ilvl w:val="0"/>
          <w:numId w:val="35"/>
        </w:numPr>
        <w:tabs>
          <w:tab w:val="clear" w:pos="709"/>
          <w:tab w:val="num" w:pos="567"/>
        </w:tabs>
        <w:ind w:left="567"/>
        <w:rPr>
          <w:lang w:val="en-GB"/>
        </w:rPr>
      </w:pPr>
      <w:r w:rsidRPr="00342F7C">
        <w:rPr>
          <w:b/>
          <w:bCs/>
          <w:lang w:val="en-GB"/>
        </w:rPr>
        <w:t xml:space="preserve">Muscle pain, </w:t>
      </w:r>
      <w:r w:rsidRPr="00342F7C">
        <w:rPr>
          <w:lang w:val="en-GB"/>
        </w:rPr>
        <w:t>tenderness or weakness, particularly in combination with these medicines.  On rare occasions these muscle disorders have been serious.</w:t>
      </w:r>
      <w:r w:rsidR="00E3514B" w:rsidRPr="00342F7C">
        <w:rPr>
          <w:lang w:val="en-GB"/>
        </w:rPr>
        <w:t xml:space="preserve"> </w:t>
      </w:r>
    </w:p>
    <w:p w14:paraId="434166D4" w14:textId="77777777" w:rsidR="00277ECB" w:rsidRPr="00342F7C" w:rsidRDefault="00F75414" w:rsidP="0052761E">
      <w:pPr>
        <w:pStyle w:val="EMEABullet"/>
        <w:numPr>
          <w:ilvl w:val="0"/>
          <w:numId w:val="35"/>
        </w:numPr>
        <w:tabs>
          <w:tab w:val="clear" w:pos="709"/>
          <w:tab w:val="num" w:pos="567"/>
        </w:tabs>
        <w:ind w:left="567"/>
        <w:rPr>
          <w:lang w:val="en-GB"/>
        </w:rPr>
      </w:pPr>
      <w:r w:rsidRPr="00342F7C">
        <w:rPr>
          <w:lang w:val="en-GB" w:eastAsia="en-GB"/>
        </w:rPr>
        <w:t xml:space="preserve">Symptoms of dizziness, lightheadedness, fainting or sensation of abnormal heartbeats. </w:t>
      </w:r>
      <w:r w:rsidR="001B0216" w:rsidRPr="00342F7C">
        <w:rPr>
          <w:lang w:val="en-GB" w:eastAsia="en-GB"/>
        </w:rPr>
        <w:t xml:space="preserve"> </w:t>
      </w:r>
      <w:r w:rsidRPr="00342F7C">
        <w:rPr>
          <w:lang w:val="en-GB" w:eastAsia="en-GB"/>
        </w:rPr>
        <w:t>Kaletra may cause changes in your heart rhythm and the electrical activity of your heart.  Th</w:t>
      </w:r>
      <w:r w:rsidR="00054BE3" w:rsidRPr="00342F7C">
        <w:rPr>
          <w:lang w:val="en-GB" w:eastAsia="en-GB"/>
        </w:rPr>
        <w:t>ese changes may be seen on an EC</w:t>
      </w:r>
      <w:r w:rsidRPr="00342F7C">
        <w:rPr>
          <w:lang w:val="en-GB" w:eastAsia="en-GB"/>
        </w:rPr>
        <w:t>G (electrocardiogram).</w:t>
      </w:r>
    </w:p>
    <w:p w14:paraId="3F12BD7D" w14:textId="77777777" w:rsidR="005C68A8" w:rsidRDefault="005C68A8" w:rsidP="005C68A8">
      <w:pPr>
        <w:pStyle w:val="EMEAHeadingLeaflet"/>
        <w:spacing w:beforeLines="0" w:before="0" w:afterLines="0" w:after="0"/>
        <w:rPr>
          <w:rFonts w:ascii="Times New Roman" w:hAnsi="Times New Roman"/>
          <w:lang w:val="en-GB"/>
        </w:rPr>
      </w:pPr>
    </w:p>
    <w:p w14:paraId="4CFC4285" w14:textId="77777777" w:rsidR="00277ECB" w:rsidRPr="00342F7C" w:rsidRDefault="00F265F5" w:rsidP="005C68A8">
      <w:pPr>
        <w:pStyle w:val="EMEAHeadingLeaflet"/>
        <w:spacing w:beforeLines="0" w:before="0" w:afterLines="0" w:after="0"/>
        <w:rPr>
          <w:rFonts w:ascii="Times New Roman" w:hAnsi="Times New Roman"/>
          <w:lang w:val="en-GB"/>
        </w:rPr>
      </w:pPr>
      <w:r>
        <w:rPr>
          <w:rFonts w:ascii="Times New Roman" w:hAnsi="Times New Roman"/>
          <w:lang w:val="en-GB"/>
        </w:rPr>
        <w:t>O</w:t>
      </w:r>
      <w:r w:rsidR="00277ECB" w:rsidRPr="00342F7C">
        <w:rPr>
          <w:rFonts w:ascii="Times New Roman" w:hAnsi="Times New Roman"/>
          <w:lang w:val="en-GB"/>
        </w:rPr>
        <w:t>ther medicines</w:t>
      </w:r>
      <w:r>
        <w:rPr>
          <w:rFonts w:ascii="Times New Roman" w:hAnsi="Times New Roman"/>
          <w:lang w:val="en-GB"/>
        </w:rPr>
        <w:t xml:space="preserve"> and Kaletra</w:t>
      </w:r>
    </w:p>
    <w:p w14:paraId="0490C78E" w14:textId="77777777" w:rsidR="005C68A8" w:rsidRDefault="005C68A8">
      <w:pPr>
        <w:pStyle w:val="EMEANormal"/>
        <w:rPr>
          <w:b/>
          <w:bCs/>
          <w:u w:val="single"/>
          <w:lang w:val="en-GB"/>
        </w:rPr>
      </w:pPr>
    </w:p>
    <w:p w14:paraId="414440E4" w14:textId="77777777" w:rsidR="00277ECB" w:rsidRPr="00342F7C" w:rsidRDefault="00277ECB">
      <w:pPr>
        <w:pStyle w:val="EMEANormal"/>
        <w:rPr>
          <w:b/>
          <w:bCs/>
          <w:lang w:val="en-GB"/>
        </w:rPr>
      </w:pPr>
      <w:r w:rsidRPr="00282043">
        <w:rPr>
          <w:b/>
          <w:bCs/>
          <w:lang w:val="en-GB"/>
        </w:rPr>
        <w:t>Tell your doctor</w:t>
      </w:r>
      <w:r w:rsidR="0097773A" w:rsidRPr="00282043">
        <w:rPr>
          <w:b/>
          <w:bCs/>
          <w:lang w:val="en-GB"/>
        </w:rPr>
        <w:t xml:space="preserve"> or pharmacist</w:t>
      </w:r>
      <w:r w:rsidRPr="00342F7C">
        <w:rPr>
          <w:b/>
          <w:bCs/>
          <w:lang w:val="en-GB"/>
        </w:rPr>
        <w:t xml:space="preserve"> if </w:t>
      </w:r>
      <w:r w:rsidRPr="005201D6">
        <w:rPr>
          <w:b/>
          <w:bCs/>
          <w:lang w:val="en-GB"/>
        </w:rPr>
        <w:t xml:space="preserve">you </w:t>
      </w:r>
      <w:r w:rsidR="005201D6" w:rsidRPr="005201D6">
        <w:rPr>
          <w:b/>
          <w:bCs/>
          <w:lang w:val="en-GB"/>
        </w:rPr>
        <w:t xml:space="preserve">or your child </w:t>
      </w:r>
      <w:r w:rsidRPr="005201D6">
        <w:rPr>
          <w:b/>
          <w:bCs/>
          <w:lang w:val="en-GB"/>
        </w:rPr>
        <w:t>are taking</w:t>
      </w:r>
      <w:r w:rsidR="0097773A">
        <w:rPr>
          <w:b/>
          <w:bCs/>
          <w:lang w:val="en-GB"/>
        </w:rPr>
        <w:t>, have recently taken or might take</w:t>
      </w:r>
      <w:r w:rsidRPr="00342F7C">
        <w:rPr>
          <w:b/>
          <w:bCs/>
          <w:lang w:val="en-GB"/>
        </w:rPr>
        <w:t xml:space="preserve"> any </w:t>
      </w:r>
      <w:r w:rsidR="0097773A">
        <w:rPr>
          <w:b/>
          <w:bCs/>
          <w:lang w:val="en-GB"/>
        </w:rPr>
        <w:t xml:space="preserve">other </w:t>
      </w:r>
      <w:r w:rsidRPr="00342F7C">
        <w:rPr>
          <w:b/>
          <w:bCs/>
          <w:lang w:val="en-GB"/>
        </w:rPr>
        <w:t>medicines</w:t>
      </w:r>
      <w:r w:rsidR="0097773A">
        <w:rPr>
          <w:b/>
          <w:bCs/>
          <w:lang w:val="en-GB"/>
        </w:rPr>
        <w:t>.</w:t>
      </w:r>
      <w:r w:rsidRPr="00342F7C">
        <w:rPr>
          <w:b/>
          <w:bCs/>
          <w:lang w:val="en-GB"/>
        </w:rPr>
        <w:t xml:space="preserve"> </w:t>
      </w:r>
    </w:p>
    <w:p w14:paraId="727A4E68" w14:textId="77777777" w:rsidR="00277ECB" w:rsidRPr="00342F7C" w:rsidRDefault="009E5EDA" w:rsidP="0052761E">
      <w:pPr>
        <w:pStyle w:val="EMEABullet"/>
        <w:numPr>
          <w:ilvl w:val="0"/>
          <w:numId w:val="36"/>
        </w:numPr>
        <w:tabs>
          <w:tab w:val="clear" w:pos="709"/>
          <w:tab w:val="num" w:pos="567"/>
        </w:tabs>
        <w:ind w:left="567"/>
        <w:rPr>
          <w:lang w:val="en-GB"/>
        </w:rPr>
      </w:pPr>
      <w:r>
        <w:rPr>
          <w:lang w:val="en-GB"/>
        </w:rPr>
        <w:t>a</w:t>
      </w:r>
      <w:r w:rsidR="00277ECB" w:rsidRPr="00342F7C">
        <w:rPr>
          <w:lang w:val="en-GB"/>
        </w:rPr>
        <w:t>ntibiotics (e.g. rifabutin, rifampicin, clarithromycin);</w:t>
      </w:r>
    </w:p>
    <w:p w14:paraId="591ED4FB" w14:textId="77777777" w:rsidR="00277ECB" w:rsidRDefault="009E5EDA" w:rsidP="0052761E">
      <w:pPr>
        <w:pStyle w:val="EMEABullet"/>
        <w:numPr>
          <w:ilvl w:val="0"/>
          <w:numId w:val="36"/>
        </w:numPr>
        <w:tabs>
          <w:tab w:val="clear" w:pos="709"/>
          <w:tab w:val="num" w:pos="567"/>
        </w:tabs>
        <w:ind w:left="567"/>
        <w:rPr>
          <w:lang w:val="en-GB"/>
        </w:rPr>
      </w:pPr>
      <w:r>
        <w:rPr>
          <w:lang w:val="en-GB"/>
        </w:rPr>
        <w:t>a</w:t>
      </w:r>
      <w:r w:rsidR="00277ECB" w:rsidRPr="00342F7C">
        <w:rPr>
          <w:lang w:val="en-GB"/>
        </w:rPr>
        <w:t xml:space="preserve">nticancer medicines (e.g. </w:t>
      </w:r>
      <w:r w:rsidR="007B5A95">
        <w:rPr>
          <w:lang w:val="en-GB"/>
        </w:rPr>
        <w:t xml:space="preserve">abemaciclib, </w:t>
      </w:r>
      <w:r w:rsidR="00571B86">
        <w:rPr>
          <w:lang w:val="en-GB"/>
        </w:rPr>
        <w:t xml:space="preserve">afatinib, </w:t>
      </w:r>
      <w:r w:rsidR="00034DEB">
        <w:rPr>
          <w:lang w:val="en-GB"/>
        </w:rPr>
        <w:t xml:space="preserve">apalutamide, </w:t>
      </w:r>
      <w:r w:rsidR="00571B86">
        <w:rPr>
          <w:lang w:val="en-GB"/>
        </w:rPr>
        <w:t xml:space="preserve">ceritinib, </w:t>
      </w:r>
      <w:r w:rsidR="0025520A">
        <w:rPr>
          <w:lang w:val="en-GB"/>
        </w:rPr>
        <w:t xml:space="preserve">encorafenib, </w:t>
      </w:r>
      <w:r w:rsidR="00A209AA">
        <w:rPr>
          <w:lang w:val="en-GB"/>
        </w:rPr>
        <w:t xml:space="preserve">ibrutinib, </w:t>
      </w:r>
      <w:r w:rsidR="005D447D">
        <w:rPr>
          <w:lang w:val="en-GB"/>
        </w:rPr>
        <w:t xml:space="preserve">venetoclax, </w:t>
      </w:r>
      <w:r w:rsidR="00403F0E" w:rsidRPr="00342F7C">
        <w:rPr>
          <w:lang w:val="en-GB"/>
        </w:rPr>
        <w:t>most tyrosine kinases inhibitors such as dasatinib and nilotinib, also vincristine and vinblastine</w:t>
      </w:r>
      <w:r w:rsidR="00277ECB" w:rsidRPr="00342F7C">
        <w:rPr>
          <w:lang w:val="en-GB"/>
        </w:rPr>
        <w:t>);</w:t>
      </w:r>
    </w:p>
    <w:p w14:paraId="0EDD7BED" w14:textId="77777777" w:rsidR="00C27A20" w:rsidRPr="00342F7C" w:rsidRDefault="009E5EDA" w:rsidP="0052761E">
      <w:pPr>
        <w:pStyle w:val="EMEABullet"/>
        <w:numPr>
          <w:ilvl w:val="0"/>
          <w:numId w:val="36"/>
        </w:numPr>
        <w:tabs>
          <w:tab w:val="clear" w:pos="709"/>
          <w:tab w:val="num" w:pos="567"/>
        </w:tabs>
        <w:ind w:left="567"/>
        <w:rPr>
          <w:lang w:val="en-GB"/>
        </w:rPr>
      </w:pPr>
      <w:r>
        <w:rPr>
          <w:lang w:val="en-GB"/>
        </w:rPr>
        <w:t>a</w:t>
      </w:r>
      <w:r w:rsidR="00C27A20">
        <w:rPr>
          <w:lang w:val="en-GB"/>
        </w:rPr>
        <w:t>nticoagulants (e.g. warfarin, rivaroxaban</w:t>
      </w:r>
      <w:r w:rsidR="00571B86">
        <w:rPr>
          <w:lang w:val="en-GB"/>
        </w:rPr>
        <w:t>, vorapaxar</w:t>
      </w:r>
      <w:r w:rsidR="00C27A20">
        <w:rPr>
          <w:lang w:val="en-GB"/>
        </w:rPr>
        <w:t>);</w:t>
      </w:r>
    </w:p>
    <w:p w14:paraId="61E7E54C" w14:textId="77777777" w:rsidR="00277ECB" w:rsidRPr="00342F7C" w:rsidRDefault="009E5EDA" w:rsidP="0052761E">
      <w:pPr>
        <w:pStyle w:val="EMEABullet"/>
        <w:numPr>
          <w:ilvl w:val="0"/>
          <w:numId w:val="36"/>
        </w:numPr>
        <w:tabs>
          <w:tab w:val="clear" w:pos="709"/>
          <w:tab w:val="num" w:pos="567"/>
        </w:tabs>
        <w:ind w:left="567"/>
        <w:rPr>
          <w:lang w:val="en-GB"/>
        </w:rPr>
      </w:pPr>
      <w:r>
        <w:rPr>
          <w:lang w:val="en-GB"/>
        </w:rPr>
        <w:t>a</w:t>
      </w:r>
      <w:r w:rsidR="00277ECB" w:rsidRPr="00342F7C">
        <w:rPr>
          <w:lang w:val="en-GB"/>
        </w:rPr>
        <w:t>ntidepressants (e.g. trazodone, bupropion);</w:t>
      </w:r>
    </w:p>
    <w:p w14:paraId="18548947" w14:textId="77777777" w:rsidR="00277ECB" w:rsidRPr="00342F7C" w:rsidRDefault="009E5EDA" w:rsidP="0052761E">
      <w:pPr>
        <w:pStyle w:val="EMEABullet"/>
        <w:numPr>
          <w:ilvl w:val="0"/>
          <w:numId w:val="36"/>
        </w:numPr>
        <w:tabs>
          <w:tab w:val="clear" w:pos="709"/>
          <w:tab w:val="num" w:pos="567"/>
        </w:tabs>
        <w:ind w:left="567"/>
        <w:rPr>
          <w:lang w:val="en-GB"/>
        </w:rPr>
      </w:pPr>
      <w:r>
        <w:rPr>
          <w:lang w:val="en-GB"/>
        </w:rPr>
        <w:t>a</w:t>
      </w:r>
      <w:r w:rsidR="00277ECB" w:rsidRPr="00342F7C">
        <w:rPr>
          <w:lang w:val="en-GB"/>
        </w:rPr>
        <w:t>nti-epilepsy medicines (e.g. carbamazepine, phenytoin, phenobarbital</w:t>
      </w:r>
      <w:r w:rsidR="00C27A20">
        <w:rPr>
          <w:lang w:val="en-GB"/>
        </w:rPr>
        <w:t>, lamotrigine and valproate</w:t>
      </w:r>
      <w:r w:rsidR="00277ECB" w:rsidRPr="00342F7C">
        <w:rPr>
          <w:lang w:val="en-GB"/>
        </w:rPr>
        <w:t>);</w:t>
      </w:r>
    </w:p>
    <w:p w14:paraId="7E231526" w14:textId="77777777" w:rsidR="00F33343" w:rsidRPr="007E1E2E" w:rsidRDefault="009E5EDA" w:rsidP="0052761E">
      <w:pPr>
        <w:pStyle w:val="EMEABullet"/>
        <w:numPr>
          <w:ilvl w:val="0"/>
          <w:numId w:val="36"/>
        </w:numPr>
        <w:tabs>
          <w:tab w:val="clear" w:pos="709"/>
          <w:tab w:val="num" w:pos="567"/>
        </w:tabs>
        <w:ind w:left="567"/>
        <w:rPr>
          <w:lang w:val="fr-FR"/>
        </w:rPr>
      </w:pPr>
      <w:r>
        <w:rPr>
          <w:lang w:val="fr-FR"/>
        </w:rPr>
        <w:t>a</w:t>
      </w:r>
      <w:r w:rsidR="00277ECB" w:rsidRPr="007E1E2E">
        <w:rPr>
          <w:lang w:val="fr-FR"/>
        </w:rPr>
        <w:t>ntifungals (e.g. ketoconazole, itraconazole, voriconazole);</w:t>
      </w:r>
    </w:p>
    <w:p w14:paraId="22EF4107" w14:textId="77777777" w:rsidR="00BF75CD" w:rsidRDefault="009E5EDA" w:rsidP="0052761E">
      <w:pPr>
        <w:pStyle w:val="EMEABullet"/>
        <w:numPr>
          <w:ilvl w:val="0"/>
          <w:numId w:val="36"/>
        </w:numPr>
        <w:tabs>
          <w:tab w:val="clear" w:pos="709"/>
          <w:tab w:val="num" w:pos="567"/>
        </w:tabs>
        <w:ind w:left="567"/>
        <w:rPr>
          <w:lang w:val="en-GB"/>
        </w:rPr>
      </w:pPr>
      <w:r>
        <w:rPr>
          <w:lang w:val="en-GB"/>
        </w:rPr>
        <w:t>a</w:t>
      </w:r>
      <w:r w:rsidR="00BF75CD">
        <w:rPr>
          <w:lang w:val="en-GB"/>
        </w:rPr>
        <w:t>nti</w:t>
      </w:r>
      <w:r w:rsidR="00C269D3">
        <w:rPr>
          <w:lang w:val="en-GB"/>
        </w:rPr>
        <w:t>-</w:t>
      </w:r>
      <w:r w:rsidR="00BF75CD">
        <w:rPr>
          <w:lang w:val="en-GB"/>
        </w:rPr>
        <w:t>gout medicines (e.g. colchicine)</w:t>
      </w:r>
      <w:r w:rsidR="00531A5A">
        <w:rPr>
          <w:lang w:val="en-GB"/>
        </w:rPr>
        <w:t>.  You must not take Kaletra with colchicine if you have kidney and/or liver problems (see also ‘</w:t>
      </w:r>
      <w:r w:rsidR="00531A5A" w:rsidRPr="00531A5A">
        <w:rPr>
          <w:b/>
          <w:lang w:val="en-GB"/>
        </w:rPr>
        <w:t>Do not take Kaletra</w:t>
      </w:r>
      <w:r w:rsidR="00531A5A">
        <w:rPr>
          <w:lang w:val="en-GB"/>
        </w:rPr>
        <w:t>’ above)</w:t>
      </w:r>
      <w:r w:rsidR="00BF75CD">
        <w:rPr>
          <w:lang w:val="en-GB"/>
        </w:rPr>
        <w:t>;</w:t>
      </w:r>
    </w:p>
    <w:p w14:paraId="4F9E6483" w14:textId="77777777" w:rsidR="00CA5F26" w:rsidRDefault="009E5EDA" w:rsidP="0052761E">
      <w:pPr>
        <w:pStyle w:val="EMEABullet"/>
        <w:numPr>
          <w:ilvl w:val="0"/>
          <w:numId w:val="36"/>
        </w:numPr>
        <w:tabs>
          <w:tab w:val="clear" w:pos="709"/>
          <w:tab w:val="num" w:pos="567"/>
        </w:tabs>
        <w:ind w:left="567"/>
        <w:rPr>
          <w:lang w:val="en-GB"/>
        </w:rPr>
      </w:pPr>
      <w:r>
        <w:rPr>
          <w:lang w:val="en-GB"/>
        </w:rPr>
        <w:t>a</w:t>
      </w:r>
      <w:r w:rsidR="00CA5F26">
        <w:rPr>
          <w:lang w:val="en-GB"/>
        </w:rPr>
        <w:t>nti</w:t>
      </w:r>
      <w:r w:rsidR="00CA5F26">
        <w:rPr>
          <w:lang w:val="en-GB"/>
        </w:rPr>
        <w:noBreakHyphen/>
        <w:t>tuberculosis medicine (bedaquiline</w:t>
      </w:r>
      <w:r w:rsidR="006D4547">
        <w:rPr>
          <w:lang w:val="en-GB"/>
        </w:rPr>
        <w:t>, delamanid</w:t>
      </w:r>
      <w:r w:rsidR="00CA5F26">
        <w:rPr>
          <w:lang w:val="en-GB"/>
        </w:rPr>
        <w:t>);</w:t>
      </w:r>
    </w:p>
    <w:p w14:paraId="0A82CD8F" w14:textId="77777777" w:rsidR="00C27A20" w:rsidRDefault="009E5EDA" w:rsidP="0052761E">
      <w:pPr>
        <w:pStyle w:val="EMEABullet"/>
        <w:numPr>
          <w:ilvl w:val="0"/>
          <w:numId w:val="36"/>
        </w:numPr>
        <w:tabs>
          <w:tab w:val="clear" w:pos="709"/>
          <w:tab w:val="num" w:pos="567"/>
        </w:tabs>
        <w:ind w:left="567"/>
        <w:rPr>
          <w:lang w:val="en-GB"/>
        </w:rPr>
      </w:pPr>
      <w:r>
        <w:rPr>
          <w:lang w:val="en-GB"/>
        </w:rPr>
        <w:t>a</w:t>
      </w:r>
      <w:r w:rsidR="00F46A84">
        <w:rPr>
          <w:lang w:val="en-GB"/>
        </w:rPr>
        <w:t>ntiviral</w:t>
      </w:r>
      <w:r w:rsidR="00C27A20">
        <w:rPr>
          <w:lang w:val="en-GB"/>
        </w:rPr>
        <w:t xml:space="preserve"> medicine used to treat chronic hepatitis C</w:t>
      </w:r>
      <w:r w:rsidR="00F46A84">
        <w:rPr>
          <w:lang w:val="en-GB"/>
        </w:rPr>
        <w:t xml:space="preserve"> virus (HCV) infection</w:t>
      </w:r>
      <w:r w:rsidR="00C27A20">
        <w:rPr>
          <w:lang w:val="en-GB"/>
        </w:rPr>
        <w:t xml:space="preserve"> in adults (e.g.</w:t>
      </w:r>
      <w:r w:rsidR="000F6FCC">
        <w:rPr>
          <w:lang w:val="en-GB"/>
        </w:rPr>
        <w:t xml:space="preserve"> </w:t>
      </w:r>
      <w:r w:rsidR="003E51DB">
        <w:rPr>
          <w:lang w:val="en-GB"/>
        </w:rPr>
        <w:t xml:space="preserve">glecaprevir/pibrentasvir, </w:t>
      </w:r>
      <w:r w:rsidR="000F6FCC">
        <w:rPr>
          <w:lang w:val="en-GB"/>
        </w:rPr>
        <w:t>simeprevir</w:t>
      </w:r>
      <w:r w:rsidR="00463201">
        <w:rPr>
          <w:lang w:val="en-GB"/>
        </w:rPr>
        <w:t xml:space="preserve"> and</w:t>
      </w:r>
      <w:r w:rsidR="003E51DB">
        <w:rPr>
          <w:lang w:val="en-GB"/>
        </w:rPr>
        <w:t xml:space="preserve"> sofosbuvir/velpatasvir/voxilaprevir</w:t>
      </w:r>
      <w:r w:rsidR="00C27A20">
        <w:rPr>
          <w:lang w:val="en-GB"/>
        </w:rPr>
        <w:t>);</w:t>
      </w:r>
    </w:p>
    <w:p w14:paraId="5714A3DD" w14:textId="77777777" w:rsidR="00277ECB" w:rsidRDefault="009E5EDA" w:rsidP="0052761E">
      <w:pPr>
        <w:pStyle w:val="EMEABullet"/>
        <w:numPr>
          <w:ilvl w:val="0"/>
          <w:numId w:val="36"/>
        </w:numPr>
        <w:tabs>
          <w:tab w:val="clear" w:pos="709"/>
          <w:tab w:val="num" w:pos="567"/>
        </w:tabs>
        <w:ind w:left="567"/>
        <w:rPr>
          <w:lang w:val="en-GB"/>
        </w:rPr>
      </w:pPr>
      <w:r>
        <w:rPr>
          <w:lang w:val="en-GB"/>
        </w:rPr>
        <w:t>e</w:t>
      </w:r>
      <w:r w:rsidR="00277ECB" w:rsidRPr="00342F7C">
        <w:rPr>
          <w:lang w:val="en-GB"/>
        </w:rPr>
        <w:t>rectile dysfunction medicines (e.g. sildenafil and tadalafil);</w:t>
      </w:r>
    </w:p>
    <w:p w14:paraId="4DDF48F9" w14:textId="77777777" w:rsidR="00C63A89" w:rsidRPr="00342F7C" w:rsidRDefault="009E5EDA" w:rsidP="0052761E">
      <w:pPr>
        <w:pStyle w:val="EMEABullet"/>
        <w:numPr>
          <w:ilvl w:val="0"/>
          <w:numId w:val="36"/>
        </w:numPr>
        <w:tabs>
          <w:tab w:val="clear" w:pos="709"/>
          <w:tab w:val="num" w:pos="567"/>
        </w:tabs>
        <w:ind w:left="567"/>
        <w:rPr>
          <w:lang w:val="en-GB"/>
        </w:rPr>
      </w:pPr>
      <w:r>
        <w:rPr>
          <w:lang w:val="en-GB"/>
        </w:rPr>
        <w:t>f</w:t>
      </w:r>
      <w:r w:rsidR="00C63A89" w:rsidRPr="00C63A89">
        <w:rPr>
          <w:lang w:val="en-GB"/>
        </w:rPr>
        <w:t>usidic acid used to treat long-term infections of the bones and joints (e.g. osteomyelitis);</w:t>
      </w:r>
    </w:p>
    <w:p w14:paraId="09FF63AF" w14:textId="77777777" w:rsidR="00277ECB" w:rsidRPr="00342F7C" w:rsidRDefault="009E5EDA" w:rsidP="0052761E">
      <w:pPr>
        <w:pStyle w:val="EMEABullet"/>
        <w:numPr>
          <w:ilvl w:val="0"/>
          <w:numId w:val="36"/>
        </w:numPr>
        <w:tabs>
          <w:tab w:val="clear" w:pos="709"/>
          <w:tab w:val="num" w:pos="567"/>
        </w:tabs>
        <w:ind w:left="567"/>
        <w:rPr>
          <w:lang w:val="en-GB"/>
        </w:rPr>
      </w:pPr>
      <w:r>
        <w:rPr>
          <w:lang w:val="en-GB"/>
        </w:rPr>
        <w:t>h</w:t>
      </w:r>
      <w:r w:rsidR="00277ECB" w:rsidRPr="00342F7C">
        <w:rPr>
          <w:lang w:val="en-GB"/>
        </w:rPr>
        <w:t>eart medicines including:</w:t>
      </w:r>
    </w:p>
    <w:p w14:paraId="259FE148" w14:textId="77777777" w:rsidR="00277ECB" w:rsidRPr="00342F7C" w:rsidRDefault="009E5EDA">
      <w:pPr>
        <w:pStyle w:val="EMEABullet"/>
        <w:numPr>
          <w:ilvl w:val="1"/>
          <w:numId w:val="1"/>
        </w:numPr>
        <w:rPr>
          <w:lang w:val="en-GB"/>
        </w:rPr>
      </w:pPr>
      <w:r>
        <w:rPr>
          <w:lang w:val="en-GB"/>
        </w:rPr>
        <w:t>d</w:t>
      </w:r>
      <w:r w:rsidR="00277ECB" w:rsidRPr="00342F7C">
        <w:rPr>
          <w:lang w:val="en-GB"/>
        </w:rPr>
        <w:t>igoxin;</w:t>
      </w:r>
    </w:p>
    <w:p w14:paraId="01923D2F" w14:textId="77777777" w:rsidR="00277ECB" w:rsidRPr="00342F7C" w:rsidRDefault="009E5EDA">
      <w:pPr>
        <w:pStyle w:val="EMEABullet"/>
        <w:numPr>
          <w:ilvl w:val="1"/>
          <w:numId w:val="1"/>
        </w:numPr>
        <w:rPr>
          <w:lang w:val="en-GB"/>
        </w:rPr>
      </w:pPr>
      <w:r>
        <w:rPr>
          <w:lang w:val="en-GB"/>
        </w:rPr>
        <w:t>c</w:t>
      </w:r>
      <w:r w:rsidR="00277ECB" w:rsidRPr="00342F7C">
        <w:rPr>
          <w:lang w:val="en-GB"/>
        </w:rPr>
        <w:t>alcium channel antagonists (e.g. felodipine, nifedipine, nicardipine);</w:t>
      </w:r>
    </w:p>
    <w:p w14:paraId="6241E620" w14:textId="77777777" w:rsidR="00277ECB" w:rsidRPr="00342F7C" w:rsidRDefault="009E5EDA">
      <w:pPr>
        <w:pStyle w:val="EMEABullet"/>
        <w:numPr>
          <w:ilvl w:val="1"/>
          <w:numId w:val="1"/>
        </w:numPr>
        <w:rPr>
          <w:lang w:val="en-GB"/>
        </w:rPr>
      </w:pPr>
      <w:r>
        <w:rPr>
          <w:lang w:val="en-GB"/>
        </w:rPr>
        <w:t>m</w:t>
      </w:r>
      <w:r w:rsidR="00277ECB" w:rsidRPr="00342F7C">
        <w:rPr>
          <w:lang w:val="en-GB"/>
        </w:rPr>
        <w:t>edicines used to correct heart rhythm (e.g. bepridil, systemic lidocaine, quinidine);</w:t>
      </w:r>
    </w:p>
    <w:p w14:paraId="1526405B" w14:textId="77777777" w:rsidR="00C27A20" w:rsidRPr="007E1E2E" w:rsidRDefault="00FA615C" w:rsidP="0052761E">
      <w:pPr>
        <w:pStyle w:val="EMEABullet"/>
        <w:numPr>
          <w:ilvl w:val="0"/>
          <w:numId w:val="37"/>
        </w:numPr>
        <w:tabs>
          <w:tab w:val="left" w:pos="567"/>
        </w:tabs>
        <w:ind w:left="567" w:hanging="567"/>
        <w:rPr>
          <w:lang w:val="fr-FR"/>
        </w:rPr>
      </w:pPr>
      <w:r w:rsidRPr="007E1E2E">
        <w:rPr>
          <w:lang w:val="fr-FR"/>
        </w:rPr>
        <w:t>HIV CCR5-anta</w:t>
      </w:r>
      <w:r w:rsidR="00C27A20" w:rsidRPr="007E1E2E">
        <w:rPr>
          <w:lang w:val="fr-FR"/>
        </w:rPr>
        <w:t>gonist (e.g. maraviroc);</w:t>
      </w:r>
    </w:p>
    <w:p w14:paraId="777FA31F" w14:textId="666401E0" w:rsidR="00C27A20" w:rsidRPr="008915C6" w:rsidRDefault="00C27A20" w:rsidP="0052761E">
      <w:pPr>
        <w:pStyle w:val="EMEABullet"/>
        <w:numPr>
          <w:ilvl w:val="0"/>
          <w:numId w:val="37"/>
        </w:numPr>
        <w:tabs>
          <w:tab w:val="left" w:pos="567"/>
        </w:tabs>
        <w:ind w:left="567" w:hanging="567"/>
        <w:rPr>
          <w:lang w:val="en-GB"/>
        </w:rPr>
      </w:pPr>
      <w:r>
        <w:rPr>
          <w:lang w:val="pt-BR"/>
        </w:rPr>
        <w:t>HIV-1 integrase inhibitor (e.g. raltegravir);</w:t>
      </w:r>
    </w:p>
    <w:p w14:paraId="25A8D33B" w14:textId="58BC44A4" w:rsidR="008915C6" w:rsidRPr="00A209AA" w:rsidRDefault="008915C6" w:rsidP="0052761E">
      <w:pPr>
        <w:pStyle w:val="EMEABullet"/>
        <w:numPr>
          <w:ilvl w:val="0"/>
          <w:numId w:val="37"/>
        </w:numPr>
        <w:tabs>
          <w:tab w:val="left" w:pos="567"/>
        </w:tabs>
        <w:ind w:left="567" w:hanging="567"/>
        <w:rPr>
          <w:lang w:val="en-GB"/>
        </w:rPr>
      </w:pPr>
      <w:r>
        <w:rPr>
          <w:lang w:val="pt-BR"/>
        </w:rPr>
        <w:t>medicines used to treat low blood platelet count (e.g. fostamatinib);</w:t>
      </w:r>
    </w:p>
    <w:p w14:paraId="76A1C1B6" w14:textId="77777777" w:rsidR="00A209AA" w:rsidRDefault="00A209AA" w:rsidP="0052761E">
      <w:pPr>
        <w:pStyle w:val="EMEABullet"/>
        <w:numPr>
          <w:ilvl w:val="0"/>
          <w:numId w:val="37"/>
        </w:numPr>
        <w:tabs>
          <w:tab w:val="left" w:pos="567"/>
        </w:tabs>
        <w:ind w:left="567" w:hanging="567"/>
        <w:rPr>
          <w:lang w:val="en-GB"/>
        </w:rPr>
      </w:pPr>
      <w:r>
        <w:rPr>
          <w:lang w:val="pt-BR"/>
        </w:rPr>
        <w:t>levothyroxine (used to treat thyroid problems</w:t>
      </w:r>
      <w:r w:rsidR="00BB6C23">
        <w:rPr>
          <w:lang w:val="pt-BR"/>
        </w:rPr>
        <w:t>)</w:t>
      </w:r>
      <w:r>
        <w:rPr>
          <w:lang w:val="pt-BR"/>
        </w:rPr>
        <w:t>;</w:t>
      </w:r>
    </w:p>
    <w:p w14:paraId="36916139" w14:textId="77777777" w:rsidR="00277ECB" w:rsidRDefault="009E5EDA" w:rsidP="0052761E">
      <w:pPr>
        <w:pStyle w:val="EMEABullet"/>
        <w:numPr>
          <w:ilvl w:val="0"/>
          <w:numId w:val="37"/>
        </w:numPr>
        <w:tabs>
          <w:tab w:val="left" w:pos="567"/>
        </w:tabs>
        <w:ind w:left="567" w:hanging="567"/>
        <w:rPr>
          <w:lang w:val="en-GB"/>
        </w:rPr>
      </w:pPr>
      <w:r>
        <w:rPr>
          <w:lang w:val="en-GB"/>
        </w:rPr>
        <w:t>m</w:t>
      </w:r>
      <w:r w:rsidR="00277ECB" w:rsidRPr="00342F7C">
        <w:rPr>
          <w:lang w:val="en-GB"/>
        </w:rPr>
        <w:t>edicines used to lower blood cholesterol (e.g. atorvastatin, lovastatin, rosuvastatin or simvastatin);</w:t>
      </w:r>
    </w:p>
    <w:p w14:paraId="024B9629" w14:textId="77777777" w:rsidR="00D129BC" w:rsidRDefault="009E5EDA" w:rsidP="0052761E">
      <w:pPr>
        <w:pStyle w:val="EMEABullet"/>
        <w:numPr>
          <w:ilvl w:val="0"/>
          <w:numId w:val="37"/>
        </w:numPr>
        <w:tabs>
          <w:tab w:val="left" w:pos="567"/>
        </w:tabs>
        <w:ind w:left="567" w:hanging="567"/>
        <w:rPr>
          <w:lang w:val="en-GB"/>
        </w:rPr>
      </w:pPr>
      <w:r>
        <w:rPr>
          <w:lang w:val="en-GB"/>
        </w:rPr>
        <w:t>m</w:t>
      </w:r>
      <w:r w:rsidR="00D129BC">
        <w:rPr>
          <w:lang w:val="en-GB"/>
        </w:rPr>
        <w:t>edicines use</w:t>
      </w:r>
      <w:r w:rsidR="00843753">
        <w:rPr>
          <w:lang w:val="en-GB"/>
        </w:rPr>
        <w:t>d</w:t>
      </w:r>
      <w:r w:rsidR="00D129BC">
        <w:rPr>
          <w:lang w:val="en-GB"/>
        </w:rPr>
        <w:t xml:space="preserve"> to treat asthma and other lung-related problems such as chronic obstructive pulmonary disease (COPD) (e.g. salmeterol);</w:t>
      </w:r>
    </w:p>
    <w:p w14:paraId="28CC5D31" w14:textId="77777777" w:rsidR="00C71BC5" w:rsidRPr="00342F7C" w:rsidRDefault="009E5EDA" w:rsidP="0052761E">
      <w:pPr>
        <w:pStyle w:val="EMEABullet"/>
        <w:numPr>
          <w:ilvl w:val="0"/>
          <w:numId w:val="37"/>
        </w:numPr>
        <w:tabs>
          <w:tab w:val="left" w:pos="567"/>
        </w:tabs>
        <w:ind w:left="567" w:hanging="567"/>
        <w:rPr>
          <w:lang w:val="en-GB"/>
        </w:rPr>
      </w:pPr>
      <w:r>
        <w:rPr>
          <w:lang w:val="en-GB"/>
        </w:rPr>
        <w:t>m</w:t>
      </w:r>
      <w:r w:rsidR="00F33343">
        <w:rPr>
          <w:lang w:val="en-GB"/>
        </w:rPr>
        <w:t>edicines used to treat pulmona</w:t>
      </w:r>
      <w:r w:rsidR="00F33343" w:rsidRPr="00C71BC5">
        <w:rPr>
          <w:lang w:val="en-GB"/>
        </w:rPr>
        <w:t xml:space="preserve">ry </w:t>
      </w:r>
      <w:r w:rsidR="00F33343" w:rsidRPr="00C71BC5">
        <w:t>arterial hypertension</w:t>
      </w:r>
      <w:r w:rsidR="00F33343" w:rsidRPr="00C71BC5">
        <w:rPr>
          <w:szCs w:val="22"/>
          <w:lang w:val="en-GB"/>
        </w:rPr>
        <w:t xml:space="preserve"> </w:t>
      </w:r>
      <w:r w:rsidR="00F33343" w:rsidRPr="00C71BC5">
        <w:rPr>
          <w:szCs w:val="22"/>
        </w:rPr>
        <w:t>(high blood pressure in the pulmonary artery)</w:t>
      </w:r>
      <w:r w:rsidR="00F33343" w:rsidRPr="00C71BC5">
        <w:rPr>
          <w:szCs w:val="22"/>
          <w:lang w:val="en-GB"/>
        </w:rPr>
        <w:t xml:space="preserve"> </w:t>
      </w:r>
      <w:r w:rsidR="00F33343" w:rsidRPr="00C71BC5">
        <w:rPr>
          <w:lang w:val="en-GB"/>
        </w:rPr>
        <w:t>(e</w:t>
      </w:r>
      <w:r w:rsidR="00F33343">
        <w:rPr>
          <w:lang w:val="en-GB"/>
        </w:rPr>
        <w:t xml:space="preserve">.g. bosentan, </w:t>
      </w:r>
      <w:r w:rsidR="00571B86">
        <w:rPr>
          <w:lang w:val="en-GB"/>
        </w:rPr>
        <w:t xml:space="preserve">riociguat, </w:t>
      </w:r>
      <w:r w:rsidR="00C63A89">
        <w:rPr>
          <w:lang w:val="en-GB"/>
        </w:rPr>
        <w:t xml:space="preserve">sildenafil, </w:t>
      </w:r>
      <w:r w:rsidR="00F33343">
        <w:rPr>
          <w:lang w:val="en-GB"/>
        </w:rPr>
        <w:t>tadalafil);</w:t>
      </w:r>
    </w:p>
    <w:p w14:paraId="431FE06B" w14:textId="77777777" w:rsidR="00277ECB" w:rsidRPr="00342F7C" w:rsidRDefault="009E5EDA" w:rsidP="0052761E">
      <w:pPr>
        <w:pStyle w:val="EMEABullet"/>
        <w:numPr>
          <w:ilvl w:val="0"/>
          <w:numId w:val="37"/>
        </w:numPr>
        <w:tabs>
          <w:tab w:val="left" w:pos="567"/>
        </w:tabs>
        <w:ind w:left="567" w:hanging="567"/>
        <w:rPr>
          <w:lang w:val="en-GB"/>
        </w:rPr>
      </w:pPr>
      <w:r>
        <w:rPr>
          <w:lang w:val="en-GB"/>
        </w:rPr>
        <w:t>m</w:t>
      </w:r>
      <w:r w:rsidR="00277ECB" w:rsidRPr="00342F7C">
        <w:rPr>
          <w:lang w:val="en-GB"/>
        </w:rPr>
        <w:t>edicines affecting the immune system (e.g. cyclosporin, sirolimus (rapamycin), tacrolimus);</w:t>
      </w:r>
    </w:p>
    <w:p w14:paraId="38F13B85" w14:textId="77777777" w:rsidR="00277ECB" w:rsidRPr="00342F7C" w:rsidRDefault="009E5EDA" w:rsidP="0052761E">
      <w:pPr>
        <w:pStyle w:val="EMEABullet"/>
        <w:numPr>
          <w:ilvl w:val="0"/>
          <w:numId w:val="37"/>
        </w:numPr>
        <w:tabs>
          <w:tab w:val="left" w:pos="567"/>
        </w:tabs>
        <w:ind w:left="567" w:hanging="567"/>
        <w:rPr>
          <w:lang w:val="en-GB"/>
        </w:rPr>
      </w:pPr>
      <w:r>
        <w:rPr>
          <w:lang w:val="en-GB"/>
        </w:rPr>
        <w:t>m</w:t>
      </w:r>
      <w:r w:rsidR="00277ECB" w:rsidRPr="00342F7C">
        <w:rPr>
          <w:lang w:val="en-GB"/>
        </w:rPr>
        <w:t>edicines used for smoking cessation (e.g. bupropion);</w:t>
      </w:r>
    </w:p>
    <w:p w14:paraId="19851E35" w14:textId="77777777" w:rsidR="00403F0E" w:rsidRPr="00342F7C" w:rsidRDefault="009E5EDA" w:rsidP="0052761E">
      <w:pPr>
        <w:pStyle w:val="EMEABullet"/>
        <w:numPr>
          <w:ilvl w:val="0"/>
          <w:numId w:val="37"/>
        </w:numPr>
        <w:tabs>
          <w:tab w:val="left" w:pos="567"/>
        </w:tabs>
        <w:ind w:left="567" w:hanging="567"/>
        <w:rPr>
          <w:lang w:val="en-GB"/>
        </w:rPr>
      </w:pPr>
      <w:r>
        <w:rPr>
          <w:lang w:val="en-GB"/>
        </w:rPr>
        <w:t>p</w:t>
      </w:r>
      <w:r w:rsidR="00403F0E" w:rsidRPr="00342F7C">
        <w:rPr>
          <w:lang w:val="en-GB"/>
        </w:rPr>
        <w:t>ain-relieving medicines (e.g. fentanyl);</w:t>
      </w:r>
    </w:p>
    <w:p w14:paraId="22E49645" w14:textId="77777777" w:rsidR="00277ECB" w:rsidRPr="00342F7C" w:rsidRDefault="009E5EDA" w:rsidP="0052761E">
      <w:pPr>
        <w:pStyle w:val="EMEABullet"/>
        <w:numPr>
          <w:ilvl w:val="0"/>
          <w:numId w:val="37"/>
        </w:numPr>
        <w:tabs>
          <w:tab w:val="left" w:pos="567"/>
        </w:tabs>
        <w:ind w:left="567" w:hanging="567"/>
        <w:rPr>
          <w:lang w:val="en-GB"/>
        </w:rPr>
      </w:pPr>
      <w:r>
        <w:rPr>
          <w:lang w:val="en-GB"/>
        </w:rPr>
        <w:t>m</w:t>
      </w:r>
      <w:r w:rsidR="00277ECB" w:rsidRPr="00342F7C">
        <w:rPr>
          <w:lang w:val="en-GB"/>
        </w:rPr>
        <w:t>orphine-like medicines (e.g. methadone);</w:t>
      </w:r>
    </w:p>
    <w:p w14:paraId="3665A5B1" w14:textId="77777777" w:rsidR="00277ECB" w:rsidRPr="00342F7C" w:rsidRDefault="009E5EDA" w:rsidP="0052761E">
      <w:pPr>
        <w:pStyle w:val="EMEABullet"/>
        <w:numPr>
          <w:ilvl w:val="0"/>
          <w:numId w:val="37"/>
        </w:numPr>
        <w:tabs>
          <w:tab w:val="left" w:pos="567"/>
        </w:tabs>
        <w:ind w:left="567" w:hanging="567"/>
        <w:rPr>
          <w:lang w:val="en-GB"/>
        </w:rPr>
      </w:pPr>
      <w:r>
        <w:rPr>
          <w:lang w:val="en-GB"/>
        </w:rPr>
        <w:t>o</w:t>
      </w:r>
      <w:r w:rsidR="00277ECB" w:rsidRPr="00342F7C">
        <w:rPr>
          <w:lang w:val="en-GB"/>
        </w:rPr>
        <w:t xml:space="preserve">ral contraceptive or using a patch contraceptive to prevent pregnancy (see section below titled </w:t>
      </w:r>
      <w:r w:rsidR="00277ECB" w:rsidRPr="00342F7C">
        <w:rPr>
          <w:b/>
          <w:bCs/>
          <w:lang w:val="en-GB"/>
        </w:rPr>
        <w:t>Contraceptives</w:t>
      </w:r>
      <w:r w:rsidR="00277ECB" w:rsidRPr="00342F7C">
        <w:rPr>
          <w:lang w:val="en-GB"/>
        </w:rPr>
        <w:t>);</w:t>
      </w:r>
    </w:p>
    <w:p w14:paraId="74923BDB" w14:textId="77777777" w:rsidR="00277ECB" w:rsidRPr="007E1E2E" w:rsidRDefault="009E5EDA" w:rsidP="0052761E">
      <w:pPr>
        <w:pStyle w:val="EMEABullet"/>
        <w:numPr>
          <w:ilvl w:val="0"/>
          <w:numId w:val="37"/>
        </w:numPr>
        <w:tabs>
          <w:tab w:val="left" w:pos="567"/>
        </w:tabs>
        <w:ind w:left="567" w:hanging="567"/>
        <w:rPr>
          <w:lang w:val="fr-FR"/>
        </w:rPr>
      </w:pPr>
      <w:r>
        <w:rPr>
          <w:lang w:val="fr-FR"/>
        </w:rPr>
        <w:t>p</w:t>
      </w:r>
      <w:r w:rsidR="00277ECB" w:rsidRPr="007E1E2E">
        <w:rPr>
          <w:lang w:val="fr-FR"/>
        </w:rPr>
        <w:t>rotease inhibitors (e.g. fosamprenavir, indinavir,  ritonavir, saquinavir</w:t>
      </w:r>
      <w:r w:rsidR="009C11D6" w:rsidRPr="007E1E2E">
        <w:rPr>
          <w:lang w:val="fr-FR"/>
        </w:rPr>
        <w:t>, tipranavir</w:t>
      </w:r>
      <w:r w:rsidR="00277ECB" w:rsidRPr="007E1E2E">
        <w:rPr>
          <w:lang w:val="fr-FR"/>
        </w:rPr>
        <w:t>);</w:t>
      </w:r>
    </w:p>
    <w:p w14:paraId="290F487B" w14:textId="77777777" w:rsidR="00277ECB" w:rsidRPr="00342F7C" w:rsidRDefault="009E5EDA" w:rsidP="0052761E">
      <w:pPr>
        <w:pStyle w:val="EMEABullet"/>
        <w:numPr>
          <w:ilvl w:val="0"/>
          <w:numId w:val="38"/>
        </w:numPr>
        <w:tabs>
          <w:tab w:val="clear" w:pos="709"/>
          <w:tab w:val="num" w:pos="567"/>
        </w:tabs>
        <w:ind w:left="567"/>
        <w:rPr>
          <w:lang w:val="en-GB"/>
        </w:rPr>
      </w:pPr>
      <w:r>
        <w:rPr>
          <w:lang w:val="en-GB"/>
        </w:rPr>
        <w:t>s</w:t>
      </w:r>
      <w:r w:rsidR="00277ECB" w:rsidRPr="00342F7C">
        <w:rPr>
          <w:lang w:val="en-GB"/>
        </w:rPr>
        <w:t>edatives (e.g. midazolam administered by injection);</w:t>
      </w:r>
    </w:p>
    <w:p w14:paraId="4A5C5D57" w14:textId="77777777" w:rsidR="00277ECB" w:rsidRPr="00342F7C" w:rsidRDefault="009E5EDA" w:rsidP="0052761E">
      <w:pPr>
        <w:pStyle w:val="EMEABullet"/>
        <w:numPr>
          <w:ilvl w:val="0"/>
          <w:numId w:val="38"/>
        </w:numPr>
        <w:tabs>
          <w:tab w:val="clear" w:pos="709"/>
          <w:tab w:val="num" w:pos="567"/>
        </w:tabs>
        <w:ind w:left="567"/>
        <w:rPr>
          <w:lang w:val="en-GB"/>
        </w:rPr>
      </w:pPr>
      <w:r>
        <w:rPr>
          <w:lang w:val="en-GB"/>
        </w:rPr>
        <w:t>s</w:t>
      </w:r>
      <w:r w:rsidR="00277ECB" w:rsidRPr="00342F7C">
        <w:rPr>
          <w:lang w:val="en-GB"/>
        </w:rPr>
        <w:t>teroids (e.g. </w:t>
      </w:r>
      <w:r w:rsidR="00285B05">
        <w:rPr>
          <w:lang w:val="en-GB"/>
        </w:rPr>
        <w:t xml:space="preserve">budesonide, </w:t>
      </w:r>
      <w:r w:rsidR="00277ECB" w:rsidRPr="00342F7C">
        <w:rPr>
          <w:lang w:val="en-GB"/>
        </w:rPr>
        <w:t>dexamethasone, fluticasone propionate, ethinyl oestradiol</w:t>
      </w:r>
      <w:r w:rsidR="00E011E0">
        <w:rPr>
          <w:lang w:val="en-GB"/>
        </w:rPr>
        <w:t xml:space="preserve">, </w:t>
      </w:r>
      <w:r w:rsidR="00E011E0">
        <w:rPr>
          <w:iCs/>
          <w:lang w:val="en-GB"/>
        </w:rPr>
        <w:t>triamcinolone</w:t>
      </w:r>
      <w:r w:rsidR="00277ECB" w:rsidRPr="00342F7C">
        <w:rPr>
          <w:lang w:val="en-GB"/>
        </w:rPr>
        <w:t>);</w:t>
      </w:r>
    </w:p>
    <w:p w14:paraId="5475B775" w14:textId="77777777" w:rsidR="00277ECB" w:rsidRPr="00342F7C" w:rsidRDefault="009E5EDA" w:rsidP="0052761E">
      <w:pPr>
        <w:pStyle w:val="EMEABullet"/>
        <w:numPr>
          <w:ilvl w:val="0"/>
          <w:numId w:val="38"/>
        </w:numPr>
        <w:tabs>
          <w:tab w:val="clear" w:pos="709"/>
          <w:tab w:val="num" w:pos="567"/>
        </w:tabs>
        <w:ind w:left="567"/>
        <w:rPr>
          <w:lang w:val="en-GB"/>
        </w:rPr>
      </w:pPr>
      <w:r>
        <w:rPr>
          <w:lang w:val="en-GB"/>
        </w:rPr>
        <w:t>m</w:t>
      </w:r>
      <w:r w:rsidR="00277ECB" w:rsidRPr="00342F7C">
        <w:rPr>
          <w:lang w:val="en-GB"/>
        </w:rPr>
        <w:t>edicines that cause a reaction with alcohol (e.g. disulfiram).</w:t>
      </w:r>
    </w:p>
    <w:p w14:paraId="430BF013" w14:textId="77777777" w:rsidR="00277ECB" w:rsidRPr="00342F7C" w:rsidRDefault="00277ECB">
      <w:pPr>
        <w:pStyle w:val="EMEABullet"/>
        <w:numPr>
          <w:ilvl w:val="0"/>
          <w:numId w:val="0"/>
        </w:numPr>
        <w:rPr>
          <w:lang w:val="en-GB"/>
        </w:rPr>
      </w:pPr>
    </w:p>
    <w:p w14:paraId="3C05EA4F" w14:textId="77777777" w:rsidR="00277ECB" w:rsidRPr="00342F7C" w:rsidRDefault="00277ECB">
      <w:pPr>
        <w:pStyle w:val="EMEABullet"/>
        <w:numPr>
          <w:ilvl w:val="0"/>
          <w:numId w:val="0"/>
        </w:numPr>
        <w:rPr>
          <w:lang w:val="en-GB"/>
        </w:rPr>
      </w:pPr>
      <w:r w:rsidRPr="00342F7C">
        <w:rPr>
          <w:b/>
          <w:bCs/>
          <w:lang w:val="en-GB"/>
        </w:rPr>
        <w:t xml:space="preserve">Read the list of medicines </w:t>
      </w:r>
      <w:r w:rsidR="005201D6">
        <w:rPr>
          <w:b/>
          <w:bCs/>
          <w:lang w:val="en-GB"/>
        </w:rPr>
        <w:t>above</w:t>
      </w:r>
      <w:r w:rsidR="005201D6" w:rsidRPr="00342F7C">
        <w:rPr>
          <w:b/>
          <w:bCs/>
          <w:lang w:val="en-GB"/>
        </w:rPr>
        <w:t xml:space="preserve"> </w:t>
      </w:r>
      <w:r w:rsidRPr="00342F7C">
        <w:rPr>
          <w:b/>
          <w:bCs/>
          <w:lang w:val="en-GB"/>
        </w:rPr>
        <w:t>‘Do not take Kaletra with any of the following medicines</w:t>
      </w:r>
      <w:r w:rsidRPr="00342F7C">
        <w:rPr>
          <w:lang w:val="en-GB"/>
        </w:rPr>
        <w:t>’ for information on medicines that you must not take with Kaletra.</w:t>
      </w:r>
    </w:p>
    <w:p w14:paraId="49FAB7A2" w14:textId="77777777" w:rsidR="00277ECB" w:rsidRPr="00342F7C" w:rsidRDefault="00277ECB">
      <w:pPr>
        <w:pStyle w:val="EMEABullet"/>
        <w:numPr>
          <w:ilvl w:val="0"/>
          <w:numId w:val="0"/>
        </w:numPr>
        <w:rPr>
          <w:lang w:val="en-GB"/>
        </w:rPr>
      </w:pPr>
    </w:p>
    <w:p w14:paraId="3263A103" w14:textId="77777777" w:rsidR="00277ECB" w:rsidRPr="00342F7C" w:rsidRDefault="00277ECB">
      <w:pPr>
        <w:pStyle w:val="EMEANormal"/>
        <w:rPr>
          <w:lang w:val="en-GB"/>
        </w:rPr>
      </w:pPr>
      <w:r w:rsidRPr="00342F7C">
        <w:rPr>
          <w:lang w:val="en-GB"/>
        </w:rPr>
        <w:t>Please tell your doctor or pharmacist if you</w:t>
      </w:r>
      <w:r w:rsidR="005201D6">
        <w:rPr>
          <w:lang w:val="en-GB"/>
        </w:rPr>
        <w:t xml:space="preserve"> or your child</w:t>
      </w:r>
      <w:r w:rsidRPr="00342F7C">
        <w:rPr>
          <w:lang w:val="en-GB"/>
        </w:rPr>
        <w:t xml:space="preserve"> are taking</w:t>
      </w:r>
      <w:r w:rsidR="0097773A">
        <w:rPr>
          <w:lang w:val="en-GB"/>
        </w:rPr>
        <w:t>,</w:t>
      </w:r>
      <w:r w:rsidRPr="00342F7C">
        <w:rPr>
          <w:lang w:val="en-GB"/>
        </w:rPr>
        <w:t xml:space="preserve"> have recently taken </w:t>
      </w:r>
      <w:r w:rsidR="0097773A">
        <w:rPr>
          <w:lang w:val="en-GB"/>
        </w:rPr>
        <w:t xml:space="preserve">or might take </w:t>
      </w:r>
      <w:r w:rsidRPr="00342F7C">
        <w:rPr>
          <w:lang w:val="en-GB"/>
        </w:rPr>
        <w:t>any other medicines, including medicines obtained without prescription.</w:t>
      </w:r>
    </w:p>
    <w:p w14:paraId="3324BDCB" w14:textId="77777777" w:rsidR="00277ECB" w:rsidRPr="00342F7C" w:rsidRDefault="00277ECB">
      <w:pPr>
        <w:pStyle w:val="EMEABullet"/>
        <w:numPr>
          <w:ilvl w:val="0"/>
          <w:numId w:val="0"/>
        </w:numPr>
        <w:rPr>
          <w:lang w:val="en-GB"/>
        </w:rPr>
      </w:pPr>
    </w:p>
    <w:p w14:paraId="2391D616" w14:textId="77777777" w:rsidR="00277ECB" w:rsidRDefault="00277ECB">
      <w:pPr>
        <w:pStyle w:val="EMEABullet"/>
        <w:numPr>
          <w:ilvl w:val="0"/>
          <w:numId w:val="0"/>
        </w:numPr>
        <w:rPr>
          <w:b/>
          <w:bCs/>
          <w:lang w:val="en-GB"/>
        </w:rPr>
      </w:pPr>
      <w:r w:rsidRPr="00342F7C">
        <w:rPr>
          <w:b/>
          <w:bCs/>
          <w:lang w:val="en-GB"/>
        </w:rPr>
        <w:t>Erectile dysfunction medicines (</w:t>
      </w:r>
      <w:r w:rsidR="00D40FAE">
        <w:rPr>
          <w:b/>
          <w:bCs/>
          <w:lang w:val="en-GB"/>
        </w:rPr>
        <w:t xml:space="preserve">avanafil, </w:t>
      </w:r>
      <w:r w:rsidRPr="00342F7C">
        <w:rPr>
          <w:b/>
          <w:bCs/>
          <w:lang w:val="en-GB"/>
        </w:rPr>
        <w:t>vardenafil, sildenafil, tadalafil)</w:t>
      </w:r>
    </w:p>
    <w:p w14:paraId="2CCECC75" w14:textId="77777777" w:rsidR="009E5EDA" w:rsidRPr="00342F7C" w:rsidRDefault="009E5EDA">
      <w:pPr>
        <w:pStyle w:val="EMEABullet"/>
        <w:numPr>
          <w:ilvl w:val="0"/>
          <w:numId w:val="0"/>
        </w:numPr>
        <w:rPr>
          <w:b/>
          <w:bCs/>
          <w:lang w:val="en-GB"/>
        </w:rPr>
      </w:pPr>
    </w:p>
    <w:p w14:paraId="14865C67" w14:textId="77777777" w:rsidR="00277ECB" w:rsidRPr="00342F7C" w:rsidRDefault="00277ECB" w:rsidP="0052761E">
      <w:pPr>
        <w:pStyle w:val="EMEABullet"/>
        <w:numPr>
          <w:ilvl w:val="0"/>
          <w:numId w:val="39"/>
        </w:numPr>
        <w:tabs>
          <w:tab w:val="clear" w:pos="709"/>
          <w:tab w:val="num" w:pos="567"/>
        </w:tabs>
        <w:ind w:left="567"/>
        <w:rPr>
          <w:lang w:val="en-GB"/>
        </w:rPr>
      </w:pPr>
      <w:r w:rsidRPr="00342F7C">
        <w:rPr>
          <w:b/>
          <w:bCs/>
          <w:lang w:val="en-GB"/>
        </w:rPr>
        <w:t>Do not take Kaletra</w:t>
      </w:r>
      <w:r w:rsidRPr="00342F7C">
        <w:rPr>
          <w:lang w:val="en-GB"/>
        </w:rPr>
        <w:t xml:space="preserve"> if you are currently taking </w:t>
      </w:r>
      <w:r w:rsidR="00D40FAE">
        <w:rPr>
          <w:lang w:val="en-GB"/>
        </w:rPr>
        <w:t xml:space="preserve">avanafil or </w:t>
      </w:r>
      <w:r w:rsidRPr="00342F7C">
        <w:rPr>
          <w:lang w:val="en-GB"/>
        </w:rPr>
        <w:t>vardenafil.</w:t>
      </w:r>
    </w:p>
    <w:p w14:paraId="0193A23B" w14:textId="77777777" w:rsidR="009F5E22" w:rsidRPr="00342F7C" w:rsidRDefault="009F5E22" w:rsidP="0052761E">
      <w:pPr>
        <w:pStyle w:val="EMEABullet"/>
        <w:numPr>
          <w:ilvl w:val="0"/>
          <w:numId w:val="39"/>
        </w:numPr>
        <w:tabs>
          <w:tab w:val="clear" w:pos="709"/>
          <w:tab w:val="num" w:pos="567"/>
        </w:tabs>
        <w:ind w:left="567"/>
        <w:rPr>
          <w:lang w:val="en-GB"/>
        </w:rPr>
      </w:pPr>
      <w:r w:rsidRPr="00342F7C">
        <w:rPr>
          <w:lang w:val="en-GB"/>
        </w:rPr>
        <w:t xml:space="preserve">You must not take Kaletra with sildenafil used to treat pulmonary arterial hypertension </w:t>
      </w:r>
      <w:r w:rsidR="00C63A89" w:rsidRPr="00C71BC5">
        <w:rPr>
          <w:szCs w:val="22"/>
        </w:rPr>
        <w:t>(high blood pressure in the pulmonary artery)</w:t>
      </w:r>
      <w:r w:rsidR="00C63A89" w:rsidRPr="00342F7C">
        <w:rPr>
          <w:lang w:val="en-GB"/>
        </w:rPr>
        <w:t xml:space="preserve"> </w:t>
      </w:r>
      <w:r w:rsidRPr="00342F7C">
        <w:rPr>
          <w:lang w:val="en-GB"/>
        </w:rPr>
        <w:t xml:space="preserve">(see also </w:t>
      </w:r>
      <w:r w:rsidRPr="00342F7C">
        <w:rPr>
          <w:b/>
          <w:lang w:val="en-GB"/>
        </w:rPr>
        <w:t>Do not take Kaletra</w:t>
      </w:r>
      <w:r w:rsidRPr="00342F7C">
        <w:rPr>
          <w:lang w:val="en-GB"/>
        </w:rPr>
        <w:t xml:space="preserve"> section</w:t>
      </w:r>
      <w:r w:rsidR="005201D6">
        <w:rPr>
          <w:lang w:val="en-GB"/>
        </w:rPr>
        <w:t xml:space="preserve"> above</w:t>
      </w:r>
      <w:r w:rsidRPr="00342F7C">
        <w:rPr>
          <w:lang w:val="en-GB"/>
        </w:rPr>
        <w:t>)</w:t>
      </w:r>
      <w:r w:rsidR="00B65B9A" w:rsidRPr="00342F7C">
        <w:rPr>
          <w:lang w:val="en-GB"/>
        </w:rPr>
        <w:t>.</w:t>
      </w:r>
    </w:p>
    <w:p w14:paraId="17C35780" w14:textId="77777777" w:rsidR="00277ECB" w:rsidRPr="00342F7C" w:rsidRDefault="00277ECB" w:rsidP="0052761E">
      <w:pPr>
        <w:pStyle w:val="EMEABullet"/>
        <w:numPr>
          <w:ilvl w:val="0"/>
          <w:numId w:val="39"/>
        </w:numPr>
        <w:tabs>
          <w:tab w:val="clear" w:pos="709"/>
          <w:tab w:val="num" w:pos="567"/>
        </w:tabs>
        <w:ind w:left="567"/>
        <w:rPr>
          <w:lang w:val="en-GB"/>
        </w:rPr>
      </w:pPr>
      <w:r w:rsidRPr="00342F7C">
        <w:rPr>
          <w:lang w:val="en-GB"/>
        </w:rPr>
        <w:t xml:space="preserve">If you take sildenafil or tadalafil and Kaletra together, you may be at risk of side effects such as low blood pressure, passing out, visual changes and penile erection lasting more than 4 hours.  If an erection lasts longer than 4 hours, you should get medical help </w:t>
      </w:r>
      <w:r w:rsidRPr="00342F7C">
        <w:rPr>
          <w:b/>
          <w:bCs/>
          <w:lang w:val="en-GB"/>
        </w:rPr>
        <w:t>immediately</w:t>
      </w:r>
      <w:r w:rsidRPr="00342F7C">
        <w:rPr>
          <w:lang w:val="en-GB"/>
        </w:rPr>
        <w:t xml:space="preserve"> to avoid permanent damage to your penis.  Your doctor can explain these symptoms to you.</w:t>
      </w:r>
    </w:p>
    <w:p w14:paraId="3C008778" w14:textId="77777777" w:rsidR="00277ECB" w:rsidRPr="00342F7C" w:rsidRDefault="00277ECB">
      <w:pPr>
        <w:pStyle w:val="EMEANormal"/>
        <w:rPr>
          <w:lang w:val="en-GB"/>
        </w:rPr>
      </w:pPr>
    </w:p>
    <w:p w14:paraId="7B59CDE2" w14:textId="77777777" w:rsidR="00277ECB" w:rsidRPr="00342F7C" w:rsidRDefault="00277ECB">
      <w:pPr>
        <w:pStyle w:val="EMEABullet"/>
        <w:numPr>
          <w:ilvl w:val="0"/>
          <w:numId w:val="0"/>
        </w:numPr>
        <w:rPr>
          <w:b/>
          <w:bCs/>
          <w:lang w:val="en-GB"/>
        </w:rPr>
      </w:pPr>
      <w:r w:rsidRPr="00342F7C">
        <w:rPr>
          <w:b/>
          <w:bCs/>
          <w:lang w:val="en-GB"/>
        </w:rPr>
        <w:t>Contraceptives</w:t>
      </w:r>
    </w:p>
    <w:p w14:paraId="3F3C63F8" w14:textId="77777777" w:rsidR="00277ECB" w:rsidRPr="00342F7C" w:rsidRDefault="00277ECB">
      <w:pPr>
        <w:pStyle w:val="EMEABullet"/>
        <w:numPr>
          <w:ilvl w:val="0"/>
          <w:numId w:val="0"/>
        </w:numPr>
        <w:rPr>
          <w:b/>
          <w:bCs/>
          <w:lang w:val="en-GB"/>
        </w:rPr>
      </w:pPr>
    </w:p>
    <w:p w14:paraId="0AD3E728" w14:textId="77777777" w:rsidR="00277ECB" w:rsidRPr="00342F7C" w:rsidRDefault="00277ECB" w:rsidP="0052761E">
      <w:pPr>
        <w:pStyle w:val="EMEABullet"/>
        <w:numPr>
          <w:ilvl w:val="0"/>
          <w:numId w:val="40"/>
        </w:numPr>
        <w:tabs>
          <w:tab w:val="clear" w:pos="709"/>
          <w:tab w:val="num" w:pos="567"/>
        </w:tabs>
        <w:ind w:left="567"/>
        <w:rPr>
          <w:lang w:val="en-GB"/>
        </w:rPr>
      </w:pPr>
      <w:r w:rsidRPr="00342F7C">
        <w:rPr>
          <w:lang w:val="en-GB"/>
        </w:rPr>
        <w:t>If you are currently using an oral contraceptive or using a patch contraceptive to prevent pregnancy, you should use an additional or different type of contraception (e.g. condom) as Kaletra may reduce the effectiveness of oral and patch contraceptives.</w:t>
      </w:r>
    </w:p>
    <w:p w14:paraId="7E5796A2" w14:textId="77777777" w:rsidR="00277ECB" w:rsidRPr="00342F7C" w:rsidRDefault="00277ECB" w:rsidP="0052761E">
      <w:pPr>
        <w:pStyle w:val="EMEABullet"/>
        <w:numPr>
          <w:ilvl w:val="0"/>
          <w:numId w:val="40"/>
        </w:numPr>
        <w:tabs>
          <w:tab w:val="clear" w:pos="709"/>
          <w:tab w:val="num" w:pos="567"/>
        </w:tabs>
        <w:ind w:left="567"/>
        <w:rPr>
          <w:lang w:val="en-GB"/>
        </w:rPr>
      </w:pPr>
      <w:r w:rsidRPr="00342F7C">
        <w:rPr>
          <w:lang w:val="en-GB"/>
        </w:rPr>
        <w:t>Kaletra does not reduce the risk of passing HIV to others.  Appropriate precautions (e.g. use of a condom) should be taken to prevent passing on the disease through sexual contact.</w:t>
      </w:r>
    </w:p>
    <w:p w14:paraId="013AD265" w14:textId="77777777" w:rsidR="005C68A8" w:rsidRDefault="005C68A8" w:rsidP="005C68A8">
      <w:pPr>
        <w:pStyle w:val="EMEAHeadingLeaflet"/>
        <w:spacing w:beforeLines="0" w:before="0" w:afterLines="0" w:after="0"/>
        <w:rPr>
          <w:rFonts w:ascii="Times New Roman" w:hAnsi="Times New Roman"/>
          <w:lang w:val="en-GB"/>
        </w:rPr>
      </w:pPr>
    </w:p>
    <w:p w14:paraId="48A624D0" w14:textId="77777777" w:rsidR="00277ECB" w:rsidRPr="00342F7C" w:rsidRDefault="00277ECB" w:rsidP="005C68A8">
      <w:pPr>
        <w:pStyle w:val="EMEAHeadingLeaflet"/>
        <w:spacing w:beforeLines="0" w:before="0" w:afterLines="0" w:after="0"/>
        <w:rPr>
          <w:rFonts w:ascii="Times New Roman" w:hAnsi="Times New Roman"/>
          <w:lang w:val="en-GB"/>
        </w:rPr>
      </w:pPr>
      <w:r w:rsidRPr="00342F7C">
        <w:rPr>
          <w:rFonts w:ascii="Times New Roman" w:hAnsi="Times New Roman"/>
          <w:lang w:val="en-GB"/>
        </w:rPr>
        <w:t>Pregnancy and breast-feeding</w:t>
      </w:r>
    </w:p>
    <w:p w14:paraId="28DF1B47" w14:textId="77777777" w:rsidR="00277ECB" w:rsidRPr="00342F7C" w:rsidRDefault="00277ECB" w:rsidP="005C68A8">
      <w:pPr>
        <w:pStyle w:val="EMEANormal"/>
        <w:rPr>
          <w:lang w:val="en-GB"/>
        </w:rPr>
      </w:pPr>
    </w:p>
    <w:p w14:paraId="12263E53" w14:textId="77777777" w:rsidR="00277ECB" w:rsidRPr="00342F7C" w:rsidRDefault="00277ECB" w:rsidP="0052761E">
      <w:pPr>
        <w:pStyle w:val="EMEABullet"/>
        <w:numPr>
          <w:ilvl w:val="0"/>
          <w:numId w:val="41"/>
        </w:numPr>
        <w:tabs>
          <w:tab w:val="clear" w:pos="709"/>
          <w:tab w:val="num" w:pos="567"/>
        </w:tabs>
        <w:ind w:left="567"/>
        <w:rPr>
          <w:lang w:val="en-GB"/>
        </w:rPr>
      </w:pPr>
      <w:r w:rsidRPr="00342F7C">
        <w:rPr>
          <w:lang w:val="en-GB"/>
        </w:rPr>
        <w:t>Tell you</w:t>
      </w:r>
      <w:r w:rsidR="00B341CE">
        <w:rPr>
          <w:lang w:val="en-GB"/>
        </w:rPr>
        <w:t>r</w:t>
      </w:r>
      <w:r w:rsidRPr="00342F7C">
        <w:rPr>
          <w:lang w:val="en-GB"/>
        </w:rPr>
        <w:t xml:space="preserve"> doctor </w:t>
      </w:r>
      <w:r w:rsidRPr="00342F7C">
        <w:rPr>
          <w:b/>
          <w:bCs/>
          <w:lang w:val="en-GB"/>
        </w:rPr>
        <w:t>immediately</w:t>
      </w:r>
      <w:r w:rsidRPr="00342F7C">
        <w:rPr>
          <w:lang w:val="en-GB"/>
        </w:rPr>
        <w:t xml:space="preserve"> if </w:t>
      </w:r>
      <w:r w:rsidR="00562D03">
        <w:rPr>
          <w:lang w:val="en-GB"/>
        </w:rPr>
        <w:t xml:space="preserve">you are planning to have a baby, </w:t>
      </w:r>
      <w:r w:rsidRPr="00342F7C">
        <w:rPr>
          <w:lang w:val="en-GB"/>
        </w:rPr>
        <w:t xml:space="preserve">you are pregnant, think you may be pregnant or if you are breast-feeding.  </w:t>
      </w:r>
    </w:p>
    <w:p w14:paraId="6031AD39" w14:textId="77777777" w:rsidR="00277ECB" w:rsidRPr="00342F7C" w:rsidRDefault="006D4D8E" w:rsidP="0052761E">
      <w:pPr>
        <w:pStyle w:val="EMEABullet"/>
        <w:numPr>
          <w:ilvl w:val="0"/>
          <w:numId w:val="41"/>
        </w:numPr>
        <w:tabs>
          <w:tab w:val="clear" w:pos="709"/>
          <w:tab w:val="num" w:pos="567"/>
        </w:tabs>
        <w:ind w:left="567"/>
        <w:rPr>
          <w:lang w:val="en-GB"/>
        </w:rPr>
      </w:pPr>
      <w:r w:rsidRPr="006D4D8E">
        <w:rPr>
          <w:lang w:val="en-GB"/>
        </w:rPr>
        <w:t xml:space="preserve">If you are pregnant or breastfeeding, talk to your doctor or pharmacist before taking this medicine because it contains propylene glycol and alcohol.  </w:t>
      </w:r>
      <w:r w:rsidR="00277ECB" w:rsidRPr="006D4D8E">
        <w:rPr>
          <w:lang w:val="en-GB"/>
        </w:rPr>
        <w:t>Pregn</w:t>
      </w:r>
      <w:r w:rsidR="00277ECB" w:rsidRPr="00342F7C">
        <w:rPr>
          <w:lang w:val="en-GB"/>
        </w:rPr>
        <w:t xml:space="preserve">ant or breast-feeding mothers should not take Kaletra </w:t>
      </w:r>
      <w:r w:rsidR="00562D03">
        <w:rPr>
          <w:lang w:val="en-GB"/>
        </w:rPr>
        <w:t xml:space="preserve">oral solution </w:t>
      </w:r>
      <w:r w:rsidR="00277ECB" w:rsidRPr="00342F7C">
        <w:rPr>
          <w:lang w:val="en-GB"/>
        </w:rPr>
        <w:t xml:space="preserve">unless specifically directed by the doctor.  </w:t>
      </w:r>
    </w:p>
    <w:p w14:paraId="6CCF50F3" w14:textId="77777777" w:rsidR="00277ECB" w:rsidRPr="00342F7C" w:rsidRDefault="00277ECB" w:rsidP="0052761E">
      <w:pPr>
        <w:pStyle w:val="EMEABullet"/>
        <w:numPr>
          <w:ilvl w:val="0"/>
          <w:numId w:val="41"/>
        </w:numPr>
        <w:tabs>
          <w:tab w:val="clear" w:pos="709"/>
          <w:tab w:val="num" w:pos="567"/>
        </w:tabs>
        <w:ind w:left="567"/>
        <w:rPr>
          <w:lang w:val="en-GB"/>
        </w:rPr>
      </w:pPr>
      <w:r w:rsidRPr="00342F7C">
        <w:rPr>
          <w:lang w:val="en-GB"/>
        </w:rPr>
        <w:t>It is recommended that HIV-infected women do not breast-feed their infants because there is a possibility that the baby can be infected with HIV through your breast milk.</w:t>
      </w:r>
    </w:p>
    <w:p w14:paraId="68617409" w14:textId="77777777" w:rsidR="005C68A8" w:rsidRDefault="005C68A8" w:rsidP="005C68A8">
      <w:pPr>
        <w:pStyle w:val="EMEAHeadingLeaflet"/>
        <w:spacing w:beforeLines="0" w:before="0" w:afterLines="0" w:after="0"/>
        <w:rPr>
          <w:rFonts w:ascii="Times New Roman" w:hAnsi="Times New Roman"/>
          <w:lang w:val="en-GB"/>
        </w:rPr>
      </w:pPr>
    </w:p>
    <w:p w14:paraId="7DAD5D8D" w14:textId="77777777" w:rsidR="00277ECB" w:rsidRPr="00342F7C" w:rsidRDefault="00277ECB" w:rsidP="005C68A8">
      <w:pPr>
        <w:pStyle w:val="EMEAHeadingLeaflet"/>
        <w:spacing w:beforeLines="0" w:before="0" w:afterLines="0" w:after="0"/>
        <w:rPr>
          <w:rFonts w:ascii="Times New Roman" w:hAnsi="Times New Roman"/>
          <w:lang w:val="en-GB"/>
        </w:rPr>
      </w:pPr>
      <w:r w:rsidRPr="00342F7C">
        <w:rPr>
          <w:rFonts w:ascii="Times New Roman" w:hAnsi="Times New Roman"/>
          <w:lang w:val="en-GB"/>
        </w:rPr>
        <w:t>Driving or using machines</w:t>
      </w:r>
    </w:p>
    <w:p w14:paraId="7EEAD3B8" w14:textId="77777777" w:rsidR="00277ECB" w:rsidRPr="00342F7C" w:rsidRDefault="00277ECB">
      <w:pPr>
        <w:pStyle w:val="EMEANormal"/>
        <w:rPr>
          <w:lang w:val="en-GB"/>
        </w:rPr>
      </w:pPr>
    </w:p>
    <w:p w14:paraId="11C93075" w14:textId="77777777" w:rsidR="00277ECB" w:rsidRPr="00342F7C" w:rsidRDefault="00277ECB">
      <w:pPr>
        <w:pStyle w:val="EMEABullet"/>
        <w:numPr>
          <w:ilvl w:val="0"/>
          <w:numId w:val="0"/>
        </w:numPr>
        <w:rPr>
          <w:lang w:val="en-GB"/>
        </w:rPr>
      </w:pPr>
      <w:r w:rsidRPr="00342F7C">
        <w:rPr>
          <w:lang w:val="en-GB"/>
        </w:rPr>
        <w:t>Kaletra has not specifically been tested for its possible effects on the ability to drive a car or operate machines.  Do not drive a car or operate machinery if you experience any side effects (e.g. nausea) that impact your ability to do so safe</w:t>
      </w:r>
      <w:r w:rsidR="007E63B2" w:rsidRPr="00342F7C">
        <w:rPr>
          <w:lang w:val="en-GB"/>
        </w:rPr>
        <w:t>l</w:t>
      </w:r>
      <w:r w:rsidRPr="00342F7C">
        <w:rPr>
          <w:lang w:val="en-GB"/>
        </w:rPr>
        <w:t>y.  Instead, contact your doctor.</w:t>
      </w:r>
    </w:p>
    <w:p w14:paraId="6E54C0A8" w14:textId="77777777" w:rsidR="00277ECB" w:rsidRPr="00342F7C" w:rsidRDefault="00277ECB">
      <w:pPr>
        <w:pStyle w:val="EMEABullet"/>
        <w:numPr>
          <w:ilvl w:val="0"/>
          <w:numId w:val="0"/>
        </w:numPr>
        <w:rPr>
          <w:lang w:val="en-GB"/>
        </w:rPr>
      </w:pPr>
    </w:p>
    <w:p w14:paraId="446FEA29" w14:textId="77777777" w:rsidR="00277ECB" w:rsidRPr="00342F7C" w:rsidRDefault="00277ECB">
      <w:pPr>
        <w:pStyle w:val="EMEABullet"/>
        <w:numPr>
          <w:ilvl w:val="0"/>
          <w:numId w:val="0"/>
        </w:numPr>
        <w:rPr>
          <w:lang w:val="en-GB"/>
        </w:rPr>
      </w:pPr>
      <w:r w:rsidRPr="00342F7C">
        <w:rPr>
          <w:lang w:val="en-GB"/>
        </w:rPr>
        <w:t>Kaletra contains 42% v/v alcohol</w:t>
      </w:r>
      <w:r w:rsidRPr="006D4D8E">
        <w:rPr>
          <w:lang w:val="en-GB"/>
        </w:rPr>
        <w:t>.</w:t>
      </w:r>
      <w:r w:rsidR="006D4D8E" w:rsidRPr="006D4D8E">
        <w:rPr>
          <w:lang w:val="en-GB"/>
        </w:rPr>
        <w:t xml:space="preserve">  The amount of alcohol in this medicine may affect your ability to drive or use machines and may affect your judgement and reaction times.</w:t>
      </w:r>
    </w:p>
    <w:p w14:paraId="14770DED" w14:textId="77777777" w:rsidR="005C68A8" w:rsidRDefault="005C68A8" w:rsidP="005C68A8">
      <w:pPr>
        <w:pStyle w:val="EMEAHeadingLeaflet"/>
        <w:spacing w:beforeLines="0" w:before="0" w:afterLines="0" w:after="0"/>
        <w:rPr>
          <w:lang w:val="en-GB"/>
        </w:rPr>
      </w:pPr>
    </w:p>
    <w:p w14:paraId="365DE735" w14:textId="77777777" w:rsidR="00277ECB" w:rsidRPr="00342F7C" w:rsidRDefault="00277ECB" w:rsidP="003C1BB0">
      <w:pPr>
        <w:pStyle w:val="EMEAHeadingLeaflet"/>
        <w:keepNext/>
        <w:spacing w:beforeLines="0" w:before="0" w:afterLines="0" w:after="0"/>
        <w:rPr>
          <w:lang w:val="en-GB"/>
        </w:rPr>
      </w:pPr>
      <w:r w:rsidRPr="00342F7C">
        <w:rPr>
          <w:lang w:val="en-GB"/>
        </w:rPr>
        <w:t>Important information about some of the ingredients of Kaletra</w:t>
      </w:r>
    </w:p>
    <w:p w14:paraId="4B7BB93D" w14:textId="77777777" w:rsidR="005C68A8" w:rsidRDefault="005C68A8" w:rsidP="003C1BB0">
      <w:pPr>
        <w:pStyle w:val="EMEANormal"/>
        <w:keepNext/>
        <w:rPr>
          <w:lang w:val="en-GB"/>
        </w:rPr>
      </w:pPr>
    </w:p>
    <w:p w14:paraId="647E42F5" w14:textId="77777777" w:rsidR="00277ECB" w:rsidRDefault="00277ECB" w:rsidP="003C1BB0">
      <w:pPr>
        <w:pStyle w:val="EMEANormal"/>
        <w:keepNext/>
        <w:rPr>
          <w:lang w:val="en-GB"/>
        </w:rPr>
      </w:pPr>
      <w:r w:rsidRPr="00342F7C">
        <w:rPr>
          <w:lang w:val="en-GB"/>
        </w:rPr>
        <w:t>Kaletra contains 42% v/v alcohol</w:t>
      </w:r>
      <w:r w:rsidR="002202EE">
        <w:rPr>
          <w:lang w:val="en-GB"/>
        </w:rPr>
        <w:t xml:space="preserve"> and </w:t>
      </w:r>
      <w:r w:rsidR="002202EE" w:rsidRPr="007F0BAE">
        <w:t>15% propylene glycol w/v</w:t>
      </w:r>
      <w:r w:rsidR="002202EE" w:rsidRPr="00342F7C">
        <w:rPr>
          <w:lang w:val="en-GB"/>
        </w:rPr>
        <w:t xml:space="preserve">.  </w:t>
      </w:r>
      <w:r w:rsidR="00D24AC5">
        <w:t xml:space="preserve">Each 1 ml of Kaletra oral solution contains 356.3 mg of alcohol and 152.7 mg of propylene glycol.  </w:t>
      </w:r>
      <w:r w:rsidR="002202EE">
        <w:rPr>
          <w:lang w:val="en-GB"/>
        </w:rPr>
        <w:t>Alcohol and propylene glycol are p</w:t>
      </w:r>
      <w:r w:rsidRPr="00342F7C">
        <w:rPr>
          <w:lang w:val="en-GB"/>
        </w:rPr>
        <w:t xml:space="preserve">otentially harmful for those suffering from liver disease, </w:t>
      </w:r>
      <w:r w:rsidR="006D4D8E">
        <w:rPr>
          <w:lang w:val="en-GB"/>
        </w:rPr>
        <w:t xml:space="preserve">kidney disease, </w:t>
      </w:r>
      <w:r w:rsidRPr="00342F7C">
        <w:rPr>
          <w:lang w:val="en-GB"/>
        </w:rPr>
        <w:t>alcoholism, epilepsy, brain injury or disease</w:t>
      </w:r>
      <w:r w:rsidR="006D4D8E">
        <w:rPr>
          <w:lang w:val="en-GB"/>
        </w:rPr>
        <w:t>,</w:t>
      </w:r>
      <w:r w:rsidRPr="00342F7C">
        <w:rPr>
          <w:lang w:val="en-GB"/>
        </w:rPr>
        <w:t xml:space="preserve"> as well as for pregnant women and children.  </w:t>
      </w:r>
      <w:r w:rsidR="002202EE">
        <w:rPr>
          <w:lang w:val="en-GB"/>
        </w:rPr>
        <w:t>They m</w:t>
      </w:r>
      <w:r w:rsidRPr="00342F7C">
        <w:rPr>
          <w:lang w:val="en-GB"/>
        </w:rPr>
        <w:t>ay modify or increase the effect of other medicines.</w:t>
      </w:r>
    </w:p>
    <w:p w14:paraId="5ADB9D20" w14:textId="77777777" w:rsidR="006D4D8E" w:rsidRDefault="006D4D8E">
      <w:pPr>
        <w:pStyle w:val="EMEANormal"/>
        <w:rPr>
          <w:lang w:val="en-GB"/>
        </w:rPr>
      </w:pPr>
    </w:p>
    <w:p w14:paraId="3627B296" w14:textId="77777777" w:rsidR="006D4D8E" w:rsidRPr="006D4D8E" w:rsidRDefault="006D4D8E" w:rsidP="006D4D8E">
      <w:pPr>
        <w:pStyle w:val="EMEANormal"/>
        <w:rPr>
          <w:lang w:val="en-GB"/>
        </w:rPr>
      </w:pPr>
      <w:r w:rsidRPr="006D4D8E">
        <w:rPr>
          <w:lang w:val="en-GB"/>
        </w:rPr>
        <w:t xml:space="preserve">At the recommended adult dose(s) of this medicine, the estimated blood alcohol concentration in your body is about 0.002 - 0.01 g/dL.  This is similar to an adult drinking 4-22 ml of beer or 1-4 ml of wine.  </w:t>
      </w:r>
    </w:p>
    <w:p w14:paraId="2BFAF5CA" w14:textId="77777777" w:rsidR="00FB2588" w:rsidRPr="006D4D8E" w:rsidRDefault="00FB2588" w:rsidP="006D4D8E">
      <w:pPr>
        <w:pStyle w:val="EMEANormal"/>
        <w:rPr>
          <w:lang w:val="en-GB"/>
        </w:rPr>
      </w:pPr>
    </w:p>
    <w:p w14:paraId="55B4234B" w14:textId="77777777" w:rsidR="006D4D8E" w:rsidRPr="00342F7C" w:rsidRDefault="006D4D8E" w:rsidP="006D4D8E">
      <w:pPr>
        <w:pStyle w:val="EMEANormal"/>
        <w:rPr>
          <w:lang w:val="en-GB"/>
        </w:rPr>
      </w:pPr>
      <w:r w:rsidRPr="006D4D8E">
        <w:rPr>
          <w:lang w:val="en-GB"/>
        </w:rPr>
        <w:t>Other medicines may also contain alcohol and alcohol may be consumed in food and drinks.  The combined effects may lead to increased blood alcohol levels and increase the side effects of alcohol.</w:t>
      </w:r>
    </w:p>
    <w:p w14:paraId="7ABAD713" w14:textId="77777777" w:rsidR="00277ECB" w:rsidRPr="00342F7C" w:rsidRDefault="00277ECB">
      <w:pPr>
        <w:pStyle w:val="EMEANormal"/>
        <w:rPr>
          <w:lang w:val="en-GB"/>
        </w:rPr>
      </w:pPr>
    </w:p>
    <w:p w14:paraId="6CD9E424" w14:textId="77777777" w:rsidR="00277ECB" w:rsidRPr="00342F7C" w:rsidRDefault="00277ECB">
      <w:pPr>
        <w:pStyle w:val="EMEANormal"/>
        <w:rPr>
          <w:lang w:val="en-GB"/>
        </w:rPr>
      </w:pPr>
      <w:r w:rsidRPr="00342F7C">
        <w:rPr>
          <w:lang w:val="en-GB"/>
        </w:rPr>
        <w:t xml:space="preserve">This medicinal product contains up to 0.8 g of fructose per dose when taken according to the dosage recommendations.  Unsuitable in hereditary fructose intolerance.  Due to the possibility of undetected fructose intolerance, this medicinal product should only be given to babies and infants after consultation with a </w:t>
      </w:r>
      <w:r w:rsidR="006D4D8E">
        <w:rPr>
          <w:lang w:val="en-GB"/>
        </w:rPr>
        <w:t>doctor</w:t>
      </w:r>
      <w:r w:rsidRPr="00342F7C">
        <w:rPr>
          <w:lang w:val="en-GB"/>
        </w:rPr>
        <w:t>.</w:t>
      </w:r>
    </w:p>
    <w:p w14:paraId="7E123D2C" w14:textId="77777777" w:rsidR="00277ECB" w:rsidRPr="00342F7C" w:rsidRDefault="00277ECB">
      <w:pPr>
        <w:pStyle w:val="EMEANormal"/>
        <w:rPr>
          <w:lang w:val="en-GB"/>
        </w:rPr>
      </w:pPr>
    </w:p>
    <w:p w14:paraId="1CC1CA2E" w14:textId="77777777" w:rsidR="00277ECB" w:rsidRPr="00342F7C" w:rsidRDefault="00277ECB">
      <w:pPr>
        <w:pStyle w:val="EMEANormal"/>
        <w:rPr>
          <w:lang w:val="en-GB"/>
        </w:rPr>
      </w:pPr>
      <w:r w:rsidRPr="00342F7C">
        <w:rPr>
          <w:lang w:val="en-GB"/>
        </w:rPr>
        <w:t>Kaletra contains glycerol which is harmful in high doses.  Can cause headache and stomach upset and diarrhoea.</w:t>
      </w:r>
    </w:p>
    <w:p w14:paraId="517610AA" w14:textId="77777777" w:rsidR="00277ECB" w:rsidRPr="00342F7C" w:rsidRDefault="00277ECB">
      <w:pPr>
        <w:pStyle w:val="EMEANormal"/>
        <w:rPr>
          <w:lang w:val="en-GB"/>
        </w:rPr>
      </w:pPr>
    </w:p>
    <w:p w14:paraId="396A2E50" w14:textId="77777777" w:rsidR="00277ECB" w:rsidRPr="00342F7C" w:rsidRDefault="00277ECB">
      <w:pPr>
        <w:pStyle w:val="EMEANormal"/>
        <w:rPr>
          <w:lang w:val="en-GB"/>
        </w:rPr>
      </w:pPr>
      <w:r w:rsidRPr="00342F7C">
        <w:rPr>
          <w:lang w:val="en-GB"/>
        </w:rPr>
        <w:t>Kaletra contains polyoxyl 40 hydrogenated castor oil.  This may cause nausea, vomiting, colic, severe purgation at high doses.  It should not be given when intestinal obstruction is present.</w:t>
      </w:r>
    </w:p>
    <w:p w14:paraId="397F83C3" w14:textId="77777777" w:rsidR="00277ECB" w:rsidRPr="00342F7C" w:rsidRDefault="00277ECB">
      <w:pPr>
        <w:pStyle w:val="EMEANormal"/>
        <w:rPr>
          <w:lang w:val="en-GB"/>
        </w:rPr>
      </w:pPr>
    </w:p>
    <w:p w14:paraId="6BEE9B5D" w14:textId="77777777" w:rsidR="00277ECB" w:rsidRPr="00342F7C" w:rsidRDefault="00277ECB">
      <w:pPr>
        <w:pStyle w:val="EMEANormal"/>
        <w:rPr>
          <w:lang w:val="en-GB"/>
        </w:rPr>
      </w:pPr>
      <w:r w:rsidRPr="00342F7C">
        <w:rPr>
          <w:lang w:val="en-GB"/>
        </w:rPr>
        <w:t>Kaletra contains potassium as acesulfame potassium, which may be harmful to people on a low potassium diet.  High potassium in the blood can cause stomach upset and diarrhoea.</w:t>
      </w:r>
    </w:p>
    <w:p w14:paraId="3BCB4296" w14:textId="77777777" w:rsidR="00277ECB" w:rsidRPr="00342F7C" w:rsidRDefault="00277ECB">
      <w:pPr>
        <w:pStyle w:val="EMEANormal"/>
        <w:rPr>
          <w:lang w:val="en-GB"/>
        </w:rPr>
      </w:pPr>
    </w:p>
    <w:p w14:paraId="7FC63B72" w14:textId="77777777" w:rsidR="00277ECB" w:rsidRDefault="00277ECB">
      <w:pPr>
        <w:pStyle w:val="EMEABullet"/>
        <w:numPr>
          <w:ilvl w:val="0"/>
          <w:numId w:val="0"/>
        </w:numPr>
        <w:rPr>
          <w:lang w:val="en-GB"/>
        </w:rPr>
      </w:pPr>
      <w:r w:rsidRPr="00342F7C">
        <w:rPr>
          <w:lang w:val="en-GB"/>
        </w:rPr>
        <w:t>Kaletra contains sodium as saccharin sodium, sodium chloride and sodium citrate, which may be harmful to people on a low sodium diet.</w:t>
      </w:r>
    </w:p>
    <w:p w14:paraId="72E38523" w14:textId="77777777" w:rsidR="00A02565" w:rsidRDefault="00A02565">
      <w:pPr>
        <w:pStyle w:val="EMEABullet"/>
        <w:numPr>
          <w:ilvl w:val="0"/>
          <w:numId w:val="0"/>
        </w:numPr>
        <w:rPr>
          <w:lang w:val="en-GB"/>
        </w:rPr>
      </w:pPr>
    </w:p>
    <w:p w14:paraId="1D779251" w14:textId="77777777" w:rsidR="00A02565" w:rsidRPr="00342F7C" w:rsidRDefault="00A02565">
      <w:pPr>
        <w:pStyle w:val="EMEABullet"/>
        <w:numPr>
          <w:ilvl w:val="0"/>
          <w:numId w:val="0"/>
        </w:numPr>
        <w:rPr>
          <w:lang w:val="en-GB"/>
        </w:rPr>
      </w:pPr>
    </w:p>
    <w:p w14:paraId="0F34F7FC" w14:textId="77777777" w:rsidR="00277ECB" w:rsidRPr="00282043" w:rsidRDefault="00277ECB" w:rsidP="00A02565">
      <w:pPr>
        <w:rPr>
          <w:b/>
          <w:sz w:val="22"/>
          <w:szCs w:val="22"/>
        </w:rPr>
      </w:pPr>
      <w:r w:rsidRPr="00282043">
        <w:rPr>
          <w:b/>
          <w:sz w:val="22"/>
          <w:szCs w:val="22"/>
        </w:rPr>
        <w:t>3.</w:t>
      </w:r>
      <w:r w:rsidRPr="00282043">
        <w:rPr>
          <w:b/>
          <w:sz w:val="22"/>
          <w:szCs w:val="22"/>
        </w:rPr>
        <w:tab/>
        <w:t>H</w:t>
      </w:r>
      <w:r w:rsidR="00A02565" w:rsidRPr="00282043">
        <w:rPr>
          <w:b/>
          <w:sz w:val="22"/>
          <w:szCs w:val="22"/>
        </w:rPr>
        <w:t>ow to take Kaletra</w:t>
      </w:r>
    </w:p>
    <w:p w14:paraId="7E1A27C1" w14:textId="77777777" w:rsidR="00A02565" w:rsidRPr="00A02565" w:rsidRDefault="00A02565" w:rsidP="00A02565">
      <w:pPr>
        <w:rPr>
          <w:b/>
        </w:rPr>
      </w:pPr>
    </w:p>
    <w:p w14:paraId="4C741392" w14:textId="77777777" w:rsidR="00277ECB" w:rsidRPr="00342F7C" w:rsidRDefault="00277ECB" w:rsidP="003967C0">
      <w:pPr>
        <w:pStyle w:val="EMEANormal"/>
        <w:shd w:val="clear" w:color="auto" w:fill="D9D9D9"/>
        <w:tabs>
          <w:tab w:val="clear" w:pos="562"/>
          <w:tab w:val="left" w:pos="240"/>
        </w:tabs>
        <w:ind w:left="240" w:hanging="240"/>
        <w:rPr>
          <w:lang w:val="en-GB"/>
        </w:rPr>
      </w:pPr>
      <w:r w:rsidRPr="00342F7C">
        <w:rPr>
          <w:lang w:val="en-GB"/>
        </w:rPr>
        <w:tab/>
        <w:t xml:space="preserve">Kaletra is recommended for use in adults and children </w:t>
      </w:r>
      <w:r w:rsidR="006D4D8E">
        <w:rPr>
          <w:lang w:val="en-GB"/>
        </w:rPr>
        <w:t>14 days</w:t>
      </w:r>
      <w:r w:rsidRPr="00342F7C">
        <w:rPr>
          <w:lang w:val="en-GB"/>
        </w:rPr>
        <w:t xml:space="preserve"> of age </w:t>
      </w:r>
      <w:r w:rsidR="006D4D8E">
        <w:rPr>
          <w:lang w:val="en-GB"/>
        </w:rPr>
        <w:t>and</w:t>
      </w:r>
      <w:r w:rsidR="006D4D8E" w:rsidRPr="00342F7C">
        <w:rPr>
          <w:lang w:val="en-GB"/>
        </w:rPr>
        <w:t xml:space="preserve"> </w:t>
      </w:r>
      <w:r w:rsidRPr="00342F7C">
        <w:rPr>
          <w:lang w:val="en-GB"/>
        </w:rPr>
        <w:t>older who are infected with HIV.</w:t>
      </w:r>
    </w:p>
    <w:p w14:paraId="1C1F96A4" w14:textId="77777777" w:rsidR="00277ECB" w:rsidRPr="00342F7C" w:rsidRDefault="00277ECB" w:rsidP="003967C0">
      <w:pPr>
        <w:pStyle w:val="EMEANormal"/>
        <w:shd w:val="clear" w:color="auto" w:fill="D9D9D9"/>
        <w:tabs>
          <w:tab w:val="clear" w:pos="562"/>
          <w:tab w:val="left" w:pos="240"/>
        </w:tabs>
        <w:ind w:left="240" w:hanging="240"/>
        <w:rPr>
          <w:lang w:val="en-GB"/>
        </w:rPr>
      </w:pPr>
      <w:r w:rsidRPr="00342F7C">
        <w:rPr>
          <w:lang w:val="en-GB"/>
        </w:rPr>
        <w:tab/>
        <w:t>Take care when dosing children.  Dosing should be less tha</w:t>
      </w:r>
      <w:r w:rsidR="002D198C" w:rsidRPr="00342F7C">
        <w:rPr>
          <w:lang w:val="en-GB"/>
        </w:rPr>
        <w:t>n</w:t>
      </w:r>
      <w:r w:rsidRPr="00342F7C">
        <w:rPr>
          <w:lang w:val="en-GB"/>
        </w:rPr>
        <w:t xml:space="preserve"> 5 ml twice daily</w:t>
      </w:r>
      <w:r w:rsidR="00EC1F6A">
        <w:rPr>
          <w:lang w:val="en-GB"/>
        </w:rPr>
        <w:t xml:space="preserve"> for children weighing less </w:t>
      </w:r>
      <w:r w:rsidR="004426DF">
        <w:rPr>
          <w:lang w:val="en-GB"/>
        </w:rPr>
        <w:t>than</w:t>
      </w:r>
      <w:r w:rsidR="004426DF" w:rsidRPr="00342F7C">
        <w:rPr>
          <w:lang w:val="en-GB"/>
        </w:rPr>
        <w:t xml:space="preserve"> </w:t>
      </w:r>
      <w:r w:rsidRPr="00342F7C">
        <w:rPr>
          <w:lang w:val="en-GB"/>
        </w:rPr>
        <w:t>40 kg.</w:t>
      </w:r>
    </w:p>
    <w:p w14:paraId="02E2D9D0" w14:textId="77777777" w:rsidR="00277ECB" w:rsidRPr="00342F7C" w:rsidRDefault="00277ECB">
      <w:pPr>
        <w:pStyle w:val="EMEANormal"/>
        <w:rPr>
          <w:lang w:val="en-GB"/>
        </w:rPr>
      </w:pPr>
    </w:p>
    <w:p w14:paraId="53CAB7EF" w14:textId="77777777" w:rsidR="006D4D8E" w:rsidRDefault="006D4D8E" w:rsidP="006D4D8E">
      <w:pPr>
        <w:pStyle w:val="EMEANormal"/>
        <w:rPr>
          <w:lang w:val="en-GB"/>
        </w:rPr>
      </w:pPr>
      <w:r w:rsidRPr="00D17218">
        <w:rPr>
          <w:lang w:val="en-GB"/>
        </w:rPr>
        <w:t>If you or your child is able to swallow tablets, Kaletra is also supplied as film-coated tablets containing 200 mg of lopinavir and 50 mg of ritonavir and film-coated tablets containing 100 mg of lopinavir and 25 mg of ritonavir.</w:t>
      </w:r>
    </w:p>
    <w:p w14:paraId="22FF2E96" w14:textId="77777777" w:rsidR="006D4D8E" w:rsidRDefault="006D4D8E" w:rsidP="006D4D8E">
      <w:pPr>
        <w:pStyle w:val="EMEANormal"/>
        <w:rPr>
          <w:lang w:val="en-GB"/>
        </w:rPr>
      </w:pPr>
    </w:p>
    <w:p w14:paraId="32AAE40B" w14:textId="77777777" w:rsidR="00277ECB" w:rsidRDefault="00277ECB" w:rsidP="0017061C">
      <w:pPr>
        <w:pStyle w:val="EMEABullet"/>
        <w:numPr>
          <w:ilvl w:val="0"/>
          <w:numId w:val="0"/>
        </w:numPr>
        <w:rPr>
          <w:lang w:val="en-GB"/>
        </w:rPr>
      </w:pPr>
      <w:r w:rsidRPr="00342F7C">
        <w:rPr>
          <w:lang w:val="en-GB"/>
        </w:rPr>
        <w:t xml:space="preserve">Always take </w:t>
      </w:r>
      <w:r w:rsidR="008350CF">
        <w:rPr>
          <w:lang w:val="en-GB"/>
        </w:rPr>
        <w:t>this medicine</w:t>
      </w:r>
      <w:r w:rsidR="008350CF" w:rsidRPr="00342F7C">
        <w:rPr>
          <w:lang w:val="en-GB"/>
        </w:rPr>
        <w:t xml:space="preserve"> </w:t>
      </w:r>
      <w:r w:rsidRPr="00342F7C">
        <w:rPr>
          <w:lang w:val="en-GB"/>
        </w:rPr>
        <w:t>exactly as your doctor has told you.</w:t>
      </w:r>
      <w:r w:rsidR="008350CF">
        <w:rPr>
          <w:lang w:val="en-GB"/>
        </w:rPr>
        <w:t xml:space="preserve">  C</w:t>
      </w:r>
      <w:r w:rsidRPr="00342F7C">
        <w:rPr>
          <w:lang w:val="en-GB"/>
        </w:rPr>
        <w:t>heck with your doctor or pharmacist if you are not sure how you should take your medicine.</w:t>
      </w:r>
    </w:p>
    <w:p w14:paraId="60FB52A2" w14:textId="77777777" w:rsidR="005C68A8" w:rsidRPr="00342F7C" w:rsidRDefault="005C68A8" w:rsidP="00EE1EE2">
      <w:pPr>
        <w:pStyle w:val="EMEABullet"/>
        <w:numPr>
          <w:ilvl w:val="0"/>
          <w:numId w:val="0"/>
        </w:numPr>
        <w:rPr>
          <w:lang w:val="en-GB"/>
        </w:rPr>
      </w:pPr>
    </w:p>
    <w:p w14:paraId="249E0C7C" w14:textId="77777777" w:rsidR="00277ECB" w:rsidRDefault="00277ECB" w:rsidP="005C68A8">
      <w:pPr>
        <w:pStyle w:val="EMEAHeadingLeaflet"/>
        <w:spacing w:beforeLines="0" w:before="0" w:afterLines="0" w:after="0"/>
        <w:rPr>
          <w:rFonts w:ascii="Times New Roman" w:hAnsi="Times New Roman"/>
          <w:lang w:val="en-GB"/>
        </w:rPr>
      </w:pPr>
      <w:r w:rsidRPr="00342F7C">
        <w:rPr>
          <w:rFonts w:ascii="Times New Roman" w:hAnsi="Times New Roman"/>
          <w:lang w:val="en-GB"/>
        </w:rPr>
        <w:t>How much Kaletra should be taken and when?</w:t>
      </w:r>
    </w:p>
    <w:p w14:paraId="5E51BFA5" w14:textId="77777777" w:rsidR="005C68A8" w:rsidRPr="005C68A8" w:rsidRDefault="005C68A8" w:rsidP="005C68A8">
      <w:pPr>
        <w:pStyle w:val="EMEANormal"/>
        <w:rPr>
          <w:lang w:val="en-GB"/>
        </w:rPr>
      </w:pPr>
    </w:p>
    <w:p w14:paraId="01320B8A" w14:textId="77777777" w:rsidR="00277ECB" w:rsidRPr="00342F7C" w:rsidRDefault="001C77D2" w:rsidP="00454ACF">
      <w:pPr>
        <w:pStyle w:val="EMEABullet"/>
        <w:numPr>
          <w:ilvl w:val="0"/>
          <w:numId w:val="0"/>
        </w:numPr>
        <w:rPr>
          <w:lang w:val="en-GB"/>
        </w:rPr>
      </w:pPr>
      <w:r w:rsidRPr="00326048">
        <w:rPr>
          <w:b/>
          <w:lang w:val="en-GB"/>
        </w:rPr>
        <w:t xml:space="preserve">For </w:t>
      </w:r>
      <w:r w:rsidR="00454ACF" w:rsidRPr="00326048">
        <w:rPr>
          <w:b/>
          <w:lang w:val="en-GB"/>
        </w:rPr>
        <w:t xml:space="preserve">children </w:t>
      </w:r>
      <w:r w:rsidR="006D4D8E" w:rsidRPr="00326048">
        <w:rPr>
          <w:b/>
          <w:lang w:val="en-GB"/>
        </w:rPr>
        <w:t>14 days</w:t>
      </w:r>
      <w:r w:rsidR="00454ACF" w:rsidRPr="00326048">
        <w:rPr>
          <w:b/>
          <w:lang w:val="en-GB"/>
        </w:rPr>
        <w:t xml:space="preserve"> and </w:t>
      </w:r>
      <w:r w:rsidR="006D4D8E" w:rsidRPr="00326048">
        <w:rPr>
          <w:b/>
          <w:lang w:val="en-GB"/>
        </w:rPr>
        <w:t>older</w:t>
      </w:r>
      <w:r w:rsidRPr="00326048">
        <w:rPr>
          <w:b/>
          <w:lang w:val="en-GB"/>
        </w:rPr>
        <w:t xml:space="preserve"> </w:t>
      </w:r>
      <w:r w:rsidR="003370FC" w:rsidRPr="00326048">
        <w:rPr>
          <w:b/>
          <w:lang w:val="en-GB"/>
        </w:rPr>
        <w:t xml:space="preserve">and </w:t>
      </w:r>
      <w:r w:rsidR="00204B94" w:rsidRPr="00326048">
        <w:rPr>
          <w:b/>
          <w:lang w:val="en-GB"/>
        </w:rPr>
        <w:t>weigh</w:t>
      </w:r>
      <w:r w:rsidRPr="00326048">
        <w:rPr>
          <w:b/>
          <w:lang w:val="en-GB"/>
        </w:rPr>
        <w:t xml:space="preserve">ing </w:t>
      </w:r>
      <w:r w:rsidR="003370FC" w:rsidRPr="00326048">
        <w:rPr>
          <w:b/>
          <w:lang w:val="en-GB"/>
        </w:rPr>
        <w:t>up to</w:t>
      </w:r>
      <w:r w:rsidRPr="00326048">
        <w:rPr>
          <w:b/>
          <w:lang w:val="en-GB"/>
        </w:rPr>
        <w:t xml:space="preserve"> </w:t>
      </w:r>
      <w:r w:rsidR="00204B94" w:rsidRPr="00326048">
        <w:rPr>
          <w:b/>
          <w:lang w:val="en-GB"/>
        </w:rPr>
        <w:t>15</w:t>
      </w:r>
      <w:r w:rsidRPr="00326048">
        <w:rPr>
          <w:b/>
          <w:lang w:val="en-GB"/>
        </w:rPr>
        <w:t xml:space="preserve"> kg</w:t>
      </w:r>
    </w:p>
    <w:p w14:paraId="77F16480" w14:textId="77777777" w:rsidR="00277ECB" w:rsidRPr="00342F7C" w:rsidRDefault="00454ACF" w:rsidP="0052761E">
      <w:pPr>
        <w:pStyle w:val="EMEABullet"/>
        <w:numPr>
          <w:ilvl w:val="0"/>
          <w:numId w:val="30"/>
        </w:numPr>
        <w:tabs>
          <w:tab w:val="clear" w:pos="709"/>
          <w:tab w:val="num" w:pos="567"/>
        </w:tabs>
        <w:ind w:left="567"/>
        <w:rPr>
          <w:lang w:val="en-GB"/>
        </w:rPr>
      </w:pPr>
      <w:r w:rsidRPr="00342F7C">
        <w:rPr>
          <w:lang w:val="en-GB"/>
        </w:rPr>
        <w:t>Y</w:t>
      </w:r>
      <w:r w:rsidR="00277ECB" w:rsidRPr="00342F7C">
        <w:rPr>
          <w:lang w:val="en-GB"/>
        </w:rPr>
        <w:t xml:space="preserve">our doctor will decide the right dose based on the child’s height and weight.  </w:t>
      </w:r>
    </w:p>
    <w:p w14:paraId="02A98BA0" w14:textId="77777777" w:rsidR="00454ACF" w:rsidRDefault="00454ACF" w:rsidP="0052761E">
      <w:pPr>
        <w:pStyle w:val="EMEABullet"/>
        <w:numPr>
          <w:ilvl w:val="0"/>
          <w:numId w:val="30"/>
        </w:numPr>
        <w:tabs>
          <w:tab w:val="clear" w:pos="709"/>
          <w:tab w:val="num" w:pos="567"/>
        </w:tabs>
        <w:ind w:left="567"/>
        <w:rPr>
          <w:lang w:val="en-GB"/>
        </w:rPr>
      </w:pPr>
      <w:r w:rsidRPr="00342F7C">
        <w:rPr>
          <w:lang w:val="en-GB"/>
        </w:rPr>
        <w:t>It is important that all doses of Kaletra oral solution are taken with food.</w:t>
      </w:r>
    </w:p>
    <w:p w14:paraId="3D5E2136" w14:textId="77777777" w:rsidR="006D4D8E" w:rsidRPr="006D4D8E" w:rsidRDefault="006D4D8E" w:rsidP="0052761E">
      <w:pPr>
        <w:pStyle w:val="EMEABullet"/>
        <w:numPr>
          <w:ilvl w:val="0"/>
          <w:numId w:val="30"/>
        </w:numPr>
        <w:tabs>
          <w:tab w:val="clear" w:pos="709"/>
          <w:tab w:val="num" w:pos="567"/>
        </w:tabs>
        <w:ind w:left="567"/>
        <w:rPr>
          <w:lang w:val="en-GB"/>
        </w:rPr>
      </w:pPr>
      <w:r w:rsidRPr="006D4D8E">
        <w:rPr>
          <w:lang w:val="en-GB"/>
        </w:rPr>
        <w:t xml:space="preserve">Use the </w:t>
      </w:r>
      <w:r w:rsidRPr="00326048">
        <w:rPr>
          <w:b/>
          <w:lang w:val="en-GB"/>
        </w:rPr>
        <w:t xml:space="preserve">2 ml </w:t>
      </w:r>
      <w:r w:rsidRPr="00326048">
        <w:rPr>
          <w:lang w:val="en-GB"/>
        </w:rPr>
        <w:t>oral</w:t>
      </w:r>
      <w:r w:rsidRPr="006D4D8E">
        <w:rPr>
          <w:lang w:val="en-GB"/>
        </w:rPr>
        <w:t xml:space="preserve"> syringe provided to measure the dose.</w:t>
      </w:r>
    </w:p>
    <w:p w14:paraId="5F2CF547" w14:textId="77777777" w:rsidR="00454ACF" w:rsidRPr="00342F7C" w:rsidRDefault="00454ACF" w:rsidP="00454ACF">
      <w:pPr>
        <w:pStyle w:val="EMEABullet"/>
        <w:numPr>
          <w:ilvl w:val="0"/>
          <w:numId w:val="0"/>
        </w:numPr>
        <w:rPr>
          <w:lang w:val="en-GB"/>
        </w:rPr>
      </w:pPr>
    </w:p>
    <w:p w14:paraId="5ACA7B69" w14:textId="77777777" w:rsidR="001C77D2" w:rsidRPr="00326048" w:rsidRDefault="001C77D2" w:rsidP="001C77D2">
      <w:pPr>
        <w:pStyle w:val="EMEABullet"/>
        <w:numPr>
          <w:ilvl w:val="0"/>
          <w:numId w:val="0"/>
        </w:numPr>
        <w:rPr>
          <w:b/>
          <w:lang w:val="en-GB"/>
        </w:rPr>
      </w:pPr>
      <w:r w:rsidRPr="00326048">
        <w:rPr>
          <w:b/>
          <w:lang w:val="en-GB"/>
        </w:rPr>
        <w:t>For</w:t>
      </w:r>
      <w:r w:rsidR="002F08BD" w:rsidRPr="00326048">
        <w:rPr>
          <w:b/>
          <w:lang w:val="en-GB"/>
        </w:rPr>
        <w:t xml:space="preserve"> children </w:t>
      </w:r>
      <w:r w:rsidR="00204B94" w:rsidRPr="00326048">
        <w:rPr>
          <w:b/>
          <w:lang w:val="en-GB"/>
        </w:rPr>
        <w:t>weigh</w:t>
      </w:r>
      <w:r w:rsidRPr="00326048">
        <w:rPr>
          <w:b/>
          <w:lang w:val="en-GB"/>
        </w:rPr>
        <w:t xml:space="preserve">ing </w:t>
      </w:r>
      <w:r w:rsidR="000F4920">
        <w:rPr>
          <w:b/>
          <w:lang w:val="en-GB"/>
        </w:rPr>
        <w:t>more than</w:t>
      </w:r>
      <w:r w:rsidR="00FB583A" w:rsidRPr="00326048">
        <w:rPr>
          <w:b/>
          <w:lang w:val="en-GB"/>
        </w:rPr>
        <w:t xml:space="preserve"> </w:t>
      </w:r>
      <w:r w:rsidR="00204B94" w:rsidRPr="00326048">
        <w:rPr>
          <w:b/>
          <w:lang w:val="en-GB"/>
        </w:rPr>
        <w:t>15</w:t>
      </w:r>
      <w:r w:rsidRPr="00326048">
        <w:rPr>
          <w:b/>
          <w:lang w:val="en-GB"/>
        </w:rPr>
        <w:t xml:space="preserve"> kg</w:t>
      </w:r>
    </w:p>
    <w:p w14:paraId="24ED4416" w14:textId="77777777" w:rsidR="001C77D2" w:rsidRPr="001C77D2" w:rsidRDefault="001C77D2" w:rsidP="001C77D2">
      <w:pPr>
        <w:pStyle w:val="EMEABullet"/>
        <w:numPr>
          <w:ilvl w:val="0"/>
          <w:numId w:val="0"/>
        </w:numPr>
        <w:rPr>
          <w:highlight w:val="yellow"/>
          <w:lang w:val="en-GB"/>
        </w:rPr>
      </w:pPr>
    </w:p>
    <w:p w14:paraId="3D59CAC5" w14:textId="77777777" w:rsidR="001C77D2" w:rsidRPr="00326048" w:rsidRDefault="001C77D2" w:rsidP="0052761E">
      <w:pPr>
        <w:pStyle w:val="EMEABullet"/>
        <w:numPr>
          <w:ilvl w:val="0"/>
          <w:numId w:val="30"/>
        </w:numPr>
        <w:tabs>
          <w:tab w:val="clear" w:pos="709"/>
          <w:tab w:val="num" w:pos="567"/>
        </w:tabs>
        <w:ind w:left="567"/>
        <w:rPr>
          <w:lang w:val="en-GB"/>
        </w:rPr>
      </w:pPr>
      <w:r w:rsidRPr="00326048">
        <w:rPr>
          <w:lang w:val="en-GB"/>
        </w:rPr>
        <w:t xml:space="preserve">Your doctor will decide the right dose based on the child’s height and weight.  </w:t>
      </w:r>
    </w:p>
    <w:p w14:paraId="38C4CC0C" w14:textId="77777777" w:rsidR="001C77D2" w:rsidRPr="00326048" w:rsidRDefault="001C77D2" w:rsidP="0052761E">
      <w:pPr>
        <w:pStyle w:val="EMEABullet"/>
        <w:numPr>
          <w:ilvl w:val="0"/>
          <w:numId w:val="30"/>
        </w:numPr>
        <w:tabs>
          <w:tab w:val="clear" w:pos="709"/>
          <w:tab w:val="num" w:pos="567"/>
        </w:tabs>
        <w:ind w:left="567"/>
        <w:rPr>
          <w:lang w:val="en-GB"/>
        </w:rPr>
      </w:pPr>
      <w:r w:rsidRPr="00326048">
        <w:rPr>
          <w:lang w:val="en-GB"/>
        </w:rPr>
        <w:t>It is important that all doses of Kaletra oral solution are taken with food.</w:t>
      </w:r>
    </w:p>
    <w:p w14:paraId="70D4B216" w14:textId="77777777" w:rsidR="001C77D2" w:rsidRPr="00326048" w:rsidRDefault="001C77D2" w:rsidP="0052761E">
      <w:pPr>
        <w:pStyle w:val="EMEABullet"/>
        <w:numPr>
          <w:ilvl w:val="0"/>
          <w:numId w:val="30"/>
        </w:numPr>
        <w:tabs>
          <w:tab w:val="clear" w:pos="709"/>
          <w:tab w:val="num" w:pos="567"/>
        </w:tabs>
        <w:ind w:left="567"/>
        <w:rPr>
          <w:lang w:val="en-GB"/>
        </w:rPr>
      </w:pPr>
      <w:r w:rsidRPr="00326048">
        <w:rPr>
          <w:lang w:val="en-GB"/>
        </w:rPr>
        <w:t xml:space="preserve">Use the </w:t>
      </w:r>
      <w:r w:rsidRPr="00326048">
        <w:rPr>
          <w:b/>
          <w:lang w:val="en-GB"/>
        </w:rPr>
        <w:t>5 ml</w:t>
      </w:r>
      <w:r w:rsidRPr="00326048">
        <w:rPr>
          <w:lang w:val="en-GB"/>
        </w:rPr>
        <w:t xml:space="preserve"> oral syringe provided to measure the dose.</w:t>
      </w:r>
    </w:p>
    <w:p w14:paraId="2AC0EC02" w14:textId="77777777" w:rsidR="005D5FCA" w:rsidRPr="00326048" w:rsidRDefault="005D5FCA" w:rsidP="00A43FB7">
      <w:pPr>
        <w:pStyle w:val="EMEABullet"/>
        <w:numPr>
          <w:ilvl w:val="0"/>
          <w:numId w:val="0"/>
        </w:numPr>
        <w:rPr>
          <w:lang w:val="en-GB"/>
        </w:rPr>
      </w:pPr>
    </w:p>
    <w:p w14:paraId="462ABF80" w14:textId="77777777" w:rsidR="005D5FCA" w:rsidRPr="00326048" w:rsidRDefault="005D5FCA" w:rsidP="005D5FCA">
      <w:pPr>
        <w:pStyle w:val="EMEANormal"/>
        <w:rPr>
          <w:b/>
          <w:lang w:val="en-GB"/>
        </w:rPr>
      </w:pPr>
      <w:r w:rsidRPr="00326048">
        <w:rPr>
          <w:b/>
          <w:lang w:val="en-GB"/>
        </w:rPr>
        <w:t>Use in adults</w:t>
      </w:r>
    </w:p>
    <w:p w14:paraId="710162DF" w14:textId="77777777" w:rsidR="005D5FCA" w:rsidRPr="00326048" w:rsidRDefault="005D5FCA" w:rsidP="005D5FCA">
      <w:pPr>
        <w:pStyle w:val="EMEANormal"/>
        <w:rPr>
          <w:lang w:val="en-GB"/>
        </w:rPr>
      </w:pPr>
    </w:p>
    <w:p w14:paraId="5D3AE8E4" w14:textId="77777777" w:rsidR="005D5FCA" w:rsidRPr="00326048" w:rsidRDefault="005D5FCA" w:rsidP="0052761E">
      <w:pPr>
        <w:pStyle w:val="EMEABullet"/>
        <w:numPr>
          <w:ilvl w:val="0"/>
          <w:numId w:val="29"/>
        </w:numPr>
        <w:tabs>
          <w:tab w:val="clear" w:pos="709"/>
          <w:tab w:val="num" w:pos="567"/>
        </w:tabs>
        <w:ind w:left="567"/>
        <w:rPr>
          <w:lang w:val="en-GB"/>
        </w:rPr>
      </w:pPr>
      <w:r w:rsidRPr="00326048">
        <w:rPr>
          <w:lang w:val="en-GB"/>
        </w:rPr>
        <w:t xml:space="preserve">The usual adult dose is 5 ml of the oral solution twice a day i.e. every 12 hours, in combination with other anti-HIV medicines.  Your doctor will advise on the amount of Kaletra to be taken. </w:t>
      </w:r>
    </w:p>
    <w:p w14:paraId="3805519D" w14:textId="77777777" w:rsidR="005D5FCA" w:rsidRPr="00326048" w:rsidRDefault="005D5FCA" w:rsidP="0052761E">
      <w:pPr>
        <w:pStyle w:val="EMEABullet"/>
        <w:numPr>
          <w:ilvl w:val="0"/>
          <w:numId w:val="29"/>
        </w:numPr>
        <w:tabs>
          <w:tab w:val="clear" w:pos="709"/>
          <w:tab w:val="num" w:pos="567"/>
        </w:tabs>
        <w:ind w:left="567"/>
        <w:rPr>
          <w:lang w:val="en-GB"/>
        </w:rPr>
      </w:pPr>
      <w:r w:rsidRPr="00326048">
        <w:rPr>
          <w:lang w:val="en-GB"/>
        </w:rPr>
        <w:t>It is important that all doses of Kaletra oral solution are taken with food.</w:t>
      </w:r>
    </w:p>
    <w:p w14:paraId="3F18C542" w14:textId="77777777" w:rsidR="00A43FB7" w:rsidRPr="00326048" w:rsidRDefault="005D5FCA" w:rsidP="0052761E">
      <w:pPr>
        <w:pStyle w:val="EMEABullet"/>
        <w:numPr>
          <w:ilvl w:val="0"/>
          <w:numId w:val="29"/>
        </w:numPr>
        <w:tabs>
          <w:tab w:val="clear" w:pos="709"/>
          <w:tab w:val="num" w:pos="567"/>
        </w:tabs>
        <w:ind w:left="567"/>
        <w:rPr>
          <w:lang w:val="en-GB"/>
        </w:rPr>
      </w:pPr>
      <w:r w:rsidRPr="00326048">
        <w:rPr>
          <w:lang w:val="en-GB"/>
        </w:rPr>
        <w:t xml:space="preserve">Use the </w:t>
      </w:r>
      <w:r w:rsidRPr="00326048">
        <w:rPr>
          <w:b/>
          <w:lang w:val="en-GB"/>
        </w:rPr>
        <w:t>5 ml</w:t>
      </w:r>
      <w:r w:rsidR="00A43FB7" w:rsidRPr="00326048">
        <w:rPr>
          <w:lang w:val="en-GB"/>
        </w:rPr>
        <w:t xml:space="preserve"> oral syringe provided to measu</w:t>
      </w:r>
      <w:r w:rsidRPr="00326048">
        <w:rPr>
          <w:lang w:val="en-GB"/>
        </w:rPr>
        <w:t>re the dose.</w:t>
      </w:r>
      <w:r w:rsidR="00A43FB7" w:rsidRPr="00326048">
        <w:rPr>
          <w:lang w:val="en-GB"/>
        </w:rPr>
        <w:t xml:space="preserve"> </w:t>
      </w:r>
    </w:p>
    <w:p w14:paraId="34544AEC" w14:textId="77777777" w:rsidR="005D5FCA" w:rsidRPr="005D5FCA" w:rsidRDefault="005D5FCA" w:rsidP="00A43FB7">
      <w:pPr>
        <w:pStyle w:val="EMEABullet"/>
        <w:numPr>
          <w:ilvl w:val="0"/>
          <w:numId w:val="0"/>
        </w:numPr>
        <w:rPr>
          <w:highlight w:val="yellow"/>
          <w:lang w:val="en-GB"/>
        </w:rPr>
      </w:pPr>
    </w:p>
    <w:p w14:paraId="20CB0053" w14:textId="77777777" w:rsidR="00277ECB" w:rsidRDefault="00277ECB" w:rsidP="006D4D8E">
      <w:pPr>
        <w:pStyle w:val="EMEAHeading2SPC"/>
        <w:spacing w:beforeLines="0" w:before="0" w:afterLines="0" w:after="0"/>
        <w:rPr>
          <w:rFonts w:ascii="Times New Roman" w:hAnsi="Times New Roman"/>
          <w:lang w:val="en-GB"/>
        </w:rPr>
      </w:pPr>
      <w:r w:rsidRPr="00342F7C">
        <w:rPr>
          <w:rFonts w:ascii="Times New Roman" w:hAnsi="Times New Roman"/>
          <w:lang w:val="en-GB"/>
        </w:rPr>
        <w:t>How do I measure the correct dose?</w:t>
      </w:r>
    </w:p>
    <w:p w14:paraId="26D839A9" w14:textId="77777777" w:rsidR="006D4D8E" w:rsidRDefault="006D4D8E" w:rsidP="007E786E">
      <w:pPr>
        <w:pStyle w:val="EMEANormal"/>
        <w:rPr>
          <w:lang w:val="en-GB"/>
        </w:rPr>
      </w:pPr>
    </w:p>
    <w:p w14:paraId="5028C323" w14:textId="77777777" w:rsidR="006D4D8E" w:rsidRPr="00D17218" w:rsidRDefault="006D4D8E" w:rsidP="0052761E">
      <w:pPr>
        <w:pStyle w:val="EMEANormal"/>
        <w:numPr>
          <w:ilvl w:val="0"/>
          <w:numId w:val="31"/>
        </w:numPr>
        <w:tabs>
          <w:tab w:val="clear" w:pos="562"/>
          <w:tab w:val="left" w:pos="567"/>
        </w:tabs>
        <w:ind w:left="567" w:hanging="567"/>
        <w:rPr>
          <w:szCs w:val="22"/>
          <w:lang w:val="en-GB"/>
        </w:rPr>
      </w:pPr>
      <w:r w:rsidRPr="00D17218">
        <w:rPr>
          <w:szCs w:val="22"/>
          <w:lang w:val="en-GB"/>
        </w:rPr>
        <w:t xml:space="preserve">If the dose is up to 2 ml - use the </w:t>
      </w:r>
      <w:r w:rsidRPr="00326048">
        <w:rPr>
          <w:b/>
          <w:szCs w:val="22"/>
          <w:lang w:val="en-GB"/>
        </w:rPr>
        <w:t>2 ml</w:t>
      </w:r>
      <w:r w:rsidRPr="00D17218">
        <w:rPr>
          <w:szCs w:val="22"/>
          <w:lang w:val="en-GB"/>
        </w:rPr>
        <w:t xml:space="preserve"> oral dosing syringe to prepare a dose.  </w:t>
      </w:r>
    </w:p>
    <w:p w14:paraId="46D2FF24" w14:textId="77777777" w:rsidR="006D4D8E" w:rsidRPr="00D17218" w:rsidRDefault="006D4D8E" w:rsidP="0052761E">
      <w:pPr>
        <w:pStyle w:val="EMEANormal"/>
        <w:numPr>
          <w:ilvl w:val="0"/>
          <w:numId w:val="31"/>
        </w:numPr>
        <w:tabs>
          <w:tab w:val="clear" w:pos="562"/>
          <w:tab w:val="left" w:pos="567"/>
        </w:tabs>
        <w:ind w:left="567" w:hanging="567"/>
        <w:rPr>
          <w:szCs w:val="22"/>
          <w:lang w:val="en-GB"/>
        </w:rPr>
      </w:pPr>
      <w:r w:rsidRPr="00D17218">
        <w:rPr>
          <w:szCs w:val="22"/>
          <w:lang w:val="en-GB"/>
        </w:rPr>
        <w:t xml:space="preserve">If the dose is between 2 ml and 5 ml - use the </w:t>
      </w:r>
      <w:r w:rsidRPr="00326048">
        <w:rPr>
          <w:b/>
          <w:szCs w:val="22"/>
          <w:lang w:val="en-GB"/>
        </w:rPr>
        <w:t>5 ml</w:t>
      </w:r>
      <w:r w:rsidRPr="00D17218">
        <w:rPr>
          <w:szCs w:val="22"/>
          <w:lang w:val="en-GB"/>
        </w:rPr>
        <w:t xml:space="preserve"> oral dosing syringe to prepare a dose. </w:t>
      </w:r>
    </w:p>
    <w:p w14:paraId="2792D15C" w14:textId="77777777" w:rsidR="006D4D8E" w:rsidRDefault="006D4D8E" w:rsidP="003326C9">
      <w:pPr>
        <w:pStyle w:val="EMEANormal"/>
        <w:tabs>
          <w:tab w:val="clear" w:pos="562"/>
        </w:tabs>
        <w:rPr>
          <w:szCs w:val="22"/>
          <w:lang w:val="en-GB"/>
        </w:rPr>
      </w:pPr>
    </w:p>
    <w:p w14:paraId="467682A0" w14:textId="77777777" w:rsidR="006D4D8E" w:rsidRDefault="006D4D8E" w:rsidP="006D4D8E">
      <w:pPr>
        <w:pStyle w:val="EMEANormal"/>
        <w:tabs>
          <w:tab w:val="clear" w:pos="562"/>
        </w:tabs>
        <w:rPr>
          <w:szCs w:val="22"/>
          <w:lang w:val="en-GB"/>
        </w:rPr>
      </w:pPr>
      <w:r w:rsidRPr="00D17218">
        <w:rPr>
          <w:szCs w:val="22"/>
          <w:lang w:val="en-GB"/>
        </w:rPr>
        <w:t xml:space="preserve">Check with your pharmacist that you have the correct size of syringe.  </w:t>
      </w:r>
      <w:r w:rsidRPr="005C2EAC">
        <w:rPr>
          <w:szCs w:val="22"/>
          <w:lang w:val="en-GB"/>
        </w:rPr>
        <w:t xml:space="preserve">If you are not sure how to use </w:t>
      </w:r>
      <w:r w:rsidRPr="00D17218">
        <w:rPr>
          <w:szCs w:val="22"/>
          <w:lang w:val="en-GB"/>
        </w:rPr>
        <w:t xml:space="preserve">the oral dosing syringe ask your doctor, pharmacist or nurse.  They will tell you how to use the syringe correctly.  </w:t>
      </w:r>
    </w:p>
    <w:p w14:paraId="4B7E038C" w14:textId="77777777" w:rsidR="006D4D8E" w:rsidRPr="00D17218" w:rsidRDefault="006D4D8E" w:rsidP="006D4D8E">
      <w:pPr>
        <w:pStyle w:val="EMEANormal"/>
        <w:tabs>
          <w:tab w:val="clear" w:pos="562"/>
        </w:tabs>
        <w:rPr>
          <w:szCs w:val="22"/>
          <w:lang w:val="en-GB"/>
        </w:rPr>
      </w:pPr>
    </w:p>
    <w:p w14:paraId="3C5B0061" w14:textId="77777777" w:rsidR="006D4D8E" w:rsidRPr="006D4D8E" w:rsidRDefault="006D4D8E" w:rsidP="006D4D8E">
      <w:pPr>
        <w:pStyle w:val="EMEANormal"/>
        <w:tabs>
          <w:tab w:val="clear" w:pos="562"/>
        </w:tabs>
        <w:rPr>
          <w:szCs w:val="22"/>
          <w:lang w:val="en-GB"/>
        </w:rPr>
      </w:pPr>
      <w:r w:rsidRPr="00D17218">
        <w:rPr>
          <w:szCs w:val="22"/>
          <w:lang w:val="en-GB"/>
        </w:rPr>
        <w:t>Do not shake the bottle – this is because air bubbles can form which will affect how well you can measure the dose.</w:t>
      </w:r>
      <w:r w:rsidRPr="00877025">
        <w:rPr>
          <w:szCs w:val="22"/>
          <w:lang w:val="en-GB"/>
        </w:rPr>
        <w:t xml:space="preserve">  </w:t>
      </w:r>
    </w:p>
    <w:p w14:paraId="0A2A6002" w14:textId="77777777" w:rsidR="005C68A8" w:rsidRPr="005C68A8" w:rsidRDefault="005C68A8" w:rsidP="005C68A8">
      <w:pPr>
        <w:pStyle w:val="EMEANormal"/>
        <w:rPr>
          <w:lang w:val="en-GB"/>
        </w:rPr>
      </w:pPr>
    </w:p>
    <w:p w14:paraId="16B1ED3E" w14:textId="77777777" w:rsidR="00277ECB" w:rsidRPr="00342F7C" w:rsidRDefault="00277ECB">
      <w:pPr>
        <w:pStyle w:val="EMEANormal"/>
        <w:rPr>
          <w:lang w:val="en-GB"/>
        </w:rPr>
      </w:pPr>
      <w:r w:rsidRPr="00342F7C">
        <w:rPr>
          <w:lang w:val="en-GB"/>
        </w:rPr>
        <w:t>Open the child-proof cap by pushing down on it with your palm and twisting it counter clockwise, or in the direction of the arrow</w:t>
      </w:r>
      <w:r w:rsidR="006D4D8E">
        <w:rPr>
          <w:lang w:val="en-GB"/>
        </w:rPr>
        <w:t xml:space="preserve"> on the top of the cap</w:t>
      </w:r>
      <w:r w:rsidRPr="00342F7C">
        <w:rPr>
          <w:lang w:val="en-GB"/>
        </w:rPr>
        <w:t>.  Talk to you</w:t>
      </w:r>
      <w:r w:rsidR="002D198C" w:rsidRPr="00342F7C">
        <w:rPr>
          <w:lang w:val="en-GB"/>
        </w:rPr>
        <w:t>r</w:t>
      </w:r>
      <w:r w:rsidRPr="00342F7C">
        <w:rPr>
          <w:lang w:val="en-GB"/>
        </w:rPr>
        <w:t xml:space="preserve"> pharmacist if you have difficulty opening the bottle.</w:t>
      </w:r>
    </w:p>
    <w:p w14:paraId="42E7260F" w14:textId="77777777" w:rsidR="00277ECB" w:rsidRPr="00342F7C" w:rsidRDefault="00277ECB">
      <w:pPr>
        <w:rPr>
          <w:sz w:val="22"/>
        </w:rPr>
      </w:pPr>
    </w:p>
    <w:p w14:paraId="38ABF2AE" w14:textId="77777777" w:rsidR="00277ECB" w:rsidRPr="00342F7C" w:rsidRDefault="0040661B">
      <w:pPr>
        <w:pStyle w:val="EMEANormal"/>
        <w:rPr>
          <w:lang w:val="en-GB"/>
        </w:rPr>
      </w:pPr>
      <w:r>
        <w:rPr>
          <w:noProof/>
          <w:lang w:val="en-GB" w:eastAsia="en-GB"/>
        </w:rPr>
        <w:drawing>
          <wp:inline distT="0" distB="0" distL="0" distR="0" wp14:anchorId="5B8D61D0" wp14:editId="59EE6265">
            <wp:extent cx="5821045" cy="1590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l="-131190" t="244" r="-139394" b="-2077"/>
                    <a:stretch>
                      <a:fillRect/>
                    </a:stretch>
                  </pic:blipFill>
                  <pic:spPr bwMode="auto">
                    <a:xfrm>
                      <a:off x="0" y="0"/>
                      <a:ext cx="5821045" cy="1590040"/>
                    </a:xfrm>
                    <a:prstGeom prst="rect">
                      <a:avLst/>
                    </a:prstGeom>
                    <a:noFill/>
                    <a:ln>
                      <a:noFill/>
                    </a:ln>
                  </pic:spPr>
                </pic:pic>
              </a:graphicData>
            </a:graphic>
          </wp:inline>
        </w:drawing>
      </w:r>
    </w:p>
    <w:p w14:paraId="3789BFE6" w14:textId="77777777" w:rsidR="00277ECB" w:rsidRPr="00342F7C" w:rsidRDefault="00277ECB">
      <w:pPr>
        <w:pStyle w:val="EMEANormal"/>
        <w:rPr>
          <w:lang w:val="en-GB"/>
        </w:rPr>
      </w:pPr>
    </w:p>
    <w:p w14:paraId="3A93A75B" w14:textId="77777777" w:rsidR="00BD1CE2" w:rsidRDefault="00BD1CE2">
      <w:pPr>
        <w:pStyle w:val="EMEANormal"/>
        <w:rPr>
          <w:lang w:val="en-GB"/>
        </w:rPr>
      </w:pPr>
    </w:p>
    <w:p w14:paraId="4D882EDE" w14:textId="77777777" w:rsidR="00BD1CE2" w:rsidRDefault="00BD1CE2" w:rsidP="00BD1CE2">
      <w:pPr>
        <w:pStyle w:val="EMEANormal"/>
        <w:rPr>
          <w:b/>
          <w:szCs w:val="22"/>
        </w:rPr>
      </w:pPr>
      <w:r w:rsidRPr="002432DE">
        <w:rPr>
          <w:b/>
          <w:szCs w:val="22"/>
        </w:rPr>
        <w:t>Using the 2 ml oral dosing syringe</w:t>
      </w:r>
      <w:r w:rsidR="001C77D2">
        <w:rPr>
          <w:b/>
          <w:szCs w:val="22"/>
        </w:rPr>
        <w:t xml:space="preserve"> </w:t>
      </w:r>
      <w:r w:rsidR="001C77D2" w:rsidRPr="00833268">
        <w:rPr>
          <w:b/>
          <w:szCs w:val="22"/>
        </w:rPr>
        <w:t>for doses up to 2 ml</w:t>
      </w:r>
      <w:r w:rsidR="001C77D2">
        <w:rPr>
          <w:b/>
          <w:szCs w:val="22"/>
        </w:rPr>
        <w:t xml:space="preserve"> </w:t>
      </w:r>
    </w:p>
    <w:p w14:paraId="7C7AC832" w14:textId="77777777" w:rsidR="00BD1CE2" w:rsidRDefault="0040661B" w:rsidP="00BD1CE2">
      <w:pPr>
        <w:pStyle w:val="EMEANormal"/>
        <w:tabs>
          <w:tab w:val="left" w:pos="6804"/>
          <w:tab w:val="left" w:pos="7371"/>
        </w:tabs>
        <w:rPr>
          <w:b/>
          <w:szCs w:val="22"/>
        </w:rPr>
      </w:pPr>
      <w:r>
        <w:rPr>
          <w:noProof/>
          <w:szCs w:val="22"/>
          <w:lang w:val="en-GB" w:eastAsia="en-GB"/>
        </w:rPr>
        <mc:AlternateContent>
          <mc:Choice Requires="wpg">
            <w:drawing>
              <wp:anchor distT="0" distB="0" distL="114300" distR="114300" simplePos="0" relativeHeight="251658240" behindDoc="0" locked="0" layoutInCell="1" allowOverlap="1" wp14:anchorId="2941A3DF" wp14:editId="56385A0F">
                <wp:simplePos x="0" y="0"/>
                <wp:positionH relativeFrom="column">
                  <wp:posOffset>1861820</wp:posOffset>
                </wp:positionH>
                <wp:positionV relativeFrom="paragraph">
                  <wp:posOffset>140335</wp:posOffset>
                </wp:positionV>
                <wp:extent cx="3569970" cy="1785620"/>
                <wp:effectExtent l="0" t="635" r="1905" b="4445"/>
                <wp:wrapNone/>
                <wp:docPr id="22"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9970" cy="1785620"/>
                          <a:chOff x="4709" y="4619"/>
                          <a:chExt cx="5622" cy="2812"/>
                        </a:xfrm>
                      </wpg:grpSpPr>
                      <wps:wsp>
                        <wps:cNvPr id="23" name="Text Box 2"/>
                        <wps:cNvSpPr txBox="1">
                          <a:spLocks noChangeArrowheads="1"/>
                        </wps:cNvSpPr>
                        <wps:spPr bwMode="auto">
                          <a:xfrm>
                            <a:off x="9328" y="4735"/>
                            <a:ext cx="825" cy="351"/>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7ABB2F3C" w14:textId="77777777" w:rsidR="00A523DF" w:rsidRPr="00A231BD" w:rsidRDefault="00A523DF" w:rsidP="00BD1CE2">
                              <w:pPr>
                                <w:rPr>
                                  <w:sz w:val="18"/>
                                  <w:szCs w:val="18"/>
                                </w:rPr>
                              </w:pPr>
                              <w:r w:rsidRPr="00A231BD">
                                <w:rPr>
                                  <w:sz w:val="18"/>
                                  <w:szCs w:val="18"/>
                                </w:rPr>
                                <w:t>Collar</w:t>
                              </w:r>
                            </w:p>
                          </w:txbxContent>
                        </wps:txbx>
                        <wps:bodyPr rot="0" vert="horz" wrap="square" lIns="91440" tIns="45720" rIns="91440" bIns="45720" anchor="t" anchorCtr="0" upright="1">
                          <a:spAutoFit/>
                        </wps:bodyPr>
                      </wps:wsp>
                      <wps:wsp>
                        <wps:cNvPr id="24" name="Text Box 2"/>
                        <wps:cNvSpPr txBox="1">
                          <a:spLocks noChangeArrowheads="1"/>
                        </wps:cNvSpPr>
                        <wps:spPr bwMode="auto">
                          <a:xfrm>
                            <a:off x="9311" y="5545"/>
                            <a:ext cx="1020" cy="351"/>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51EDE6D6" w14:textId="77777777" w:rsidR="00A523DF" w:rsidRPr="00A231BD" w:rsidRDefault="00A523DF" w:rsidP="00BD1CE2">
                              <w:pPr>
                                <w:rPr>
                                  <w:sz w:val="18"/>
                                  <w:szCs w:val="18"/>
                                </w:rPr>
                              </w:pPr>
                              <w:r>
                                <w:rPr>
                                  <w:sz w:val="18"/>
                                  <w:szCs w:val="18"/>
                                </w:rPr>
                                <w:t>Plunger</w:t>
                              </w:r>
                            </w:p>
                          </w:txbxContent>
                        </wps:txbx>
                        <wps:bodyPr rot="0" vert="horz" wrap="square" lIns="91440" tIns="45720" rIns="91440" bIns="45720" anchor="t" anchorCtr="0" upright="1">
                          <a:spAutoFit/>
                        </wps:bodyPr>
                      </wps:wsp>
                      <wps:wsp>
                        <wps:cNvPr id="25" name="Text Box 2"/>
                        <wps:cNvSpPr txBox="1">
                          <a:spLocks noChangeArrowheads="1"/>
                        </wps:cNvSpPr>
                        <wps:spPr bwMode="auto">
                          <a:xfrm>
                            <a:off x="9311" y="6484"/>
                            <a:ext cx="825" cy="351"/>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38A5BB81" w14:textId="77777777" w:rsidR="00A523DF" w:rsidRPr="00A231BD" w:rsidRDefault="00A523DF" w:rsidP="00BD1CE2">
                              <w:pPr>
                                <w:rPr>
                                  <w:sz w:val="18"/>
                                  <w:szCs w:val="18"/>
                                </w:rPr>
                              </w:pPr>
                              <w:r>
                                <w:rPr>
                                  <w:sz w:val="18"/>
                                  <w:szCs w:val="18"/>
                                </w:rPr>
                                <w:t>Barrel</w:t>
                              </w:r>
                            </w:p>
                          </w:txbxContent>
                        </wps:txbx>
                        <wps:bodyPr rot="0" vert="horz" wrap="square" lIns="91440" tIns="45720" rIns="91440" bIns="45720" anchor="t" anchorCtr="0" upright="1">
                          <a:spAutoFit/>
                        </wps:bodyPr>
                      </wps:wsp>
                      <wps:wsp>
                        <wps:cNvPr id="26" name="Text Box 2"/>
                        <wps:cNvSpPr txBox="1">
                          <a:spLocks noChangeArrowheads="1"/>
                        </wps:cNvSpPr>
                        <wps:spPr bwMode="auto">
                          <a:xfrm>
                            <a:off x="9311" y="7080"/>
                            <a:ext cx="649" cy="351"/>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16CFD495" w14:textId="77777777" w:rsidR="00A523DF" w:rsidRPr="00A231BD" w:rsidRDefault="00A523DF" w:rsidP="00BD1CE2">
                              <w:pPr>
                                <w:rPr>
                                  <w:sz w:val="18"/>
                                  <w:szCs w:val="18"/>
                                </w:rPr>
                              </w:pPr>
                              <w:r>
                                <w:rPr>
                                  <w:sz w:val="18"/>
                                  <w:szCs w:val="18"/>
                                </w:rPr>
                                <w:t>Tip</w:t>
                              </w:r>
                            </w:p>
                          </w:txbxContent>
                        </wps:txbx>
                        <wps:bodyPr rot="0" vert="horz" wrap="square" lIns="91440" tIns="45720" rIns="91440" bIns="45720" anchor="t" anchorCtr="0" upright="1">
                          <a:spAutoFit/>
                        </wps:bodyPr>
                      </wps:wsp>
                      <pic:pic xmlns:pic="http://schemas.openxmlformats.org/drawingml/2006/picture">
                        <pic:nvPicPr>
                          <pic:cNvPr id="27"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709" y="4619"/>
                            <a:ext cx="2789" cy="2806"/>
                          </a:xfrm>
                          <a:prstGeom prst="rect">
                            <a:avLst/>
                          </a:prstGeom>
                          <a:noFill/>
                          <a:extLst>
                            <a:ext uri="{909E8E84-426E-40DD-AFC4-6F175D3DCCD1}">
                              <a14:hiddenFill xmlns:a14="http://schemas.microsoft.com/office/drawing/2010/main">
                                <a:solidFill>
                                  <a:srgbClr val="FFFFFF"/>
                                </a:solidFill>
                              </a14:hiddenFill>
                            </a:ext>
                          </a:extLst>
                        </pic:spPr>
                      </pic:pic>
                      <wps:wsp>
                        <wps:cNvPr id="28" name="AutoShape 24"/>
                        <wps:cNvCnPr>
                          <a:cxnSpLocks noChangeShapeType="1"/>
                        </wps:cNvCnPr>
                        <wps:spPr bwMode="auto">
                          <a:xfrm flipH="1">
                            <a:off x="6466" y="4931"/>
                            <a:ext cx="2962" cy="1"/>
                          </a:xfrm>
                          <a:prstGeom prst="straightConnector1">
                            <a:avLst/>
                          </a:prstGeom>
                          <a:noFill/>
                          <a:ln w="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25"/>
                        <wps:cNvCnPr>
                          <a:cxnSpLocks noChangeShapeType="1"/>
                        </wps:cNvCnPr>
                        <wps:spPr bwMode="auto">
                          <a:xfrm flipH="1">
                            <a:off x="5869" y="5706"/>
                            <a:ext cx="3442" cy="0"/>
                          </a:xfrm>
                          <a:prstGeom prst="straightConnector1">
                            <a:avLst/>
                          </a:prstGeom>
                          <a:noFill/>
                          <a:ln w="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26"/>
                        <wps:cNvCnPr>
                          <a:cxnSpLocks noChangeShapeType="1"/>
                        </wps:cNvCnPr>
                        <wps:spPr bwMode="auto">
                          <a:xfrm flipH="1">
                            <a:off x="6466" y="6752"/>
                            <a:ext cx="2717" cy="1"/>
                          </a:xfrm>
                          <a:prstGeom prst="straightConnector1">
                            <a:avLst/>
                          </a:prstGeom>
                          <a:noFill/>
                          <a:ln w="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27"/>
                        <wps:cNvCnPr>
                          <a:cxnSpLocks noChangeShapeType="1"/>
                        </wps:cNvCnPr>
                        <wps:spPr bwMode="auto">
                          <a:xfrm flipH="1">
                            <a:off x="6466" y="7225"/>
                            <a:ext cx="2717" cy="1"/>
                          </a:xfrm>
                          <a:prstGeom prst="straightConnector1">
                            <a:avLst/>
                          </a:prstGeom>
                          <a:noFill/>
                          <a:ln w="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group w14:anchorId="2941A3DF" id="Group 18" o:spid="_x0000_s1026" style="position:absolute;margin-left:146.6pt;margin-top:11.05pt;width:281.1pt;height:140.6pt;z-index:251658240" coordorigin="4709,4619" coordsize="5622,2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">
                <v:shapetype id="_x0000_t202" coordsize="21600,21600" o:spt="202" path="m,l,21600r21600,l21600,xe">
                  <v:stroke joinstyle="miter"/>
                  <v:path gradientshapeok="t" o:connecttype="rect"/>
                </v:shapetype>
                <v:shape id="Text Box 2" o:spid="_x0000_s1027" type="#_x0000_t202" style="position:absolute;left:9328;top:4735;width:825;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" stroked="f" strokeweight="0">
                  <v:textbox style="mso-fit-shape-to-text:t">
                    <w:txbxContent>
                      <w:p w14:paraId="7ABB2F3C" w14:textId="77777777" w:rsidR="00A523DF" w:rsidRPr="00A231BD" w:rsidRDefault="00A523DF" w:rsidP="00BD1CE2">
                        <w:pPr>
                          <w:rPr>
                            <w:sz w:val="18"/>
                            <w:szCs w:val="18"/>
                          </w:rPr>
                        </w:pPr>
                        <w:r w:rsidRPr="00A231BD">
                          <w:rPr>
                            <w:sz w:val="18"/>
                            <w:szCs w:val="18"/>
                          </w:rPr>
                          <w:t>Collar</w:t>
                        </w:r>
                      </w:p>
                    </w:txbxContent>
                  </v:textbox>
                </v:shape>
                <v:shape id="Text Box 2" o:spid="_x0000_s1028" type="#_x0000_t202" style="position:absolute;left:9311;top:5545;width:1020;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" stroked="f" strokeweight="0">
                  <v:textbox style="mso-fit-shape-to-text:t">
                    <w:txbxContent>
                      <w:p w14:paraId="51EDE6D6" w14:textId="77777777" w:rsidR="00A523DF" w:rsidRPr="00A231BD" w:rsidRDefault="00A523DF" w:rsidP="00BD1CE2">
                        <w:pPr>
                          <w:rPr>
                            <w:sz w:val="18"/>
                            <w:szCs w:val="18"/>
                          </w:rPr>
                        </w:pPr>
                        <w:r>
                          <w:rPr>
                            <w:sz w:val="18"/>
                            <w:szCs w:val="18"/>
                          </w:rPr>
                          <w:t>Plunger</w:t>
                        </w:r>
                      </w:p>
                    </w:txbxContent>
                  </v:textbox>
                </v:shape>
                <v:shape id="Text Box 2" o:spid="_x0000_s1029" type="#_x0000_t202" style="position:absolute;left:9311;top:6484;width:825;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" stroked="f" strokeweight="0">
                  <v:textbox style="mso-fit-shape-to-text:t">
                    <w:txbxContent>
                      <w:p w14:paraId="38A5BB81" w14:textId="77777777" w:rsidR="00A523DF" w:rsidRPr="00A231BD" w:rsidRDefault="00A523DF" w:rsidP="00BD1CE2">
                        <w:pPr>
                          <w:rPr>
                            <w:sz w:val="18"/>
                            <w:szCs w:val="18"/>
                          </w:rPr>
                        </w:pPr>
                        <w:r>
                          <w:rPr>
                            <w:sz w:val="18"/>
                            <w:szCs w:val="18"/>
                          </w:rPr>
                          <w:t>Barrel</w:t>
                        </w:r>
                      </w:p>
                    </w:txbxContent>
                  </v:textbox>
                </v:shape>
                <v:shape id="Text Box 2" o:spid="_x0000_s1030" type="#_x0000_t202" style="position:absolute;left:9311;top:7080;width:649;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" stroked="f" strokeweight="0">
                  <v:textbox style="mso-fit-shape-to-text:t">
                    <w:txbxContent>
                      <w:p w14:paraId="16CFD495" w14:textId="77777777" w:rsidR="00A523DF" w:rsidRPr="00A231BD" w:rsidRDefault="00A523DF" w:rsidP="00BD1CE2">
                        <w:pPr>
                          <w:rPr>
                            <w:sz w:val="18"/>
                            <w:szCs w:val="18"/>
                          </w:rPr>
                        </w:pPr>
                        <w:r>
                          <w:rPr>
                            <w:sz w:val="18"/>
                            <w:szCs w:val="18"/>
                          </w:rPr>
                          <w:t>Tip</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1" type="#_x0000_t75" style="position:absolute;left:4709;top:4619;width:2789;height:28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">
                  <v:imagedata r:id="rId19" o:title=""/>
                </v:shape>
                <v:shapetype id="_x0000_t32" coordsize="21600,21600" o:spt="32" o:oned="t" path="m,l21600,21600e" filled="f">
                  <v:path arrowok="t" fillok="f" o:connecttype="none"/>
                  <o:lock v:ext="edit" shapetype="t"/>
                </v:shapetype>
                <v:shape id="AutoShape 24" o:spid="_x0000_s1032" type="#_x0000_t32" style="position:absolute;left:6466;top:4931;width:2962;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" strokeweight="0">
                  <v:stroke endarrow="block"/>
                </v:shape>
                <v:shape id="AutoShape 25" o:spid="_x0000_s1033" type="#_x0000_t32" style="position:absolute;left:5869;top:5706;width:344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" strokeweight="0">
                  <v:stroke endarrow="block"/>
                </v:shape>
                <v:shape id="AutoShape 26" o:spid="_x0000_s1034" type="#_x0000_t32" style="position:absolute;left:6466;top:6752;width:2717;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" strokeweight="0">
                  <v:stroke endarrow="block"/>
                </v:shape>
                <v:shape id="AutoShape 27" o:spid="_x0000_s1035" type="#_x0000_t32" style="position:absolute;left:6466;top:7225;width:2717;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" strokeweight="0">
                  <v:stroke endarrow="block"/>
                </v:shape>
              </v:group>
            </w:pict>
          </mc:Fallback>
        </mc:AlternateContent>
      </w:r>
    </w:p>
    <w:p w14:paraId="0D5F264B" w14:textId="77777777" w:rsidR="00BD1CE2" w:rsidRDefault="00BD1CE2" w:rsidP="00BD1CE2">
      <w:pPr>
        <w:tabs>
          <w:tab w:val="left" w:pos="6804"/>
          <w:tab w:val="left" w:pos="7371"/>
        </w:tabs>
        <w:ind w:right="6943"/>
        <w:rPr>
          <w:sz w:val="22"/>
          <w:szCs w:val="22"/>
        </w:rPr>
      </w:pPr>
      <w:r w:rsidRPr="00A84F1F">
        <w:rPr>
          <w:sz w:val="22"/>
          <w:szCs w:val="22"/>
        </w:rPr>
        <w:t xml:space="preserve">The </w:t>
      </w:r>
      <w:r>
        <w:rPr>
          <w:sz w:val="22"/>
          <w:szCs w:val="22"/>
        </w:rPr>
        <w:t>syringe has two main parts, a ‘plunger’ and a ‘barrel’. In this picture we have pulled out the plunger so that you can see each part clearly.</w:t>
      </w:r>
    </w:p>
    <w:p w14:paraId="164CD61A" w14:textId="77777777" w:rsidR="00BD1CE2" w:rsidRDefault="00BD1CE2" w:rsidP="00BD1CE2">
      <w:pPr>
        <w:pStyle w:val="EMEANormal"/>
        <w:ind w:right="8219"/>
        <w:rPr>
          <w:b/>
          <w:szCs w:val="22"/>
        </w:rPr>
      </w:pPr>
    </w:p>
    <w:p w14:paraId="1CBE6888" w14:textId="77777777" w:rsidR="00BD1CE2" w:rsidRDefault="00BD1CE2" w:rsidP="00BD1CE2">
      <w:pPr>
        <w:pStyle w:val="EMEANormal"/>
        <w:rPr>
          <w:b/>
          <w:szCs w:val="22"/>
        </w:rPr>
      </w:pPr>
    </w:p>
    <w:p w14:paraId="4FBCEF04" w14:textId="77777777" w:rsidR="00BD1CE2" w:rsidRDefault="00BD1CE2" w:rsidP="00BD1CE2">
      <w:pPr>
        <w:pStyle w:val="EMEANormal"/>
        <w:rPr>
          <w:b/>
          <w:szCs w:val="22"/>
        </w:rPr>
      </w:pPr>
    </w:p>
    <w:p w14:paraId="1E2A3C7B" w14:textId="77777777" w:rsidR="00BD1CE2" w:rsidRDefault="00BD1CE2" w:rsidP="00BD1CE2">
      <w:pPr>
        <w:pStyle w:val="EMEANormal"/>
        <w:rPr>
          <w:b/>
          <w:szCs w:val="22"/>
        </w:rPr>
      </w:pPr>
    </w:p>
    <w:p w14:paraId="555EEDDC" w14:textId="77777777" w:rsidR="00BD1CE2" w:rsidRDefault="00BD1CE2" w:rsidP="00BD1CE2">
      <w:pPr>
        <w:pStyle w:val="EMEANormal"/>
        <w:rPr>
          <w:b/>
          <w:szCs w:val="22"/>
        </w:rPr>
      </w:pPr>
    </w:p>
    <w:p w14:paraId="35D7ED16" w14:textId="77777777" w:rsidR="00BD1CE2" w:rsidRDefault="00BD1CE2" w:rsidP="00BD1CE2">
      <w:pPr>
        <w:pStyle w:val="EMEANormal"/>
        <w:rPr>
          <w:b/>
          <w:szCs w:val="22"/>
        </w:rPr>
      </w:pPr>
    </w:p>
    <w:p w14:paraId="37AF2881" w14:textId="77777777" w:rsidR="00BD1CE2" w:rsidRDefault="0040661B" w:rsidP="00BD1CE2">
      <w:pPr>
        <w:pStyle w:val="EMEANormal"/>
        <w:rPr>
          <w:b/>
          <w:szCs w:val="22"/>
        </w:rPr>
      </w:pPr>
      <w:r>
        <w:rPr>
          <w:noProof/>
          <w:lang w:val="en-GB" w:eastAsia="en-GB"/>
        </w:rPr>
        <mc:AlternateContent>
          <mc:Choice Requires="wpg">
            <w:drawing>
              <wp:anchor distT="0" distB="0" distL="114300" distR="114300" simplePos="0" relativeHeight="251656192" behindDoc="1" locked="0" layoutInCell="1" allowOverlap="1" wp14:anchorId="4AE3C631" wp14:editId="1F37305A">
                <wp:simplePos x="0" y="0"/>
                <wp:positionH relativeFrom="column">
                  <wp:posOffset>1861820</wp:posOffset>
                </wp:positionH>
                <wp:positionV relativeFrom="paragraph">
                  <wp:posOffset>160020</wp:posOffset>
                </wp:positionV>
                <wp:extent cx="2678430" cy="1781810"/>
                <wp:effectExtent l="0" t="3175" r="0" b="0"/>
                <wp:wrapTight wrapText="bothSides">
                  <wp:wrapPolygon edited="0">
                    <wp:start x="-77" y="0"/>
                    <wp:lineTo x="-77" y="21485"/>
                    <wp:lineTo x="14374" y="21485"/>
                    <wp:lineTo x="14374" y="11093"/>
                    <wp:lineTo x="15527" y="11093"/>
                    <wp:lineTo x="21600" y="9584"/>
                    <wp:lineTo x="21600" y="5196"/>
                    <wp:lineTo x="14374" y="3695"/>
                    <wp:lineTo x="14374" y="0"/>
                    <wp:lineTo x="-77" y="0"/>
                  </wp:wrapPolygon>
                </wp:wrapTight>
                <wp:docPr id="1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8430" cy="1781810"/>
                          <a:chOff x="4557" y="8932"/>
                          <a:chExt cx="4218" cy="2806"/>
                        </a:xfrm>
                      </wpg:grpSpPr>
                      <pic:pic xmlns:pic="http://schemas.openxmlformats.org/drawingml/2006/picture">
                        <pic:nvPicPr>
                          <pic:cNvPr id="19"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4557" y="8932"/>
                            <a:ext cx="2789" cy="2806"/>
                          </a:xfrm>
                          <a:prstGeom prst="rect">
                            <a:avLst/>
                          </a:prstGeom>
                          <a:noFill/>
                          <a:extLst>
                            <a:ext uri="{909E8E84-426E-40DD-AFC4-6F175D3DCCD1}">
                              <a14:hiddenFill xmlns:a14="http://schemas.microsoft.com/office/drawing/2010/main">
                                <a:solidFill>
                                  <a:srgbClr val="FFFFFF"/>
                                </a:solidFill>
                              </a14:hiddenFill>
                            </a:ext>
                          </a:extLst>
                        </pic:spPr>
                      </pic:pic>
                      <wps:wsp>
                        <wps:cNvPr id="20" name="Text Box 2"/>
                        <wps:cNvSpPr txBox="1">
                          <a:spLocks noChangeArrowheads="1"/>
                        </wps:cNvSpPr>
                        <wps:spPr bwMode="auto">
                          <a:xfrm>
                            <a:off x="7950" y="9621"/>
                            <a:ext cx="825" cy="558"/>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31002F4E" w14:textId="77777777" w:rsidR="00A523DF" w:rsidRPr="00A231BD" w:rsidRDefault="00A523DF" w:rsidP="00BD1CE2">
                              <w:pPr>
                                <w:rPr>
                                  <w:sz w:val="18"/>
                                  <w:szCs w:val="18"/>
                                </w:rPr>
                              </w:pPr>
                              <w:r>
                                <w:rPr>
                                  <w:sz w:val="18"/>
                                  <w:szCs w:val="18"/>
                                </w:rPr>
                                <w:t>‘ml’ mark</w:t>
                              </w:r>
                            </w:p>
                          </w:txbxContent>
                        </wps:txbx>
                        <wps:bodyPr rot="0" vert="horz" wrap="square" lIns="91440" tIns="45720" rIns="91440" bIns="45720" anchor="t" anchorCtr="0" upright="1">
                          <a:spAutoFit/>
                        </wps:bodyPr>
                      </wps:wsp>
                      <wps:wsp>
                        <wps:cNvPr id="21" name="AutoShape 5"/>
                        <wps:cNvCnPr>
                          <a:cxnSpLocks noChangeShapeType="1"/>
                        </wps:cNvCnPr>
                        <wps:spPr bwMode="auto">
                          <a:xfrm flipH="1">
                            <a:off x="5991" y="9944"/>
                            <a:ext cx="2038" cy="639"/>
                          </a:xfrm>
                          <a:prstGeom prst="straightConnector1">
                            <a:avLst/>
                          </a:prstGeom>
                          <a:noFill/>
                          <a:ln w="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group w14:anchorId="4AE3C631" id="Group 2" o:spid="_x0000_s1036" style="position:absolute;margin-left:146.6pt;margin-top:12.6pt;width:210.9pt;height:140.3pt;z-index:-251660288" coordorigin="4557,8932" coordsize="4218,28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">
                <v:shape id="Picture 23" o:spid="_x0000_s1037" type="#_x0000_t75" style="position:absolute;left:4557;top:8932;width:2789;height:28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">
                  <v:imagedata r:id="rId21" o:title=""/>
                </v:shape>
                <v:shape id="Text Box 2" o:spid="_x0000_s1038" type="#_x0000_t202" style="position:absolute;left:7950;top:9621;width:825;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" stroked="f" strokeweight="0">
                  <v:textbox style="mso-fit-shape-to-text:t">
                    <w:txbxContent>
                      <w:p w14:paraId="31002F4E" w14:textId="77777777" w:rsidR="00A523DF" w:rsidRPr="00A231BD" w:rsidRDefault="00A523DF" w:rsidP="00BD1CE2">
                        <w:pPr>
                          <w:rPr>
                            <w:sz w:val="18"/>
                            <w:szCs w:val="18"/>
                          </w:rPr>
                        </w:pPr>
                        <w:r>
                          <w:rPr>
                            <w:sz w:val="18"/>
                            <w:szCs w:val="18"/>
                          </w:rPr>
                          <w:t>‘ml’ mark</w:t>
                        </w:r>
                      </w:p>
                    </w:txbxContent>
                  </v:textbox>
                </v:shape>
                <v:shape id="AutoShape 5" o:spid="_x0000_s1039" type="#_x0000_t32" style="position:absolute;left:5991;top:9944;width:2038;height:6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" strokeweight="0">
                  <v:stroke endarrow="block"/>
                </v:shape>
                <w10:wrap type="tight"/>
              </v:group>
            </w:pict>
          </mc:Fallback>
        </mc:AlternateContent>
      </w:r>
    </w:p>
    <w:p w14:paraId="55B1A997" w14:textId="77777777" w:rsidR="00BD1CE2" w:rsidRPr="00845EEA" w:rsidRDefault="00BD1CE2" w:rsidP="0052761E">
      <w:pPr>
        <w:pStyle w:val="ListParagraph"/>
        <w:numPr>
          <w:ilvl w:val="0"/>
          <w:numId w:val="48"/>
        </w:numPr>
        <w:spacing w:after="200"/>
        <w:ind w:left="284" w:right="5670" w:hanging="284"/>
        <w:contextualSpacing/>
        <w:rPr>
          <w:sz w:val="22"/>
          <w:szCs w:val="22"/>
        </w:rPr>
      </w:pPr>
      <w:r w:rsidRPr="00845EEA">
        <w:rPr>
          <w:sz w:val="22"/>
          <w:szCs w:val="22"/>
        </w:rPr>
        <w:t xml:space="preserve">Push </w:t>
      </w:r>
      <w:r>
        <w:rPr>
          <w:sz w:val="22"/>
          <w:szCs w:val="22"/>
        </w:rPr>
        <w:t xml:space="preserve">the </w:t>
      </w:r>
      <w:r w:rsidRPr="00845EEA">
        <w:rPr>
          <w:sz w:val="22"/>
          <w:szCs w:val="22"/>
        </w:rPr>
        <w:t xml:space="preserve">plunger all </w:t>
      </w:r>
      <w:r>
        <w:rPr>
          <w:sz w:val="22"/>
          <w:szCs w:val="22"/>
        </w:rPr>
        <w:t>of the</w:t>
      </w:r>
      <w:r w:rsidRPr="00845EEA">
        <w:rPr>
          <w:sz w:val="22"/>
          <w:szCs w:val="22"/>
        </w:rPr>
        <w:t xml:space="preserve"> way into the barrel. </w:t>
      </w:r>
    </w:p>
    <w:p w14:paraId="1BC3DFB2" w14:textId="77777777" w:rsidR="00BD1CE2" w:rsidRPr="00845EEA" w:rsidRDefault="00BD1CE2" w:rsidP="0052761E">
      <w:pPr>
        <w:pStyle w:val="ListParagraph"/>
        <w:numPr>
          <w:ilvl w:val="0"/>
          <w:numId w:val="48"/>
        </w:numPr>
        <w:spacing w:after="200"/>
        <w:ind w:left="284" w:right="5670" w:hanging="284"/>
        <w:contextualSpacing/>
        <w:rPr>
          <w:sz w:val="22"/>
          <w:szCs w:val="22"/>
        </w:rPr>
      </w:pPr>
      <w:r w:rsidRPr="00845EEA">
        <w:rPr>
          <w:sz w:val="22"/>
          <w:szCs w:val="22"/>
        </w:rPr>
        <w:t xml:space="preserve">Place the tip of the syringe into the liquid. </w:t>
      </w:r>
    </w:p>
    <w:p w14:paraId="44698156" w14:textId="77777777" w:rsidR="00BD1CE2" w:rsidRPr="006D7E4B" w:rsidRDefault="00BD1CE2" w:rsidP="0052761E">
      <w:pPr>
        <w:pStyle w:val="ListParagraph"/>
        <w:numPr>
          <w:ilvl w:val="0"/>
          <w:numId w:val="48"/>
        </w:numPr>
        <w:spacing w:after="200"/>
        <w:ind w:left="284" w:right="5670" w:hanging="284"/>
        <w:contextualSpacing/>
        <w:rPr>
          <w:sz w:val="22"/>
          <w:szCs w:val="22"/>
        </w:rPr>
      </w:pPr>
      <w:r w:rsidRPr="006D7E4B">
        <w:rPr>
          <w:sz w:val="22"/>
          <w:szCs w:val="22"/>
        </w:rPr>
        <w:t>Pull up the plunger until the correct dose amount is shown</w:t>
      </w:r>
      <w:r>
        <w:rPr>
          <w:sz w:val="22"/>
          <w:szCs w:val="22"/>
        </w:rPr>
        <w:t xml:space="preserve"> on the plunger. </w:t>
      </w:r>
      <w:r w:rsidRPr="006D7E4B">
        <w:rPr>
          <w:sz w:val="22"/>
          <w:szCs w:val="22"/>
        </w:rPr>
        <w:t xml:space="preserve"> You should see the ‘ml’ marking </w:t>
      </w:r>
      <w:r>
        <w:rPr>
          <w:sz w:val="22"/>
          <w:szCs w:val="22"/>
        </w:rPr>
        <w:t xml:space="preserve">aligned to the top of </w:t>
      </w:r>
      <w:r w:rsidRPr="006D7E4B">
        <w:rPr>
          <w:sz w:val="22"/>
          <w:szCs w:val="22"/>
        </w:rPr>
        <w:t>the collar</w:t>
      </w:r>
      <w:r>
        <w:rPr>
          <w:sz w:val="22"/>
          <w:szCs w:val="22"/>
        </w:rPr>
        <w:t xml:space="preserve"> of the barrel</w:t>
      </w:r>
      <w:r w:rsidRPr="006D7E4B">
        <w:rPr>
          <w:sz w:val="22"/>
          <w:szCs w:val="22"/>
        </w:rPr>
        <w:t xml:space="preserve">. </w:t>
      </w:r>
    </w:p>
    <w:p w14:paraId="1E9399A2" w14:textId="77777777" w:rsidR="00BD1CE2" w:rsidRPr="002432DE" w:rsidRDefault="00BD1CE2" w:rsidP="0052761E">
      <w:pPr>
        <w:pStyle w:val="ListParagraph"/>
        <w:numPr>
          <w:ilvl w:val="0"/>
          <w:numId w:val="48"/>
        </w:numPr>
        <w:spacing w:after="200"/>
        <w:ind w:left="284" w:right="3258" w:hanging="284"/>
        <w:contextualSpacing/>
        <w:rPr>
          <w:sz w:val="22"/>
          <w:szCs w:val="22"/>
        </w:rPr>
      </w:pPr>
      <w:r w:rsidRPr="002432DE">
        <w:rPr>
          <w:sz w:val="22"/>
          <w:szCs w:val="22"/>
        </w:rPr>
        <w:t>Turn the syringe so that the tip is pointing up, gently tap it and push plunger to remove any air bubbles.</w:t>
      </w:r>
    </w:p>
    <w:p w14:paraId="1F79AA14" w14:textId="77777777" w:rsidR="00BD1CE2" w:rsidRPr="002432DE" w:rsidRDefault="00BD1CE2" w:rsidP="0052761E">
      <w:pPr>
        <w:pStyle w:val="ListParagraph"/>
        <w:numPr>
          <w:ilvl w:val="0"/>
          <w:numId w:val="48"/>
        </w:numPr>
        <w:spacing w:after="200"/>
        <w:ind w:left="284" w:right="3258" w:hanging="284"/>
        <w:contextualSpacing/>
        <w:rPr>
          <w:sz w:val="22"/>
          <w:szCs w:val="22"/>
        </w:rPr>
      </w:pPr>
      <w:r w:rsidRPr="002432DE">
        <w:rPr>
          <w:sz w:val="22"/>
          <w:szCs w:val="22"/>
        </w:rPr>
        <w:t>After removing the air bubbles, look at the dose mark.</w:t>
      </w:r>
    </w:p>
    <w:p w14:paraId="197E8D05" w14:textId="77777777" w:rsidR="00BD1CE2" w:rsidRPr="002432DE" w:rsidRDefault="00BD1CE2" w:rsidP="0052761E">
      <w:pPr>
        <w:pStyle w:val="ListParagraph"/>
        <w:numPr>
          <w:ilvl w:val="0"/>
          <w:numId w:val="52"/>
        </w:numPr>
        <w:tabs>
          <w:tab w:val="left" w:pos="567"/>
        </w:tabs>
        <w:spacing w:after="200"/>
        <w:ind w:left="567" w:right="3258" w:hanging="283"/>
        <w:contextualSpacing/>
        <w:rPr>
          <w:sz w:val="22"/>
          <w:szCs w:val="22"/>
        </w:rPr>
      </w:pPr>
      <w:r w:rsidRPr="002432DE">
        <w:rPr>
          <w:sz w:val="22"/>
          <w:szCs w:val="22"/>
        </w:rPr>
        <w:t xml:space="preserve">If the </w:t>
      </w:r>
      <w:r>
        <w:rPr>
          <w:sz w:val="22"/>
          <w:szCs w:val="22"/>
        </w:rPr>
        <w:t>‘</w:t>
      </w:r>
      <w:r w:rsidRPr="002432DE">
        <w:rPr>
          <w:sz w:val="22"/>
          <w:szCs w:val="22"/>
        </w:rPr>
        <w:t>m</w:t>
      </w:r>
      <w:r>
        <w:rPr>
          <w:sz w:val="22"/>
          <w:szCs w:val="22"/>
        </w:rPr>
        <w:t>l’</w:t>
      </w:r>
      <w:r w:rsidRPr="002432DE">
        <w:rPr>
          <w:sz w:val="22"/>
          <w:szCs w:val="22"/>
        </w:rPr>
        <w:t xml:space="preserve"> mark on the collar is more than the prescribed dose, push the plunger to the prescribed dose. </w:t>
      </w:r>
    </w:p>
    <w:p w14:paraId="26F4C4CC" w14:textId="77777777" w:rsidR="00BD1CE2" w:rsidRDefault="00BD1CE2" w:rsidP="0052761E">
      <w:pPr>
        <w:pStyle w:val="ListParagraph"/>
        <w:numPr>
          <w:ilvl w:val="0"/>
          <w:numId w:val="52"/>
        </w:numPr>
        <w:tabs>
          <w:tab w:val="left" w:pos="567"/>
        </w:tabs>
        <w:spacing w:after="60"/>
        <w:ind w:left="567" w:right="3258" w:hanging="283"/>
        <w:contextualSpacing/>
        <w:rPr>
          <w:sz w:val="22"/>
          <w:szCs w:val="22"/>
        </w:rPr>
      </w:pPr>
      <w:r w:rsidRPr="002432DE">
        <w:rPr>
          <w:sz w:val="22"/>
          <w:szCs w:val="22"/>
        </w:rPr>
        <w:t xml:space="preserve">If the </w:t>
      </w:r>
      <w:r>
        <w:rPr>
          <w:sz w:val="22"/>
          <w:szCs w:val="22"/>
        </w:rPr>
        <w:t>‘</w:t>
      </w:r>
      <w:r w:rsidRPr="002432DE">
        <w:rPr>
          <w:sz w:val="22"/>
          <w:szCs w:val="22"/>
        </w:rPr>
        <w:t>ml</w:t>
      </w:r>
      <w:r>
        <w:rPr>
          <w:sz w:val="22"/>
          <w:szCs w:val="22"/>
        </w:rPr>
        <w:t>’</w:t>
      </w:r>
      <w:r w:rsidRPr="002432DE">
        <w:rPr>
          <w:sz w:val="22"/>
          <w:szCs w:val="22"/>
        </w:rPr>
        <w:t xml:space="preserve"> mark on the collar is less than the prescribed dose, draw up </w:t>
      </w:r>
      <w:r>
        <w:rPr>
          <w:sz w:val="22"/>
          <w:szCs w:val="22"/>
        </w:rPr>
        <w:t>more</w:t>
      </w:r>
      <w:r w:rsidRPr="002432DE">
        <w:rPr>
          <w:sz w:val="22"/>
          <w:szCs w:val="22"/>
        </w:rPr>
        <w:t xml:space="preserve"> solution to the prescribed dose.</w:t>
      </w:r>
    </w:p>
    <w:p w14:paraId="172E80A2" w14:textId="77777777" w:rsidR="00BD1CE2" w:rsidRDefault="00BD1CE2" w:rsidP="00BD1CE2">
      <w:pPr>
        <w:pStyle w:val="ListParagraph"/>
        <w:tabs>
          <w:tab w:val="left" w:pos="284"/>
        </w:tabs>
        <w:spacing w:after="60"/>
        <w:ind w:left="284" w:right="3258" w:hanging="284"/>
        <w:contextualSpacing/>
        <w:rPr>
          <w:sz w:val="22"/>
          <w:szCs w:val="22"/>
        </w:rPr>
      </w:pPr>
      <w:r>
        <w:rPr>
          <w:sz w:val="22"/>
          <w:szCs w:val="22"/>
        </w:rPr>
        <w:t xml:space="preserve">6. </w:t>
      </w:r>
      <w:r>
        <w:rPr>
          <w:sz w:val="22"/>
          <w:szCs w:val="22"/>
        </w:rPr>
        <w:tab/>
      </w:r>
      <w:r w:rsidRPr="00BD1CE2">
        <w:rPr>
          <w:sz w:val="22"/>
          <w:szCs w:val="22"/>
        </w:rPr>
        <w:t>Place the dosing syringe in your child’s mouth towards the cheek and gently push the plunger down to release the medicine.</w:t>
      </w:r>
    </w:p>
    <w:p w14:paraId="6E097501" w14:textId="77777777" w:rsidR="00BD1CE2" w:rsidRPr="00874C4E" w:rsidRDefault="00BD1CE2" w:rsidP="00BD1CE2">
      <w:pPr>
        <w:spacing w:after="200"/>
        <w:ind w:left="284" w:right="3258" w:hanging="284"/>
        <w:contextualSpacing/>
        <w:rPr>
          <w:sz w:val="22"/>
          <w:szCs w:val="22"/>
        </w:rPr>
      </w:pPr>
      <w:r w:rsidRPr="00874C4E">
        <w:rPr>
          <w:sz w:val="22"/>
          <w:szCs w:val="22"/>
        </w:rPr>
        <w:t xml:space="preserve">Replace the bottle cap after each dose. </w:t>
      </w:r>
    </w:p>
    <w:p w14:paraId="7BDAA35E" w14:textId="77777777" w:rsidR="00BD1CE2" w:rsidRDefault="00BD1CE2" w:rsidP="00BD1CE2">
      <w:pPr>
        <w:rPr>
          <w:b/>
          <w:sz w:val="22"/>
          <w:szCs w:val="22"/>
        </w:rPr>
      </w:pPr>
    </w:p>
    <w:p w14:paraId="0DBA3EAB" w14:textId="77777777" w:rsidR="00BD1CE2" w:rsidRDefault="0040661B" w:rsidP="00BD1CE2">
      <w:pPr>
        <w:keepNext/>
        <w:rPr>
          <w:b/>
          <w:sz w:val="22"/>
          <w:szCs w:val="22"/>
        </w:rPr>
      </w:pPr>
      <w:r>
        <w:rPr>
          <w:noProof/>
          <w:lang w:eastAsia="en-GB"/>
        </w:rPr>
        <mc:AlternateContent>
          <mc:Choice Requires="wpg">
            <w:drawing>
              <wp:anchor distT="0" distB="0" distL="114300" distR="114300" simplePos="0" relativeHeight="251657216" behindDoc="0" locked="0" layoutInCell="1" allowOverlap="1" wp14:anchorId="2346AB6A" wp14:editId="692AB641">
                <wp:simplePos x="0" y="0"/>
                <wp:positionH relativeFrom="column">
                  <wp:posOffset>2089785</wp:posOffset>
                </wp:positionH>
                <wp:positionV relativeFrom="paragraph">
                  <wp:posOffset>187325</wp:posOffset>
                </wp:positionV>
                <wp:extent cx="3300095" cy="1907540"/>
                <wp:effectExtent l="0" t="635" r="0" b="0"/>
                <wp:wrapSquare wrapText="bothSides"/>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0095" cy="1907540"/>
                          <a:chOff x="4546" y="1017"/>
                          <a:chExt cx="5197" cy="3004"/>
                        </a:xfrm>
                      </wpg:grpSpPr>
                      <pic:pic xmlns:pic="http://schemas.openxmlformats.org/drawingml/2006/picture">
                        <pic:nvPicPr>
                          <pic:cNvPr id="7"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546" y="1139"/>
                            <a:ext cx="2806" cy="2789"/>
                          </a:xfrm>
                          <a:prstGeom prst="rect">
                            <a:avLst/>
                          </a:prstGeom>
                          <a:noFill/>
                          <a:extLst>
                            <a:ext uri="{909E8E84-426E-40DD-AFC4-6F175D3DCCD1}">
                              <a14:hiddenFill xmlns:a14="http://schemas.microsoft.com/office/drawing/2010/main">
                                <a:solidFill>
                                  <a:srgbClr val="FFFFFF"/>
                                </a:solidFill>
                              </a14:hiddenFill>
                            </a:ext>
                          </a:extLst>
                        </pic:spPr>
                      </pic:pic>
                      <wps:wsp>
                        <wps:cNvPr id="8" name="AutoShape 8"/>
                        <wps:cNvCnPr>
                          <a:cxnSpLocks noChangeShapeType="1"/>
                        </wps:cNvCnPr>
                        <wps:spPr bwMode="auto">
                          <a:xfrm flipH="1">
                            <a:off x="6738" y="1304"/>
                            <a:ext cx="1888" cy="163"/>
                          </a:xfrm>
                          <a:prstGeom prst="straightConnector1">
                            <a:avLst/>
                          </a:prstGeom>
                          <a:noFill/>
                          <a:ln w="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2"/>
                        <wps:cNvSpPr txBox="1">
                          <a:spLocks noChangeArrowheads="1"/>
                        </wps:cNvSpPr>
                        <wps:spPr bwMode="auto">
                          <a:xfrm>
                            <a:off x="8299" y="1017"/>
                            <a:ext cx="1156"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519905" w14:textId="77777777" w:rsidR="00A523DF" w:rsidRPr="009C6F6B" w:rsidRDefault="00A523DF" w:rsidP="00BD1CE2">
                              <w:pPr>
                                <w:rPr>
                                  <w:sz w:val="18"/>
                                  <w:szCs w:val="18"/>
                                </w:rPr>
                              </w:pPr>
                              <w:r w:rsidRPr="009C6F6B">
                                <w:rPr>
                                  <w:sz w:val="18"/>
                                  <w:szCs w:val="18"/>
                                </w:rPr>
                                <w:t>Finger grip</w:t>
                              </w:r>
                            </w:p>
                          </w:txbxContent>
                        </wps:txbx>
                        <wps:bodyPr rot="0" vert="horz" wrap="square" lIns="91440" tIns="45720" rIns="91440" bIns="45720" anchor="t" anchorCtr="0" upright="1">
                          <a:noAutofit/>
                        </wps:bodyPr>
                      </wps:wsp>
                      <wps:wsp>
                        <wps:cNvPr id="10" name="Text Box 2"/>
                        <wps:cNvSpPr txBox="1">
                          <a:spLocks noChangeArrowheads="1"/>
                        </wps:cNvSpPr>
                        <wps:spPr bwMode="auto">
                          <a:xfrm>
                            <a:off x="8299" y="3673"/>
                            <a:ext cx="1444"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C73538" w14:textId="77777777" w:rsidR="00A523DF" w:rsidRPr="009C6F6B" w:rsidRDefault="00A523DF" w:rsidP="00BD1CE2">
                              <w:pPr>
                                <w:rPr>
                                  <w:sz w:val="18"/>
                                  <w:szCs w:val="18"/>
                                </w:rPr>
                              </w:pPr>
                              <w:r>
                                <w:rPr>
                                  <w:sz w:val="18"/>
                                  <w:szCs w:val="18"/>
                                </w:rPr>
                                <w:t>Black ‘O’ ring</w:t>
                              </w:r>
                            </w:p>
                          </w:txbxContent>
                        </wps:txbx>
                        <wps:bodyPr rot="0" vert="horz" wrap="square" lIns="91440" tIns="45720" rIns="91440" bIns="45720" anchor="t" anchorCtr="0" upright="1">
                          <a:noAutofit/>
                        </wps:bodyPr>
                      </wps:wsp>
                      <wps:wsp>
                        <wps:cNvPr id="11" name="Text Box 2"/>
                        <wps:cNvSpPr txBox="1">
                          <a:spLocks noChangeArrowheads="1"/>
                        </wps:cNvSpPr>
                        <wps:spPr bwMode="auto">
                          <a:xfrm>
                            <a:off x="8308" y="3018"/>
                            <a:ext cx="547" cy="3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F02426" w14:textId="77777777" w:rsidR="00A523DF" w:rsidRPr="009C6F6B" w:rsidRDefault="00A523DF" w:rsidP="00BD1CE2">
                              <w:pPr>
                                <w:rPr>
                                  <w:sz w:val="18"/>
                                  <w:szCs w:val="18"/>
                                </w:rPr>
                              </w:pPr>
                              <w:r>
                                <w:rPr>
                                  <w:sz w:val="18"/>
                                  <w:szCs w:val="18"/>
                                </w:rPr>
                                <w:t>Tip</w:t>
                              </w:r>
                            </w:p>
                          </w:txbxContent>
                        </wps:txbx>
                        <wps:bodyPr rot="0" vert="horz" wrap="square" lIns="91440" tIns="45720" rIns="91440" bIns="45720" anchor="t" anchorCtr="0" upright="1">
                          <a:noAutofit/>
                        </wps:bodyPr>
                      </wps:wsp>
                      <wps:wsp>
                        <wps:cNvPr id="12" name="Text Box 2"/>
                        <wps:cNvSpPr txBox="1">
                          <a:spLocks noChangeArrowheads="1"/>
                        </wps:cNvSpPr>
                        <wps:spPr bwMode="auto">
                          <a:xfrm>
                            <a:off x="8308" y="2403"/>
                            <a:ext cx="879" cy="3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EFF04D" w14:textId="77777777" w:rsidR="00A523DF" w:rsidRPr="009C6F6B" w:rsidRDefault="00A523DF" w:rsidP="00BD1CE2">
                              <w:pPr>
                                <w:rPr>
                                  <w:sz w:val="18"/>
                                  <w:szCs w:val="18"/>
                                </w:rPr>
                              </w:pPr>
                              <w:r>
                                <w:rPr>
                                  <w:sz w:val="18"/>
                                  <w:szCs w:val="18"/>
                                </w:rPr>
                                <w:t>Barrel</w:t>
                              </w:r>
                            </w:p>
                          </w:txbxContent>
                        </wps:txbx>
                        <wps:bodyPr rot="0" vert="horz" wrap="square" lIns="91440" tIns="45720" rIns="91440" bIns="45720" anchor="t" anchorCtr="0" upright="1">
                          <a:noAutofit/>
                        </wps:bodyPr>
                      </wps:wsp>
                      <wps:wsp>
                        <wps:cNvPr id="13" name="Text Box 2"/>
                        <wps:cNvSpPr txBox="1">
                          <a:spLocks noChangeArrowheads="1"/>
                        </wps:cNvSpPr>
                        <wps:spPr bwMode="auto">
                          <a:xfrm>
                            <a:off x="8299" y="1848"/>
                            <a:ext cx="994" cy="3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7C7B0A" w14:textId="77777777" w:rsidR="00A523DF" w:rsidRPr="009C6F6B" w:rsidRDefault="00A523DF" w:rsidP="00BD1CE2">
                              <w:pPr>
                                <w:rPr>
                                  <w:sz w:val="18"/>
                                  <w:szCs w:val="18"/>
                                </w:rPr>
                              </w:pPr>
                              <w:r>
                                <w:rPr>
                                  <w:sz w:val="18"/>
                                  <w:szCs w:val="18"/>
                                </w:rPr>
                                <w:t>Plunger</w:t>
                              </w:r>
                            </w:p>
                          </w:txbxContent>
                        </wps:txbx>
                        <wps:bodyPr rot="0" vert="horz" wrap="square" lIns="91440" tIns="45720" rIns="91440" bIns="45720" anchor="t" anchorCtr="0" upright="1">
                          <a:noAutofit/>
                        </wps:bodyPr>
                      </wps:wsp>
                      <wps:wsp>
                        <wps:cNvPr id="14" name="AutoShape 14"/>
                        <wps:cNvCnPr>
                          <a:cxnSpLocks noChangeShapeType="1"/>
                        </wps:cNvCnPr>
                        <wps:spPr bwMode="auto">
                          <a:xfrm flipH="1">
                            <a:off x="5325" y="1848"/>
                            <a:ext cx="2983" cy="163"/>
                          </a:xfrm>
                          <a:prstGeom prst="straightConnector1">
                            <a:avLst/>
                          </a:prstGeom>
                          <a:noFill/>
                          <a:ln w="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15"/>
                        <wps:cNvCnPr>
                          <a:cxnSpLocks noChangeShapeType="1"/>
                        </wps:cNvCnPr>
                        <wps:spPr bwMode="auto">
                          <a:xfrm flipH="1">
                            <a:off x="6657" y="2527"/>
                            <a:ext cx="1642" cy="0"/>
                          </a:xfrm>
                          <a:prstGeom prst="straightConnector1">
                            <a:avLst/>
                          </a:prstGeom>
                          <a:noFill/>
                          <a:ln w="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6"/>
                        <wps:cNvCnPr>
                          <a:cxnSpLocks noChangeShapeType="1"/>
                        </wps:cNvCnPr>
                        <wps:spPr bwMode="auto">
                          <a:xfrm flipH="1">
                            <a:off x="6439" y="3220"/>
                            <a:ext cx="2024" cy="285"/>
                          </a:xfrm>
                          <a:prstGeom prst="straightConnector1">
                            <a:avLst/>
                          </a:prstGeom>
                          <a:noFill/>
                          <a:ln w="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7"/>
                        <wps:cNvCnPr>
                          <a:cxnSpLocks noChangeShapeType="1"/>
                        </wps:cNvCnPr>
                        <wps:spPr bwMode="auto">
                          <a:xfrm flipH="1" flipV="1">
                            <a:off x="5420" y="3505"/>
                            <a:ext cx="2962" cy="353"/>
                          </a:xfrm>
                          <a:prstGeom prst="straightConnector1">
                            <a:avLst/>
                          </a:prstGeom>
                          <a:noFill/>
                          <a:ln w="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group w14:anchorId="2346AB6A" id="Group 6" o:spid="_x0000_s1040" style="position:absolute;margin-left:164.55pt;margin-top:14.75pt;width:259.85pt;height:150.2pt;z-index:251657216" coordorigin="4546,1017" coordsize="5197,3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">
                <v:shape id="Picture 30" o:spid="_x0000_s1041" type="#_x0000_t75" style="position:absolute;left:4546;top:1139;width:2806;height:2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">
                  <v:imagedata r:id="rId23" o:title=""/>
                </v:shape>
                <v:shape id="AutoShape 8" o:spid="_x0000_s1042" type="#_x0000_t32" style="position:absolute;left:6738;top:1304;width:1888;height:1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" strokeweight="0">
                  <v:stroke endarrow="block"/>
                </v:shape>
                <v:shape id="Text Box 2" o:spid="_x0000_s1043" type="#_x0000_t202" style="position:absolute;left:8299;top:1017;width:1156;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44519905" w14:textId="77777777" w:rsidR="00A523DF" w:rsidRPr="009C6F6B" w:rsidRDefault="00A523DF" w:rsidP="00BD1CE2">
                        <w:pPr>
                          <w:rPr>
                            <w:sz w:val="18"/>
                            <w:szCs w:val="18"/>
                          </w:rPr>
                        </w:pPr>
                        <w:r w:rsidRPr="009C6F6B">
                          <w:rPr>
                            <w:sz w:val="18"/>
                            <w:szCs w:val="18"/>
                          </w:rPr>
                          <w:t>Finger grip</w:t>
                        </w:r>
                      </w:p>
                    </w:txbxContent>
                  </v:textbox>
                </v:shape>
                <v:shape id="Text Box 2" o:spid="_x0000_s1044" type="#_x0000_t202" style="position:absolute;left:8299;top:3673;width:1444;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7CC73538" w14:textId="77777777" w:rsidR="00A523DF" w:rsidRPr="009C6F6B" w:rsidRDefault="00A523DF" w:rsidP="00BD1CE2">
                        <w:pPr>
                          <w:rPr>
                            <w:sz w:val="18"/>
                            <w:szCs w:val="18"/>
                          </w:rPr>
                        </w:pPr>
                        <w:r>
                          <w:rPr>
                            <w:sz w:val="18"/>
                            <w:szCs w:val="18"/>
                          </w:rPr>
                          <w:t>Black ‘O’ ring</w:t>
                        </w:r>
                      </w:p>
                    </w:txbxContent>
                  </v:textbox>
                </v:shape>
                <v:shape id="Text Box 2" o:spid="_x0000_s1045" type="#_x0000_t202" style="position:absolute;left:8308;top:3018;width:547;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30F02426" w14:textId="77777777" w:rsidR="00A523DF" w:rsidRPr="009C6F6B" w:rsidRDefault="00A523DF" w:rsidP="00BD1CE2">
                        <w:pPr>
                          <w:rPr>
                            <w:sz w:val="18"/>
                            <w:szCs w:val="18"/>
                          </w:rPr>
                        </w:pPr>
                        <w:r>
                          <w:rPr>
                            <w:sz w:val="18"/>
                            <w:szCs w:val="18"/>
                          </w:rPr>
                          <w:t>Tip</w:t>
                        </w:r>
                      </w:p>
                    </w:txbxContent>
                  </v:textbox>
                </v:shape>
                <v:shape id="Text Box 2" o:spid="_x0000_s1046" type="#_x0000_t202" style="position:absolute;left:8308;top:2403;width:879;height: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3FEFF04D" w14:textId="77777777" w:rsidR="00A523DF" w:rsidRPr="009C6F6B" w:rsidRDefault="00A523DF" w:rsidP="00BD1CE2">
                        <w:pPr>
                          <w:rPr>
                            <w:sz w:val="18"/>
                            <w:szCs w:val="18"/>
                          </w:rPr>
                        </w:pPr>
                        <w:r>
                          <w:rPr>
                            <w:sz w:val="18"/>
                            <w:szCs w:val="18"/>
                          </w:rPr>
                          <w:t>Barrel</w:t>
                        </w:r>
                      </w:p>
                    </w:txbxContent>
                  </v:textbox>
                </v:shape>
                <v:shape id="Text Box 2" o:spid="_x0000_s1047" type="#_x0000_t202" style="position:absolute;left:8299;top:1848;width:994;height: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7B7C7B0A" w14:textId="77777777" w:rsidR="00A523DF" w:rsidRPr="009C6F6B" w:rsidRDefault="00A523DF" w:rsidP="00BD1CE2">
                        <w:pPr>
                          <w:rPr>
                            <w:sz w:val="18"/>
                            <w:szCs w:val="18"/>
                          </w:rPr>
                        </w:pPr>
                        <w:r>
                          <w:rPr>
                            <w:sz w:val="18"/>
                            <w:szCs w:val="18"/>
                          </w:rPr>
                          <w:t>Plunger</w:t>
                        </w:r>
                      </w:p>
                    </w:txbxContent>
                  </v:textbox>
                </v:shape>
                <v:shape id="AutoShape 14" o:spid="_x0000_s1048" type="#_x0000_t32" style="position:absolute;left:5325;top:1848;width:2983;height:1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" strokeweight="0">
                  <v:stroke endarrow="block"/>
                </v:shape>
                <v:shape id="AutoShape 15" o:spid="_x0000_s1049" type="#_x0000_t32" style="position:absolute;left:6657;top:2527;width:164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" strokeweight="0">
                  <v:stroke endarrow="block"/>
                </v:shape>
                <v:shape id="AutoShape 16" o:spid="_x0000_s1050" type="#_x0000_t32" style="position:absolute;left:6439;top:3220;width:2024;height:2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" strokeweight="0">
                  <v:stroke endarrow="block"/>
                </v:shape>
                <v:shape id="AutoShape 17" o:spid="_x0000_s1051" type="#_x0000_t32" style="position:absolute;left:5420;top:3505;width:2962;height:3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" strokeweight="0">
                  <v:stroke endarrow="block"/>
                </v:shape>
                <w10:wrap type="square"/>
              </v:group>
            </w:pict>
          </mc:Fallback>
        </mc:AlternateContent>
      </w:r>
      <w:r w:rsidR="00BD1CE2" w:rsidRPr="002432DE">
        <w:rPr>
          <w:b/>
          <w:sz w:val="22"/>
          <w:szCs w:val="22"/>
        </w:rPr>
        <w:t>Using the 5 ml oral dosing syringe</w:t>
      </w:r>
      <w:r w:rsidR="003370FC">
        <w:rPr>
          <w:b/>
          <w:sz w:val="22"/>
          <w:szCs w:val="22"/>
        </w:rPr>
        <w:t xml:space="preserve"> </w:t>
      </w:r>
      <w:r w:rsidR="003370FC" w:rsidRPr="00833268">
        <w:rPr>
          <w:b/>
          <w:sz w:val="22"/>
          <w:szCs w:val="22"/>
        </w:rPr>
        <w:t xml:space="preserve">for doses </w:t>
      </w:r>
      <w:r w:rsidR="00602905">
        <w:rPr>
          <w:b/>
          <w:sz w:val="22"/>
          <w:szCs w:val="22"/>
        </w:rPr>
        <w:t>more than</w:t>
      </w:r>
      <w:r w:rsidR="00A05616" w:rsidRPr="00833268">
        <w:rPr>
          <w:b/>
          <w:sz w:val="22"/>
          <w:szCs w:val="22"/>
        </w:rPr>
        <w:t xml:space="preserve"> 2</w:t>
      </w:r>
      <w:r w:rsidR="003370FC" w:rsidRPr="00833268">
        <w:rPr>
          <w:b/>
          <w:sz w:val="22"/>
          <w:szCs w:val="22"/>
        </w:rPr>
        <w:t xml:space="preserve"> ml</w:t>
      </w:r>
    </w:p>
    <w:p w14:paraId="3D02E0CA" w14:textId="77777777" w:rsidR="00BD1CE2" w:rsidRDefault="00BD1CE2" w:rsidP="00BD1CE2">
      <w:pPr>
        <w:keepNext/>
        <w:rPr>
          <w:b/>
          <w:sz w:val="22"/>
          <w:szCs w:val="22"/>
        </w:rPr>
      </w:pPr>
    </w:p>
    <w:p w14:paraId="327687D7" w14:textId="77777777" w:rsidR="00BD1CE2" w:rsidRPr="00A84F1F" w:rsidRDefault="00BD1CE2" w:rsidP="00BD1CE2">
      <w:pPr>
        <w:keepNext/>
        <w:keepLines/>
        <w:ind w:right="5668"/>
        <w:rPr>
          <w:b/>
          <w:sz w:val="22"/>
          <w:szCs w:val="22"/>
        </w:rPr>
      </w:pPr>
      <w:r w:rsidRPr="003F421D">
        <w:rPr>
          <w:sz w:val="22"/>
          <w:szCs w:val="22"/>
        </w:rPr>
        <w:t xml:space="preserve">The </w:t>
      </w:r>
      <w:r>
        <w:rPr>
          <w:sz w:val="22"/>
          <w:szCs w:val="22"/>
        </w:rPr>
        <w:t>syringe has two main parts, a ‘plunger’ and a ‘barrel’. In this picture we have pulled out the plunger so that you can see each part clearly.</w:t>
      </w:r>
    </w:p>
    <w:p w14:paraId="08461083" w14:textId="77777777" w:rsidR="00BD1CE2" w:rsidRDefault="00BD1CE2" w:rsidP="00BD1CE2">
      <w:pPr>
        <w:keepNext/>
        <w:ind w:left="567" w:hanging="567"/>
        <w:rPr>
          <w:sz w:val="22"/>
          <w:szCs w:val="22"/>
        </w:rPr>
      </w:pPr>
    </w:p>
    <w:p w14:paraId="02F4170F" w14:textId="77777777" w:rsidR="00BD1CE2" w:rsidRDefault="00BD1CE2" w:rsidP="00BD1CE2">
      <w:pPr>
        <w:keepNext/>
        <w:ind w:left="567"/>
        <w:rPr>
          <w:b/>
          <w:sz w:val="22"/>
          <w:szCs w:val="22"/>
          <w:u w:val="single"/>
        </w:rPr>
      </w:pPr>
    </w:p>
    <w:p w14:paraId="69254708" w14:textId="77777777" w:rsidR="00BD1CE2" w:rsidRDefault="00BD1CE2" w:rsidP="00BD1CE2">
      <w:pPr>
        <w:keepNext/>
        <w:ind w:left="567"/>
        <w:rPr>
          <w:b/>
          <w:sz w:val="22"/>
          <w:szCs w:val="22"/>
          <w:u w:val="single"/>
        </w:rPr>
      </w:pPr>
    </w:p>
    <w:p w14:paraId="5622DAAB" w14:textId="77777777" w:rsidR="00BD1CE2" w:rsidRDefault="00BD1CE2" w:rsidP="00BD1CE2">
      <w:pPr>
        <w:keepNext/>
        <w:ind w:left="567"/>
        <w:rPr>
          <w:b/>
          <w:sz w:val="22"/>
          <w:szCs w:val="22"/>
          <w:u w:val="single"/>
        </w:rPr>
      </w:pPr>
    </w:p>
    <w:p w14:paraId="122BBE05" w14:textId="77777777" w:rsidR="00BD1CE2" w:rsidRDefault="00BD1CE2" w:rsidP="00BD1CE2">
      <w:pPr>
        <w:keepNext/>
        <w:ind w:left="567"/>
        <w:rPr>
          <w:b/>
          <w:sz w:val="22"/>
          <w:szCs w:val="22"/>
          <w:u w:val="single"/>
        </w:rPr>
      </w:pPr>
    </w:p>
    <w:p w14:paraId="33258EDF" w14:textId="77777777" w:rsidR="00BD1CE2" w:rsidRDefault="00BD1CE2" w:rsidP="00BD1CE2">
      <w:pPr>
        <w:keepNext/>
        <w:ind w:left="567"/>
        <w:rPr>
          <w:b/>
          <w:sz w:val="22"/>
          <w:szCs w:val="22"/>
          <w:u w:val="single"/>
        </w:rPr>
      </w:pPr>
    </w:p>
    <w:p w14:paraId="42E6DEAC" w14:textId="77777777" w:rsidR="00BD1CE2" w:rsidRDefault="00BD1CE2" w:rsidP="00BD1CE2">
      <w:pPr>
        <w:ind w:left="567" w:right="7652"/>
        <w:rPr>
          <w:b/>
          <w:sz w:val="22"/>
          <w:szCs w:val="22"/>
          <w:u w:val="single"/>
        </w:rPr>
      </w:pPr>
    </w:p>
    <w:p w14:paraId="2DF94846" w14:textId="77777777" w:rsidR="00BD1CE2" w:rsidRPr="002432DE" w:rsidRDefault="0040661B" w:rsidP="0052761E">
      <w:pPr>
        <w:pStyle w:val="ListParagraph"/>
        <w:numPr>
          <w:ilvl w:val="0"/>
          <w:numId w:val="49"/>
        </w:numPr>
        <w:tabs>
          <w:tab w:val="left" w:pos="284"/>
        </w:tabs>
        <w:spacing w:after="200"/>
        <w:ind w:left="284" w:right="1701" w:hanging="284"/>
        <w:contextualSpacing/>
        <w:rPr>
          <w:sz w:val="22"/>
          <w:szCs w:val="22"/>
        </w:rPr>
      </w:pPr>
      <w:r>
        <w:rPr>
          <w:noProof/>
          <w:sz w:val="22"/>
          <w:szCs w:val="22"/>
          <w:lang w:eastAsia="en-GB"/>
        </w:rPr>
        <mc:AlternateContent>
          <mc:Choice Requires="wpg">
            <w:drawing>
              <wp:anchor distT="0" distB="0" distL="114300" distR="114300" simplePos="0" relativeHeight="251659264" behindDoc="0" locked="0" layoutInCell="1" allowOverlap="1" wp14:anchorId="269ED706" wp14:editId="36ABBAE0">
                <wp:simplePos x="0" y="0"/>
                <wp:positionH relativeFrom="column">
                  <wp:posOffset>2089785</wp:posOffset>
                </wp:positionH>
                <wp:positionV relativeFrom="paragraph">
                  <wp:posOffset>149225</wp:posOffset>
                </wp:positionV>
                <wp:extent cx="2936240" cy="1877695"/>
                <wp:effectExtent l="0" t="1905" r="0" b="0"/>
                <wp:wrapSquare wrapText="bothSides"/>
                <wp:docPr id="2"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36240" cy="1877695"/>
                          <a:chOff x="4559" y="4524"/>
                          <a:chExt cx="4624" cy="2957"/>
                        </a:xfrm>
                      </wpg:grpSpPr>
                      <pic:pic xmlns:pic="http://schemas.openxmlformats.org/drawingml/2006/picture">
                        <pic:nvPicPr>
                          <pic:cNvPr id="3" name="Picture 29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4559" y="4692"/>
                            <a:ext cx="2789" cy="2789"/>
                          </a:xfrm>
                          <a:prstGeom prst="rect">
                            <a:avLst/>
                          </a:prstGeom>
                          <a:noFill/>
                          <a:extLst>
                            <a:ext uri="{909E8E84-426E-40DD-AFC4-6F175D3DCCD1}">
                              <a14:hiddenFill xmlns:a14="http://schemas.microsoft.com/office/drawing/2010/main">
                                <a:solidFill>
                                  <a:srgbClr val="FFFFFF"/>
                                </a:solidFill>
                              </a14:hiddenFill>
                            </a:ext>
                          </a:extLst>
                        </pic:spPr>
                      </pic:pic>
                      <wps:wsp>
                        <wps:cNvPr id="4" name="Straight Arrow Connector 293"/>
                        <wps:cNvCnPr>
                          <a:cxnSpLocks noChangeShapeType="1"/>
                        </wps:cNvCnPr>
                        <wps:spPr bwMode="auto">
                          <a:xfrm flipH="1">
                            <a:off x="5940" y="4773"/>
                            <a:ext cx="2293" cy="889"/>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 name="Text Box 294"/>
                        <wps:cNvSpPr txBox="1">
                          <a:spLocks noChangeArrowheads="1"/>
                        </wps:cNvSpPr>
                        <wps:spPr bwMode="auto">
                          <a:xfrm>
                            <a:off x="8233" y="4524"/>
                            <a:ext cx="950" cy="584"/>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6E218F9" w14:textId="77777777" w:rsidR="00A523DF" w:rsidRPr="00B15C72" w:rsidRDefault="00A523DF" w:rsidP="00BD1CE2">
                              <w:pPr>
                                <w:rPr>
                                  <w:sz w:val="18"/>
                                  <w:szCs w:val="18"/>
                                </w:rPr>
                              </w:pPr>
                              <w:r>
                                <w:rPr>
                                  <w:sz w:val="18"/>
                                  <w:szCs w:val="18"/>
                                </w:rPr>
                                <w:t>‘ml’ mark</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group w14:anchorId="269ED706" id="Group 28" o:spid="_x0000_s1052" style="position:absolute;left:0;text-align:left;margin-left:164.55pt;margin-top:11.75pt;width:231.2pt;height:147.85pt;z-index:251659264" coordorigin="4559,4524" coordsize="4624,29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">
                <v:shape id="Picture 292" o:spid="_x0000_s1053" type="#_x0000_t75" style="position:absolute;left:4559;top:4692;width:2789;height:2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">
                  <v:imagedata r:id="rId25" o:title=""/>
                </v:shape>
                <v:shape id="Straight Arrow Connector 293" o:spid="_x0000_s1054" type="#_x0000_t32" style="position:absolute;left:5940;top:4773;width:2293;height:8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" strokeweight="1pt">
                  <v:stroke endarrow="open"/>
                </v:shape>
                <v:shape id="Text Box 294" o:spid="_x0000_s1055" type="#_x0000_t202" style="position:absolute;left:8233;top:4524;width:950;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" stroked="f" strokeweight=".5pt">
                  <v:textbox>
                    <w:txbxContent>
                      <w:p w14:paraId="36E218F9" w14:textId="77777777" w:rsidR="00A523DF" w:rsidRPr="00B15C72" w:rsidRDefault="00A523DF" w:rsidP="00BD1CE2">
                        <w:pPr>
                          <w:rPr>
                            <w:sz w:val="18"/>
                            <w:szCs w:val="18"/>
                          </w:rPr>
                        </w:pPr>
                        <w:r>
                          <w:rPr>
                            <w:sz w:val="18"/>
                            <w:szCs w:val="18"/>
                          </w:rPr>
                          <w:t>‘ml’ mark</w:t>
                        </w:r>
                      </w:p>
                    </w:txbxContent>
                  </v:textbox>
                </v:shape>
                <w10:wrap type="square"/>
              </v:group>
            </w:pict>
          </mc:Fallback>
        </mc:AlternateContent>
      </w:r>
      <w:r w:rsidR="00BD1CE2" w:rsidRPr="002432DE">
        <w:rPr>
          <w:sz w:val="22"/>
          <w:szCs w:val="22"/>
        </w:rPr>
        <w:t xml:space="preserve">Push </w:t>
      </w:r>
      <w:r w:rsidR="00BD1CE2">
        <w:rPr>
          <w:sz w:val="22"/>
          <w:szCs w:val="22"/>
        </w:rPr>
        <w:t xml:space="preserve">the </w:t>
      </w:r>
      <w:r w:rsidR="00BD1CE2" w:rsidRPr="002432DE">
        <w:rPr>
          <w:sz w:val="22"/>
          <w:szCs w:val="22"/>
        </w:rPr>
        <w:t>plunger all</w:t>
      </w:r>
      <w:r w:rsidR="00BD1CE2">
        <w:rPr>
          <w:sz w:val="22"/>
          <w:szCs w:val="22"/>
        </w:rPr>
        <w:t xml:space="preserve"> of</w:t>
      </w:r>
      <w:r w:rsidR="00BD1CE2" w:rsidRPr="002432DE">
        <w:rPr>
          <w:sz w:val="22"/>
          <w:szCs w:val="22"/>
        </w:rPr>
        <w:t xml:space="preserve"> the way into the barrel. </w:t>
      </w:r>
    </w:p>
    <w:p w14:paraId="4F566C76" w14:textId="77777777" w:rsidR="00BD1CE2" w:rsidRPr="002432DE" w:rsidRDefault="00BD1CE2" w:rsidP="0052761E">
      <w:pPr>
        <w:pStyle w:val="ListParagraph"/>
        <w:numPr>
          <w:ilvl w:val="0"/>
          <w:numId w:val="49"/>
        </w:numPr>
        <w:tabs>
          <w:tab w:val="left" w:pos="284"/>
        </w:tabs>
        <w:spacing w:after="200"/>
        <w:ind w:left="284" w:right="1701" w:hanging="284"/>
        <w:contextualSpacing/>
        <w:rPr>
          <w:sz w:val="22"/>
          <w:szCs w:val="22"/>
        </w:rPr>
      </w:pPr>
      <w:r w:rsidRPr="002432DE">
        <w:rPr>
          <w:sz w:val="22"/>
          <w:szCs w:val="22"/>
        </w:rPr>
        <w:t>Place the tip of the syringe into the liquid</w:t>
      </w:r>
      <w:r>
        <w:rPr>
          <w:sz w:val="22"/>
          <w:szCs w:val="22"/>
        </w:rPr>
        <w:t>.</w:t>
      </w:r>
    </w:p>
    <w:p w14:paraId="418BCC33" w14:textId="77777777" w:rsidR="00BD1CE2" w:rsidRPr="002432DE" w:rsidRDefault="00BD1CE2" w:rsidP="0052761E">
      <w:pPr>
        <w:pStyle w:val="ListParagraph"/>
        <w:numPr>
          <w:ilvl w:val="0"/>
          <w:numId w:val="49"/>
        </w:numPr>
        <w:tabs>
          <w:tab w:val="left" w:pos="284"/>
        </w:tabs>
        <w:spacing w:after="200"/>
        <w:ind w:left="284" w:right="1701" w:hanging="284"/>
        <w:contextualSpacing/>
        <w:rPr>
          <w:sz w:val="22"/>
          <w:szCs w:val="22"/>
        </w:rPr>
      </w:pPr>
      <w:r w:rsidRPr="002432DE">
        <w:rPr>
          <w:sz w:val="22"/>
          <w:szCs w:val="22"/>
        </w:rPr>
        <w:t xml:space="preserve">Pull up the plunger until the black </w:t>
      </w:r>
      <w:r>
        <w:rPr>
          <w:sz w:val="22"/>
          <w:szCs w:val="22"/>
        </w:rPr>
        <w:t>‘</w:t>
      </w:r>
      <w:r w:rsidRPr="002432DE">
        <w:rPr>
          <w:sz w:val="22"/>
          <w:szCs w:val="22"/>
        </w:rPr>
        <w:t>O</w:t>
      </w:r>
      <w:r>
        <w:rPr>
          <w:sz w:val="22"/>
          <w:szCs w:val="22"/>
        </w:rPr>
        <w:t>’</w:t>
      </w:r>
      <w:r w:rsidRPr="002432DE">
        <w:rPr>
          <w:sz w:val="22"/>
          <w:szCs w:val="22"/>
        </w:rPr>
        <w:t xml:space="preserve"> ring is on the correct dose </w:t>
      </w:r>
      <w:r>
        <w:rPr>
          <w:sz w:val="22"/>
          <w:szCs w:val="22"/>
        </w:rPr>
        <w:t>‘</w:t>
      </w:r>
      <w:r w:rsidRPr="002432DE">
        <w:rPr>
          <w:sz w:val="22"/>
          <w:szCs w:val="22"/>
        </w:rPr>
        <w:t>ml</w:t>
      </w:r>
      <w:r>
        <w:rPr>
          <w:sz w:val="22"/>
          <w:szCs w:val="22"/>
        </w:rPr>
        <w:t>’</w:t>
      </w:r>
      <w:r w:rsidRPr="002432DE">
        <w:rPr>
          <w:sz w:val="22"/>
          <w:szCs w:val="22"/>
        </w:rPr>
        <w:t xml:space="preserve"> mark</w:t>
      </w:r>
      <w:r>
        <w:rPr>
          <w:sz w:val="22"/>
          <w:szCs w:val="22"/>
        </w:rPr>
        <w:t xml:space="preserve"> on the barrel</w:t>
      </w:r>
      <w:r w:rsidRPr="002432DE">
        <w:rPr>
          <w:sz w:val="22"/>
          <w:szCs w:val="22"/>
        </w:rPr>
        <w:t>.</w:t>
      </w:r>
    </w:p>
    <w:p w14:paraId="2B25987F" w14:textId="77777777" w:rsidR="00BD1CE2" w:rsidRDefault="00BD1CE2" w:rsidP="0052761E">
      <w:pPr>
        <w:pStyle w:val="ListParagraph"/>
        <w:numPr>
          <w:ilvl w:val="0"/>
          <w:numId w:val="49"/>
        </w:numPr>
        <w:tabs>
          <w:tab w:val="left" w:pos="284"/>
        </w:tabs>
        <w:spacing w:after="200"/>
        <w:ind w:left="284" w:right="1701" w:hanging="284"/>
        <w:contextualSpacing/>
        <w:rPr>
          <w:sz w:val="22"/>
          <w:szCs w:val="22"/>
        </w:rPr>
      </w:pPr>
      <w:r w:rsidRPr="002432DE">
        <w:rPr>
          <w:sz w:val="22"/>
          <w:szCs w:val="22"/>
        </w:rPr>
        <w:t xml:space="preserve">Turn the syringe so that the tip is pointing up, gently tap it and push plunger to remove any air bubbles. </w:t>
      </w:r>
    </w:p>
    <w:p w14:paraId="5C57FD0D" w14:textId="77777777" w:rsidR="00BD1CE2" w:rsidRPr="00144F79" w:rsidRDefault="00BD1CE2" w:rsidP="0052761E">
      <w:pPr>
        <w:pStyle w:val="ListParagraph"/>
        <w:numPr>
          <w:ilvl w:val="0"/>
          <w:numId w:val="49"/>
        </w:numPr>
        <w:tabs>
          <w:tab w:val="left" w:pos="284"/>
        </w:tabs>
        <w:spacing w:after="200"/>
        <w:ind w:left="284" w:right="1699" w:hanging="284"/>
        <w:contextualSpacing/>
        <w:rPr>
          <w:sz w:val="22"/>
          <w:szCs w:val="22"/>
        </w:rPr>
      </w:pPr>
      <w:r w:rsidRPr="00144F79">
        <w:rPr>
          <w:sz w:val="22"/>
          <w:szCs w:val="22"/>
        </w:rPr>
        <w:t>After removing the air bubbles, look at the dose mark.</w:t>
      </w:r>
    </w:p>
    <w:p w14:paraId="3693CF6A" w14:textId="77777777" w:rsidR="00BD1CE2" w:rsidRPr="002432DE" w:rsidRDefault="00BD1CE2" w:rsidP="0052761E">
      <w:pPr>
        <w:pStyle w:val="ListParagraph"/>
        <w:numPr>
          <w:ilvl w:val="0"/>
          <w:numId w:val="51"/>
        </w:numPr>
        <w:tabs>
          <w:tab w:val="left" w:pos="567"/>
        </w:tabs>
        <w:spacing w:after="200"/>
        <w:ind w:left="567" w:right="1273" w:hanging="283"/>
        <w:contextualSpacing/>
        <w:rPr>
          <w:sz w:val="22"/>
          <w:szCs w:val="22"/>
        </w:rPr>
      </w:pPr>
      <w:r w:rsidRPr="002432DE">
        <w:rPr>
          <w:sz w:val="22"/>
          <w:szCs w:val="22"/>
        </w:rPr>
        <w:t xml:space="preserve">If the </w:t>
      </w:r>
      <w:r>
        <w:rPr>
          <w:sz w:val="22"/>
          <w:szCs w:val="22"/>
        </w:rPr>
        <w:t>‘</w:t>
      </w:r>
      <w:r w:rsidRPr="002432DE">
        <w:rPr>
          <w:sz w:val="22"/>
          <w:szCs w:val="22"/>
        </w:rPr>
        <w:t>ml</w:t>
      </w:r>
      <w:r>
        <w:rPr>
          <w:sz w:val="22"/>
          <w:szCs w:val="22"/>
        </w:rPr>
        <w:t>’</w:t>
      </w:r>
      <w:r w:rsidRPr="002432DE">
        <w:rPr>
          <w:sz w:val="22"/>
          <w:szCs w:val="22"/>
        </w:rPr>
        <w:t xml:space="preserve"> mark on the black </w:t>
      </w:r>
      <w:r>
        <w:rPr>
          <w:sz w:val="22"/>
          <w:szCs w:val="22"/>
        </w:rPr>
        <w:t>‘</w:t>
      </w:r>
      <w:r w:rsidRPr="002432DE">
        <w:rPr>
          <w:sz w:val="22"/>
          <w:szCs w:val="22"/>
        </w:rPr>
        <w:t>O</w:t>
      </w:r>
      <w:r>
        <w:rPr>
          <w:sz w:val="22"/>
          <w:szCs w:val="22"/>
        </w:rPr>
        <w:t>’</w:t>
      </w:r>
      <w:r w:rsidRPr="002432DE">
        <w:rPr>
          <w:sz w:val="22"/>
          <w:szCs w:val="22"/>
        </w:rPr>
        <w:t xml:space="preserve"> ring is more than the prescribed dose, push the plunger to the prescribed dose. </w:t>
      </w:r>
    </w:p>
    <w:p w14:paraId="5F88DA5E" w14:textId="77777777" w:rsidR="00BD1CE2" w:rsidRDefault="00BD1CE2" w:rsidP="0052761E">
      <w:pPr>
        <w:pStyle w:val="ListParagraph"/>
        <w:numPr>
          <w:ilvl w:val="0"/>
          <w:numId w:val="51"/>
        </w:numPr>
        <w:tabs>
          <w:tab w:val="left" w:pos="567"/>
        </w:tabs>
        <w:spacing w:after="60"/>
        <w:ind w:left="567" w:right="1276" w:hanging="283"/>
        <w:contextualSpacing/>
        <w:rPr>
          <w:sz w:val="22"/>
          <w:szCs w:val="22"/>
        </w:rPr>
      </w:pPr>
      <w:r w:rsidRPr="002432DE">
        <w:rPr>
          <w:sz w:val="22"/>
          <w:szCs w:val="22"/>
        </w:rPr>
        <w:t xml:space="preserve">If the </w:t>
      </w:r>
      <w:r>
        <w:rPr>
          <w:sz w:val="22"/>
          <w:szCs w:val="22"/>
        </w:rPr>
        <w:t>‘</w:t>
      </w:r>
      <w:r w:rsidRPr="002432DE">
        <w:rPr>
          <w:sz w:val="22"/>
          <w:szCs w:val="22"/>
        </w:rPr>
        <w:t>ml</w:t>
      </w:r>
      <w:r>
        <w:rPr>
          <w:sz w:val="22"/>
          <w:szCs w:val="22"/>
        </w:rPr>
        <w:t>’</w:t>
      </w:r>
      <w:r w:rsidRPr="002432DE">
        <w:rPr>
          <w:sz w:val="22"/>
          <w:szCs w:val="22"/>
        </w:rPr>
        <w:t xml:space="preserve"> mark on the black </w:t>
      </w:r>
      <w:r>
        <w:rPr>
          <w:sz w:val="22"/>
          <w:szCs w:val="22"/>
        </w:rPr>
        <w:t>‘</w:t>
      </w:r>
      <w:r w:rsidRPr="002432DE">
        <w:rPr>
          <w:sz w:val="22"/>
          <w:szCs w:val="22"/>
        </w:rPr>
        <w:t>O</w:t>
      </w:r>
      <w:r>
        <w:rPr>
          <w:sz w:val="22"/>
          <w:szCs w:val="22"/>
        </w:rPr>
        <w:t>’</w:t>
      </w:r>
      <w:r w:rsidRPr="002432DE">
        <w:rPr>
          <w:sz w:val="22"/>
          <w:szCs w:val="22"/>
        </w:rPr>
        <w:t xml:space="preserve"> ring is less than the prescribed dose, draw up </w:t>
      </w:r>
      <w:r>
        <w:rPr>
          <w:sz w:val="22"/>
          <w:szCs w:val="22"/>
        </w:rPr>
        <w:t>more</w:t>
      </w:r>
      <w:r w:rsidRPr="002432DE">
        <w:rPr>
          <w:sz w:val="22"/>
          <w:szCs w:val="22"/>
        </w:rPr>
        <w:t xml:space="preserve"> solution to the prescribed dose.</w:t>
      </w:r>
    </w:p>
    <w:p w14:paraId="202E1F38" w14:textId="77777777" w:rsidR="00BD1CE2" w:rsidRPr="00BD1CE2" w:rsidRDefault="00BD1CE2" w:rsidP="0052761E">
      <w:pPr>
        <w:pStyle w:val="ListParagraph"/>
        <w:numPr>
          <w:ilvl w:val="0"/>
          <w:numId w:val="50"/>
        </w:numPr>
        <w:tabs>
          <w:tab w:val="left" w:pos="284"/>
        </w:tabs>
        <w:spacing w:after="60"/>
        <w:ind w:left="284" w:right="3258" w:hanging="284"/>
        <w:contextualSpacing/>
        <w:rPr>
          <w:sz w:val="22"/>
          <w:szCs w:val="22"/>
        </w:rPr>
      </w:pPr>
      <w:r w:rsidRPr="00BD1CE2">
        <w:rPr>
          <w:sz w:val="22"/>
          <w:szCs w:val="22"/>
        </w:rPr>
        <w:t>Place the dosing syringe in your child’s mouth towards the cheek and gently push the plunger down to release the medicine.</w:t>
      </w:r>
    </w:p>
    <w:p w14:paraId="24705D5E" w14:textId="77777777" w:rsidR="00BD1CE2" w:rsidRPr="00342F7C" w:rsidRDefault="00BD1CE2" w:rsidP="00BD1CE2">
      <w:pPr>
        <w:ind w:right="1276"/>
        <w:contextualSpacing/>
      </w:pPr>
      <w:r w:rsidRPr="002432DE">
        <w:rPr>
          <w:sz w:val="22"/>
          <w:szCs w:val="22"/>
        </w:rPr>
        <w:t xml:space="preserve">Replace the bottle cap after each dose. </w:t>
      </w:r>
    </w:p>
    <w:p w14:paraId="05BAB791" w14:textId="77777777" w:rsidR="00277ECB" w:rsidRPr="00342F7C" w:rsidRDefault="00277ECB">
      <w:pPr>
        <w:pStyle w:val="EMEANormal"/>
        <w:rPr>
          <w:lang w:val="en-GB"/>
        </w:rPr>
      </w:pPr>
    </w:p>
    <w:p w14:paraId="6720F60A" w14:textId="77777777" w:rsidR="0044296E" w:rsidRDefault="00277ECB" w:rsidP="0044296E">
      <w:pPr>
        <w:pStyle w:val="EMEANormal"/>
        <w:rPr>
          <w:lang w:val="en-GB"/>
        </w:rPr>
      </w:pPr>
      <w:r w:rsidRPr="00342F7C">
        <w:rPr>
          <w:lang w:val="en-GB"/>
        </w:rPr>
        <w:t xml:space="preserve">After each dose of Kaletra separate the plunger and the syringe.  Wash the plunger and the syringe with </w:t>
      </w:r>
      <w:r w:rsidR="00BD1CE2">
        <w:rPr>
          <w:lang w:val="en-GB"/>
        </w:rPr>
        <w:t>washing up liquid</w:t>
      </w:r>
      <w:r w:rsidRPr="00342F7C">
        <w:rPr>
          <w:lang w:val="en-GB"/>
        </w:rPr>
        <w:t xml:space="preserve"> and warm water as soon as you can; you may soak both in soapy water for up to 15 minutes.  Rinse the syringe and plunger with clean water.  Put the syringe back together and draw up and expel tap water a few times to rinse.  Let the syringe dry completely before you use that syringe for dosing.</w:t>
      </w:r>
      <w:r w:rsidR="0044296E" w:rsidRPr="00342F7C">
        <w:rPr>
          <w:lang w:val="en-GB"/>
        </w:rPr>
        <w:t xml:space="preserve"> </w:t>
      </w:r>
    </w:p>
    <w:p w14:paraId="768BB898" w14:textId="77777777" w:rsidR="0044296E" w:rsidRDefault="0044296E" w:rsidP="0044296E">
      <w:pPr>
        <w:pStyle w:val="EMEANormal"/>
        <w:rPr>
          <w:lang w:val="en-GB"/>
        </w:rPr>
      </w:pPr>
    </w:p>
    <w:p w14:paraId="69358CB0" w14:textId="77777777" w:rsidR="00277ECB" w:rsidRDefault="0044296E">
      <w:pPr>
        <w:pStyle w:val="EMEANormal"/>
        <w:rPr>
          <w:lang w:val="en-GB"/>
        </w:rPr>
      </w:pPr>
      <w:r>
        <w:rPr>
          <w:lang w:val="en-GB"/>
        </w:rPr>
        <w:t>Do not use the dosing syringes supplied with Kaletra oral solution to administer any other medicines you or your child may be taking.</w:t>
      </w:r>
      <w:r w:rsidR="00277ECB" w:rsidRPr="00342F7C">
        <w:rPr>
          <w:lang w:val="en-GB"/>
        </w:rPr>
        <w:t xml:space="preserve"> </w:t>
      </w:r>
    </w:p>
    <w:p w14:paraId="46632450" w14:textId="77777777" w:rsidR="005C68A8" w:rsidRPr="00342F7C" w:rsidRDefault="005C68A8">
      <w:pPr>
        <w:pStyle w:val="EMEANormal"/>
        <w:rPr>
          <w:lang w:val="en-GB"/>
        </w:rPr>
      </w:pPr>
    </w:p>
    <w:p w14:paraId="6474EBE0" w14:textId="77777777" w:rsidR="00277ECB" w:rsidRPr="00342F7C" w:rsidRDefault="00277ECB" w:rsidP="005C68A8">
      <w:pPr>
        <w:pStyle w:val="EMEAHeadingLeaflet"/>
        <w:spacing w:beforeLines="0" w:before="0" w:afterLines="0" w:after="0"/>
        <w:rPr>
          <w:rFonts w:ascii="Times New Roman" w:hAnsi="Times New Roman"/>
          <w:lang w:val="en-GB"/>
        </w:rPr>
      </w:pPr>
      <w:r w:rsidRPr="00342F7C">
        <w:rPr>
          <w:rFonts w:ascii="Times New Roman" w:hAnsi="Times New Roman"/>
          <w:lang w:val="en-GB"/>
        </w:rPr>
        <w:t xml:space="preserve">If you </w:t>
      </w:r>
      <w:r w:rsidR="0044296E">
        <w:rPr>
          <w:rFonts w:ascii="Times New Roman" w:hAnsi="Times New Roman"/>
          <w:lang w:val="en-GB"/>
        </w:rPr>
        <w:t xml:space="preserve">or your child </w:t>
      </w:r>
      <w:r w:rsidRPr="00342F7C">
        <w:rPr>
          <w:rFonts w:ascii="Times New Roman" w:hAnsi="Times New Roman"/>
          <w:lang w:val="en-GB"/>
        </w:rPr>
        <w:t>take more Kaletra than you should</w:t>
      </w:r>
    </w:p>
    <w:p w14:paraId="7489CFE8" w14:textId="77777777" w:rsidR="00277ECB" w:rsidRPr="00342F7C" w:rsidRDefault="00277ECB">
      <w:pPr>
        <w:pStyle w:val="EMEANormal"/>
        <w:rPr>
          <w:lang w:val="en-GB"/>
        </w:rPr>
      </w:pPr>
    </w:p>
    <w:p w14:paraId="65F9E7D2" w14:textId="77777777" w:rsidR="00277ECB" w:rsidRPr="00342F7C" w:rsidRDefault="00277ECB" w:rsidP="008C1BBF">
      <w:pPr>
        <w:pStyle w:val="EMEABullet"/>
        <w:tabs>
          <w:tab w:val="clear" w:pos="709"/>
          <w:tab w:val="num" w:pos="567"/>
        </w:tabs>
        <w:ind w:left="567"/>
        <w:rPr>
          <w:lang w:val="en-GB"/>
        </w:rPr>
      </w:pPr>
      <w:r w:rsidRPr="00342F7C">
        <w:rPr>
          <w:lang w:val="en-GB"/>
        </w:rPr>
        <w:t>If you realise you have taken more Kaletra than you were supposed to, contact you</w:t>
      </w:r>
      <w:r w:rsidR="003A5D18">
        <w:rPr>
          <w:lang w:val="en-GB"/>
        </w:rPr>
        <w:t>r</w:t>
      </w:r>
      <w:r w:rsidRPr="00342F7C">
        <w:rPr>
          <w:lang w:val="en-GB"/>
        </w:rPr>
        <w:t xml:space="preserve"> doctor right away.  </w:t>
      </w:r>
    </w:p>
    <w:p w14:paraId="3F3F5CE6" w14:textId="77777777" w:rsidR="00277ECB" w:rsidRPr="00342F7C" w:rsidRDefault="00277ECB" w:rsidP="008C1BBF">
      <w:pPr>
        <w:pStyle w:val="EMEABullet"/>
        <w:tabs>
          <w:tab w:val="clear" w:pos="709"/>
          <w:tab w:val="num" w:pos="567"/>
        </w:tabs>
        <w:ind w:left="567"/>
        <w:rPr>
          <w:lang w:val="en-GB"/>
        </w:rPr>
      </w:pPr>
      <w:r w:rsidRPr="00342F7C">
        <w:rPr>
          <w:lang w:val="en-GB"/>
        </w:rPr>
        <w:t>If you cannot contact your doctor, go to the hospital.</w:t>
      </w:r>
    </w:p>
    <w:p w14:paraId="7CDBB5D3" w14:textId="77777777" w:rsidR="005C68A8" w:rsidRDefault="005C68A8" w:rsidP="005C68A8">
      <w:pPr>
        <w:pStyle w:val="EMEAHeadingLeaflet"/>
        <w:spacing w:beforeLines="0" w:before="0" w:afterLines="0" w:after="0"/>
        <w:rPr>
          <w:rFonts w:ascii="Times New Roman" w:hAnsi="Times New Roman"/>
          <w:lang w:val="en-GB"/>
        </w:rPr>
      </w:pPr>
    </w:p>
    <w:p w14:paraId="13DB4A6E" w14:textId="77777777" w:rsidR="00277ECB" w:rsidRPr="00342F7C" w:rsidRDefault="00277ECB" w:rsidP="005C68A8">
      <w:pPr>
        <w:pStyle w:val="EMEAHeadingLeaflet"/>
        <w:spacing w:beforeLines="0" w:before="0" w:afterLines="0" w:after="0"/>
        <w:rPr>
          <w:rFonts w:ascii="Times New Roman" w:hAnsi="Times New Roman"/>
          <w:lang w:val="en-GB"/>
        </w:rPr>
      </w:pPr>
      <w:r w:rsidRPr="00342F7C">
        <w:rPr>
          <w:rFonts w:ascii="Times New Roman" w:hAnsi="Times New Roman"/>
          <w:lang w:val="en-GB"/>
        </w:rPr>
        <w:t xml:space="preserve">If you </w:t>
      </w:r>
      <w:r w:rsidR="0044296E">
        <w:rPr>
          <w:rFonts w:ascii="Times New Roman" w:hAnsi="Times New Roman"/>
          <w:lang w:val="en-GB"/>
        </w:rPr>
        <w:t xml:space="preserve">or your child </w:t>
      </w:r>
      <w:r w:rsidRPr="00342F7C">
        <w:rPr>
          <w:rFonts w:ascii="Times New Roman" w:hAnsi="Times New Roman"/>
          <w:lang w:val="en-GB"/>
        </w:rPr>
        <w:t>forget to take Kaletra</w:t>
      </w:r>
    </w:p>
    <w:p w14:paraId="5EC30B4A" w14:textId="77777777" w:rsidR="00277ECB" w:rsidRPr="00342F7C" w:rsidRDefault="00277ECB">
      <w:pPr>
        <w:pStyle w:val="EMEANormal"/>
        <w:rPr>
          <w:lang w:val="en-GB"/>
        </w:rPr>
      </w:pPr>
    </w:p>
    <w:p w14:paraId="7B9511F6" w14:textId="77777777" w:rsidR="009670E5" w:rsidRPr="007D3EEB" w:rsidRDefault="009670E5" w:rsidP="0052761E">
      <w:pPr>
        <w:pStyle w:val="EMEABullet"/>
        <w:numPr>
          <w:ilvl w:val="0"/>
          <w:numId w:val="19"/>
        </w:numPr>
        <w:ind w:left="567" w:hanging="567"/>
      </w:pPr>
      <w:r w:rsidRPr="007D3EEB">
        <w:t>If you notice you miss a dose within 6 hours of your normal dosing time, take your missed dose as soon as possible, and then continue with your normal dose at the regular time as prescribed by your doctor.</w:t>
      </w:r>
    </w:p>
    <w:p w14:paraId="20DF02C7" w14:textId="77777777" w:rsidR="009670E5" w:rsidRPr="004D5C5D" w:rsidRDefault="009670E5" w:rsidP="009670E5">
      <w:pPr>
        <w:pStyle w:val="EMEABullet"/>
        <w:numPr>
          <w:ilvl w:val="0"/>
          <w:numId w:val="0"/>
        </w:numPr>
        <w:rPr>
          <w:lang w:val="en-GB"/>
        </w:rPr>
      </w:pPr>
    </w:p>
    <w:p w14:paraId="267A623D" w14:textId="77777777" w:rsidR="00277ECB" w:rsidRPr="007D3EEB" w:rsidRDefault="009670E5" w:rsidP="0052761E">
      <w:pPr>
        <w:pStyle w:val="EMEABullet"/>
        <w:numPr>
          <w:ilvl w:val="0"/>
          <w:numId w:val="19"/>
        </w:numPr>
        <w:ind w:left="567" w:hanging="567"/>
      </w:pPr>
      <w:r w:rsidRPr="007D3EEB">
        <w:t>If you notice you miss a dose by more than 6 hours after your normal dosing time, do not take the missed dose.  Take the next dose as usual.  Do not take a double dose to make up for a forgotten dose.</w:t>
      </w:r>
    </w:p>
    <w:p w14:paraId="40177EC0" w14:textId="77777777" w:rsidR="005C68A8" w:rsidRDefault="005C68A8" w:rsidP="005C68A8">
      <w:pPr>
        <w:pStyle w:val="EMEAHeadingLeaflet"/>
        <w:spacing w:beforeLines="0" w:before="0" w:afterLines="0" w:after="0"/>
        <w:rPr>
          <w:rFonts w:ascii="Times New Roman" w:hAnsi="Times New Roman"/>
          <w:lang w:val="en-GB"/>
        </w:rPr>
      </w:pPr>
    </w:p>
    <w:p w14:paraId="60665541" w14:textId="77777777" w:rsidR="00454ACF" w:rsidRPr="00342F7C" w:rsidRDefault="00454ACF" w:rsidP="005C68A8">
      <w:pPr>
        <w:pStyle w:val="EMEAHeadingLeaflet"/>
        <w:spacing w:beforeLines="0" w:before="0" w:afterLines="0" w:after="0"/>
        <w:rPr>
          <w:rFonts w:ascii="Times New Roman" w:hAnsi="Times New Roman"/>
          <w:lang w:val="en-GB"/>
        </w:rPr>
      </w:pPr>
      <w:r w:rsidRPr="00342F7C">
        <w:rPr>
          <w:rFonts w:ascii="Times New Roman" w:hAnsi="Times New Roman"/>
          <w:lang w:val="en-GB"/>
        </w:rPr>
        <w:t xml:space="preserve">If you </w:t>
      </w:r>
      <w:r w:rsidR="0044296E">
        <w:rPr>
          <w:rFonts w:ascii="Times New Roman" w:hAnsi="Times New Roman"/>
          <w:lang w:val="en-GB"/>
        </w:rPr>
        <w:t xml:space="preserve">or your child </w:t>
      </w:r>
      <w:r w:rsidRPr="00342F7C">
        <w:rPr>
          <w:rFonts w:ascii="Times New Roman" w:hAnsi="Times New Roman"/>
          <w:lang w:val="en-GB"/>
        </w:rPr>
        <w:t>stop taking Kaletra</w:t>
      </w:r>
    </w:p>
    <w:p w14:paraId="50E17FB8" w14:textId="77777777" w:rsidR="00454ACF" w:rsidRPr="00342F7C" w:rsidRDefault="00454ACF" w:rsidP="00454ACF">
      <w:pPr>
        <w:pStyle w:val="EMEANormal"/>
        <w:rPr>
          <w:lang w:val="en-GB"/>
        </w:rPr>
      </w:pPr>
    </w:p>
    <w:p w14:paraId="75ED9F44" w14:textId="77777777" w:rsidR="00454ACF" w:rsidRPr="00342F7C" w:rsidRDefault="00454ACF" w:rsidP="0052761E">
      <w:pPr>
        <w:pStyle w:val="EMEABullet"/>
        <w:numPr>
          <w:ilvl w:val="0"/>
          <w:numId w:val="42"/>
        </w:numPr>
        <w:tabs>
          <w:tab w:val="clear" w:pos="709"/>
          <w:tab w:val="num" w:pos="567"/>
        </w:tabs>
        <w:ind w:left="567"/>
        <w:rPr>
          <w:lang w:val="en-GB"/>
        </w:rPr>
      </w:pPr>
      <w:r w:rsidRPr="00342F7C">
        <w:rPr>
          <w:lang w:val="en-GB"/>
        </w:rPr>
        <w:t>Do not stop or change the daily dose of Kaletra without first consulting with your doctor.</w:t>
      </w:r>
    </w:p>
    <w:p w14:paraId="3803E359" w14:textId="77777777" w:rsidR="00454ACF" w:rsidRPr="00342F7C" w:rsidRDefault="00454ACF" w:rsidP="0052761E">
      <w:pPr>
        <w:pStyle w:val="EMEABullet"/>
        <w:numPr>
          <w:ilvl w:val="0"/>
          <w:numId w:val="42"/>
        </w:numPr>
        <w:tabs>
          <w:tab w:val="clear" w:pos="709"/>
          <w:tab w:val="num" w:pos="567"/>
        </w:tabs>
        <w:ind w:left="567"/>
        <w:rPr>
          <w:lang w:val="en-GB"/>
        </w:rPr>
      </w:pPr>
      <w:r w:rsidRPr="00342F7C">
        <w:rPr>
          <w:lang w:val="en-GB"/>
        </w:rPr>
        <w:t xml:space="preserve">Kaletra should always be taken twice every day to help control your HIV infection, no matter how much better you feel.  </w:t>
      </w:r>
    </w:p>
    <w:p w14:paraId="083599B0" w14:textId="77777777" w:rsidR="00454ACF" w:rsidRPr="00342F7C" w:rsidRDefault="0044296E" w:rsidP="0052761E">
      <w:pPr>
        <w:pStyle w:val="EMEABullet"/>
        <w:numPr>
          <w:ilvl w:val="0"/>
          <w:numId w:val="42"/>
        </w:numPr>
        <w:tabs>
          <w:tab w:val="clear" w:pos="709"/>
          <w:tab w:val="num" w:pos="567"/>
        </w:tabs>
        <w:ind w:left="567"/>
        <w:rPr>
          <w:lang w:val="en-GB"/>
        </w:rPr>
      </w:pPr>
      <w:r>
        <w:rPr>
          <w:lang w:val="en-GB"/>
        </w:rPr>
        <w:t>Taking</w:t>
      </w:r>
      <w:r w:rsidRPr="00342F7C">
        <w:rPr>
          <w:lang w:val="en-GB"/>
        </w:rPr>
        <w:t xml:space="preserve"> </w:t>
      </w:r>
      <w:r w:rsidR="00454ACF" w:rsidRPr="00342F7C">
        <w:rPr>
          <w:lang w:val="en-GB"/>
        </w:rPr>
        <w:t>Kaletra as recommended should give you the best chance of delaying the development of resistance to the product.</w:t>
      </w:r>
    </w:p>
    <w:p w14:paraId="0B55ABF0" w14:textId="77777777" w:rsidR="00454ACF" w:rsidRPr="00342F7C" w:rsidRDefault="00454ACF" w:rsidP="0052761E">
      <w:pPr>
        <w:pStyle w:val="EMEABullet"/>
        <w:numPr>
          <w:ilvl w:val="0"/>
          <w:numId w:val="42"/>
        </w:numPr>
        <w:tabs>
          <w:tab w:val="clear" w:pos="709"/>
          <w:tab w:val="num" w:pos="567"/>
        </w:tabs>
        <w:ind w:left="567"/>
        <w:rPr>
          <w:lang w:val="en-GB"/>
        </w:rPr>
      </w:pPr>
      <w:r w:rsidRPr="00342F7C">
        <w:rPr>
          <w:lang w:val="en-GB"/>
        </w:rPr>
        <w:t xml:space="preserve">If a side effect is preventing you from taking Kaletra as directed tell your doctor right away. </w:t>
      </w:r>
    </w:p>
    <w:p w14:paraId="70B1D619" w14:textId="77777777" w:rsidR="00454ACF" w:rsidRPr="00342F7C" w:rsidRDefault="00454ACF" w:rsidP="0052761E">
      <w:pPr>
        <w:pStyle w:val="EMEABullet"/>
        <w:numPr>
          <w:ilvl w:val="0"/>
          <w:numId w:val="42"/>
        </w:numPr>
        <w:tabs>
          <w:tab w:val="clear" w:pos="709"/>
          <w:tab w:val="num" w:pos="567"/>
        </w:tabs>
        <w:ind w:left="567"/>
        <w:rPr>
          <w:lang w:val="en-GB"/>
        </w:rPr>
      </w:pPr>
      <w:r w:rsidRPr="00342F7C">
        <w:rPr>
          <w:lang w:val="en-GB"/>
        </w:rPr>
        <w:t>Always keep enough Kaletra on hand so you don’t run out.  When you travel or need to stay in the hospital make sure you will have enough Kaletra to last until you can get a new supply.</w:t>
      </w:r>
    </w:p>
    <w:p w14:paraId="716F7AF5" w14:textId="77777777" w:rsidR="00454ACF" w:rsidRDefault="00454ACF" w:rsidP="0052761E">
      <w:pPr>
        <w:pStyle w:val="EMEABullet"/>
        <w:numPr>
          <w:ilvl w:val="0"/>
          <w:numId w:val="42"/>
        </w:numPr>
        <w:tabs>
          <w:tab w:val="clear" w:pos="709"/>
          <w:tab w:val="num" w:pos="567"/>
        </w:tabs>
        <w:ind w:left="567"/>
        <w:rPr>
          <w:lang w:val="en-GB"/>
        </w:rPr>
      </w:pPr>
      <w:r w:rsidRPr="00342F7C">
        <w:rPr>
          <w:lang w:val="en-GB"/>
        </w:rPr>
        <w:t>Continue to take this medicine until your doctor tells you otherwise.</w:t>
      </w:r>
    </w:p>
    <w:p w14:paraId="5CCD0F33" w14:textId="77777777" w:rsidR="00A02565" w:rsidRDefault="00A02565" w:rsidP="00A02565">
      <w:pPr>
        <w:pStyle w:val="EMEABullet"/>
        <w:numPr>
          <w:ilvl w:val="0"/>
          <w:numId w:val="0"/>
        </w:numPr>
        <w:ind w:left="567" w:hanging="567"/>
        <w:rPr>
          <w:lang w:val="en-GB"/>
        </w:rPr>
      </w:pPr>
    </w:p>
    <w:p w14:paraId="41CCFDA8" w14:textId="77777777" w:rsidR="00A02565" w:rsidRPr="00342F7C" w:rsidRDefault="00A02565" w:rsidP="00A02565">
      <w:pPr>
        <w:pStyle w:val="EMEABullet"/>
        <w:numPr>
          <w:ilvl w:val="0"/>
          <w:numId w:val="0"/>
        </w:numPr>
        <w:ind w:left="567" w:hanging="567"/>
        <w:rPr>
          <w:lang w:val="en-GB"/>
        </w:rPr>
      </w:pPr>
    </w:p>
    <w:p w14:paraId="702BDF9C" w14:textId="77777777" w:rsidR="00277ECB" w:rsidRPr="00282043" w:rsidRDefault="00277ECB" w:rsidP="00A02565">
      <w:pPr>
        <w:rPr>
          <w:b/>
          <w:sz w:val="22"/>
          <w:szCs w:val="22"/>
        </w:rPr>
      </w:pPr>
      <w:r w:rsidRPr="00282043">
        <w:rPr>
          <w:b/>
          <w:sz w:val="22"/>
          <w:szCs w:val="22"/>
        </w:rPr>
        <w:t>4.</w:t>
      </w:r>
      <w:r w:rsidRPr="00282043">
        <w:rPr>
          <w:b/>
          <w:sz w:val="22"/>
          <w:szCs w:val="22"/>
        </w:rPr>
        <w:tab/>
        <w:t>P</w:t>
      </w:r>
      <w:r w:rsidR="00A02565" w:rsidRPr="00282043">
        <w:rPr>
          <w:b/>
          <w:sz w:val="22"/>
          <w:szCs w:val="22"/>
        </w:rPr>
        <w:t>ossible side effects</w:t>
      </w:r>
    </w:p>
    <w:p w14:paraId="5E2E4BBF" w14:textId="77777777" w:rsidR="00A02565" w:rsidRPr="00A02565" w:rsidRDefault="00A02565" w:rsidP="00A02565">
      <w:pPr>
        <w:rPr>
          <w:b/>
        </w:rPr>
      </w:pPr>
    </w:p>
    <w:p w14:paraId="311CC3C4" w14:textId="77777777" w:rsidR="00277ECB" w:rsidRDefault="00277ECB">
      <w:pPr>
        <w:pStyle w:val="EMEANormal"/>
        <w:rPr>
          <w:lang w:val="en-GB"/>
        </w:rPr>
      </w:pPr>
      <w:r w:rsidRPr="00342F7C">
        <w:rPr>
          <w:lang w:val="en-GB"/>
        </w:rPr>
        <w:t xml:space="preserve">Like all medicines, Kaletra can cause side effects, although not everybody gets them.  It may be difficult to tell which side effects have been caused by Kaletra and which may occur due to other medicines you take at the same time or by the complications of the HIV infection.  </w:t>
      </w:r>
    </w:p>
    <w:p w14:paraId="378F06D4" w14:textId="77777777" w:rsidR="00F265F5" w:rsidRPr="00342F7C" w:rsidRDefault="00F265F5">
      <w:pPr>
        <w:pStyle w:val="EMEANormal"/>
        <w:rPr>
          <w:lang w:val="en-GB"/>
        </w:rPr>
      </w:pPr>
    </w:p>
    <w:p w14:paraId="0505B794" w14:textId="77777777" w:rsidR="00CA7C65" w:rsidRDefault="00CA7C65" w:rsidP="00CA7C65">
      <w:pPr>
        <w:pStyle w:val="EMEANormal"/>
        <w:rPr>
          <w:lang w:val="en-GB"/>
        </w:rPr>
      </w:pPr>
      <w:r>
        <w:rPr>
          <w:lang w:val="en-GB"/>
        </w:rPr>
        <w:t>During HIV therapy there may be an increase in weight and in levels of blood lipids and glucose.  This is partly linked to restored health and life style, and in the case of blood lipids sometimes to the HIV medicines themselves.  Your doctor will test for these changes.</w:t>
      </w:r>
    </w:p>
    <w:p w14:paraId="476063F5" w14:textId="77777777" w:rsidR="00CA7C65" w:rsidRDefault="00CA7C65" w:rsidP="00CA7C65">
      <w:pPr>
        <w:pStyle w:val="EMEANormal"/>
        <w:rPr>
          <w:lang w:val="en-GB"/>
        </w:rPr>
      </w:pPr>
    </w:p>
    <w:p w14:paraId="57E79AE0" w14:textId="77777777" w:rsidR="00277ECB" w:rsidRPr="00342F7C" w:rsidRDefault="00CA7C65" w:rsidP="00CA7C65">
      <w:pPr>
        <w:pStyle w:val="EMEANormal"/>
        <w:rPr>
          <w:lang w:val="en-GB"/>
        </w:rPr>
      </w:pPr>
      <w:r w:rsidRPr="00616DF6">
        <w:rPr>
          <w:b/>
          <w:lang w:val="en-GB"/>
        </w:rPr>
        <w:t>The following side effects have been reported by patients who took this medicine.</w:t>
      </w:r>
      <w:r>
        <w:rPr>
          <w:lang w:val="en-GB"/>
        </w:rPr>
        <w:t xml:space="preserve">  </w:t>
      </w:r>
      <w:r w:rsidR="00277ECB" w:rsidRPr="00342F7C">
        <w:rPr>
          <w:lang w:val="en-GB"/>
        </w:rPr>
        <w:t>You should tell your doctor promptly about these or any other symptoms.  If the condition persists or worsens, seek medical attention.</w:t>
      </w:r>
    </w:p>
    <w:p w14:paraId="6B2D5A4A" w14:textId="77777777" w:rsidR="00277ECB" w:rsidRPr="00342F7C" w:rsidRDefault="00277ECB">
      <w:pPr>
        <w:pStyle w:val="EMEANormal"/>
        <w:rPr>
          <w:lang w:val="en-GB"/>
        </w:rPr>
      </w:pPr>
    </w:p>
    <w:p w14:paraId="45EDBDB2" w14:textId="77777777" w:rsidR="00277ECB" w:rsidRPr="00342F7C" w:rsidRDefault="00571B86">
      <w:pPr>
        <w:pStyle w:val="EMEANormal"/>
        <w:rPr>
          <w:lang w:val="en-GB"/>
        </w:rPr>
      </w:pPr>
      <w:r>
        <w:rPr>
          <w:b/>
          <w:bCs/>
          <w:lang w:val="en-GB"/>
        </w:rPr>
        <w:t>Very common:</w:t>
      </w:r>
      <w:r w:rsidR="00277ECB" w:rsidRPr="00342F7C">
        <w:rPr>
          <w:lang w:val="en-GB"/>
        </w:rPr>
        <w:t xml:space="preserve"> </w:t>
      </w:r>
      <w:r>
        <w:rPr>
          <w:lang w:val="en-GB"/>
        </w:rPr>
        <w:t xml:space="preserve">may </w:t>
      </w:r>
      <w:r w:rsidR="00277ECB" w:rsidRPr="00342F7C">
        <w:rPr>
          <w:lang w:val="en-GB"/>
        </w:rPr>
        <w:t>affect more than 1 in 10</w:t>
      </w:r>
      <w:r>
        <w:rPr>
          <w:lang w:val="en-GB"/>
        </w:rPr>
        <w:t xml:space="preserve"> people</w:t>
      </w:r>
    </w:p>
    <w:p w14:paraId="4C933665" w14:textId="77777777" w:rsidR="00277ECB" w:rsidRPr="00342F7C" w:rsidRDefault="00391462" w:rsidP="0052761E">
      <w:pPr>
        <w:pStyle w:val="EMEABullet"/>
        <w:numPr>
          <w:ilvl w:val="0"/>
          <w:numId w:val="43"/>
        </w:numPr>
        <w:tabs>
          <w:tab w:val="clear" w:pos="709"/>
          <w:tab w:val="num" w:pos="567"/>
        </w:tabs>
        <w:ind w:left="567"/>
        <w:rPr>
          <w:lang w:val="en-GB"/>
        </w:rPr>
      </w:pPr>
      <w:r>
        <w:rPr>
          <w:lang w:val="en-GB"/>
        </w:rPr>
        <w:t>d</w:t>
      </w:r>
      <w:r w:rsidR="00277ECB" w:rsidRPr="00342F7C">
        <w:rPr>
          <w:lang w:val="en-GB"/>
        </w:rPr>
        <w:t xml:space="preserve">iarrhoea; </w:t>
      </w:r>
    </w:p>
    <w:p w14:paraId="469AADA3" w14:textId="77777777" w:rsidR="007B6357" w:rsidRPr="00342F7C" w:rsidRDefault="00391462" w:rsidP="0052761E">
      <w:pPr>
        <w:pStyle w:val="EMEABullet"/>
        <w:numPr>
          <w:ilvl w:val="0"/>
          <w:numId w:val="43"/>
        </w:numPr>
        <w:tabs>
          <w:tab w:val="clear" w:pos="709"/>
          <w:tab w:val="num" w:pos="567"/>
        </w:tabs>
        <w:ind w:left="567"/>
        <w:rPr>
          <w:lang w:val="en-GB"/>
        </w:rPr>
      </w:pPr>
      <w:r>
        <w:rPr>
          <w:lang w:val="en-GB"/>
        </w:rPr>
        <w:t>n</w:t>
      </w:r>
      <w:r w:rsidR="007B6357" w:rsidRPr="00342F7C">
        <w:rPr>
          <w:lang w:val="en-GB"/>
        </w:rPr>
        <w:t>ausea;</w:t>
      </w:r>
    </w:p>
    <w:p w14:paraId="3704241A" w14:textId="77777777" w:rsidR="007B6357" w:rsidRPr="00342F7C" w:rsidRDefault="00391462" w:rsidP="0052761E">
      <w:pPr>
        <w:pStyle w:val="EMEABullet"/>
        <w:numPr>
          <w:ilvl w:val="0"/>
          <w:numId w:val="43"/>
        </w:numPr>
        <w:tabs>
          <w:tab w:val="clear" w:pos="709"/>
          <w:tab w:val="num" w:pos="567"/>
        </w:tabs>
        <w:ind w:left="567"/>
        <w:rPr>
          <w:lang w:val="en-GB"/>
        </w:rPr>
      </w:pPr>
      <w:r>
        <w:rPr>
          <w:lang w:val="en-GB"/>
        </w:rPr>
        <w:t>u</w:t>
      </w:r>
      <w:r w:rsidR="007B6357" w:rsidRPr="00342F7C">
        <w:rPr>
          <w:lang w:val="en-GB"/>
        </w:rPr>
        <w:t>pper respiratory tract infection.</w:t>
      </w:r>
    </w:p>
    <w:p w14:paraId="34E9C3C6" w14:textId="77777777" w:rsidR="00277ECB" w:rsidRPr="00342F7C" w:rsidRDefault="00277ECB">
      <w:pPr>
        <w:pStyle w:val="EMEANormal"/>
        <w:rPr>
          <w:lang w:val="en-GB"/>
        </w:rPr>
      </w:pPr>
    </w:p>
    <w:p w14:paraId="070863F7" w14:textId="77777777" w:rsidR="00277ECB" w:rsidRPr="00342F7C" w:rsidRDefault="00571B86">
      <w:pPr>
        <w:pStyle w:val="EMEANormal"/>
        <w:rPr>
          <w:lang w:val="en-GB"/>
        </w:rPr>
      </w:pPr>
      <w:r>
        <w:rPr>
          <w:b/>
          <w:bCs/>
          <w:lang w:val="en-GB"/>
        </w:rPr>
        <w:t>Common:</w:t>
      </w:r>
      <w:r w:rsidRPr="00342F7C">
        <w:rPr>
          <w:lang w:val="en-GB"/>
        </w:rPr>
        <w:t xml:space="preserve"> </w:t>
      </w:r>
      <w:r>
        <w:rPr>
          <w:lang w:val="en-GB"/>
        </w:rPr>
        <w:t xml:space="preserve">may </w:t>
      </w:r>
      <w:r w:rsidR="00277ECB" w:rsidRPr="00342F7C">
        <w:rPr>
          <w:lang w:val="en-GB"/>
        </w:rPr>
        <w:t xml:space="preserve">affect </w:t>
      </w:r>
      <w:r>
        <w:rPr>
          <w:lang w:val="en-GB"/>
        </w:rPr>
        <w:t xml:space="preserve">up to </w:t>
      </w:r>
      <w:r w:rsidR="00277ECB" w:rsidRPr="00342F7C">
        <w:rPr>
          <w:lang w:val="en-GB"/>
        </w:rPr>
        <w:t xml:space="preserve">1 </w:t>
      </w:r>
      <w:r>
        <w:rPr>
          <w:lang w:val="en-GB"/>
        </w:rPr>
        <w:t>in</w:t>
      </w:r>
      <w:r w:rsidR="00277ECB" w:rsidRPr="00342F7C">
        <w:rPr>
          <w:lang w:val="en-GB"/>
        </w:rPr>
        <w:t xml:space="preserve"> 10 </w:t>
      </w:r>
      <w:r>
        <w:rPr>
          <w:lang w:val="en-GB"/>
        </w:rPr>
        <w:t>people</w:t>
      </w:r>
    </w:p>
    <w:p w14:paraId="67EFB6D2" w14:textId="77777777" w:rsidR="007B6357" w:rsidRPr="00342F7C" w:rsidRDefault="00391462" w:rsidP="0052761E">
      <w:pPr>
        <w:pStyle w:val="EMEABullet"/>
        <w:numPr>
          <w:ilvl w:val="0"/>
          <w:numId w:val="44"/>
        </w:numPr>
        <w:tabs>
          <w:tab w:val="clear" w:pos="709"/>
          <w:tab w:val="num" w:pos="567"/>
        </w:tabs>
        <w:ind w:left="567"/>
        <w:rPr>
          <w:lang w:val="en-GB"/>
        </w:rPr>
      </w:pPr>
      <w:r>
        <w:rPr>
          <w:lang w:val="en-GB"/>
        </w:rPr>
        <w:t>i</w:t>
      </w:r>
      <w:r w:rsidR="007B6357" w:rsidRPr="00342F7C">
        <w:rPr>
          <w:lang w:val="en-GB"/>
        </w:rPr>
        <w:t>nflammation of the pancreas;</w:t>
      </w:r>
    </w:p>
    <w:p w14:paraId="72458A0D" w14:textId="77777777" w:rsidR="0044296E" w:rsidRDefault="00391462" w:rsidP="0044296E">
      <w:pPr>
        <w:pStyle w:val="EMEABullet"/>
        <w:tabs>
          <w:tab w:val="clear" w:pos="709"/>
          <w:tab w:val="num" w:pos="567"/>
        </w:tabs>
        <w:ind w:left="567"/>
      </w:pPr>
      <w:r>
        <w:t>v</w:t>
      </w:r>
      <w:r w:rsidR="007B6357" w:rsidRPr="00342F7C">
        <w:t>omiting, enlarged abdomen, pain in the lower and upper stomach area, passing wind, indigestion, decreased appetite, reflux from your stomach to your oesophagus which may cause pain;</w:t>
      </w:r>
      <w:r w:rsidR="0044296E" w:rsidRPr="0044296E">
        <w:t xml:space="preserve"> </w:t>
      </w:r>
    </w:p>
    <w:p w14:paraId="70CE06E9" w14:textId="77777777" w:rsidR="0044296E" w:rsidRPr="00314F6E" w:rsidRDefault="0044296E" w:rsidP="0044296E">
      <w:pPr>
        <w:pStyle w:val="EMEABullet"/>
        <w:numPr>
          <w:ilvl w:val="1"/>
          <w:numId w:val="1"/>
        </w:numPr>
        <w:rPr>
          <w:lang w:val="en-GB"/>
        </w:rPr>
      </w:pPr>
      <w:r w:rsidRPr="000D4359">
        <w:rPr>
          <w:b/>
          <w:lang w:val="en-GB"/>
        </w:rPr>
        <w:t>Tell your doctor</w:t>
      </w:r>
      <w:r w:rsidRPr="00314F6E">
        <w:rPr>
          <w:lang w:val="en-GB"/>
        </w:rPr>
        <w:t xml:space="preserve"> if you experience nausea, vomiting or abdominal pain as these may be suggestive of pancreatitis (inflammation of the pancreas).</w:t>
      </w:r>
    </w:p>
    <w:p w14:paraId="2AEC11F4" w14:textId="77777777" w:rsidR="007B6357" w:rsidRPr="00342F7C" w:rsidRDefault="00391462" w:rsidP="0052761E">
      <w:pPr>
        <w:pStyle w:val="EMEABullet"/>
        <w:numPr>
          <w:ilvl w:val="0"/>
          <w:numId w:val="44"/>
        </w:numPr>
        <w:tabs>
          <w:tab w:val="clear" w:pos="709"/>
          <w:tab w:val="num" w:pos="567"/>
        </w:tabs>
        <w:ind w:left="567"/>
        <w:rPr>
          <w:lang w:val="en-GB"/>
        </w:rPr>
      </w:pPr>
      <w:r>
        <w:rPr>
          <w:lang w:val="en-GB"/>
        </w:rPr>
        <w:t>s</w:t>
      </w:r>
      <w:r w:rsidR="007B6357" w:rsidRPr="00342F7C">
        <w:rPr>
          <w:lang w:val="en-GB"/>
        </w:rPr>
        <w:t>welling or inflammation of the stomach, intestines and colon;</w:t>
      </w:r>
    </w:p>
    <w:p w14:paraId="3D799A7A" w14:textId="77777777" w:rsidR="007B6357" w:rsidRPr="00342F7C" w:rsidRDefault="00391462" w:rsidP="0052761E">
      <w:pPr>
        <w:pStyle w:val="EMEABullet"/>
        <w:numPr>
          <w:ilvl w:val="0"/>
          <w:numId w:val="44"/>
        </w:numPr>
        <w:tabs>
          <w:tab w:val="clear" w:pos="709"/>
          <w:tab w:val="num" w:pos="567"/>
        </w:tabs>
        <w:ind w:left="567"/>
        <w:rPr>
          <w:lang w:val="en-GB"/>
        </w:rPr>
      </w:pPr>
      <w:r>
        <w:rPr>
          <w:lang w:val="en-GB"/>
        </w:rPr>
        <w:t>i</w:t>
      </w:r>
      <w:r w:rsidR="007B6357" w:rsidRPr="00342F7C">
        <w:rPr>
          <w:lang w:val="en-GB"/>
        </w:rPr>
        <w:t>ncreased cholesterol levels in your blood, increased triglycerides (a form of fat) levels in your blood, high blood pressure;</w:t>
      </w:r>
    </w:p>
    <w:p w14:paraId="7D28162E" w14:textId="77777777" w:rsidR="007B6357" w:rsidRPr="00342F7C" w:rsidRDefault="00391462" w:rsidP="0052761E">
      <w:pPr>
        <w:pStyle w:val="EMEABullet"/>
        <w:numPr>
          <w:ilvl w:val="0"/>
          <w:numId w:val="44"/>
        </w:numPr>
        <w:tabs>
          <w:tab w:val="clear" w:pos="709"/>
          <w:tab w:val="num" w:pos="567"/>
        </w:tabs>
        <w:ind w:left="567"/>
        <w:rPr>
          <w:lang w:val="en-GB"/>
        </w:rPr>
      </w:pPr>
      <w:r>
        <w:rPr>
          <w:lang w:val="en-GB"/>
        </w:rPr>
        <w:t>d</w:t>
      </w:r>
      <w:r w:rsidR="007B6357" w:rsidRPr="00342F7C">
        <w:rPr>
          <w:lang w:val="en-GB"/>
        </w:rPr>
        <w:t>ecreased ability of the body to handle sugar including diabetes mellitus, weight loss;</w:t>
      </w:r>
    </w:p>
    <w:p w14:paraId="05E7D714" w14:textId="77777777" w:rsidR="007B6357" w:rsidRPr="00342F7C" w:rsidRDefault="00391462" w:rsidP="0052761E">
      <w:pPr>
        <w:pStyle w:val="EMEABullet"/>
        <w:numPr>
          <w:ilvl w:val="0"/>
          <w:numId w:val="44"/>
        </w:numPr>
        <w:tabs>
          <w:tab w:val="clear" w:pos="709"/>
          <w:tab w:val="num" w:pos="567"/>
        </w:tabs>
        <w:ind w:left="567"/>
        <w:rPr>
          <w:lang w:val="en-GB"/>
        </w:rPr>
      </w:pPr>
      <w:r>
        <w:rPr>
          <w:lang w:val="en-GB"/>
        </w:rPr>
        <w:t>l</w:t>
      </w:r>
      <w:r w:rsidR="007B6357" w:rsidRPr="00342F7C">
        <w:rPr>
          <w:lang w:val="en-GB"/>
        </w:rPr>
        <w:t>ow number of red blood cells, low number of white blood cells which are usually used to fight infection;</w:t>
      </w:r>
    </w:p>
    <w:p w14:paraId="2A32D131" w14:textId="77777777" w:rsidR="007B6357" w:rsidRPr="00342F7C" w:rsidRDefault="00391462" w:rsidP="0052761E">
      <w:pPr>
        <w:pStyle w:val="EMEABullet"/>
        <w:numPr>
          <w:ilvl w:val="0"/>
          <w:numId w:val="44"/>
        </w:numPr>
        <w:tabs>
          <w:tab w:val="clear" w:pos="709"/>
          <w:tab w:val="num" w:pos="567"/>
        </w:tabs>
        <w:ind w:left="567"/>
        <w:rPr>
          <w:lang w:val="en-GB"/>
        </w:rPr>
      </w:pPr>
      <w:r>
        <w:rPr>
          <w:lang w:val="en-GB"/>
        </w:rPr>
        <w:t>r</w:t>
      </w:r>
      <w:r w:rsidR="007B6357" w:rsidRPr="00342F7C">
        <w:rPr>
          <w:lang w:val="en-GB"/>
        </w:rPr>
        <w:t>ash, eczema, accumulation of scales of greasy skin;</w:t>
      </w:r>
    </w:p>
    <w:p w14:paraId="7A8FFDBE" w14:textId="77777777" w:rsidR="007B6357" w:rsidRPr="00342F7C" w:rsidRDefault="00391462" w:rsidP="0052761E">
      <w:pPr>
        <w:pStyle w:val="EMEABullet"/>
        <w:numPr>
          <w:ilvl w:val="0"/>
          <w:numId w:val="44"/>
        </w:numPr>
        <w:tabs>
          <w:tab w:val="clear" w:pos="709"/>
          <w:tab w:val="num" w:pos="567"/>
        </w:tabs>
        <w:ind w:left="567"/>
        <w:rPr>
          <w:lang w:val="en-GB"/>
        </w:rPr>
      </w:pPr>
      <w:r>
        <w:rPr>
          <w:lang w:val="en-GB"/>
        </w:rPr>
        <w:t>d</w:t>
      </w:r>
      <w:r w:rsidR="007B6357" w:rsidRPr="00342F7C">
        <w:rPr>
          <w:lang w:val="en-GB"/>
        </w:rPr>
        <w:t>izziness, anxiety, difficulty in sleeping;</w:t>
      </w:r>
    </w:p>
    <w:p w14:paraId="01066407" w14:textId="77777777" w:rsidR="007B6357" w:rsidRPr="00342F7C" w:rsidRDefault="00391462" w:rsidP="0052761E">
      <w:pPr>
        <w:pStyle w:val="EMEABullet"/>
        <w:numPr>
          <w:ilvl w:val="0"/>
          <w:numId w:val="44"/>
        </w:numPr>
        <w:tabs>
          <w:tab w:val="clear" w:pos="709"/>
          <w:tab w:val="num" w:pos="567"/>
        </w:tabs>
        <w:ind w:left="567"/>
        <w:rPr>
          <w:lang w:val="en-GB"/>
        </w:rPr>
      </w:pPr>
      <w:r>
        <w:rPr>
          <w:lang w:val="en-GB"/>
        </w:rPr>
        <w:t>f</w:t>
      </w:r>
      <w:r w:rsidR="007B6357" w:rsidRPr="00342F7C">
        <w:rPr>
          <w:lang w:val="en-GB"/>
        </w:rPr>
        <w:t>eeling tired, lack of strength and energy, headache including migraine;</w:t>
      </w:r>
    </w:p>
    <w:p w14:paraId="6D3819B6" w14:textId="77777777" w:rsidR="007B6357" w:rsidRPr="00342F7C" w:rsidRDefault="00391462" w:rsidP="0052761E">
      <w:pPr>
        <w:pStyle w:val="EMEABullet"/>
        <w:numPr>
          <w:ilvl w:val="0"/>
          <w:numId w:val="44"/>
        </w:numPr>
        <w:tabs>
          <w:tab w:val="clear" w:pos="709"/>
          <w:tab w:val="num" w:pos="567"/>
        </w:tabs>
        <w:ind w:left="567"/>
        <w:rPr>
          <w:lang w:val="en-GB"/>
        </w:rPr>
      </w:pPr>
      <w:r>
        <w:rPr>
          <w:lang w:val="en-GB"/>
        </w:rPr>
        <w:t>h</w:t>
      </w:r>
      <w:r w:rsidR="007B6357" w:rsidRPr="00342F7C">
        <w:rPr>
          <w:lang w:val="en-GB"/>
        </w:rPr>
        <w:t>aemorrhoids;</w:t>
      </w:r>
    </w:p>
    <w:p w14:paraId="1C3F4BAA" w14:textId="77777777" w:rsidR="007B6357" w:rsidRPr="00342F7C" w:rsidRDefault="00391462" w:rsidP="0052761E">
      <w:pPr>
        <w:pStyle w:val="EMEABullet"/>
        <w:numPr>
          <w:ilvl w:val="0"/>
          <w:numId w:val="44"/>
        </w:numPr>
        <w:tabs>
          <w:tab w:val="clear" w:pos="709"/>
          <w:tab w:val="num" w:pos="567"/>
        </w:tabs>
        <w:ind w:left="567"/>
        <w:rPr>
          <w:lang w:val="en-GB"/>
        </w:rPr>
      </w:pPr>
      <w:r>
        <w:rPr>
          <w:lang w:val="en-GB"/>
        </w:rPr>
        <w:t>i</w:t>
      </w:r>
      <w:r w:rsidR="007B6357" w:rsidRPr="00342F7C">
        <w:rPr>
          <w:lang w:val="en-GB"/>
        </w:rPr>
        <w:t>nflammation of the liver including increased liver enzymes;</w:t>
      </w:r>
    </w:p>
    <w:p w14:paraId="43467107" w14:textId="77777777" w:rsidR="007B6357" w:rsidRPr="00342F7C" w:rsidRDefault="00391462" w:rsidP="0052761E">
      <w:pPr>
        <w:pStyle w:val="EMEABullet"/>
        <w:numPr>
          <w:ilvl w:val="0"/>
          <w:numId w:val="44"/>
        </w:numPr>
        <w:tabs>
          <w:tab w:val="clear" w:pos="709"/>
          <w:tab w:val="num" w:pos="567"/>
        </w:tabs>
        <w:ind w:left="567"/>
        <w:rPr>
          <w:lang w:val="en-GB"/>
        </w:rPr>
      </w:pPr>
      <w:r>
        <w:rPr>
          <w:lang w:val="en-GB"/>
        </w:rPr>
        <w:t>a</w:t>
      </w:r>
      <w:r w:rsidR="007B6357" w:rsidRPr="00342F7C">
        <w:rPr>
          <w:lang w:val="en-GB"/>
        </w:rPr>
        <w:t>llergic reactions including hives and inflammation in the mouth;</w:t>
      </w:r>
    </w:p>
    <w:p w14:paraId="006B0332" w14:textId="77777777" w:rsidR="007B6357" w:rsidRPr="00342F7C" w:rsidRDefault="00391462" w:rsidP="0052761E">
      <w:pPr>
        <w:pStyle w:val="EMEABullet"/>
        <w:numPr>
          <w:ilvl w:val="0"/>
          <w:numId w:val="44"/>
        </w:numPr>
        <w:tabs>
          <w:tab w:val="clear" w:pos="709"/>
          <w:tab w:val="num" w:pos="567"/>
        </w:tabs>
        <w:ind w:left="567"/>
        <w:rPr>
          <w:lang w:val="en-GB"/>
        </w:rPr>
      </w:pPr>
      <w:r>
        <w:rPr>
          <w:lang w:val="en-GB"/>
        </w:rPr>
        <w:t>l</w:t>
      </w:r>
      <w:r w:rsidR="007B6357" w:rsidRPr="00342F7C">
        <w:rPr>
          <w:lang w:val="en-GB"/>
        </w:rPr>
        <w:t>ower respiratory tract infection;</w:t>
      </w:r>
    </w:p>
    <w:p w14:paraId="24664CFD" w14:textId="77777777" w:rsidR="007B6357" w:rsidRPr="00342F7C" w:rsidRDefault="00391462" w:rsidP="0052761E">
      <w:pPr>
        <w:pStyle w:val="EMEABullet"/>
        <w:numPr>
          <w:ilvl w:val="0"/>
          <w:numId w:val="44"/>
        </w:numPr>
        <w:tabs>
          <w:tab w:val="clear" w:pos="709"/>
          <w:tab w:val="num" w:pos="567"/>
        </w:tabs>
        <w:ind w:left="567"/>
        <w:rPr>
          <w:lang w:val="en-GB"/>
        </w:rPr>
      </w:pPr>
      <w:r>
        <w:rPr>
          <w:lang w:val="en-GB"/>
        </w:rPr>
        <w:t>e</w:t>
      </w:r>
      <w:r w:rsidR="007B6357" w:rsidRPr="00342F7C">
        <w:rPr>
          <w:lang w:val="en-GB"/>
        </w:rPr>
        <w:t>nlargement of the lymph nodes;</w:t>
      </w:r>
    </w:p>
    <w:p w14:paraId="03A445C1" w14:textId="77777777" w:rsidR="007B6357" w:rsidRPr="00342F7C" w:rsidRDefault="00391462" w:rsidP="0052761E">
      <w:pPr>
        <w:pStyle w:val="EMEABullet"/>
        <w:numPr>
          <w:ilvl w:val="0"/>
          <w:numId w:val="44"/>
        </w:numPr>
        <w:tabs>
          <w:tab w:val="clear" w:pos="709"/>
          <w:tab w:val="num" w:pos="567"/>
        </w:tabs>
        <w:ind w:left="567"/>
        <w:rPr>
          <w:lang w:val="en-GB"/>
        </w:rPr>
      </w:pPr>
      <w:r>
        <w:rPr>
          <w:lang w:val="en-GB"/>
        </w:rPr>
        <w:t>i</w:t>
      </w:r>
      <w:r w:rsidR="007B6357" w:rsidRPr="00342F7C">
        <w:rPr>
          <w:lang w:val="en-GB"/>
        </w:rPr>
        <w:t>mpotence, abnormally heavy or extended menstrual flow or a lack of menstruation;</w:t>
      </w:r>
    </w:p>
    <w:p w14:paraId="5014B2CC" w14:textId="77777777" w:rsidR="007B6357" w:rsidRPr="00342F7C" w:rsidRDefault="00391462" w:rsidP="0052761E">
      <w:pPr>
        <w:pStyle w:val="EMEABullet"/>
        <w:numPr>
          <w:ilvl w:val="0"/>
          <w:numId w:val="44"/>
        </w:numPr>
        <w:tabs>
          <w:tab w:val="clear" w:pos="709"/>
          <w:tab w:val="num" w:pos="567"/>
        </w:tabs>
        <w:ind w:left="567"/>
        <w:rPr>
          <w:lang w:val="en-GB"/>
        </w:rPr>
      </w:pPr>
      <w:r>
        <w:rPr>
          <w:lang w:val="en-GB"/>
        </w:rPr>
        <w:t>m</w:t>
      </w:r>
      <w:r w:rsidR="007B6357" w:rsidRPr="00342F7C">
        <w:rPr>
          <w:lang w:val="en-GB"/>
        </w:rPr>
        <w:t>uscle disorders such as weakness and spasms, pain in the joints, muscles and back;</w:t>
      </w:r>
    </w:p>
    <w:p w14:paraId="451C2EB6" w14:textId="77777777" w:rsidR="007B6357" w:rsidRPr="00342F7C" w:rsidRDefault="00391462" w:rsidP="0052761E">
      <w:pPr>
        <w:pStyle w:val="EMEABullet"/>
        <w:numPr>
          <w:ilvl w:val="0"/>
          <w:numId w:val="44"/>
        </w:numPr>
        <w:tabs>
          <w:tab w:val="clear" w:pos="709"/>
          <w:tab w:val="num" w:pos="567"/>
        </w:tabs>
        <w:ind w:left="567"/>
        <w:rPr>
          <w:lang w:val="en-GB"/>
        </w:rPr>
      </w:pPr>
      <w:r>
        <w:rPr>
          <w:lang w:val="en-GB"/>
        </w:rPr>
        <w:t>d</w:t>
      </w:r>
      <w:r w:rsidR="007B6357" w:rsidRPr="00342F7C">
        <w:rPr>
          <w:lang w:val="en-GB"/>
        </w:rPr>
        <w:t>amage to nerves of the peripheral nervous system;</w:t>
      </w:r>
    </w:p>
    <w:p w14:paraId="6538E22B" w14:textId="77777777" w:rsidR="007B6357" w:rsidRPr="00342F7C" w:rsidRDefault="00391462" w:rsidP="0052761E">
      <w:pPr>
        <w:pStyle w:val="EMEABullet"/>
        <w:numPr>
          <w:ilvl w:val="0"/>
          <w:numId w:val="44"/>
        </w:numPr>
        <w:tabs>
          <w:tab w:val="clear" w:pos="709"/>
          <w:tab w:val="num" w:pos="567"/>
        </w:tabs>
        <w:ind w:left="567"/>
        <w:rPr>
          <w:lang w:val="en-GB"/>
        </w:rPr>
      </w:pPr>
      <w:r>
        <w:rPr>
          <w:lang w:val="en-GB"/>
        </w:rPr>
        <w:t>n</w:t>
      </w:r>
      <w:r w:rsidR="007B6357" w:rsidRPr="00342F7C">
        <w:rPr>
          <w:lang w:val="en-GB"/>
        </w:rPr>
        <w:t xml:space="preserve">ight sweats, itching, rash including raised bumps on the skin, infection of the skin, inflammation of skin or hair pores, accumulation of fluid in the cells or tissues.  </w:t>
      </w:r>
    </w:p>
    <w:p w14:paraId="52497498" w14:textId="77777777" w:rsidR="007B6357" w:rsidRPr="00342F7C" w:rsidRDefault="007B6357" w:rsidP="007B6357">
      <w:pPr>
        <w:pStyle w:val="EMEANormal"/>
        <w:rPr>
          <w:lang w:val="en-GB"/>
        </w:rPr>
      </w:pPr>
    </w:p>
    <w:p w14:paraId="670AD76A" w14:textId="77777777" w:rsidR="00277ECB" w:rsidRPr="00342F7C" w:rsidRDefault="00571B86">
      <w:pPr>
        <w:pStyle w:val="EMEANormal"/>
        <w:rPr>
          <w:lang w:val="en-GB"/>
        </w:rPr>
      </w:pPr>
      <w:r>
        <w:rPr>
          <w:b/>
          <w:bCs/>
          <w:lang w:val="en-GB"/>
        </w:rPr>
        <w:t>Uncommon:</w:t>
      </w:r>
      <w:r w:rsidRPr="00342F7C">
        <w:rPr>
          <w:lang w:val="en-GB"/>
        </w:rPr>
        <w:t xml:space="preserve"> </w:t>
      </w:r>
      <w:r>
        <w:rPr>
          <w:lang w:val="en-GB"/>
        </w:rPr>
        <w:t xml:space="preserve">may </w:t>
      </w:r>
      <w:r w:rsidR="00277ECB" w:rsidRPr="00342F7C">
        <w:rPr>
          <w:lang w:val="en-GB"/>
        </w:rPr>
        <w:t>affect</w:t>
      </w:r>
      <w:r>
        <w:rPr>
          <w:lang w:val="en-GB"/>
        </w:rPr>
        <w:t xml:space="preserve"> up to</w:t>
      </w:r>
      <w:r w:rsidR="00277ECB" w:rsidRPr="00342F7C">
        <w:rPr>
          <w:lang w:val="en-GB"/>
        </w:rPr>
        <w:t xml:space="preserve"> 1 </w:t>
      </w:r>
      <w:r>
        <w:rPr>
          <w:lang w:val="en-GB"/>
        </w:rPr>
        <w:t>in</w:t>
      </w:r>
      <w:r w:rsidR="00277ECB" w:rsidRPr="00342F7C">
        <w:rPr>
          <w:lang w:val="en-GB"/>
        </w:rPr>
        <w:t xml:space="preserve"> 10</w:t>
      </w:r>
      <w:r>
        <w:rPr>
          <w:lang w:val="en-GB"/>
        </w:rPr>
        <w:t>0 people</w:t>
      </w:r>
      <w:r w:rsidR="00277ECB" w:rsidRPr="00342F7C">
        <w:rPr>
          <w:lang w:val="en-GB"/>
        </w:rPr>
        <w:t xml:space="preserve">  </w:t>
      </w:r>
    </w:p>
    <w:p w14:paraId="25F6E270" w14:textId="77777777" w:rsidR="001F0286" w:rsidRPr="00342F7C" w:rsidRDefault="00391462" w:rsidP="0052761E">
      <w:pPr>
        <w:pStyle w:val="EMEABullet"/>
        <w:numPr>
          <w:ilvl w:val="0"/>
          <w:numId w:val="45"/>
        </w:numPr>
        <w:tabs>
          <w:tab w:val="clear" w:pos="709"/>
          <w:tab w:val="num" w:pos="567"/>
        </w:tabs>
        <w:ind w:left="567"/>
        <w:rPr>
          <w:lang w:val="en-GB"/>
        </w:rPr>
      </w:pPr>
      <w:r>
        <w:rPr>
          <w:lang w:val="en-GB"/>
        </w:rPr>
        <w:t>a</w:t>
      </w:r>
      <w:r w:rsidR="001F0286" w:rsidRPr="00342F7C">
        <w:rPr>
          <w:lang w:val="en-GB"/>
        </w:rPr>
        <w:t>bnormal dreams;</w:t>
      </w:r>
    </w:p>
    <w:p w14:paraId="0B59AFDE" w14:textId="77777777" w:rsidR="001F0286" w:rsidRPr="00342F7C" w:rsidRDefault="00391462" w:rsidP="0052761E">
      <w:pPr>
        <w:pStyle w:val="EMEABullet"/>
        <w:numPr>
          <w:ilvl w:val="0"/>
          <w:numId w:val="45"/>
        </w:numPr>
        <w:tabs>
          <w:tab w:val="clear" w:pos="709"/>
          <w:tab w:val="num" w:pos="567"/>
        </w:tabs>
        <w:ind w:left="567"/>
        <w:rPr>
          <w:lang w:val="en-GB"/>
        </w:rPr>
      </w:pPr>
      <w:r>
        <w:rPr>
          <w:lang w:val="en-GB"/>
        </w:rPr>
        <w:t>l</w:t>
      </w:r>
      <w:r w:rsidR="001F0286" w:rsidRPr="00342F7C">
        <w:rPr>
          <w:lang w:val="en-GB"/>
        </w:rPr>
        <w:t>oss or changed sense of taste;</w:t>
      </w:r>
    </w:p>
    <w:p w14:paraId="0ABC8E93" w14:textId="77777777" w:rsidR="001F0286" w:rsidRPr="00342F7C" w:rsidRDefault="00391462" w:rsidP="0052761E">
      <w:pPr>
        <w:pStyle w:val="EMEABullet"/>
        <w:numPr>
          <w:ilvl w:val="0"/>
          <w:numId w:val="45"/>
        </w:numPr>
        <w:tabs>
          <w:tab w:val="clear" w:pos="709"/>
          <w:tab w:val="num" w:pos="567"/>
        </w:tabs>
        <w:ind w:left="567"/>
        <w:rPr>
          <w:lang w:val="en-GB"/>
        </w:rPr>
      </w:pPr>
      <w:r>
        <w:rPr>
          <w:lang w:val="en-GB"/>
        </w:rPr>
        <w:t>h</w:t>
      </w:r>
      <w:r w:rsidR="001F0286" w:rsidRPr="00342F7C">
        <w:rPr>
          <w:lang w:val="en-GB"/>
        </w:rPr>
        <w:t>air loss;</w:t>
      </w:r>
    </w:p>
    <w:p w14:paraId="7EB65658" w14:textId="77777777" w:rsidR="001F0286" w:rsidRPr="00342F7C" w:rsidRDefault="00391462" w:rsidP="0052761E">
      <w:pPr>
        <w:pStyle w:val="EMEABullet"/>
        <w:numPr>
          <w:ilvl w:val="0"/>
          <w:numId w:val="45"/>
        </w:numPr>
        <w:tabs>
          <w:tab w:val="clear" w:pos="709"/>
          <w:tab w:val="num" w:pos="567"/>
        </w:tabs>
        <w:ind w:left="567"/>
        <w:rPr>
          <w:lang w:val="en-GB"/>
        </w:rPr>
      </w:pPr>
      <w:r>
        <w:rPr>
          <w:lang w:val="en-GB"/>
        </w:rPr>
        <w:t>a</w:t>
      </w:r>
      <w:r w:rsidR="001F0286" w:rsidRPr="00342F7C">
        <w:rPr>
          <w:lang w:val="en-GB"/>
        </w:rPr>
        <w:t>n abnormality in your electrocardiogram</w:t>
      </w:r>
      <w:r w:rsidR="00BD1CE2">
        <w:rPr>
          <w:lang w:val="en-GB"/>
        </w:rPr>
        <w:t xml:space="preserve"> (ECG</w:t>
      </w:r>
      <w:r w:rsidR="0067468C">
        <w:rPr>
          <w:lang w:val="en-GB"/>
        </w:rPr>
        <w:t>)</w:t>
      </w:r>
      <w:r w:rsidR="001F0286" w:rsidRPr="00342F7C">
        <w:rPr>
          <w:lang w:val="en-GB"/>
        </w:rPr>
        <w:t xml:space="preserve"> called atrioventricular block;</w:t>
      </w:r>
    </w:p>
    <w:p w14:paraId="341B6FF8" w14:textId="77777777" w:rsidR="001F0286" w:rsidRPr="00342F7C" w:rsidRDefault="00391462" w:rsidP="0052761E">
      <w:pPr>
        <w:pStyle w:val="EMEABullet"/>
        <w:numPr>
          <w:ilvl w:val="0"/>
          <w:numId w:val="45"/>
        </w:numPr>
        <w:tabs>
          <w:tab w:val="clear" w:pos="709"/>
          <w:tab w:val="num" w:pos="567"/>
        </w:tabs>
        <w:ind w:left="567"/>
        <w:rPr>
          <w:lang w:val="en-GB"/>
        </w:rPr>
      </w:pPr>
      <w:r>
        <w:rPr>
          <w:lang w:val="en-GB"/>
        </w:rPr>
        <w:t>p</w:t>
      </w:r>
      <w:r w:rsidR="001F0286" w:rsidRPr="00342F7C">
        <w:rPr>
          <w:lang w:val="en-GB"/>
        </w:rPr>
        <w:t>laque building up inside your arteries which could lead to heart attack and stroke;</w:t>
      </w:r>
    </w:p>
    <w:p w14:paraId="1BA35CA1" w14:textId="77777777" w:rsidR="001F0286" w:rsidRPr="00342F7C" w:rsidRDefault="00391462" w:rsidP="0052761E">
      <w:pPr>
        <w:pStyle w:val="EMEABullet"/>
        <w:numPr>
          <w:ilvl w:val="0"/>
          <w:numId w:val="45"/>
        </w:numPr>
        <w:tabs>
          <w:tab w:val="clear" w:pos="709"/>
          <w:tab w:val="num" w:pos="567"/>
        </w:tabs>
        <w:ind w:left="567"/>
        <w:rPr>
          <w:lang w:val="en-GB"/>
        </w:rPr>
      </w:pPr>
      <w:r>
        <w:rPr>
          <w:lang w:val="en-GB"/>
        </w:rPr>
        <w:t>i</w:t>
      </w:r>
      <w:r w:rsidR="001F0286" w:rsidRPr="00342F7C">
        <w:rPr>
          <w:lang w:val="en-GB"/>
        </w:rPr>
        <w:t>nflammation of blood vessels and capillaries;</w:t>
      </w:r>
    </w:p>
    <w:p w14:paraId="652556AA" w14:textId="77777777" w:rsidR="001F0286" w:rsidRPr="00342F7C" w:rsidRDefault="00391462" w:rsidP="0052761E">
      <w:pPr>
        <w:pStyle w:val="EMEABullet"/>
        <w:numPr>
          <w:ilvl w:val="0"/>
          <w:numId w:val="45"/>
        </w:numPr>
        <w:tabs>
          <w:tab w:val="clear" w:pos="709"/>
          <w:tab w:val="num" w:pos="567"/>
        </w:tabs>
        <w:ind w:left="567"/>
        <w:rPr>
          <w:lang w:val="en-GB"/>
        </w:rPr>
      </w:pPr>
      <w:r>
        <w:rPr>
          <w:lang w:val="en-GB"/>
        </w:rPr>
        <w:t>i</w:t>
      </w:r>
      <w:r w:rsidR="001F0286" w:rsidRPr="00342F7C">
        <w:rPr>
          <w:lang w:val="en-GB"/>
        </w:rPr>
        <w:t>nflammation of the bile duct;</w:t>
      </w:r>
    </w:p>
    <w:p w14:paraId="647AB137" w14:textId="77777777" w:rsidR="001F0286" w:rsidRPr="00342F7C" w:rsidRDefault="00391462" w:rsidP="0052761E">
      <w:pPr>
        <w:pStyle w:val="EMEABullet"/>
        <w:numPr>
          <w:ilvl w:val="0"/>
          <w:numId w:val="45"/>
        </w:numPr>
        <w:tabs>
          <w:tab w:val="clear" w:pos="709"/>
          <w:tab w:val="num" w:pos="567"/>
        </w:tabs>
        <w:ind w:left="567"/>
        <w:rPr>
          <w:lang w:val="en-GB"/>
        </w:rPr>
      </w:pPr>
      <w:r>
        <w:rPr>
          <w:lang w:val="en-GB"/>
        </w:rPr>
        <w:t>u</w:t>
      </w:r>
      <w:r w:rsidR="001F0286" w:rsidRPr="00342F7C">
        <w:rPr>
          <w:lang w:val="en-GB"/>
        </w:rPr>
        <w:t>ncontrolled shaking of the body;</w:t>
      </w:r>
    </w:p>
    <w:p w14:paraId="51ED75AD" w14:textId="77777777" w:rsidR="001F0286" w:rsidRPr="00342F7C" w:rsidRDefault="00391462" w:rsidP="0052761E">
      <w:pPr>
        <w:pStyle w:val="EMEABullet"/>
        <w:numPr>
          <w:ilvl w:val="0"/>
          <w:numId w:val="45"/>
        </w:numPr>
        <w:tabs>
          <w:tab w:val="clear" w:pos="709"/>
          <w:tab w:val="num" w:pos="567"/>
        </w:tabs>
        <w:ind w:left="567"/>
        <w:rPr>
          <w:lang w:val="en-GB"/>
        </w:rPr>
      </w:pPr>
      <w:r>
        <w:rPr>
          <w:lang w:val="en-GB"/>
        </w:rPr>
        <w:t>c</w:t>
      </w:r>
      <w:r w:rsidR="001F0286" w:rsidRPr="00342F7C">
        <w:rPr>
          <w:lang w:val="en-GB"/>
        </w:rPr>
        <w:t>onstipation;</w:t>
      </w:r>
    </w:p>
    <w:p w14:paraId="1DC860DD" w14:textId="77777777" w:rsidR="001F0286" w:rsidRPr="00342F7C" w:rsidRDefault="00391462" w:rsidP="0052761E">
      <w:pPr>
        <w:pStyle w:val="EMEABullet"/>
        <w:numPr>
          <w:ilvl w:val="0"/>
          <w:numId w:val="45"/>
        </w:numPr>
        <w:tabs>
          <w:tab w:val="clear" w:pos="709"/>
          <w:tab w:val="num" w:pos="567"/>
        </w:tabs>
        <w:ind w:left="567"/>
        <w:rPr>
          <w:lang w:val="en-GB"/>
        </w:rPr>
      </w:pPr>
      <w:r>
        <w:rPr>
          <w:lang w:val="en-GB"/>
        </w:rPr>
        <w:t>d</w:t>
      </w:r>
      <w:r w:rsidR="001F0286" w:rsidRPr="00342F7C">
        <w:rPr>
          <w:lang w:val="en-GB"/>
        </w:rPr>
        <w:t>eep vein inflammation related to a blood clot;</w:t>
      </w:r>
    </w:p>
    <w:p w14:paraId="2B38D128" w14:textId="77777777" w:rsidR="001F0286" w:rsidRPr="00342F7C" w:rsidRDefault="00391462" w:rsidP="0052761E">
      <w:pPr>
        <w:pStyle w:val="EMEABullet"/>
        <w:numPr>
          <w:ilvl w:val="0"/>
          <w:numId w:val="45"/>
        </w:numPr>
        <w:tabs>
          <w:tab w:val="clear" w:pos="709"/>
          <w:tab w:val="num" w:pos="567"/>
        </w:tabs>
        <w:ind w:left="567"/>
        <w:rPr>
          <w:lang w:val="en-GB"/>
        </w:rPr>
      </w:pPr>
      <w:r>
        <w:rPr>
          <w:lang w:val="en-GB"/>
        </w:rPr>
        <w:t>d</w:t>
      </w:r>
      <w:r w:rsidR="001F0286" w:rsidRPr="00342F7C">
        <w:rPr>
          <w:lang w:val="en-GB"/>
        </w:rPr>
        <w:t>ry mouth;</w:t>
      </w:r>
    </w:p>
    <w:p w14:paraId="3DBCC153" w14:textId="77777777" w:rsidR="001F0286" w:rsidRPr="00342F7C" w:rsidRDefault="00391462" w:rsidP="0052761E">
      <w:pPr>
        <w:pStyle w:val="EMEABullet"/>
        <w:numPr>
          <w:ilvl w:val="0"/>
          <w:numId w:val="45"/>
        </w:numPr>
        <w:tabs>
          <w:tab w:val="clear" w:pos="709"/>
          <w:tab w:val="num" w:pos="567"/>
        </w:tabs>
        <w:ind w:left="567"/>
        <w:rPr>
          <w:lang w:val="en-GB"/>
        </w:rPr>
      </w:pPr>
      <w:r>
        <w:rPr>
          <w:lang w:val="en-GB"/>
        </w:rPr>
        <w:t>i</w:t>
      </w:r>
      <w:r w:rsidR="001F0286" w:rsidRPr="00342F7C">
        <w:rPr>
          <w:lang w:val="en-GB"/>
        </w:rPr>
        <w:t>nability to control your bowels;</w:t>
      </w:r>
    </w:p>
    <w:p w14:paraId="0D51662C" w14:textId="77777777" w:rsidR="001F0286" w:rsidRPr="00342F7C" w:rsidRDefault="00391462" w:rsidP="0052761E">
      <w:pPr>
        <w:pStyle w:val="EMEABullet"/>
        <w:numPr>
          <w:ilvl w:val="0"/>
          <w:numId w:val="45"/>
        </w:numPr>
        <w:tabs>
          <w:tab w:val="clear" w:pos="709"/>
          <w:tab w:val="num" w:pos="567"/>
        </w:tabs>
        <w:ind w:left="567"/>
        <w:rPr>
          <w:lang w:val="en-GB"/>
        </w:rPr>
      </w:pPr>
      <w:r>
        <w:rPr>
          <w:lang w:val="en-GB"/>
        </w:rPr>
        <w:t>i</w:t>
      </w:r>
      <w:r w:rsidR="001F0286" w:rsidRPr="00342F7C">
        <w:rPr>
          <w:lang w:val="en-GB"/>
        </w:rPr>
        <w:t>nflammation of the first section of the small intestine just after the stomach, wound or ulcer in the digestive tract, bleeding from the intestinal tract or rectum;</w:t>
      </w:r>
    </w:p>
    <w:p w14:paraId="06C9515F" w14:textId="77777777" w:rsidR="001F0286" w:rsidRDefault="00391462" w:rsidP="0052761E">
      <w:pPr>
        <w:pStyle w:val="EMEABullet"/>
        <w:numPr>
          <w:ilvl w:val="0"/>
          <w:numId w:val="45"/>
        </w:numPr>
        <w:tabs>
          <w:tab w:val="clear" w:pos="709"/>
          <w:tab w:val="num" w:pos="567"/>
        </w:tabs>
        <w:ind w:left="567"/>
        <w:rPr>
          <w:lang w:val="en-GB"/>
        </w:rPr>
      </w:pPr>
      <w:r>
        <w:rPr>
          <w:lang w:val="en-GB"/>
        </w:rPr>
        <w:t>r</w:t>
      </w:r>
      <w:r w:rsidR="001F0286" w:rsidRPr="00342F7C">
        <w:rPr>
          <w:lang w:val="en-GB"/>
        </w:rPr>
        <w:t>ed blood cells in the urine;</w:t>
      </w:r>
    </w:p>
    <w:p w14:paraId="74436381" w14:textId="77777777" w:rsidR="00514145" w:rsidRPr="00342F7C" w:rsidRDefault="00514145" w:rsidP="0052761E">
      <w:pPr>
        <w:pStyle w:val="EMEABullet"/>
        <w:numPr>
          <w:ilvl w:val="0"/>
          <w:numId w:val="45"/>
        </w:numPr>
        <w:tabs>
          <w:tab w:val="clear" w:pos="709"/>
          <w:tab w:val="num" w:pos="567"/>
        </w:tabs>
        <w:ind w:left="567"/>
        <w:rPr>
          <w:lang w:val="en-GB"/>
        </w:rPr>
      </w:pPr>
      <w:r>
        <w:rPr>
          <w:lang w:val="en-GB"/>
        </w:rPr>
        <w:t>yellowing of the skin or whites of eyes (jaundice);</w:t>
      </w:r>
    </w:p>
    <w:p w14:paraId="584D3C54" w14:textId="77777777" w:rsidR="001F0286" w:rsidRPr="00342F7C" w:rsidRDefault="00391462" w:rsidP="0052761E">
      <w:pPr>
        <w:pStyle w:val="EMEABullet"/>
        <w:numPr>
          <w:ilvl w:val="0"/>
          <w:numId w:val="45"/>
        </w:numPr>
        <w:tabs>
          <w:tab w:val="clear" w:pos="709"/>
          <w:tab w:val="num" w:pos="567"/>
        </w:tabs>
        <w:ind w:left="567"/>
        <w:rPr>
          <w:lang w:val="en-GB"/>
        </w:rPr>
      </w:pPr>
      <w:r>
        <w:rPr>
          <w:lang w:val="en-GB"/>
        </w:rPr>
        <w:t>f</w:t>
      </w:r>
      <w:r w:rsidR="001F0286" w:rsidRPr="00342F7C">
        <w:rPr>
          <w:lang w:val="en-GB"/>
        </w:rPr>
        <w:t>atty deposits in the liver, enlarged liver;</w:t>
      </w:r>
    </w:p>
    <w:p w14:paraId="26105515" w14:textId="77777777" w:rsidR="001F0286" w:rsidRPr="00342F7C" w:rsidRDefault="00391462" w:rsidP="0052761E">
      <w:pPr>
        <w:pStyle w:val="EMEABullet"/>
        <w:numPr>
          <w:ilvl w:val="0"/>
          <w:numId w:val="45"/>
        </w:numPr>
        <w:tabs>
          <w:tab w:val="clear" w:pos="709"/>
          <w:tab w:val="num" w:pos="567"/>
        </w:tabs>
        <w:ind w:left="567"/>
        <w:rPr>
          <w:lang w:val="en-GB"/>
        </w:rPr>
      </w:pPr>
      <w:r>
        <w:rPr>
          <w:lang w:val="en-GB"/>
        </w:rPr>
        <w:t>l</w:t>
      </w:r>
      <w:r w:rsidR="001F0286" w:rsidRPr="00342F7C">
        <w:rPr>
          <w:lang w:val="en-GB"/>
        </w:rPr>
        <w:t>ack of functioning of the testes;</w:t>
      </w:r>
    </w:p>
    <w:p w14:paraId="5B9CD60D" w14:textId="77777777" w:rsidR="001F0286" w:rsidRPr="00342F7C" w:rsidRDefault="00391462" w:rsidP="0052761E">
      <w:pPr>
        <w:pStyle w:val="EMEABullet"/>
        <w:numPr>
          <w:ilvl w:val="0"/>
          <w:numId w:val="45"/>
        </w:numPr>
        <w:tabs>
          <w:tab w:val="clear" w:pos="709"/>
          <w:tab w:val="num" w:pos="567"/>
        </w:tabs>
        <w:ind w:left="567"/>
        <w:rPr>
          <w:lang w:val="en-GB"/>
        </w:rPr>
      </w:pPr>
      <w:r>
        <w:rPr>
          <w:lang w:val="en-GB"/>
        </w:rPr>
        <w:t>a</w:t>
      </w:r>
      <w:r w:rsidR="001F0286" w:rsidRPr="00342F7C">
        <w:rPr>
          <w:lang w:val="en-GB"/>
        </w:rPr>
        <w:t xml:space="preserve"> flare-up of symptoms related to an inactive infection in </w:t>
      </w:r>
      <w:r w:rsidR="00EF6E3A">
        <w:rPr>
          <w:lang w:val="en-GB"/>
        </w:rPr>
        <w:t xml:space="preserve">your body (immune </w:t>
      </w:r>
      <w:r w:rsidR="0076580C">
        <w:rPr>
          <w:lang w:val="en-GB"/>
        </w:rPr>
        <w:t>reconstitution</w:t>
      </w:r>
      <w:r w:rsidR="001F0286" w:rsidRPr="00342F7C">
        <w:rPr>
          <w:lang w:val="en-GB"/>
        </w:rPr>
        <w:t>);</w:t>
      </w:r>
    </w:p>
    <w:p w14:paraId="2ACC9F3E" w14:textId="77777777" w:rsidR="001F0286" w:rsidRPr="00342F7C" w:rsidRDefault="00391462" w:rsidP="0052761E">
      <w:pPr>
        <w:pStyle w:val="EMEABullet"/>
        <w:numPr>
          <w:ilvl w:val="0"/>
          <w:numId w:val="45"/>
        </w:numPr>
        <w:tabs>
          <w:tab w:val="clear" w:pos="709"/>
          <w:tab w:val="num" w:pos="567"/>
        </w:tabs>
        <w:ind w:left="567"/>
        <w:rPr>
          <w:lang w:val="en-GB"/>
        </w:rPr>
      </w:pPr>
      <w:r>
        <w:rPr>
          <w:lang w:val="en-GB"/>
        </w:rPr>
        <w:t>i</w:t>
      </w:r>
      <w:r w:rsidR="001F0286" w:rsidRPr="00342F7C">
        <w:rPr>
          <w:lang w:val="en-GB"/>
        </w:rPr>
        <w:t>ncreased appetite;</w:t>
      </w:r>
    </w:p>
    <w:p w14:paraId="0705E44B" w14:textId="77777777" w:rsidR="001F0286" w:rsidRPr="00342F7C" w:rsidRDefault="00391462" w:rsidP="0052761E">
      <w:pPr>
        <w:pStyle w:val="EMEABullet"/>
        <w:numPr>
          <w:ilvl w:val="0"/>
          <w:numId w:val="45"/>
        </w:numPr>
        <w:tabs>
          <w:tab w:val="clear" w:pos="709"/>
          <w:tab w:val="num" w:pos="567"/>
        </w:tabs>
        <w:ind w:left="567"/>
        <w:rPr>
          <w:lang w:val="en-GB"/>
        </w:rPr>
      </w:pPr>
      <w:r>
        <w:rPr>
          <w:lang w:val="en-GB"/>
        </w:rPr>
        <w:t>a</w:t>
      </w:r>
      <w:r w:rsidR="001F0286" w:rsidRPr="00342F7C">
        <w:rPr>
          <w:lang w:val="en-GB"/>
        </w:rPr>
        <w:t>bnormally high level of bilirubin (a pigment produced from the breakdown of red blood cells) in the blood</w:t>
      </w:r>
    </w:p>
    <w:p w14:paraId="0813D1C3" w14:textId="77777777" w:rsidR="001F0286" w:rsidRPr="00342F7C" w:rsidRDefault="00391462" w:rsidP="0052761E">
      <w:pPr>
        <w:pStyle w:val="EMEABullet"/>
        <w:numPr>
          <w:ilvl w:val="0"/>
          <w:numId w:val="45"/>
        </w:numPr>
        <w:tabs>
          <w:tab w:val="clear" w:pos="709"/>
          <w:tab w:val="num" w:pos="567"/>
        </w:tabs>
        <w:ind w:left="567"/>
        <w:rPr>
          <w:lang w:val="en-GB"/>
        </w:rPr>
      </w:pPr>
      <w:r>
        <w:rPr>
          <w:lang w:val="en-GB"/>
        </w:rPr>
        <w:t>d</w:t>
      </w:r>
      <w:r w:rsidR="001F0286" w:rsidRPr="00342F7C">
        <w:rPr>
          <w:lang w:val="en-GB"/>
        </w:rPr>
        <w:t>ecreased sexual desire;</w:t>
      </w:r>
    </w:p>
    <w:p w14:paraId="7B62E85F" w14:textId="77777777" w:rsidR="001F0286" w:rsidRPr="00342F7C" w:rsidRDefault="00391462" w:rsidP="0052761E">
      <w:pPr>
        <w:pStyle w:val="EMEABullet"/>
        <w:numPr>
          <w:ilvl w:val="0"/>
          <w:numId w:val="45"/>
        </w:numPr>
        <w:tabs>
          <w:tab w:val="clear" w:pos="709"/>
          <w:tab w:val="num" w:pos="567"/>
        </w:tabs>
        <w:ind w:left="567"/>
        <w:rPr>
          <w:lang w:val="en-GB"/>
        </w:rPr>
      </w:pPr>
      <w:r>
        <w:rPr>
          <w:lang w:val="en-GB"/>
        </w:rPr>
        <w:t>i</w:t>
      </w:r>
      <w:r w:rsidR="001F0286" w:rsidRPr="00342F7C">
        <w:rPr>
          <w:lang w:val="en-GB"/>
        </w:rPr>
        <w:t>nflammation of the kidney;</w:t>
      </w:r>
    </w:p>
    <w:p w14:paraId="1C79901B" w14:textId="77777777" w:rsidR="001F0286" w:rsidRPr="00342F7C" w:rsidRDefault="00391462" w:rsidP="0052761E">
      <w:pPr>
        <w:pStyle w:val="EMEABullet"/>
        <w:numPr>
          <w:ilvl w:val="0"/>
          <w:numId w:val="45"/>
        </w:numPr>
        <w:tabs>
          <w:tab w:val="clear" w:pos="709"/>
          <w:tab w:val="num" w:pos="567"/>
        </w:tabs>
        <w:ind w:left="567"/>
        <w:rPr>
          <w:lang w:val="en-GB"/>
        </w:rPr>
      </w:pPr>
      <w:r>
        <w:rPr>
          <w:lang w:val="en-GB"/>
        </w:rPr>
        <w:t>b</w:t>
      </w:r>
      <w:r w:rsidR="001F0286" w:rsidRPr="00342F7C">
        <w:rPr>
          <w:lang w:val="en-GB"/>
        </w:rPr>
        <w:t>one death caused by poor blood supply to the area;</w:t>
      </w:r>
    </w:p>
    <w:p w14:paraId="7E9A1E91" w14:textId="77777777" w:rsidR="001F0286" w:rsidRPr="00342F7C" w:rsidRDefault="00391462" w:rsidP="0052761E">
      <w:pPr>
        <w:pStyle w:val="EMEABullet"/>
        <w:numPr>
          <w:ilvl w:val="0"/>
          <w:numId w:val="45"/>
        </w:numPr>
        <w:tabs>
          <w:tab w:val="clear" w:pos="709"/>
          <w:tab w:val="num" w:pos="567"/>
        </w:tabs>
        <w:ind w:left="567"/>
        <w:rPr>
          <w:lang w:val="en-GB"/>
        </w:rPr>
      </w:pPr>
      <w:r>
        <w:rPr>
          <w:lang w:val="en-GB"/>
        </w:rPr>
        <w:t>m</w:t>
      </w:r>
      <w:r w:rsidR="001F0286" w:rsidRPr="00342F7C">
        <w:rPr>
          <w:lang w:val="en-GB"/>
        </w:rPr>
        <w:t>outh sores or ulcerations, inflammation of the stomach and intestine;</w:t>
      </w:r>
    </w:p>
    <w:p w14:paraId="79939ACE" w14:textId="77777777" w:rsidR="001F0286" w:rsidRPr="00342F7C" w:rsidRDefault="00391462" w:rsidP="0052761E">
      <w:pPr>
        <w:pStyle w:val="EMEABullet"/>
        <w:numPr>
          <w:ilvl w:val="0"/>
          <w:numId w:val="45"/>
        </w:numPr>
        <w:tabs>
          <w:tab w:val="clear" w:pos="709"/>
          <w:tab w:val="num" w:pos="567"/>
        </w:tabs>
        <w:ind w:left="567"/>
        <w:rPr>
          <w:lang w:val="en-GB"/>
        </w:rPr>
      </w:pPr>
      <w:r>
        <w:rPr>
          <w:lang w:val="en-GB"/>
        </w:rPr>
        <w:t>k</w:t>
      </w:r>
      <w:r w:rsidR="001F0286" w:rsidRPr="00342F7C">
        <w:rPr>
          <w:lang w:val="en-GB"/>
        </w:rPr>
        <w:t>idney failure;</w:t>
      </w:r>
    </w:p>
    <w:p w14:paraId="2EA6D409" w14:textId="77777777" w:rsidR="001F0286" w:rsidRPr="00342F7C" w:rsidRDefault="00391462" w:rsidP="0052761E">
      <w:pPr>
        <w:pStyle w:val="EMEABullet"/>
        <w:numPr>
          <w:ilvl w:val="0"/>
          <w:numId w:val="45"/>
        </w:numPr>
        <w:tabs>
          <w:tab w:val="clear" w:pos="709"/>
          <w:tab w:val="num" w:pos="567"/>
        </w:tabs>
        <w:ind w:left="567"/>
        <w:rPr>
          <w:lang w:val="en-GB"/>
        </w:rPr>
      </w:pPr>
      <w:r>
        <w:rPr>
          <w:lang w:val="en-GB"/>
        </w:rPr>
        <w:t>b</w:t>
      </w:r>
      <w:r w:rsidR="001F0286" w:rsidRPr="00342F7C">
        <w:rPr>
          <w:lang w:val="en-GB"/>
        </w:rPr>
        <w:t xml:space="preserve">reakdown of muscle </w:t>
      </w:r>
      <w:r w:rsidR="002D198C" w:rsidRPr="00342F7C">
        <w:rPr>
          <w:lang w:val="en-GB"/>
        </w:rPr>
        <w:t>fibr</w:t>
      </w:r>
      <w:r w:rsidR="00CA009F">
        <w:rPr>
          <w:lang w:val="en-GB"/>
        </w:rPr>
        <w:t>e</w:t>
      </w:r>
      <w:r w:rsidR="002D198C" w:rsidRPr="00342F7C">
        <w:rPr>
          <w:lang w:val="en-GB"/>
        </w:rPr>
        <w:t>s</w:t>
      </w:r>
      <w:r w:rsidR="001F0286" w:rsidRPr="00342F7C">
        <w:rPr>
          <w:lang w:val="en-GB"/>
        </w:rPr>
        <w:t xml:space="preserve"> resulting in the release of muscle fibr</w:t>
      </w:r>
      <w:r w:rsidR="00CA009F">
        <w:rPr>
          <w:lang w:val="en-GB"/>
        </w:rPr>
        <w:t>e</w:t>
      </w:r>
      <w:r w:rsidR="001F0286" w:rsidRPr="00342F7C">
        <w:rPr>
          <w:lang w:val="en-GB"/>
        </w:rPr>
        <w:t xml:space="preserve"> contents (myoglobin) into the bloodstream;</w:t>
      </w:r>
    </w:p>
    <w:p w14:paraId="51213935" w14:textId="77777777" w:rsidR="001F0286" w:rsidRPr="00342F7C" w:rsidRDefault="00391462" w:rsidP="0052761E">
      <w:pPr>
        <w:pStyle w:val="EMEABullet"/>
        <w:numPr>
          <w:ilvl w:val="0"/>
          <w:numId w:val="45"/>
        </w:numPr>
        <w:tabs>
          <w:tab w:val="clear" w:pos="709"/>
          <w:tab w:val="num" w:pos="567"/>
        </w:tabs>
        <w:ind w:left="567"/>
        <w:rPr>
          <w:lang w:val="en-GB"/>
        </w:rPr>
      </w:pPr>
      <w:r>
        <w:rPr>
          <w:lang w:val="en-GB"/>
        </w:rPr>
        <w:t>a</w:t>
      </w:r>
      <w:r w:rsidR="001F0286" w:rsidRPr="00342F7C">
        <w:rPr>
          <w:lang w:val="en-GB"/>
        </w:rPr>
        <w:t xml:space="preserve"> sound in one ear or both ears, such as buzzing, ringing or whistling;</w:t>
      </w:r>
    </w:p>
    <w:p w14:paraId="029C7B3A" w14:textId="77777777" w:rsidR="001F0286" w:rsidRPr="00342F7C" w:rsidRDefault="00391462" w:rsidP="0052761E">
      <w:pPr>
        <w:pStyle w:val="EMEABullet"/>
        <w:numPr>
          <w:ilvl w:val="0"/>
          <w:numId w:val="45"/>
        </w:numPr>
        <w:tabs>
          <w:tab w:val="clear" w:pos="709"/>
          <w:tab w:val="num" w:pos="567"/>
        </w:tabs>
        <w:ind w:left="567"/>
        <w:rPr>
          <w:lang w:val="en-GB"/>
        </w:rPr>
      </w:pPr>
      <w:r>
        <w:rPr>
          <w:lang w:val="en-GB"/>
        </w:rPr>
        <w:t>t</w:t>
      </w:r>
      <w:r w:rsidR="001F0286" w:rsidRPr="00342F7C">
        <w:rPr>
          <w:lang w:val="en-GB"/>
        </w:rPr>
        <w:t>remor;</w:t>
      </w:r>
    </w:p>
    <w:p w14:paraId="483012CC" w14:textId="77777777" w:rsidR="001F0286" w:rsidRPr="00342F7C" w:rsidRDefault="00391462" w:rsidP="0052761E">
      <w:pPr>
        <w:pStyle w:val="EMEABullet"/>
        <w:numPr>
          <w:ilvl w:val="0"/>
          <w:numId w:val="45"/>
        </w:numPr>
        <w:tabs>
          <w:tab w:val="clear" w:pos="709"/>
          <w:tab w:val="num" w:pos="567"/>
        </w:tabs>
        <w:ind w:left="567"/>
        <w:rPr>
          <w:lang w:val="en-GB"/>
        </w:rPr>
      </w:pPr>
      <w:r>
        <w:rPr>
          <w:lang w:val="en-GB"/>
        </w:rPr>
        <w:t>a</w:t>
      </w:r>
      <w:r w:rsidR="001F0286" w:rsidRPr="00342F7C">
        <w:rPr>
          <w:lang w:val="en-GB"/>
        </w:rPr>
        <w:t>bnormal closure of one of the valves (tricuspid valve in your heart);</w:t>
      </w:r>
    </w:p>
    <w:p w14:paraId="774DF4D3" w14:textId="77777777" w:rsidR="001F0286" w:rsidRPr="00342F7C" w:rsidRDefault="00391462" w:rsidP="0052761E">
      <w:pPr>
        <w:pStyle w:val="EMEABullet"/>
        <w:numPr>
          <w:ilvl w:val="0"/>
          <w:numId w:val="45"/>
        </w:numPr>
        <w:tabs>
          <w:tab w:val="clear" w:pos="709"/>
          <w:tab w:val="num" w:pos="567"/>
        </w:tabs>
        <w:ind w:left="567"/>
        <w:rPr>
          <w:lang w:val="en-GB"/>
        </w:rPr>
      </w:pPr>
      <w:r>
        <w:rPr>
          <w:lang w:val="en-GB"/>
        </w:rPr>
        <w:t>v</w:t>
      </w:r>
      <w:r w:rsidR="001F0286" w:rsidRPr="00342F7C">
        <w:rPr>
          <w:lang w:val="en-GB"/>
        </w:rPr>
        <w:t>ertigo (spinning feeling);</w:t>
      </w:r>
    </w:p>
    <w:p w14:paraId="04B635E5" w14:textId="77777777" w:rsidR="001F0286" w:rsidRPr="00342F7C" w:rsidRDefault="00391462" w:rsidP="0052761E">
      <w:pPr>
        <w:pStyle w:val="EMEABullet"/>
        <w:numPr>
          <w:ilvl w:val="0"/>
          <w:numId w:val="45"/>
        </w:numPr>
        <w:tabs>
          <w:tab w:val="clear" w:pos="709"/>
          <w:tab w:val="num" w:pos="567"/>
        </w:tabs>
        <w:ind w:left="567"/>
        <w:rPr>
          <w:lang w:val="en-GB"/>
        </w:rPr>
      </w:pPr>
      <w:r>
        <w:rPr>
          <w:lang w:val="en-GB"/>
        </w:rPr>
        <w:t>e</w:t>
      </w:r>
      <w:r w:rsidR="001F0286" w:rsidRPr="00342F7C">
        <w:rPr>
          <w:lang w:val="en-GB"/>
        </w:rPr>
        <w:t>ye disorder, abnormal vision;</w:t>
      </w:r>
    </w:p>
    <w:p w14:paraId="5D3E53C1" w14:textId="77777777" w:rsidR="001F0286" w:rsidRPr="00342F7C" w:rsidRDefault="00391462" w:rsidP="0052761E">
      <w:pPr>
        <w:pStyle w:val="EMEABullet"/>
        <w:numPr>
          <w:ilvl w:val="0"/>
          <w:numId w:val="45"/>
        </w:numPr>
        <w:tabs>
          <w:tab w:val="clear" w:pos="709"/>
          <w:tab w:val="num" w:pos="567"/>
        </w:tabs>
        <w:ind w:left="567"/>
        <w:rPr>
          <w:lang w:val="en-GB"/>
        </w:rPr>
      </w:pPr>
      <w:r>
        <w:rPr>
          <w:lang w:val="en-GB"/>
        </w:rPr>
        <w:t>w</w:t>
      </w:r>
      <w:r w:rsidR="001F0286" w:rsidRPr="00342F7C">
        <w:rPr>
          <w:lang w:val="en-GB"/>
        </w:rPr>
        <w:t>eight gain.</w:t>
      </w:r>
    </w:p>
    <w:p w14:paraId="3B1FEA7B" w14:textId="77777777" w:rsidR="00277ECB" w:rsidRPr="00342F7C" w:rsidRDefault="00277ECB">
      <w:pPr>
        <w:pStyle w:val="EMEABullet"/>
        <w:numPr>
          <w:ilvl w:val="0"/>
          <w:numId w:val="0"/>
        </w:numPr>
        <w:rPr>
          <w:lang w:val="en-GB"/>
        </w:rPr>
      </w:pPr>
    </w:p>
    <w:p w14:paraId="52734294" w14:textId="77777777" w:rsidR="0067468C" w:rsidRDefault="00514145" w:rsidP="007F6003">
      <w:pPr>
        <w:pStyle w:val="EMEANormal"/>
        <w:rPr>
          <w:lang w:val="en-GB" w:eastAsia="en-GB"/>
        </w:rPr>
      </w:pPr>
      <w:r>
        <w:rPr>
          <w:b/>
          <w:lang w:val="en-GB" w:eastAsia="en-GB"/>
        </w:rPr>
        <w:t xml:space="preserve">Rare: </w:t>
      </w:r>
      <w:r w:rsidRPr="00514145">
        <w:rPr>
          <w:bCs/>
          <w:lang w:val="en-GB" w:eastAsia="en-GB"/>
        </w:rPr>
        <w:t>may af</w:t>
      </w:r>
      <w:r>
        <w:rPr>
          <w:bCs/>
          <w:lang w:val="en-GB" w:eastAsia="en-GB"/>
        </w:rPr>
        <w:t>f</w:t>
      </w:r>
      <w:r w:rsidRPr="00514145">
        <w:rPr>
          <w:bCs/>
          <w:lang w:val="en-GB" w:eastAsia="en-GB"/>
        </w:rPr>
        <w:t>ect up to 1 in 1,000 people</w:t>
      </w:r>
      <w:r w:rsidR="00DD620C" w:rsidRPr="00342F7C">
        <w:rPr>
          <w:lang w:val="en-GB" w:eastAsia="en-GB"/>
        </w:rPr>
        <w:t xml:space="preserve"> </w:t>
      </w:r>
    </w:p>
    <w:p w14:paraId="2ACE1610" w14:textId="77777777" w:rsidR="00DD620C" w:rsidRPr="00342F7C" w:rsidRDefault="00DD620C" w:rsidP="0052761E">
      <w:pPr>
        <w:pStyle w:val="EMEANormal"/>
        <w:numPr>
          <w:ilvl w:val="0"/>
          <w:numId w:val="46"/>
        </w:numPr>
        <w:ind w:left="567" w:hanging="567"/>
        <w:rPr>
          <w:lang w:val="en-GB" w:eastAsia="en-GB"/>
        </w:rPr>
      </w:pPr>
      <w:r w:rsidRPr="00342F7C">
        <w:rPr>
          <w:lang w:val="en-GB" w:eastAsia="en-GB"/>
        </w:rPr>
        <w:t>severe or life</w:t>
      </w:r>
      <w:r w:rsidR="00A6410E">
        <w:rPr>
          <w:lang w:val="en-GB" w:eastAsia="en-GB"/>
        </w:rPr>
        <w:t>-</w:t>
      </w:r>
      <w:r w:rsidRPr="00342F7C">
        <w:rPr>
          <w:lang w:val="en-GB" w:eastAsia="en-GB"/>
        </w:rPr>
        <w:t>threatening skin rashes and blisters (Stevens-Johnson syndrome and erythema multiforme).</w:t>
      </w:r>
    </w:p>
    <w:p w14:paraId="3F3125AD" w14:textId="77777777" w:rsidR="00DD620C" w:rsidRDefault="00DD620C">
      <w:pPr>
        <w:pStyle w:val="EMEANormal"/>
        <w:rPr>
          <w:lang w:val="en-GB"/>
        </w:rPr>
      </w:pPr>
    </w:p>
    <w:p w14:paraId="5B7F2AB9" w14:textId="77777777" w:rsidR="002B6A81" w:rsidRPr="005A7D58" w:rsidRDefault="002B6A81" w:rsidP="002B6A81">
      <w:pPr>
        <w:tabs>
          <w:tab w:val="left" w:pos="567"/>
        </w:tabs>
        <w:rPr>
          <w:color w:val="000000"/>
          <w:sz w:val="22"/>
          <w:szCs w:val="22"/>
        </w:rPr>
      </w:pPr>
      <w:r w:rsidRPr="005A7D58">
        <w:rPr>
          <w:b/>
          <w:bCs/>
          <w:sz w:val="22"/>
          <w:szCs w:val="22"/>
        </w:rPr>
        <w:t xml:space="preserve">Not known: </w:t>
      </w:r>
      <w:r w:rsidRPr="005A7D58">
        <w:rPr>
          <w:sz w:val="22"/>
          <w:szCs w:val="22"/>
        </w:rPr>
        <w:t>frequency</w:t>
      </w:r>
      <w:r w:rsidRPr="005A7D58">
        <w:rPr>
          <w:b/>
          <w:bCs/>
          <w:sz w:val="22"/>
          <w:szCs w:val="22"/>
        </w:rPr>
        <w:t xml:space="preserve"> </w:t>
      </w:r>
      <w:r w:rsidRPr="005A7D58">
        <w:rPr>
          <w:color w:val="000000"/>
          <w:sz w:val="22"/>
          <w:szCs w:val="22"/>
        </w:rPr>
        <w:t>cannot be estimated from the available data</w:t>
      </w:r>
    </w:p>
    <w:p w14:paraId="3896E2FC" w14:textId="77777777" w:rsidR="002B6A81" w:rsidRPr="005A7D58" w:rsidRDefault="002B6A81" w:rsidP="0052761E">
      <w:pPr>
        <w:pStyle w:val="EMEABullet"/>
        <w:numPr>
          <w:ilvl w:val="0"/>
          <w:numId w:val="45"/>
        </w:numPr>
        <w:tabs>
          <w:tab w:val="clear" w:pos="709"/>
          <w:tab w:val="num" w:pos="567"/>
        </w:tabs>
        <w:ind w:left="567"/>
        <w:rPr>
          <w:szCs w:val="22"/>
          <w:lang w:val="en-GB"/>
        </w:rPr>
      </w:pPr>
      <w:r w:rsidRPr="005A7D58">
        <w:rPr>
          <w:szCs w:val="22"/>
          <w:lang w:val="en-GB"/>
        </w:rPr>
        <w:t>kidney stones.</w:t>
      </w:r>
    </w:p>
    <w:p w14:paraId="0F8EA6FB" w14:textId="77777777" w:rsidR="002B6A81" w:rsidRPr="00342F7C" w:rsidRDefault="002B6A81">
      <w:pPr>
        <w:pStyle w:val="EMEANormal"/>
        <w:rPr>
          <w:lang w:val="en-GB"/>
        </w:rPr>
      </w:pPr>
    </w:p>
    <w:p w14:paraId="6EA89EF5" w14:textId="77777777" w:rsidR="00277ECB" w:rsidRDefault="00277ECB">
      <w:pPr>
        <w:pStyle w:val="EMEANormal"/>
        <w:rPr>
          <w:lang w:val="en-GB"/>
        </w:rPr>
      </w:pPr>
      <w:r w:rsidRPr="00342F7C">
        <w:rPr>
          <w:lang w:val="en-GB"/>
        </w:rPr>
        <w:t>If any of the side effects gets serious, or if you notice any side effects not listed in this leaflet, please inform your doctor or pharmacist.</w:t>
      </w:r>
    </w:p>
    <w:p w14:paraId="55E70A8C" w14:textId="77777777" w:rsidR="00E4158F" w:rsidRDefault="00E4158F">
      <w:pPr>
        <w:pStyle w:val="EMEANormal"/>
        <w:rPr>
          <w:lang w:val="en-GB"/>
        </w:rPr>
      </w:pPr>
    </w:p>
    <w:p w14:paraId="1B8C8C48" w14:textId="77777777" w:rsidR="00E4158F" w:rsidRPr="0017061C" w:rsidRDefault="00E4158F" w:rsidP="0067468C">
      <w:pPr>
        <w:pStyle w:val="EMEANormal"/>
        <w:keepNext/>
        <w:rPr>
          <w:b/>
          <w:lang w:val="en-GB"/>
        </w:rPr>
      </w:pPr>
      <w:r w:rsidRPr="0017061C">
        <w:rPr>
          <w:b/>
          <w:lang w:val="en-GB"/>
        </w:rPr>
        <w:t>Reporting of side effects</w:t>
      </w:r>
    </w:p>
    <w:p w14:paraId="79EE5D73" w14:textId="77777777" w:rsidR="00E4158F" w:rsidRDefault="00E4158F" w:rsidP="0067468C">
      <w:pPr>
        <w:pStyle w:val="EMEANormal"/>
        <w:keepNext/>
        <w:rPr>
          <w:b/>
          <w:u w:val="single"/>
          <w:lang w:val="en-GB"/>
        </w:rPr>
      </w:pPr>
    </w:p>
    <w:p w14:paraId="488406ED" w14:textId="77777777" w:rsidR="00E4158F" w:rsidRDefault="00E4158F" w:rsidP="0067468C">
      <w:pPr>
        <w:pStyle w:val="EMEANormal"/>
        <w:keepNext/>
        <w:rPr>
          <w:lang w:val="en-GB"/>
        </w:rPr>
      </w:pPr>
      <w:r>
        <w:rPr>
          <w:lang w:val="en-GB"/>
        </w:rPr>
        <w:t xml:space="preserve">If you get any side effects, talk to your doctor or pharmacist.  This includes any possible side effects not listed in this leaflet.  You can also report side effects directly via </w:t>
      </w:r>
      <w:r w:rsidRPr="00E4158F">
        <w:rPr>
          <w:highlight w:val="lightGray"/>
          <w:lang w:val="en-GB"/>
        </w:rPr>
        <w:t xml:space="preserve">the national reporting system listed in </w:t>
      </w:r>
      <w:hyperlink r:id="rId26" w:history="1">
        <w:r w:rsidRPr="00AC0B47">
          <w:rPr>
            <w:rStyle w:val="Hyperlink"/>
            <w:highlight w:val="lightGray"/>
            <w:lang w:val="en-GB"/>
          </w:rPr>
          <w:t>Appendix V</w:t>
        </w:r>
      </w:hyperlink>
      <w:r>
        <w:rPr>
          <w:lang w:val="en-GB"/>
        </w:rPr>
        <w:t>.  By reporting side effects you can help provide more information on the safety of this medicine.</w:t>
      </w:r>
    </w:p>
    <w:p w14:paraId="0C0A9F92" w14:textId="77777777" w:rsidR="00A02565" w:rsidRDefault="00A02565">
      <w:pPr>
        <w:pStyle w:val="EMEANormal"/>
        <w:rPr>
          <w:lang w:val="en-GB"/>
        </w:rPr>
      </w:pPr>
    </w:p>
    <w:p w14:paraId="0E9865FB" w14:textId="77777777" w:rsidR="00A02565" w:rsidRPr="00E4158F" w:rsidRDefault="00A02565">
      <w:pPr>
        <w:pStyle w:val="EMEANormal"/>
        <w:rPr>
          <w:lang w:val="en-GB"/>
        </w:rPr>
      </w:pPr>
    </w:p>
    <w:p w14:paraId="078CFBAB" w14:textId="77777777" w:rsidR="00277ECB" w:rsidRPr="00282043" w:rsidRDefault="00277ECB" w:rsidP="00A02565">
      <w:pPr>
        <w:rPr>
          <w:b/>
          <w:sz w:val="22"/>
          <w:szCs w:val="22"/>
        </w:rPr>
      </w:pPr>
      <w:r w:rsidRPr="00282043">
        <w:rPr>
          <w:b/>
          <w:sz w:val="22"/>
          <w:szCs w:val="22"/>
        </w:rPr>
        <w:t>5.</w:t>
      </w:r>
      <w:r w:rsidRPr="00282043">
        <w:rPr>
          <w:b/>
          <w:sz w:val="22"/>
          <w:szCs w:val="22"/>
        </w:rPr>
        <w:tab/>
        <w:t>H</w:t>
      </w:r>
      <w:r w:rsidR="00A02565" w:rsidRPr="00282043">
        <w:rPr>
          <w:b/>
          <w:sz w:val="22"/>
          <w:szCs w:val="22"/>
        </w:rPr>
        <w:t>ow to store Kaletra</w:t>
      </w:r>
    </w:p>
    <w:p w14:paraId="469F8C6A" w14:textId="77777777" w:rsidR="00A02565" w:rsidRPr="00A02565" w:rsidRDefault="00A02565" w:rsidP="00A02565">
      <w:pPr>
        <w:rPr>
          <w:b/>
        </w:rPr>
      </w:pPr>
    </w:p>
    <w:p w14:paraId="71DA884F" w14:textId="77777777" w:rsidR="00277ECB" w:rsidRPr="00342F7C" w:rsidRDefault="00277ECB" w:rsidP="008C1BBF">
      <w:pPr>
        <w:pStyle w:val="EMEABullet"/>
        <w:tabs>
          <w:tab w:val="clear" w:pos="709"/>
          <w:tab w:val="num" w:pos="567"/>
        </w:tabs>
        <w:ind w:left="567"/>
        <w:rPr>
          <w:lang w:val="en-GB"/>
        </w:rPr>
      </w:pPr>
      <w:r w:rsidRPr="00342F7C">
        <w:rPr>
          <w:lang w:val="en-GB"/>
        </w:rPr>
        <w:t xml:space="preserve">Keep </w:t>
      </w:r>
      <w:r w:rsidR="00E4158F">
        <w:rPr>
          <w:lang w:val="en-GB"/>
        </w:rPr>
        <w:t xml:space="preserve">this medicine </w:t>
      </w:r>
      <w:r w:rsidRPr="00342F7C">
        <w:rPr>
          <w:lang w:val="en-GB"/>
        </w:rPr>
        <w:t xml:space="preserve">out of the sight </w:t>
      </w:r>
      <w:r w:rsidR="009D5D2E">
        <w:rPr>
          <w:lang w:val="en-GB"/>
        </w:rPr>
        <w:t xml:space="preserve">and reach </w:t>
      </w:r>
      <w:r w:rsidRPr="00342F7C">
        <w:rPr>
          <w:lang w:val="en-GB"/>
        </w:rPr>
        <w:t>of children.</w:t>
      </w:r>
    </w:p>
    <w:p w14:paraId="67AC3BAD" w14:textId="77777777" w:rsidR="00277ECB" w:rsidRDefault="00277ECB" w:rsidP="0067468C">
      <w:pPr>
        <w:pStyle w:val="EMEABullet"/>
        <w:tabs>
          <w:tab w:val="clear" w:pos="709"/>
          <w:tab w:val="num" w:pos="567"/>
        </w:tabs>
        <w:ind w:left="567"/>
        <w:rPr>
          <w:lang w:val="en-GB"/>
        </w:rPr>
      </w:pPr>
      <w:r w:rsidRPr="0067468C">
        <w:rPr>
          <w:lang w:val="en-GB"/>
        </w:rPr>
        <w:t>Do not use Kaletra after the expiry date which is stated on the bottle.</w:t>
      </w:r>
    </w:p>
    <w:p w14:paraId="557A5B26" w14:textId="77777777" w:rsidR="009577FF" w:rsidRDefault="009577FF" w:rsidP="00DA5CBF">
      <w:pPr>
        <w:pStyle w:val="EMEABullet"/>
        <w:tabs>
          <w:tab w:val="clear" w:pos="709"/>
          <w:tab w:val="num" w:pos="567"/>
        </w:tabs>
        <w:ind w:left="567"/>
        <w:rPr>
          <w:lang w:val="en-GB"/>
        </w:rPr>
      </w:pPr>
      <w:r>
        <w:rPr>
          <w:lang w:val="en-GB"/>
        </w:rPr>
        <w:t xml:space="preserve">Do not use this medicine if you notice </w:t>
      </w:r>
      <w:r w:rsidR="00185668">
        <w:rPr>
          <w:lang w:val="en-GB"/>
        </w:rPr>
        <w:t>the solution is discoloured or contains particles</w:t>
      </w:r>
      <w:r>
        <w:rPr>
          <w:lang w:val="en-GB"/>
        </w:rPr>
        <w:t>.</w:t>
      </w:r>
    </w:p>
    <w:p w14:paraId="5207B1F2" w14:textId="77777777" w:rsidR="009577FF" w:rsidRPr="0067468C" w:rsidRDefault="009577FF" w:rsidP="0067468C">
      <w:pPr>
        <w:pStyle w:val="EMEABullet"/>
        <w:numPr>
          <w:ilvl w:val="0"/>
          <w:numId w:val="0"/>
        </w:numPr>
        <w:rPr>
          <w:lang w:val="en-GB"/>
        </w:rPr>
      </w:pPr>
    </w:p>
    <w:p w14:paraId="0C427565" w14:textId="77777777" w:rsidR="00277ECB" w:rsidRDefault="00277ECB" w:rsidP="005C68A8">
      <w:pPr>
        <w:pStyle w:val="EMEAHeadingLeaflet"/>
        <w:spacing w:beforeLines="0" w:before="0" w:afterLines="0" w:after="0"/>
        <w:rPr>
          <w:rFonts w:ascii="Times New Roman" w:hAnsi="Times New Roman"/>
          <w:lang w:val="en-GB"/>
        </w:rPr>
      </w:pPr>
      <w:r w:rsidRPr="00342F7C">
        <w:rPr>
          <w:rFonts w:ascii="Times New Roman" w:hAnsi="Times New Roman"/>
          <w:lang w:val="en-GB"/>
        </w:rPr>
        <w:t>How should I store Kaletra and for how long?</w:t>
      </w:r>
    </w:p>
    <w:p w14:paraId="6C9E6D6B" w14:textId="77777777" w:rsidR="005C68A8" w:rsidRPr="005C68A8" w:rsidRDefault="005C68A8" w:rsidP="005C68A8">
      <w:pPr>
        <w:pStyle w:val="EMEANormal"/>
        <w:rPr>
          <w:lang w:val="en-GB"/>
        </w:rPr>
      </w:pPr>
    </w:p>
    <w:p w14:paraId="14D897E3" w14:textId="77777777" w:rsidR="00277ECB" w:rsidRPr="00342F7C" w:rsidRDefault="00277ECB" w:rsidP="008C1BBF">
      <w:pPr>
        <w:pStyle w:val="EMEABullet"/>
        <w:tabs>
          <w:tab w:val="clear" w:pos="709"/>
          <w:tab w:val="num" w:pos="567"/>
        </w:tabs>
        <w:ind w:left="567"/>
        <w:rPr>
          <w:snapToGrid w:val="0"/>
          <w:lang w:val="en-GB"/>
        </w:rPr>
      </w:pPr>
      <w:r w:rsidRPr="00342F7C">
        <w:rPr>
          <w:lang w:val="en-GB"/>
        </w:rPr>
        <w:t>Store in a refrigerator (2°C - 8°C).</w:t>
      </w:r>
    </w:p>
    <w:p w14:paraId="5447963D" w14:textId="77777777" w:rsidR="00277ECB" w:rsidRPr="00342F7C" w:rsidRDefault="00277ECB" w:rsidP="008C1BBF">
      <w:pPr>
        <w:pStyle w:val="EMEABullet"/>
        <w:tabs>
          <w:tab w:val="clear" w:pos="709"/>
          <w:tab w:val="num" w:pos="567"/>
        </w:tabs>
        <w:ind w:left="567"/>
        <w:rPr>
          <w:lang w:val="en-GB"/>
        </w:rPr>
      </w:pPr>
      <w:r w:rsidRPr="00342F7C">
        <w:rPr>
          <w:lang w:val="en-GB"/>
        </w:rPr>
        <w:t>In use storage:  If kept outside of the refrigerator, do not store above 25</w:t>
      </w:r>
      <w:r w:rsidRPr="00342F7C">
        <w:rPr>
          <w:lang w:val="en-GB"/>
        </w:rPr>
        <w:sym w:font="Symbol" w:char="F0B0"/>
      </w:r>
      <w:r w:rsidRPr="00342F7C">
        <w:rPr>
          <w:lang w:val="en-GB"/>
        </w:rPr>
        <w:t>C and discard any unused contents after 42 days (6 weeks).  It is advised to write the date of removal from the refrigerator on the package.</w:t>
      </w:r>
    </w:p>
    <w:p w14:paraId="595B7388" w14:textId="77777777" w:rsidR="00277ECB" w:rsidRPr="00342F7C" w:rsidRDefault="00277ECB" w:rsidP="008C1BBF">
      <w:pPr>
        <w:pStyle w:val="EMEABullet"/>
        <w:tabs>
          <w:tab w:val="clear" w:pos="709"/>
          <w:tab w:val="num" w:pos="567"/>
        </w:tabs>
        <w:ind w:left="567"/>
        <w:rPr>
          <w:lang w:val="en-GB"/>
        </w:rPr>
      </w:pPr>
      <w:r w:rsidRPr="00342F7C">
        <w:rPr>
          <w:lang w:val="en-GB"/>
        </w:rPr>
        <w:t>It is important to keep Kaletra in the bottle it came in</w:t>
      </w:r>
      <w:r w:rsidR="00E069E0">
        <w:rPr>
          <w:lang w:val="en-GB"/>
        </w:rPr>
        <w:t xml:space="preserve"> and replace the bottle cap after each dose</w:t>
      </w:r>
      <w:r w:rsidRPr="00342F7C">
        <w:rPr>
          <w:lang w:val="en-GB"/>
        </w:rPr>
        <w:t xml:space="preserve">.  Do not transfer it to any other container. </w:t>
      </w:r>
    </w:p>
    <w:p w14:paraId="246C0C4A" w14:textId="77777777" w:rsidR="00277ECB" w:rsidRPr="00342F7C" w:rsidRDefault="00277ECB">
      <w:pPr>
        <w:pStyle w:val="EMEANormal"/>
        <w:rPr>
          <w:lang w:val="en-GB"/>
        </w:rPr>
      </w:pPr>
    </w:p>
    <w:p w14:paraId="60202B3A" w14:textId="77777777" w:rsidR="00277ECB" w:rsidRPr="00342F7C" w:rsidRDefault="00277ECB">
      <w:pPr>
        <w:pStyle w:val="EMEANormal"/>
        <w:rPr>
          <w:b/>
          <w:bCs/>
          <w:lang w:val="en-GB"/>
        </w:rPr>
      </w:pPr>
      <w:r w:rsidRPr="00342F7C">
        <w:rPr>
          <w:b/>
          <w:bCs/>
          <w:lang w:val="en-GB"/>
        </w:rPr>
        <w:t>How should I dispose of any unused Kaletra?</w:t>
      </w:r>
    </w:p>
    <w:p w14:paraId="4D2740B0" w14:textId="77777777" w:rsidR="00277ECB" w:rsidRPr="00342F7C" w:rsidRDefault="00277ECB">
      <w:pPr>
        <w:pStyle w:val="EMEANormal"/>
        <w:rPr>
          <w:b/>
          <w:bCs/>
          <w:lang w:val="en-GB"/>
        </w:rPr>
      </w:pPr>
    </w:p>
    <w:p w14:paraId="75E97A00" w14:textId="77777777" w:rsidR="00277ECB" w:rsidRDefault="00391462" w:rsidP="00391462">
      <w:pPr>
        <w:pStyle w:val="EMEABullet"/>
        <w:numPr>
          <w:ilvl w:val="0"/>
          <w:numId w:val="0"/>
        </w:numPr>
        <w:rPr>
          <w:lang w:val="en-GB"/>
        </w:rPr>
      </w:pPr>
      <w:r>
        <w:rPr>
          <w:lang w:val="en-GB"/>
        </w:rPr>
        <w:t>Do not throw away any medicines</w:t>
      </w:r>
      <w:r w:rsidR="00277ECB" w:rsidRPr="00342F7C">
        <w:rPr>
          <w:lang w:val="en-GB"/>
        </w:rPr>
        <w:t xml:space="preserve"> via wastewater.</w:t>
      </w:r>
      <w:r>
        <w:rPr>
          <w:lang w:val="en-GB"/>
        </w:rPr>
        <w:t xml:space="preserve">  </w:t>
      </w:r>
      <w:r w:rsidR="00277ECB" w:rsidRPr="00342F7C">
        <w:rPr>
          <w:lang w:val="en-GB"/>
        </w:rPr>
        <w:t xml:space="preserve">Ask your pharmacist how to </w:t>
      </w:r>
      <w:r>
        <w:rPr>
          <w:lang w:val="en-GB"/>
        </w:rPr>
        <w:t>throw away</w:t>
      </w:r>
      <w:r w:rsidRPr="00342F7C">
        <w:rPr>
          <w:lang w:val="en-GB"/>
        </w:rPr>
        <w:t xml:space="preserve"> </w:t>
      </w:r>
      <w:r w:rsidR="00277ECB" w:rsidRPr="00342F7C">
        <w:rPr>
          <w:lang w:val="en-GB"/>
        </w:rPr>
        <w:t xml:space="preserve">medicines </w:t>
      </w:r>
      <w:r>
        <w:rPr>
          <w:lang w:val="en-GB"/>
        </w:rPr>
        <w:t>you no longer use</w:t>
      </w:r>
      <w:r w:rsidR="00277ECB" w:rsidRPr="00342F7C">
        <w:rPr>
          <w:lang w:val="en-GB"/>
        </w:rPr>
        <w:t>.</w:t>
      </w:r>
      <w:r>
        <w:rPr>
          <w:lang w:val="en-GB"/>
        </w:rPr>
        <w:t xml:space="preserve">  </w:t>
      </w:r>
      <w:r w:rsidR="00277ECB" w:rsidRPr="00342F7C">
        <w:rPr>
          <w:lang w:val="en-GB"/>
        </w:rPr>
        <w:t>These measures will help protect the environment.</w:t>
      </w:r>
    </w:p>
    <w:p w14:paraId="18FA3894" w14:textId="77777777" w:rsidR="00A02565" w:rsidRDefault="00A02565">
      <w:pPr>
        <w:pStyle w:val="EMEANormal"/>
        <w:rPr>
          <w:lang w:val="en-GB"/>
        </w:rPr>
      </w:pPr>
    </w:p>
    <w:p w14:paraId="525952DE" w14:textId="77777777" w:rsidR="00A02565" w:rsidRPr="00342F7C" w:rsidRDefault="00A02565">
      <w:pPr>
        <w:pStyle w:val="EMEANormal"/>
        <w:rPr>
          <w:lang w:val="en-GB"/>
        </w:rPr>
      </w:pPr>
    </w:p>
    <w:p w14:paraId="47CCE4F7" w14:textId="77777777" w:rsidR="00277ECB" w:rsidRPr="00282043" w:rsidRDefault="00277ECB" w:rsidP="00DA5CBF">
      <w:pPr>
        <w:keepNext/>
        <w:rPr>
          <w:b/>
          <w:sz w:val="22"/>
          <w:szCs w:val="22"/>
        </w:rPr>
      </w:pPr>
      <w:r w:rsidRPr="00282043">
        <w:rPr>
          <w:b/>
          <w:sz w:val="22"/>
          <w:szCs w:val="22"/>
        </w:rPr>
        <w:t>6.</w:t>
      </w:r>
      <w:r w:rsidRPr="00282043">
        <w:rPr>
          <w:b/>
          <w:sz w:val="22"/>
          <w:szCs w:val="22"/>
        </w:rPr>
        <w:tab/>
      </w:r>
      <w:r w:rsidR="00E4158F" w:rsidRPr="00282043">
        <w:rPr>
          <w:b/>
          <w:sz w:val="22"/>
          <w:szCs w:val="22"/>
        </w:rPr>
        <w:t>C</w:t>
      </w:r>
      <w:r w:rsidR="00A02565" w:rsidRPr="00282043">
        <w:rPr>
          <w:b/>
          <w:sz w:val="22"/>
          <w:szCs w:val="22"/>
        </w:rPr>
        <w:t>ontents of the pack and other information</w:t>
      </w:r>
    </w:p>
    <w:p w14:paraId="1A78BB2A" w14:textId="77777777" w:rsidR="005C68A8" w:rsidRDefault="005C68A8" w:rsidP="00DA5CBF">
      <w:pPr>
        <w:pStyle w:val="EMEAHeading2SPC"/>
        <w:keepNext/>
        <w:spacing w:beforeLines="0" w:before="0" w:afterLines="0" w:after="0"/>
        <w:rPr>
          <w:rFonts w:ascii="Times New Roman" w:hAnsi="Times New Roman"/>
          <w:lang w:val="en-GB"/>
        </w:rPr>
      </w:pPr>
    </w:p>
    <w:p w14:paraId="24B0EF29" w14:textId="77777777" w:rsidR="00277ECB" w:rsidRPr="00342F7C" w:rsidRDefault="00277ECB" w:rsidP="00DA5CBF">
      <w:pPr>
        <w:pStyle w:val="EMEAHeading2SPC"/>
        <w:keepNext/>
        <w:spacing w:beforeLines="0" w:before="0" w:afterLines="0" w:after="0"/>
        <w:rPr>
          <w:rFonts w:ascii="Times New Roman" w:hAnsi="Times New Roman"/>
          <w:lang w:val="en-GB"/>
        </w:rPr>
      </w:pPr>
      <w:r w:rsidRPr="00342F7C">
        <w:rPr>
          <w:rFonts w:ascii="Times New Roman" w:hAnsi="Times New Roman"/>
          <w:lang w:val="en-GB"/>
        </w:rPr>
        <w:t>What Kaletra contains</w:t>
      </w:r>
    </w:p>
    <w:p w14:paraId="32D3B483" w14:textId="77777777" w:rsidR="005C68A8" w:rsidRDefault="005C68A8" w:rsidP="00DA5CBF">
      <w:pPr>
        <w:pStyle w:val="EMEANormal"/>
        <w:keepNext/>
        <w:rPr>
          <w:lang w:val="en-GB"/>
        </w:rPr>
      </w:pPr>
    </w:p>
    <w:p w14:paraId="7EC0DD67" w14:textId="77777777" w:rsidR="00277ECB" w:rsidRPr="00342F7C" w:rsidRDefault="00277ECB" w:rsidP="00DA5CBF">
      <w:pPr>
        <w:pStyle w:val="EMEANormal"/>
        <w:keepNext/>
        <w:rPr>
          <w:lang w:val="en-GB"/>
        </w:rPr>
      </w:pPr>
      <w:r w:rsidRPr="00342F7C">
        <w:rPr>
          <w:lang w:val="en-GB"/>
        </w:rPr>
        <w:t>The active substances are lopinavir and ritonavir.</w:t>
      </w:r>
    </w:p>
    <w:p w14:paraId="47FAB420" w14:textId="77777777" w:rsidR="00277ECB" w:rsidRPr="00342F7C" w:rsidRDefault="00277ECB" w:rsidP="00DA5CBF">
      <w:pPr>
        <w:pStyle w:val="EMEANormal"/>
        <w:keepNext/>
        <w:tabs>
          <w:tab w:val="clear" w:pos="562"/>
        </w:tabs>
        <w:rPr>
          <w:lang w:val="en-GB"/>
        </w:rPr>
      </w:pPr>
      <w:r w:rsidRPr="00342F7C">
        <w:rPr>
          <w:lang w:val="en-GB"/>
        </w:rPr>
        <w:t xml:space="preserve">Each ml of Kaletra </w:t>
      </w:r>
      <w:r w:rsidR="00754FAA">
        <w:rPr>
          <w:lang w:val="en-GB"/>
        </w:rPr>
        <w:t xml:space="preserve">oral solution </w:t>
      </w:r>
      <w:r w:rsidRPr="00342F7C">
        <w:rPr>
          <w:lang w:val="en-GB"/>
        </w:rPr>
        <w:t>contains 80 mg of lopinavir and 20 mg of ritonavir.</w:t>
      </w:r>
    </w:p>
    <w:p w14:paraId="77DD0544" w14:textId="77777777" w:rsidR="00277ECB" w:rsidRPr="00342F7C" w:rsidRDefault="00277ECB">
      <w:pPr>
        <w:pStyle w:val="EMEANormal"/>
        <w:rPr>
          <w:lang w:val="en-GB"/>
        </w:rPr>
      </w:pPr>
    </w:p>
    <w:p w14:paraId="751FF324" w14:textId="77777777" w:rsidR="00277ECB" w:rsidRPr="00342F7C" w:rsidRDefault="00277ECB">
      <w:pPr>
        <w:pStyle w:val="EMEANormal"/>
        <w:tabs>
          <w:tab w:val="clear" w:pos="562"/>
        </w:tabs>
        <w:rPr>
          <w:lang w:val="en-GB"/>
        </w:rPr>
      </w:pPr>
      <w:r w:rsidRPr="00342F7C">
        <w:rPr>
          <w:lang w:val="en-GB"/>
        </w:rPr>
        <w:t xml:space="preserve">The other ingredients are: </w:t>
      </w:r>
    </w:p>
    <w:p w14:paraId="65BFAC94" w14:textId="77777777" w:rsidR="00277ECB" w:rsidRPr="00342F7C" w:rsidRDefault="00277ECB">
      <w:pPr>
        <w:pStyle w:val="EMEANormal"/>
        <w:tabs>
          <w:tab w:val="clear" w:pos="562"/>
        </w:tabs>
        <w:rPr>
          <w:lang w:val="en-GB"/>
        </w:rPr>
      </w:pPr>
    </w:p>
    <w:p w14:paraId="054C9764" w14:textId="77777777" w:rsidR="00277ECB" w:rsidRDefault="00277ECB">
      <w:pPr>
        <w:pStyle w:val="EMEANormal"/>
        <w:tabs>
          <w:tab w:val="clear" w:pos="562"/>
        </w:tabs>
        <w:rPr>
          <w:lang w:val="en-GB"/>
        </w:rPr>
      </w:pPr>
      <w:r w:rsidRPr="00342F7C">
        <w:rPr>
          <w:lang w:val="en-GB"/>
        </w:rPr>
        <w:t>Alcohol, high fructose corn syrup, propylene glycol, purified water, glycerol, povidone, magnasweet-110 flavour (mixture of monoammonium glycyrrhizinate and glycerol), vanilla flavour (containing p</w:t>
      </w:r>
      <w:r w:rsidR="005C512B" w:rsidRPr="00342F7C">
        <w:rPr>
          <w:lang w:val="en-GB"/>
        </w:rPr>
        <w:noBreakHyphen/>
      </w:r>
      <w:r w:rsidRPr="00342F7C">
        <w:rPr>
          <w:lang w:val="en-GB"/>
        </w:rPr>
        <w:t>hydroxybenzoic acid, p-hydroxybenzaldehyde, vanillic acid, vanillin, heliotrop</w:t>
      </w:r>
      <w:r w:rsidR="0013745A">
        <w:rPr>
          <w:lang w:val="en-GB"/>
        </w:rPr>
        <w:t>in</w:t>
      </w:r>
      <w:r w:rsidRPr="00342F7C">
        <w:rPr>
          <w:lang w:val="en-GB"/>
        </w:rPr>
        <w:t xml:space="preserve">, ethyl vanillin), polyoxyl 40 hydrogenated castor oil, cotton candy flavour (containing ethyl maltol, ethyl vanillin, acetoin, dihydrocoumarin, propylene glycol), acesulfame potassium, saccharin sodium, sodium chloride, peppermint oil, sodium citrate, citric acid, </w:t>
      </w:r>
      <w:r w:rsidR="0013745A">
        <w:rPr>
          <w:lang w:val="en-GB"/>
        </w:rPr>
        <w:t>levo</w:t>
      </w:r>
      <w:r w:rsidRPr="00342F7C">
        <w:rPr>
          <w:lang w:val="en-GB"/>
        </w:rPr>
        <w:t>menthol.</w:t>
      </w:r>
    </w:p>
    <w:p w14:paraId="665880D6" w14:textId="77777777" w:rsidR="005C68A8" w:rsidRPr="00342F7C" w:rsidRDefault="005C68A8">
      <w:pPr>
        <w:pStyle w:val="EMEANormal"/>
        <w:tabs>
          <w:tab w:val="clear" w:pos="562"/>
        </w:tabs>
        <w:rPr>
          <w:lang w:val="en-GB"/>
        </w:rPr>
      </w:pPr>
    </w:p>
    <w:p w14:paraId="6C5383B5" w14:textId="77777777" w:rsidR="00277ECB" w:rsidRDefault="00277ECB" w:rsidP="005C68A8">
      <w:pPr>
        <w:pStyle w:val="EMEAHeading2SPC"/>
        <w:spacing w:beforeLines="0" w:before="0" w:afterLines="0" w:after="0"/>
        <w:rPr>
          <w:rFonts w:ascii="Times New Roman" w:hAnsi="Times New Roman"/>
          <w:lang w:val="en-GB"/>
        </w:rPr>
      </w:pPr>
      <w:r w:rsidRPr="00342F7C">
        <w:rPr>
          <w:rFonts w:ascii="Times New Roman" w:hAnsi="Times New Roman"/>
          <w:lang w:val="en-GB"/>
        </w:rPr>
        <w:t>What Kaletra look</w:t>
      </w:r>
      <w:r w:rsidR="00E069E0">
        <w:rPr>
          <w:rFonts w:ascii="Times New Roman" w:hAnsi="Times New Roman"/>
          <w:lang w:val="en-GB"/>
        </w:rPr>
        <w:t>s</w:t>
      </w:r>
      <w:r w:rsidRPr="00342F7C">
        <w:rPr>
          <w:rFonts w:ascii="Times New Roman" w:hAnsi="Times New Roman"/>
          <w:lang w:val="en-GB"/>
        </w:rPr>
        <w:t xml:space="preserve"> like and contents of the pack</w:t>
      </w:r>
    </w:p>
    <w:p w14:paraId="5AF09B28" w14:textId="77777777" w:rsidR="005C68A8" w:rsidRPr="005C68A8" w:rsidRDefault="005C68A8" w:rsidP="005C68A8">
      <w:pPr>
        <w:pStyle w:val="EMEANormal"/>
        <w:rPr>
          <w:lang w:val="en-GB"/>
        </w:rPr>
      </w:pPr>
    </w:p>
    <w:p w14:paraId="5B7D36A7" w14:textId="77777777" w:rsidR="005B22B4" w:rsidRPr="00342F7C" w:rsidRDefault="00277ECB" w:rsidP="005B22B4">
      <w:pPr>
        <w:pStyle w:val="EMEABullet"/>
        <w:numPr>
          <w:ilvl w:val="0"/>
          <w:numId w:val="0"/>
        </w:numPr>
        <w:rPr>
          <w:lang w:val="en-GB"/>
        </w:rPr>
      </w:pPr>
      <w:r w:rsidRPr="00342F7C">
        <w:rPr>
          <w:lang w:val="en-GB"/>
        </w:rPr>
        <w:t xml:space="preserve">Kaletra oral solution comes in a multiple-dose 60 ml amber bottle.  </w:t>
      </w:r>
      <w:r w:rsidR="005B22B4" w:rsidRPr="00342F7C">
        <w:rPr>
          <w:lang w:val="en-GB"/>
        </w:rPr>
        <w:t>Each ml of Kaletra contains 80 mg of lopinavir and 20 mg of ritonavir.</w:t>
      </w:r>
    </w:p>
    <w:p w14:paraId="6DA69ECC" w14:textId="77777777" w:rsidR="00277ECB" w:rsidRPr="00342F7C" w:rsidRDefault="00277ECB" w:rsidP="005B22B4">
      <w:pPr>
        <w:pStyle w:val="EMEABullet"/>
        <w:numPr>
          <w:ilvl w:val="0"/>
          <w:numId w:val="0"/>
        </w:numPr>
        <w:rPr>
          <w:lang w:val="en-GB"/>
        </w:rPr>
      </w:pPr>
    </w:p>
    <w:p w14:paraId="2C26FB29" w14:textId="77777777" w:rsidR="009E1C61" w:rsidRDefault="00E069E0" w:rsidP="00E069E0">
      <w:pPr>
        <w:pStyle w:val="EMEABullet"/>
        <w:numPr>
          <w:ilvl w:val="0"/>
          <w:numId w:val="0"/>
        </w:numPr>
        <w:rPr>
          <w:lang w:val="en-GB"/>
        </w:rPr>
      </w:pPr>
      <w:r>
        <w:rPr>
          <w:lang w:val="en-GB"/>
        </w:rPr>
        <w:t>Two pack sizes are available:</w:t>
      </w:r>
    </w:p>
    <w:p w14:paraId="6E7E21E4" w14:textId="77777777" w:rsidR="00E069E0" w:rsidRPr="00F11D9D" w:rsidRDefault="00E069E0" w:rsidP="0052761E">
      <w:pPr>
        <w:pStyle w:val="EMEANormal"/>
        <w:numPr>
          <w:ilvl w:val="0"/>
          <w:numId w:val="47"/>
        </w:numPr>
        <w:ind w:left="567" w:hanging="567"/>
        <w:rPr>
          <w:lang w:val="en-GB"/>
        </w:rPr>
      </w:pPr>
      <w:r w:rsidRPr="00F11D9D">
        <w:rPr>
          <w:lang w:val="en-GB"/>
        </w:rPr>
        <w:t xml:space="preserve">120 ml (2 bottles </w:t>
      </w:r>
      <w:r w:rsidR="00552C8A">
        <w:rPr>
          <w:lang w:val="en-GB"/>
        </w:rPr>
        <w:t>x</w:t>
      </w:r>
      <w:r w:rsidRPr="00F11D9D">
        <w:rPr>
          <w:lang w:val="en-GB"/>
        </w:rPr>
        <w:t xml:space="preserve"> 60 ml).  The 2 bottle pack also contains two 2 ml syringes with 0.1 ml graduations. </w:t>
      </w:r>
      <w:r w:rsidR="00186717" w:rsidRPr="00F11D9D">
        <w:rPr>
          <w:lang w:val="en-GB"/>
        </w:rPr>
        <w:br/>
      </w:r>
      <w:r w:rsidR="00186717" w:rsidRPr="00F11D9D">
        <w:rPr>
          <w:u w:val="single"/>
          <w:lang w:val="en-GB"/>
        </w:rPr>
        <w:t>For volumes up to 2 ml.  For larger volumes an alternative pack is available.</w:t>
      </w:r>
    </w:p>
    <w:p w14:paraId="77E72B66" w14:textId="77777777" w:rsidR="00E069E0" w:rsidRPr="00F11D9D" w:rsidRDefault="00E069E0" w:rsidP="0052761E">
      <w:pPr>
        <w:pStyle w:val="EMEANormal"/>
        <w:numPr>
          <w:ilvl w:val="0"/>
          <w:numId w:val="47"/>
        </w:numPr>
        <w:ind w:left="567" w:hanging="567"/>
        <w:rPr>
          <w:lang w:val="en-GB"/>
        </w:rPr>
      </w:pPr>
      <w:r w:rsidRPr="00F11D9D">
        <w:rPr>
          <w:lang w:val="en-GB"/>
        </w:rPr>
        <w:t xml:space="preserve">300 ml (5 bottles </w:t>
      </w:r>
      <w:r w:rsidR="00552C8A">
        <w:rPr>
          <w:lang w:val="en-GB"/>
        </w:rPr>
        <w:t>x</w:t>
      </w:r>
      <w:r w:rsidRPr="00F11D9D">
        <w:rPr>
          <w:lang w:val="en-GB"/>
        </w:rPr>
        <w:t xml:space="preserve"> 60 ml).  The 5 bottle pack also contains five 5 ml syringes with 0.1 ml graduations.  </w:t>
      </w:r>
      <w:r w:rsidR="00186717" w:rsidRPr="00F11D9D">
        <w:rPr>
          <w:lang w:val="en-GB"/>
        </w:rPr>
        <w:br/>
      </w:r>
      <w:r w:rsidR="00186717" w:rsidRPr="00F11D9D">
        <w:rPr>
          <w:u w:val="single"/>
          <w:lang w:val="en-GB"/>
        </w:rPr>
        <w:t>For volumes greater than 2 ml.  For smaller volumes an alternative pack is available.</w:t>
      </w:r>
    </w:p>
    <w:p w14:paraId="7A78E6C1" w14:textId="77777777" w:rsidR="002042EE" w:rsidRDefault="002042EE" w:rsidP="005B22B4">
      <w:pPr>
        <w:pStyle w:val="EMEABullet"/>
        <w:numPr>
          <w:ilvl w:val="0"/>
          <w:numId w:val="0"/>
        </w:numPr>
        <w:rPr>
          <w:lang w:val="en-GB"/>
        </w:rPr>
      </w:pPr>
    </w:p>
    <w:p w14:paraId="0B398050" w14:textId="77777777" w:rsidR="00FE6D86" w:rsidRDefault="002042EE" w:rsidP="005C68A8">
      <w:pPr>
        <w:pStyle w:val="EMEAHeading2SPC"/>
        <w:tabs>
          <w:tab w:val="left" w:pos="4560"/>
        </w:tabs>
        <w:spacing w:beforeLines="0" w:before="0" w:afterLines="0" w:after="0"/>
        <w:rPr>
          <w:b w:val="0"/>
          <w:lang w:val="en-GB"/>
        </w:rPr>
      </w:pPr>
      <w:r w:rsidRPr="00342F7C">
        <w:rPr>
          <w:lang w:val="en-GB"/>
        </w:rPr>
        <w:t>Marketing Authorisation Holder</w:t>
      </w:r>
      <w:r w:rsidRPr="00342F7C">
        <w:rPr>
          <w:b w:val="0"/>
          <w:lang w:val="en-GB"/>
        </w:rPr>
        <w:t xml:space="preserve">: </w:t>
      </w:r>
      <w:r w:rsidR="00F423D9">
        <w:rPr>
          <w:b w:val="0"/>
          <w:lang w:val="en-GB"/>
        </w:rPr>
        <w:t xml:space="preserve"> </w:t>
      </w:r>
    </w:p>
    <w:p w14:paraId="37FC3CD4" w14:textId="77777777" w:rsidR="002042EE" w:rsidRPr="00A118F7" w:rsidRDefault="00A118F7" w:rsidP="00A118F7">
      <w:pPr>
        <w:keepNext/>
        <w:autoSpaceDE w:val="0"/>
        <w:autoSpaceDN w:val="0"/>
        <w:adjustRightInd w:val="0"/>
        <w:spacing w:line="240" w:lineRule="atLeast"/>
        <w:rPr>
          <w:sz w:val="22"/>
          <w:szCs w:val="22"/>
        </w:rPr>
      </w:pPr>
      <w:r w:rsidRPr="00A118F7">
        <w:rPr>
          <w:sz w:val="22"/>
          <w:szCs w:val="22"/>
          <w:lang w:eastAsia="en-GB"/>
        </w:rPr>
        <w:t>AbbVie Deutschland GmbH &amp; Co. KG, Knollstrasse, 67061 Ludwigshafen, Germany</w:t>
      </w:r>
    </w:p>
    <w:p w14:paraId="62B65A98" w14:textId="77777777" w:rsidR="002042EE" w:rsidRPr="00A118F7" w:rsidRDefault="002042EE" w:rsidP="002042EE">
      <w:pPr>
        <w:pStyle w:val="EMEANormal"/>
        <w:rPr>
          <w:szCs w:val="22"/>
          <w:lang w:val="en-GB"/>
        </w:rPr>
      </w:pPr>
    </w:p>
    <w:p w14:paraId="08BE614C" w14:textId="77777777" w:rsidR="002042EE" w:rsidRPr="00342F7C" w:rsidRDefault="002042EE" w:rsidP="002042EE">
      <w:pPr>
        <w:pStyle w:val="EMEANormal"/>
        <w:tabs>
          <w:tab w:val="left" w:pos="1560"/>
          <w:tab w:val="left" w:pos="4560"/>
        </w:tabs>
        <w:rPr>
          <w:lang w:val="en-GB"/>
        </w:rPr>
      </w:pPr>
      <w:r w:rsidRPr="00342F7C">
        <w:rPr>
          <w:b/>
          <w:lang w:val="en-GB"/>
        </w:rPr>
        <w:t>Manufacturer</w:t>
      </w:r>
      <w:r w:rsidRPr="00342F7C">
        <w:rPr>
          <w:lang w:val="en-GB"/>
        </w:rPr>
        <w:t xml:space="preserve">: </w:t>
      </w:r>
      <w:r w:rsidRPr="00342F7C">
        <w:rPr>
          <w:lang w:val="en-GB"/>
        </w:rPr>
        <w:tab/>
      </w:r>
    </w:p>
    <w:p w14:paraId="4EC9196B" w14:textId="10A2F6D3" w:rsidR="001C2D2D" w:rsidRDefault="001C2D2D" w:rsidP="002042EE">
      <w:pPr>
        <w:pStyle w:val="EMEANormal"/>
        <w:tabs>
          <w:tab w:val="left" w:pos="1560"/>
          <w:tab w:val="left" w:pos="4560"/>
        </w:tabs>
        <w:rPr>
          <w:lang w:val="de-DE"/>
        </w:rPr>
      </w:pPr>
      <w:r w:rsidRPr="00AE2531">
        <w:rPr>
          <w:lang w:val="de-DE"/>
        </w:rPr>
        <w:t>AbbVie Deutschland GmbH &amp; Co. KG, Knollstrasse, 67061 Ludwigshafen, Germany</w:t>
      </w:r>
    </w:p>
    <w:p w14:paraId="7BA308B8" w14:textId="77777777" w:rsidR="005C1922" w:rsidRDefault="005C1922" w:rsidP="005C1922">
      <w:pPr>
        <w:pStyle w:val="EMEANormal"/>
        <w:tabs>
          <w:tab w:val="left" w:pos="1560"/>
          <w:tab w:val="left" w:pos="4560"/>
        </w:tabs>
        <w:rPr>
          <w:szCs w:val="22"/>
          <w:lang w:val="en-GB"/>
        </w:rPr>
      </w:pPr>
      <w:r w:rsidRPr="00462079">
        <w:rPr>
          <w:szCs w:val="22"/>
          <w:highlight w:val="lightGray"/>
          <w:lang w:val="en-GB"/>
        </w:rPr>
        <w:t>AbbVie Logistics B.V., Zuiderzeelaan 53, 8017 JV Zwolle, The Netherlands</w:t>
      </w:r>
    </w:p>
    <w:p w14:paraId="13E0FF0E" w14:textId="77777777" w:rsidR="00277ECB" w:rsidRPr="00342F7C" w:rsidRDefault="00277ECB">
      <w:pPr>
        <w:pStyle w:val="EMEANormal"/>
        <w:rPr>
          <w:lang w:val="en-GB"/>
        </w:rPr>
      </w:pPr>
    </w:p>
    <w:p w14:paraId="39A5861E" w14:textId="77777777" w:rsidR="00277ECB" w:rsidRDefault="00277ECB">
      <w:pPr>
        <w:pStyle w:val="EMEANormal"/>
        <w:rPr>
          <w:lang w:val="en-GB"/>
        </w:rPr>
      </w:pPr>
      <w:r w:rsidRPr="00342F7C">
        <w:rPr>
          <w:lang w:val="en-GB"/>
        </w:rPr>
        <w:t>For any information about this medicine, please contact the local representative of the Marketing Authorisation Holder:</w:t>
      </w:r>
    </w:p>
    <w:p w14:paraId="1E16F20F" w14:textId="77777777" w:rsidR="00CB3C33" w:rsidRPr="00AA4AE8" w:rsidRDefault="00CB3C33"/>
    <w:tbl>
      <w:tblPr>
        <w:tblW w:w="9356" w:type="dxa"/>
        <w:tblInd w:w="-34" w:type="dxa"/>
        <w:tblLayout w:type="fixed"/>
        <w:tblLook w:val="0000" w:firstRow="0" w:lastRow="0" w:firstColumn="0" w:lastColumn="0" w:noHBand="0" w:noVBand="0"/>
      </w:tblPr>
      <w:tblGrid>
        <w:gridCol w:w="34"/>
        <w:gridCol w:w="4644"/>
        <w:gridCol w:w="4678"/>
      </w:tblGrid>
      <w:tr w:rsidR="00EF3A68" w:rsidRPr="00EF3A68" w14:paraId="0728FBFF" w14:textId="77777777" w:rsidTr="00AD6D66">
        <w:trPr>
          <w:gridBefore w:val="1"/>
          <w:wBefore w:w="34" w:type="dxa"/>
        </w:trPr>
        <w:tc>
          <w:tcPr>
            <w:tcW w:w="4644" w:type="dxa"/>
          </w:tcPr>
          <w:p w14:paraId="7150F606" w14:textId="77777777" w:rsidR="00EF3A68" w:rsidRPr="00EF3A68" w:rsidRDefault="00EF3A68" w:rsidP="00EF3A68">
            <w:pPr>
              <w:rPr>
                <w:b/>
                <w:bCs/>
                <w:sz w:val="22"/>
                <w:szCs w:val="22"/>
                <w:lang w:val="fr-BE"/>
              </w:rPr>
            </w:pPr>
            <w:r w:rsidRPr="00EF3A68">
              <w:rPr>
                <w:b/>
                <w:bCs/>
                <w:sz w:val="22"/>
                <w:szCs w:val="22"/>
                <w:lang w:val="fr-BE"/>
              </w:rPr>
              <w:t>België/Belgique/Belgien</w:t>
            </w:r>
          </w:p>
          <w:p w14:paraId="49FB3672" w14:textId="77777777" w:rsidR="00EF3A68" w:rsidRPr="00EF3A68" w:rsidRDefault="00EF3A68" w:rsidP="00EF3A68">
            <w:pPr>
              <w:tabs>
                <w:tab w:val="center" w:pos="2214"/>
              </w:tabs>
              <w:rPr>
                <w:bCs/>
                <w:sz w:val="22"/>
                <w:szCs w:val="22"/>
                <w:lang w:val="fr-FR"/>
              </w:rPr>
            </w:pPr>
            <w:r w:rsidRPr="00EF3A68">
              <w:rPr>
                <w:bCs/>
                <w:sz w:val="22"/>
                <w:szCs w:val="22"/>
                <w:lang w:val="fr-FR"/>
              </w:rPr>
              <w:t>AbbVie SA</w:t>
            </w:r>
          </w:p>
          <w:p w14:paraId="45648D67" w14:textId="77777777" w:rsidR="00EF3A68" w:rsidRPr="00EF3A68" w:rsidRDefault="00EF3A68" w:rsidP="00EF3A68">
            <w:pPr>
              <w:tabs>
                <w:tab w:val="left" w:pos="562"/>
              </w:tabs>
              <w:spacing w:line="260" w:lineRule="exact"/>
              <w:rPr>
                <w:bCs/>
                <w:sz w:val="22"/>
                <w:szCs w:val="22"/>
                <w:lang w:val="fr-FR"/>
              </w:rPr>
            </w:pPr>
            <w:r w:rsidRPr="00EF3A68">
              <w:rPr>
                <w:bCs/>
                <w:sz w:val="22"/>
                <w:szCs w:val="22"/>
                <w:lang w:val="fr-FR"/>
              </w:rPr>
              <w:t xml:space="preserve">Tél/Tel: +32 10 </w:t>
            </w:r>
            <w:r w:rsidRPr="00EF3A68">
              <w:rPr>
                <w:sz w:val="22"/>
                <w:szCs w:val="22"/>
                <w:lang w:val="fr-FR"/>
              </w:rPr>
              <w:t xml:space="preserve"> 477811</w:t>
            </w:r>
          </w:p>
        </w:tc>
        <w:tc>
          <w:tcPr>
            <w:tcW w:w="4678" w:type="dxa"/>
          </w:tcPr>
          <w:p w14:paraId="3D918807" w14:textId="77777777" w:rsidR="00EF3A68" w:rsidRPr="00EF3A68" w:rsidRDefault="00EF3A68" w:rsidP="00EF3A68">
            <w:pPr>
              <w:rPr>
                <w:b/>
                <w:bCs/>
                <w:sz w:val="22"/>
                <w:szCs w:val="22"/>
                <w:lang w:val="lt-LT"/>
              </w:rPr>
            </w:pPr>
            <w:r w:rsidRPr="00EF3A68">
              <w:rPr>
                <w:b/>
                <w:bCs/>
                <w:sz w:val="22"/>
                <w:szCs w:val="22"/>
                <w:lang w:val="lt-LT"/>
              </w:rPr>
              <w:t>Lietuva</w:t>
            </w:r>
          </w:p>
          <w:p w14:paraId="131C45B2" w14:textId="77777777" w:rsidR="00EF3A68" w:rsidRPr="00EF3A68" w:rsidRDefault="00EF3A68" w:rsidP="00EF3A68">
            <w:pPr>
              <w:rPr>
                <w:bCs/>
                <w:sz w:val="22"/>
                <w:szCs w:val="22"/>
                <w:lang w:val="lv-LV"/>
              </w:rPr>
            </w:pPr>
            <w:r w:rsidRPr="00EF3A68">
              <w:rPr>
                <w:bCs/>
                <w:sz w:val="22"/>
                <w:szCs w:val="22"/>
                <w:lang w:val="lv-LV"/>
              </w:rPr>
              <w:t xml:space="preserve">AbbVie UAB </w:t>
            </w:r>
          </w:p>
          <w:p w14:paraId="3EAA6647" w14:textId="77777777" w:rsidR="00EF3A68" w:rsidRPr="00EF3A68" w:rsidRDefault="00EF3A68" w:rsidP="00EF3A68">
            <w:pPr>
              <w:jc w:val="both"/>
              <w:rPr>
                <w:bCs/>
                <w:sz w:val="22"/>
                <w:szCs w:val="22"/>
                <w:lang w:val="lv-LV"/>
              </w:rPr>
            </w:pPr>
            <w:r w:rsidRPr="00EF3A68">
              <w:rPr>
                <w:bCs/>
                <w:sz w:val="22"/>
                <w:szCs w:val="22"/>
                <w:lang w:val="lv-LV"/>
              </w:rPr>
              <w:t>Tel: +370 5 205 3023</w:t>
            </w:r>
          </w:p>
          <w:p w14:paraId="2A227681" w14:textId="77777777" w:rsidR="00EF3A68" w:rsidRPr="00EF3A68" w:rsidRDefault="00EF3A68" w:rsidP="00EF3A68">
            <w:pPr>
              <w:rPr>
                <w:bCs/>
                <w:sz w:val="22"/>
                <w:szCs w:val="22"/>
                <w:lang w:val="fr-FR"/>
              </w:rPr>
            </w:pPr>
          </w:p>
        </w:tc>
      </w:tr>
      <w:tr w:rsidR="00EF3A68" w:rsidRPr="00EF3A68" w14:paraId="76F94A8C" w14:textId="77777777" w:rsidTr="00AD6D66">
        <w:trPr>
          <w:gridBefore w:val="1"/>
          <w:wBefore w:w="34" w:type="dxa"/>
        </w:trPr>
        <w:tc>
          <w:tcPr>
            <w:tcW w:w="4644" w:type="dxa"/>
          </w:tcPr>
          <w:p w14:paraId="4A5823E7" w14:textId="77777777" w:rsidR="00EF3A68" w:rsidRPr="00EF3A68" w:rsidRDefault="00EF3A68" w:rsidP="00EF3A68">
            <w:pPr>
              <w:autoSpaceDE w:val="0"/>
              <w:autoSpaceDN w:val="0"/>
              <w:adjustRightInd w:val="0"/>
              <w:rPr>
                <w:b/>
                <w:bCs/>
                <w:sz w:val="22"/>
                <w:szCs w:val="22"/>
                <w:lang w:val="bg-BG"/>
              </w:rPr>
            </w:pPr>
            <w:r w:rsidRPr="00EF3A68">
              <w:rPr>
                <w:b/>
                <w:bCs/>
                <w:sz w:val="22"/>
                <w:szCs w:val="22"/>
                <w:lang w:val="bg-BG"/>
              </w:rPr>
              <w:t>България</w:t>
            </w:r>
          </w:p>
          <w:p w14:paraId="32662C96" w14:textId="77777777" w:rsidR="00EF3A68" w:rsidRPr="00EF3A68" w:rsidRDefault="00EF3A68" w:rsidP="00EF3A68">
            <w:pPr>
              <w:autoSpaceDE w:val="0"/>
              <w:autoSpaceDN w:val="0"/>
              <w:adjustRightInd w:val="0"/>
              <w:rPr>
                <w:sz w:val="22"/>
                <w:szCs w:val="22"/>
                <w:lang w:val="da-DK"/>
              </w:rPr>
            </w:pPr>
            <w:r w:rsidRPr="00EF3A68">
              <w:rPr>
                <w:bCs/>
                <w:sz w:val="22"/>
                <w:szCs w:val="22"/>
                <w:lang w:val="bg-BG"/>
              </w:rPr>
              <w:t>АбВи ЕООД</w:t>
            </w:r>
          </w:p>
          <w:p w14:paraId="14C93DE7" w14:textId="77777777" w:rsidR="00EF3A68" w:rsidRPr="00EF3A68" w:rsidRDefault="00EF3A68" w:rsidP="00EF3A68">
            <w:pPr>
              <w:tabs>
                <w:tab w:val="left" w:pos="-720"/>
              </w:tabs>
              <w:rPr>
                <w:bCs/>
                <w:sz w:val="22"/>
                <w:szCs w:val="22"/>
                <w:lang w:val="da-DK"/>
              </w:rPr>
            </w:pPr>
            <w:r w:rsidRPr="00EF3A68">
              <w:rPr>
                <w:rFonts w:eastAsia="MS Mincho"/>
                <w:color w:val="000000"/>
                <w:sz w:val="22"/>
                <w:szCs w:val="22"/>
                <w:lang w:eastAsia="ja-JP"/>
              </w:rPr>
              <w:t>Тел.</w:t>
            </w:r>
            <w:r w:rsidRPr="00EF3A68">
              <w:rPr>
                <w:rFonts w:eastAsia="MS Mincho"/>
                <w:color w:val="000000"/>
                <w:sz w:val="22"/>
                <w:szCs w:val="22"/>
                <w:lang w:val="it-IT" w:eastAsia="ja-JP"/>
              </w:rPr>
              <w:t>: +359 2 90 30 43</w:t>
            </w:r>
            <w:r w:rsidR="006248E7">
              <w:rPr>
                <w:rFonts w:eastAsia="MS Mincho"/>
                <w:color w:val="000000"/>
                <w:sz w:val="22"/>
                <w:szCs w:val="22"/>
                <w:lang w:val="it-IT" w:eastAsia="ja-JP"/>
              </w:rPr>
              <w:t>0</w:t>
            </w:r>
          </w:p>
        </w:tc>
        <w:tc>
          <w:tcPr>
            <w:tcW w:w="4678" w:type="dxa"/>
          </w:tcPr>
          <w:p w14:paraId="07587E5E" w14:textId="77777777" w:rsidR="00EF3A68" w:rsidRPr="00EF3A68" w:rsidRDefault="00EF3A68" w:rsidP="00EF3A68">
            <w:pPr>
              <w:rPr>
                <w:b/>
                <w:bCs/>
                <w:sz w:val="22"/>
                <w:szCs w:val="22"/>
                <w:lang w:val="de-DE"/>
              </w:rPr>
            </w:pPr>
            <w:r w:rsidRPr="00EF3A68">
              <w:rPr>
                <w:b/>
                <w:bCs/>
                <w:sz w:val="22"/>
                <w:szCs w:val="22"/>
                <w:lang w:val="de-DE"/>
              </w:rPr>
              <w:t>Luxembourg/Luxemburg</w:t>
            </w:r>
          </w:p>
          <w:p w14:paraId="68F49F82" w14:textId="77777777" w:rsidR="00EF3A68" w:rsidRPr="00EF3A68" w:rsidRDefault="00EF3A68" w:rsidP="00EF3A68">
            <w:pPr>
              <w:rPr>
                <w:bCs/>
                <w:sz w:val="22"/>
                <w:szCs w:val="22"/>
                <w:lang w:val="de-DE"/>
              </w:rPr>
            </w:pPr>
            <w:r w:rsidRPr="00EF3A68">
              <w:rPr>
                <w:bCs/>
                <w:sz w:val="22"/>
                <w:szCs w:val="22"/>
                <w:lang w:val="de-DE"/>
              </w:rPr>
              <w:t>AbbVie SA</w:t>
            </w:r>
          </w:p>
          <w:p w14:paraId="0B982362" w14:textId="77777777" w:rsidR="00EF3A68" w:rsidRPr="00EF3A68" w:rsidRDefault="00EF3A68" w:rsidP="00EF3A68">
            <w:pPr>
              <w:tabs>
                <w:tab w:val="center" w:pos="2231"/>
              </w:tabs>
              <w:rPr>
                <w:bCs/>
                <w:sz w:val="22"/>
                <w:szCs w:val="22"/>
                <w:lang w:val="de-DE"/>
              </w:rPr>
            </w:pPr>
            <w:r w:rsidRPr="00EF3A68">
              <w:rPr>
                <w:bCs/>
                <w:sz w:val="22"/>
                <w:szCs w:val="22"/>
                <w:lang w:val="de-DE"/>
              </w:rPr>
              <w:t>Belgique/Belgien</w:t>
            </w:r>
          </w:p>
          <w:p w14:paraId="66922251" w14:textId="77777777" w:rsidR="00EF3A68" w:rsidRPr="00EF3A68" w:rsidRDefault="00EF3A68" w:rsidP="00EF3A68">
            <w:pPr>
              <w:rPr>
                <w:bCs/>
                <w:sz w:val="22"/>
                <w:szCs w:val="22"/>
                <w:lang w:val="fr-FR"/>
              </w:rPr>
            </w:pPr>
            <w:r w:rsidRPr="00EF3A68">
              <w:rPr>
                <w:bCs/>
                <w:sz w:val="22"/>
                <w:szCs w:val="22"/>
                <w:lang w:val="fr-FR"/>
              </w:rPr>
              <w:t>Tél/Tel: +32 10 477811</w:t>
            </w:r>
          </w:p>
          <w:p w14:paraId="0F3B74B7" w14:textId="77777777" w:rsidR="00EF3A68" w:rsidRPr="00EF3A68" w:rsidRDefault="00EF3A68" w:rsidP="00EF3A68">
            <w:pPr>
              <w:tabs>
                <w:tab w:val="left" w:pos="562"/>
                <w:tab w:val="left" w:pos="2380"/>
              </w:tabs>
              <w:suppressAutoHyphens/>
              <w:rPr>
                <w:bCs/>
                <w:sz w:val="22"/>
                <w:szCs w:val="22"/>
                <w:lang w:val="hu-HU"/>
              </w:rPr>
            </w:pPr>
          </w:p>
        </w:tc>
      </w:tr>
      <w:tr w:rsidR="00EF3A68" w:rsidRPr="00EF3A68" w14:paraId="20229EFD" w14:textId="77777777" w:rsidTr="00AD6D66">
        <w:trPr>
          <w:gridBefore w:val="1"/>
          <w:wBefore w:w="34" w:type="dxa"/>
        </w:trPr>
        <w:tc>
          <w:tcPr>
            <w:tcW w:w="4644" w:type="dxa"/>
          </w:tcPr>
          <w:p w14:paraId="54ADD44B" w14:textId="77777777" w:rsidR="00EF3A68" w:rsidRPr="00EF3A68" w:rsidRDefault="00EF3A68" w:rsidP="00EF3A68">
            <w:pPr>
              <w:rPr>
                <w:b/>
                <w:bCs/>
                <w:sz w:val="22"/>
                <w:szCs w:val="22"/>
                <w:lang w:val="de-DE"/>
              </w:rPr>
            </w:pPr>
            <w:r w:rsidRPr="00EF3A68">
              <w:rPr>
                <w:b/>
                <w:bCs/>
                <w:sz w:val="22"/>
                <w:szCs w:val="22"/>
                <w:lang w:val="de-DE"/>
              </w:rPr>
              <w:t>Česká republika</w:t>
            </w:r>
          </w:p>
          <w:p w14:paraId="2BB62FC4" w14:textId="77777777" w:rsidR="00EF3A68" w:rsidRPr="00EF3A68" w:rsidRDefault="00EF3A68" w:rsidP="00EF3A68">
            <w:pPr>
              <w:rPr>
                <w:bCs/>
                <w:sz w:val="22"/>
                <w:szCs w:val="22"/>
                <w:lang w:val="de-DE"/>
              </w:rPr>
            </w:pPr>
            <w:r w:rsidRPr="00EF3A68">
              <w:rPr>
                <w:bCs/>
                <w:sz w:val="22"/>
                <w:szCs w:val="22"/>
                <w:lang w:val="de-DE"/>
              </w:rPr>
              <w:t xml:space="preserve">AbbVie s.r.o. </w:t>
            </w:r>
          </w:p>
          <w:p w14:paraId="075348F9" w14:textId="77777777" w:rsidR="00EF3A68" w:rsidRPr="00EF3A68" w:rsidRDefault="00EF3A68" w:rsidP="00EF3A68">
            <w:pPr>
              <w:rPr>
                <w:bCs/>
                <w:sz w:val="22"/>
                <w:szCs w:val="22"/>
                <w:lang w:val="de-DE"/>
              </w:rPr>
            </w:pPr>
            <w:r w:rsidRPr="00EF3A68">
              <w:rPr>
                <w:bCs/>
                <w:sz w:val="22"/>
                <w:szCs w:val="22"/>
                <w:lang w:val="de-DE"/>
              </w:rPr>
              <w:t>Tel: +420 233 098 111</w:t>
            </w:r>
          </w:p>
          <w:p w14:paraId="212338F9" w14:textId="77777777" w:rsidR="00EF3A68" w:rsidRPr="00EF3A68" w:rsidRDefault="00EF3A68" w:rsidP="00EF3A68">
            <w:pPr>
              <w:rPr>
                <w:bCs/>
                <w:sz w:val="22"/>
                <w:szCs w:val="22"/>
                <w:lang w:val="de-DE"/>
              </w:rPr>
            </w:pPr>
          </w:p>
        </w:tc>
        <w:tc>
          <w:tcPr>
            <w:tcW w:w="4678" w:type="dxa"/>
          </w:tcPr>
          <w:p w14:paraId="5F4D6AFE" w14:textId="77777777" w:rsidR="00EF3A68" w:rsidRPr="00EF3A68" w:rsidRDefault="00EF3A68" w:rsidP="00EF3A68">
            <w:pPr>
              <w:tabs>
                <w:tab w:val="left" w:pos="562"/>
              </w:tabs>
              <w:suppressAutoHyphens/>
              <w:rPr>
                <w:b/>
                <w:bCs/>
                <w:sz w:val="22"/>
                <w:szCs w:val="22"/>
                <w:lang w:val="hu-HU"/>
              </w:rPr>
            </w:pPr>
            <w:r w:rsidRPr="00EF3A68">
              <w:rPr>
                <w:b/>
                <w:bCs/>
                <w:sz w:val="22"/>
                <w:szCs w:val="22"/>
                <w:lang w:val="hu-HU"/>
              </w:rPr>
              <w:t>Magyarország</w:t>
            </w:r>
          </w:p>
          <w:p w14:paraId="380E7781" w14:textId="77777777" w:rsidR="00EF3A68" w:rsidRPr="00EF3A68" w:rsidRDefault="00EF3A68" w:rsidP="00EF3A68">
            <w:pPr>
              <w:tabs>
                <w:tab w:val="left" w:pos="562"/>
              </w:tabs>
              <w:suppressAutoHyphens/>
              <w:rPr>
                <w:bCs/>
                <w:sz w:val="22"/>
                <w:szCs w:val="22"/>
                <w:lang w:val="hu-HU"/>
              </w:rPr>
            </w:pPr>
            <w:r w:rsidRPr="00EF3A68">
              <w:rPr>
                <w:bCs/>
                <w:sz w:val="22"/>
                <w:szCs w:val="22"/>
                <w:lang w:val="hu-HU"/>
              </w:rPr>
              <w:t>AbbVie Kft.</w:t>
            </w:r>
          </w:p>
          <w:p w14:paraId="1E0B528D" w14:textId="77777777" w:rsidR="00EF3A68" w:rsidRPr="00EF3A68" w:rsidRDefault="00EF3A68" w:rsidP="00EF3A68">
            <w:pPr>
              <w:tabs>
                <w:tab w:val="left" w:pos="562"/>
                <w:tab w:val="left" w:pos="2380"/>
              </w:tabs>
              <w:suppressAutoHyphens/>
              <w:rPr>
                <w:bCs/>
                <w:sz w:val="22"/>
                <w:szCs w:val="22"/>
                <w:lang w:val="hu-HU"/>
              </w:rPr>
            </w:pPr>
            <w:r w:rsidRPr="00EF3A68">
              <w:rPr>
                <w:bCs/>
                <w:sz w:val="22"/>
                <w:szCs w:val="22"/>
                <w:lang w:val="hu-HU"/>
              </w:rPr>
              <w:t>Tel.: +36 1 455 8600</w:t>
            </w:r>
          </w:p>
          <w:p w14:paraId="336AB806" w14:textId="77777777" w:rsidR="00EF3A68" w:rsidRPr="00EF3A68" w:rsidRDefault="00EF3A68" w:rsidP="00EF3A68">
            <w:pPr>
              <w:rPr>
                <w:bCs/>
                <w:sz w:val="22"/>
                <w:szCs w:val="22"/>
              </w:rPr>
            </w:pPr>
          </w:p>
        </w:tc>
      </w:tr>
      <w:tr w:rsidR="00EF3A68" w:rsidRPr="00EF3A68" w14:paraId="4B23B167" w14:textId="77777777" w:rsidTr="00AD6D66">
        <w:trPr>
          <w:gridBefore w:val="1"/>
          <w:wBefore w:w="34" w:type="dxa"/>
          <w:trHeight w:val="1015"/>
        </w:trPr>
        <w:tc>
          <w:tcPr>
            <w:tcW w:w="4644" w:type="dxa"/>
          </w:tcPr>
          <w:p w14:paraId="6B3A1D75" w14:textId="77777777" w:rsidR="00EF3A68" w:rsidRPr="00EF3A68" w:rsidRDefault="00EF3A68" w:rsidP="00EF3A68">
            <w:pPr>
              <w:rPr>
                <w:b/>
                <w:bCs/>
                <w:sz w:val="22"/>
                <w:szCs w:val="22"/>
              </w:rPr>
            </w:pPr>
            <w:r w:rsidRPr="00EF3A68">
              <w:rPr>
                <w:b/>
                <w:bCs/>
                <w:sz w:val="22"/>
                <w:szCs w:val="22"/>
              </w:rPr>
              <w:t>Danmark</w:t>
            </w:r>
          </w:p>
          <w:p w14:paraId="2F8911A2" w14:textId="77777777" w:rsidR="00EF3A68" w:rsidRPr="00EF3A68" w:rsidRDefault="00EF3A68" w:rsidP="00EF3A68">
            <w:pPr>
              <w:rPr>
                <w:bCs/>
                <w:sz w:val="22"/>
                <w:szCs w:val="22"/>
              </w:rPr>
            </w:pPr>
            <w:r w:rsidRPr="00EF3A68">
              <w:rPr>
                <w:bCs/>
                <w:sz w:val="22"/>
                <w:szCs w:val="22"/>
              </w:rPr>
              <w:t>AbbVie A/S</w:t>
            </w:r>
          </w:p>
          <w:p w14:paraId="38763EB5" w14:textId="77777777" w:rsidR="00EF3A68" w:rsidRPr="00EF3A68" w:rsidRDefault="00EF3A68" w:rsidP="00EF3A68">
            <w:pPr>
              <w:rPr>
                <w:bCs/>
                <w:sz w:val="22"/>
                <w:szCs w:val="22"/>
              </w:rPr>
            </w:pPr>
            <w:r w:rsidRPr="00EF3A68">
              <w:rPr>
                <w:bCs/>
                <w:sz w:val="22"/>
                <w:szCs w:val="22"/>
              </w:rPr>
              <w:t>Tlf: +45 72 30-20-28</w:t>
            </w:r>
          </w:p>
        </w:tc>
        <w:tc>
          <w:tcPr>
            <w:tcW w:w="4678" w:type="dxa"/>
          </w:tcPr>
          <w:p w14:paraId="2B506AD7" w14:textId="77777777" w:rsidR="00EF3A68" w:rsidRPr="00EF3A68" w:rsidRDefault="00EF3A68" w:rsidP="00EF3A68">
            <w:pPr>
              <w:rPr>
                <w:b/>
                <w:bCs/>
                <w:sz w:val="22"/>
                <w:szCs w:val="22"/>
                <w:lang w:val="mt-MT"/>
              </w:rPr>
            </w:pPr>
            <w:r w:rsidRPr="00EF3A68">
              <w:rPr>
                <w:b/>
                <w:bCs/>
                <w:sz w:val="22"/>
                <w:szCs w:val="22"/>
                <w:lang w:val="mt-MT"/>
              </w:rPr>
              <w:t>Malta</w:t>
            </w:r>
          </w:p>
          <w:p w14:paraId="471F7FB7" w14:textId="77777777" w:rsidR="00EF3A68" w:rsidRPr="00922746" w:rsidRDefault="00EF3A68" w:rsidP="00EF3A68">
            <w:pPr>
              <w:rPr>
                <w:bCs/>
                <w:sz w:val="22"/>
                <w:szCs w:val="22"/>
                <w:lang w:val="fi-FI"/>
              </w:rPr>
            </w:pPr>
            <w:r w:rsidRPr="00922746">
              <w:rPr>
                <w:bCs/>
                <w:sz w:val="22"/>
                <w:szCs w:val="22"/>
                <w:lang w:val="fi-FI"/>
              </w:rPr>
              <w:t xml:space="preserve">V.J.Salomone Pharma Limited </w:t>
            </w:r>
          </w:p>
          <w:p w14:paraId="1E735F82" w14:textId="77777777" w:rsidR="00EF3A68" w:rsidRPr="00EF3A68" w:rsidRDefault="00EF3A68" w:rsidP="00EF3A68">
            <w:pPr>
              <w:rPr>
                <w:bCs/>
                <w:sz w:val="22"/>
                <w:szCs w:val="22"/>
              </w:rPr>
            </w:pPr>
            <w:r w:rsidRPr="00EF3A68">
              <w:rPr>
                <w:bCs/>
                <w:sz w:val="22"/>
                <w:szCs w:val="22"/>
              </w:rPr>
              <w:t>Tel: +356 22983201</w:t>
            </w:r>
          </w:p>
        </w:tc>
      </w:tr>
      <w:tr w:rsidR="00EF3A68" w:rsidRPr="00EF3A68" w14:paraId="2553F5EB" w14:textId="77777777" w:rsidTr="00AD6D66">
        <w:trPr>
          <w:gridBefore w:val="1"/>
          <w:wBefore w:w="34" w:type="dxa"/>
        </w:trPr>
        <w:tc>
          <w:tcPr>
            <w:tcW w:w="4644" w:type="dxa"/>
          </w:tcPr>
          <w:p w14:paraId="33599895" w14:textId="77777777" w:rsidR="00EF3A68" w:rsidRPr="00EF3A68" w:rsidRDefault="00EF3A68" w:rsidP="00D970E3">
            <w:pPr>
              <w:keepNext/>
              <w:rPr>
                <w:b/>
                <w:bCs/>
                <w:sz w:val="22"/>
                <w:szCs w:val="22"/>
                <w:lang w:val="de-DE"/>
              </w:rPr>
            </w:pPr>
            <w:r w:rsidRPr="00EF3A68">
              <w:rPr>
                <w:b/>
                <w:bCs/>
                <w:sz w:val="22"/>
                <w:szCs w:val="22"/>
                <w:lang w:val="de-DE"/>
              </w:rPr>
              <w:t>Deutschland</w:t>
            </w:r>
          </w:p>
          <w:p w14:paraId="0F3F4FA5" w14:textId="77777777" w:rsidR="00EF3A68" w:rsidRPr="00EF3A68" w:rsidRDefault="00EF3A68" w:rsidP="00D970E3">
            <w:pPr>
              <w:keepNext/>
              <w:rPr>
                <w:bCs/>
                <w:sz w:val="22"/>
                <w:szCs w:val="22"/>
                <w:lang w:val="de-DE"/>
              </w:rPr>
            </w:pPr>
            <w:r w:rsidRPr="00EF3A68">
              <w:rPr>
                <w:sz w:val="22"/>
                <w:szCs w:val="22"/>
                <w:lang w:val="de-DE"/>
              </w:rPr>
              <w:t xml:space="preserve">AbbVie Deutschland </w:t>
            </w:r>
            <w:r w:rsidRPr="00EF3A68">
              <w:rPr>
                <w:bCs/>
                <w:sz w:val="22"/>
                <w:szCs w:val="22"/>
                <w:lang w:val="de-DE"/>
              </w:rPr>
              <w:t>GmbH &amp; Co. KG</w:t>
            </w:r>
          </w:p>
          <w:p w14:paraId="0ADF134F" w14:textId="77777777" w:rsidR="00EF3A68" w:rsidRPr="00EF3A68" w:rsidRDefault="00EF3A68" w:rsidP="00D970E3">
            <w:pPr>
              <w:keepNext/>
              <w:rPr>
                <w:sz w:val="22"/>
                <w:szCs w:val="22"/>
                <w:lang w:val="de-DE"/>
              </w:rPr>
            </w:pPr>
            <w:r w:rsidRPr="00EF3A68">
              <w:rPr>
                <w:sz w:val="22"/>
                <w:szCs w:val="22"/>
                <w:lang w:val="de-DE"/>
              </w:rPr>
              <w:t xml:space="preserve">Tel: </w:t>
            </w:r>
            <w:r w:rsidR="00616B54">
              <w:rPr>
                <w:sz w:val="22"/>
                <w:szCs w:val="22"/>
                <w:lang w:val="de-DE"/>
              </w:rPr>
              <w:t>00</w:t>
            </w:r>
            <w:r w:rsidRPr="00EF3A68">
              <w:rPr>
                <w:sz w:val="22"/>
                <w:szCs w:val="22"/>
                <w:lang w:val="de-DE"/>
              </w:rPr>
              <w:t>800 222843 33 (gebührenfrei)</w:t>
            </w:r>
          </w:p>
          <w:p w14:paraId="2AF4712D" w14:textId="77777777" w:rsidR="00EF3A68" w:rsidRPr="00EF3A68" w:rsidRDefault="00EF3A68" w:rsidP="00D970E3">
            <w:pPr>
              <w:keepNext/>
              <w:rPr>
                <w:sz w:val="22"/>
                <w:szCs w:val="22"/>
                <w:lang w:val="de-DE"/>
              </w:rPr>
            </w:pPr>
            <w:r w:rsidRPr="00EF3A68">
              <w:rPr>
                <w:sz w:val="22"/>
                <w:szCs w:val="22"/>
                <w:lang w:val="de-DE"/>
              </w:rPr>
              <w:t>Tel: +49 (0) 611 / 1720-0</w:t>
            </w:r>
          </w:p>
          <w:p w14:paraId="7EA69D04" w14:textId="77777777" w:rsidR="00EF3A68" w:rsidRPr="00EF3A68" w:rsidRDefault="00EF3A68" w:rsidP="00D970E3">
            <w:pPr>
              <w:keepNext/>
              <w:rPr>
                <w:bCs/>
                <w:sz w:val="22"/>
                <w:szCs w:val="22"/>
                <w:lang w:val="et-EE"/>
              </w:rPr>
            </w:pPr>
          </w:p>
        </w:tc>
        <w:tc>
          <w:tcPr>
            <w:tcW w:w="4678" w:type="dxa"/>
          </w:tcPr>
          <w:p w14:paraId="58E2A234" w14:textId="77777777" w:rsidR="00EF3A68" w:rsidRPr="00EF3A68" w:rsidRDefault="00EF3A68" w:rsidP="00D970E3">
            <w:pPr>
              <w:keepNext/>
              <w:rPr>
                <w:b/>
                <w:bCs/>
                <w:sz w:val="22"/>
                <w:szCs w:val="22"/>
                <w:lang w:val="nl-NL"/>
              </w:rPr>
            </w:pPr>
            <w:r w:rsidRPr="00EF3A68">
              <w:rPr>
                <w:b/>
                <w:bCs/>
                <w:sz w:val="22"/>
                <w:szCs w:val="22"/>
                <w:lang w:val="nl-NL"/>
              </w:rPr>
              <w:t>Nederland</w:t>
            </w:r>
          </w:p>
          <w:p w14:paraId="0975998F" w14:textId="77777777" w:rsidR="00EF3A68" w:rsidRPr="00EF3A68" w:rsidRDefault="00EF3A68" w:rsidP="00D970E3">
            <w:pPr>
              <w:keepNext/>
              <w:rPr>
                <w:bCs/>
                <w:sz w:val="22"/>
                <w:szCs w:val="22"/>
                <w:lang w:val="de-DE"/>
              </w:rPr>
            </w:pPr>
            <w:r w:rsidRPr="00EF3A68">
              <w:rPr>
                <w:bCs/>
                <w:sz w:val="22"/>
                <w:szCs w:val="22"/>
                <w:lang w:val="de-DE"/>
              </w:rPr>
              <w:t>AbbVie B.V.</w:t>
            </w:r>
          </w:p>
          <w:p w14:paraId="7F90AF4E" w14:textId="77777777" w:rsidR="00EF3A68" w:rsidRPr="00EF3A68" w:rsidRDefault="00EF3A68" w:rsidP="00D970E3">
            <w:pPr>
              <w:keepNext/>
              <w:rPr>
                <w:bCs/>
                <w:sz w:val="22"/>
                <w:szCs w:val="22"/>
                <w:lang w:val="de-DE"/>
              </w:rPr>
            </w:pPr>
            <w:r w:rsidRPr="00EF3A68">
              <w:rPr>
                <w:bCs/>
                <w:sz w:val="22"/>
                <w:szCs w:val="22"/>
                <w:lang w:val="de-DE"/>
              </w:rPr>
              <w:t>Tel: +31 (0)88 322 2843</w:t>
            </w:r>
          </w:p>
          <w:p w14:paraId="6CA2318E" w14:textId="77777777" w:rsidR="00EF3A68" w:rsidRPr="00EF3A68" w:rsidRDefault="00EF3A68" w:rsidP="00D970E3">
            <w:pPr>
              <w:keepNext/>
              <w:rPr>
                <w:bCs/>
                <w:sz w:val="22"/>
                <w:szCs w:val="22"/>
                <w:lang w:val="de-DE"/>
              </w:rPr>
            </w:pPr>
          </w:p>
        </w:tc>
      </w:tr>
      <w:tr w:rsidR="00EF3A68" w:rsidRPr="00EF3A68" w14:paraId="2D523D3D" w14:textId="77777777" w:rsidTr="00AD6D66">
        <w:trPr>
          <w:gridBefore w:val="1"/>
          <w:wBefore w:w="34" w:type="dxa"/>
        </w:trPr>
        <w:tc>
          <w:tcPr>
            <w:tcW w:w="4644" w:type="dxa"/>
          </w:tcPr>
          <w:p w14:paraId="210E106A" w14:textId="77777777" w:rsidR="00EF3A68" w:rsidRPr="00EF3A68" w:rsidRDefault="00EF3A68" w:rsidP="005C68A8">
            <w:pPr>
              <w:keepNext/>
              <w:rPr>
                <w:b/>
                <w:bCs/>
                <w:sz w:val="22"/>
                <w:szCs w:val="22"/>
                <w:lang w:val="et-EE"/>
              </w:rPr>
            </w:pPr>
            <w:r w:rsidRPr="00EF3A68">
              <w:rPr>
                <w:b/>
                <w:bCs/>
                <w:sz w:val="22"/>
                <w:szCs w:val="22"/>
                <w:lang w:val="et-EE"/>
              </w:rPr>
              <w:t>Eesti</w:t>
            </w:r>
          </w:p>
          <w:p w14:paraId="33987665" w14:textId="768E21A4" w:rsidR="00EF3A68" w:rsidRPr="00EF3A68" w:rsidRDefault="00EF3A68" w:rsidP="005C68A8">
            <w:pPr>
              <w:keepNext/>
              <w:rPr>
                <w:bCs/>
                <w:sz w:val="22"/>
                <w:szCs w:val="22"/>
                <w:lang w:val="et-EE"/>
              </w:rPr>
            </w:pPr>
            <w:r w:rsidRPr="00EF3A68">
              <w:rPr>
                <w:bCs/>
                <w:sz w:val="22"/>
                <w:szCs w:val="22"/>
                <w:lang w:val="et-EE"/>
              </w:rPr>
              <w:t xml:space="preserve">AbbVie </w:t>
            </w:r>
            <w:r w:rsidR="00AF25FB" w:rsidRPr="00AB24DD">
              <w:rPr>
                <w:bCs/>
                <w:sz w:val="22"/>
                <w:szCs w:val="22"/>
                <w:lang w:val="et-EE"/>
              </w:rPr>
              <w:t>OÜ</w:t>
            </w:r>
            <w:r w:rsidRPr="00EF3A68">
              <w:rPr>
                <w:bCs/>
                <w:sz w:val="22"/>
                <w:szCs w:val="22"/>
                <w:lang w:val="et-EE"/>
              </w:rPr>
              <w:t xml:space="preserve"> </w:t>
            </w:r>
          </w:p>
          <w:p w14:paraId="7B02C9E5" w14:textId="77777777" w:rsidR="00EF3A68" w:rsidRPr="00EF3A68" w:rsidRDefault="00EF3A68" w:rsidP="005C68A8">
            <w:pPr>
              <w:keepNext/>
              <w:rPr>
                <w:bCs/>
                <w:sz w:val="22"/>
                <w:szCs w:val="22"/>
                <w:lang w:val="lv-LV"/>
              </w:rPr>
            </w:pPr>
            <w:r w:rsidRPr="00EF3A68">
              <w:rPr>
                <w:bCs/>
                <w:sz w:val="22"/>
                <w:szCs w:val="22"/>
                <w:lang w:val="et-EE"/>
              </w:rPr>
              <w:t xml:space="preserve">Tel: +372 </w:t>
            </w:r>
            <w:r w:rsidR="006A1C1B" w:rsidRPr="0017061C">
              <w:rPr>
                <w:sz w:val="22"/>
                <w:szCs w:val="22"/>
              </w:rPr>
              <w:t>623 1011</w:t>
            </w:r>
          </w:p>
          <w:p w14:paraId="350841CA" w14:textId="77777777" w:rsidR="00EF3A68" w:rsidRPr="00EF3A68" w:rsidRDefault="00EF3A68" w:rsidP="005C68A8">
            <w:pPr>
              <w:keepNext/>
              <w:rPr>
                <w:bCs/>
                <w:sz w:val="22"/>
                <w:szCs w:val="22"/>
                <w:lang w:val="el-GR"/>
              </w:rPr>
            </w:pPr>
          </w:p>
        </w:tc>
        <w:tc>
          <w:tcPr>
            <w:tcW w:w="4678" w:type="dxa"/>
          </w:tcPr>
          <w:p w14:paraId="18D0B5EE" w14:textId="77777777" w:rsidR="00EF3A68" w:rsidRPr="00EF3A68" w:rsidRDefault="00EF3A68" w:rsidP="005C68A8">
            <w:pPr>
              <w:keepNext/>
              <w:rPr>
                <w:b/>
                <w:bCs/>
                <w:sz w:val="22"/>
                <w:szCs w:val="22"/>
                <w:lang w:val="nb-NO"/>
              </w:rPr>
            </w:pPr>
            <w:r w:rsidRPr="00EF3A68">
              <w:rPr>
                <w:b/>
                <w:bCs/>
                <w:sz w:val="22"/>
                <w:szCs w:val="22"/>
                <w:lang w:val="nb-NO"/>
              </w:rPr>
              <w:t>Norge</w:t>
            </w:r>
          </w:p>
          <w:p w14:paraId="19E0333F" w14:textId="77777777" w:rsidR="00EF3A68" w:rsidRPr="00EF3A68" w:rsidRDefault="00EF3A68" w:rsidP="005C68A8">
            <w:pPr>
              <w:keepNext/>
              <w:rPr>
                <w:bCs/>
                <w:sz w:val="22"/>
                <w:szCs w:val="22"/>
              </w:rPr>
            </w:pPr>
            <w:r w:rsidRPr="00EF3A68">
              <w:rPr>
                <w:bCs/>
                <w:sz w:val="22"/>
                <w:szCs w:val="22"/>
              </w:rPr>
              <w:t>AbbVie AS</w:t>
            </w:r>
          </w:p>
          <w:p w14:paraId="491AABD0" w14:textId="77777777" w:rsidR="00EF3A68" w:rsidRPr="00EF3A68" w:rsidRDefault="00EF3A68" w:rsidP="005C68A8">
            <w:pPr>
              <w:keepNext/>
              <w:rPr>
                <w:bCs/>
                <w:sz w:val="22"/>
                <w:szCs w:val="22"/>
              </w:rPr>
            </w:pPr>
            <w:r w:rsidRPr="00EF3A68">
              <w:rPr>
                <w:bCs/>
                <w:sz w:val="22"/>
                <w:szCs w:val="22"/>
              </w:rPr>
              <w:t>Tlf: +47 67 81 80 00</w:t>
            </w:r>
          </w:p>
          <w:p w14:paraId="1F3E1FAF" w14:textId="77777777" w:rsidR="00EF3A68" w:rsidRPr="00EF3A68" w:rsidRDefault="00EF3A68" w:rsidP="005C68A8">
            <w:pPr>
              <w:keepNext/>
              <w:rPr>
                <w:bCs/>
                <w:sz w:val="22"/>
                <w:szCs w:val="22"/>
                <w:lang w:val="el-GR"/>
              </w:rPr>
            </w:pPr>
          </w:p>
        </w:tc>
      </w:tr>
      <w:tr w:rsidR="00EF3A68" w:rsidRPr="00EF3A68" w14:paraId="2A485FF8" w14:textId="77777777" w:rsidTr="005C68A8">
        <w:trPr>
          <w:gridBefore w:val="1"/>
          <w:wBefore w:w="34" w:type="dxa"/>
        </w:trPr>
        <w:tc>
          <w:tcPr>
            <w:tcW w:w="4644" w:type="dxa"/>
          </w:tcPr>
          <w:p w14:paraId="47041DA2" w14:textId="77777777" w:rsidR="00EF3A68" w:rsidRPr="00EF3A68" w:rsidRDefault="00EF3A68" w:rsidP="000930A3">
            <w:pPr>
              <w:keepNext/>
              <w:rPr>
                <w:b/>
                <w:bCs/>
                <w:sz w:val="22"/>
                <w:szCs w:val="22"/>
                <w:lang w:val="el-GR"/>
              </w:rPr>
            </w:pPr>
            <w:r w:rsidRPr="00EF3A68">
              <w:rPr>
                <w:b/>
                <w:bCs/>
                <w:sz w:val="22"/>
                <w:szCs w:val="22"/>
                <w:lang w:val="el-GR"/>
              </w:rPr>
              <w:t>Ελλάδα</w:t>
            </w:r>
          </w:p>
          <w:p w14:paraId="03F1ACD7" w14:textId="77777777" w:rsidR="00EF3A68" w:rsidRPr="00EF3A68" w:rsidRDefault="00EF3A68" w:rsidP="000930A3">
            <w:pPr>
              <w:keepNext/>
              <w:rPr>
                <w:bCs/>
                <w:sz w:val="22"/>
                <w:szCs w:val="22"/>
                <w:lang w:val="el-GR"/>
              </w:rPr>
            </w:pPr>
            <w:r w:rsidRPr="00EF3A68">
              <w:rPr>
                <w:bCs/>
                <w:sz w:val="22"/>
                <w:szCs w:val="22"/>
                <w:lang w:val="et-EE"/>
              </w:rPr>
              <w:t xml:space="preserve">AbbVie </w:t>
            </w:r>
            <w:r w:rsidRPr="00EF3A68">
              <w:rPr>
                <w:sz w:val="22"/>
                <w:szCs w:val="22"/>
                <w:lang w:val="el-GR"/>
              </w:rPr>
              <w:t>ΦΑΡΜΑΚΕΥΤΙΚΗ Α.Ε.</w:t>
            </w:r>
          </w:p>
          <w:p w14:paraId="6980778A" w14:textId="77777777" w:rsidR="00EF3A68" w:rsidRPr="00EF3A68" w:rsidRDefault="00EF3A68" w:rsidP="000930A3">
            <w:pPr>
              <w:keepNext/>
              <w:rPr>
                <w:bCs/>
                <w:sz w:val="22"/>
                <w:szCs w:val="22"/>
              </w:rPr>
            </w:pPr>
            <w:r w:rsidRPr="00EF3A68">
              <w:rPr>
                <w:bCs/>
                <w:sz w:val="22"/>
                <w:szCs w:val="22"/>
                <w:lang w:val="el-GR"/>
              </w:rPr>
              <w:t xml:space="preserve">Τηλ: +30 </w:t>
            </w:r>
            <w:r w:rsidRPr="00EF3A68">
              <w:rPr>
                <w:bCs/>
                <w:sz w:val="22"/>
                <w:szCs w:val="22"/>
              </w:rPr>
              <w:t>214 4165 555</w:t>
            </w:r>
          </w:p>
          <w:p w14:paraId="0076D542" w14:textId="77777777" w:rsidR="00EF3A68" w:rsidRPr="00EF3A68" w:rsidRDefault="00EF3A68" w:rsidP="000930A3">
            <w:pPr>
              <w:keepNext/>
              <w:rPr>
                <w:bCs/>
                <w:sz w:val="22"/>
                <w:szCs w:val="22"/>
                <w:lang w:val="es-ES"/>
              </w:rPr>
            </w:pPr>
          </w:p>
        </w:tc>
        <w:tc>
          <w:tcPr>
            <w:tcW w:w="4678" w:type="dxa"/>
          </w:tcPr>
          <w:p w14:paraId="69DFFC92" w14:textId="77777777" w:rsidR="00EF3A68" w:rsidRPr="00EF3A68" w:rsidRDefault="00EF3A68" w:rsidP="000930A3">
            <w:pPr>
              <w:keepNext/>
              <w:rPr>
                <w:b/>
                <w:bCs/>
                <w:sz w:val="22"/>
                <w:szCs w:val="22"/>
                <w:lang w:val="de-DE"/>
              </w:rPr>
            </w:pPr>
            <w:r w:rsidRPr="00EF3A68">
              <w:rPr>
                <w:b/>
                <w:bCs/>
                <w:sz w:val="22"/>
                <w:szCs w:val="22"/>
                <w:lang w:val="de-DE"/>
              </w:rPr>
              <w:t>Österreich</w:t>
            </w:r>
          </w:p>
          <w:p w14:paraId="50E964B3" w14:textId="77777777" w:rsidR="00EF3A68" w:rsidRPr="00EF3A68" w:rsidRDefault="00EF3A68" w:rsidP="000930A3">
            <w:pPr>
              <w:keepNext/>
              <w:rPr>
                <w:bCs/>
                <w:sz w:val="22"/>
                <w:szCs w:val="22"/>
                <w:lang w:val="de-DE"/>
              </w:rPr>
            </w:pPr>
            <w:r w:rsidRPr="00EF3A68">
              <w:rPr>
                <w:bCs/>
                <w:sz w:val="22"/>
                <w:szCs w:val="22"/>
                <w:lang w:val="de-DE"/>
              </w:rPr>
              <w:t xml:space="preserve">AbbVie GmbH </w:t>
            </w:r>
          </w:p>
          <w:p w14:paraId="24C90F68" w14:textId="77777777" w:rsidR="00EF3A68" w:rsidRPr="00EF3A68" w:rsidRDefault="00EF3A68" w:rsidP="000930A3">
            <w:pPr>
              <w:keepNext/>
              <w:rPr>
                <w:bCs/>
                <w:sz w:val="22"/>
                <w:szCs w:val="22"/>
                <w:lang w:val="de-DE"/>
              </w:rPr>
            </w:pPr>
            <w:r w:rsidRPr="00EF3A68">
              <w:rPr>
                <w:bCs/>
                <w:sz w:val="22"/>
                <w:szCs w:val="22"/>
                <w:lang w:val="de-DE"/>
              </w:rPr>
              <w:t>Tel: +43 1 20589-0</w:t>
            </w:r>
          </w:p>
          <w:p w14:paraId="5060BD3B" w14:textId="77777777" w:rsidR="00EF3A68" w:rsidRPr="00EF3A68" w:rsidRDefault="00EF3A68" w:rsidP="000930A3">
            <w:pPr>
              <w:keepNext/>
              <w:rPr>
                <w:bCs/>
                <w:sz w:val="22"/>
                <w:szCs w:val="22"/>
                <w:lang w:val="pl-PL"/>
              </w:rPr>
            </w:pPr>
          </w:p>
        </w:tc>
      </w:tr>
      <w:tr w:rsidR="00EF3A68" w:rsidRPr="00EF3A68" w14:paraId="29A0D316" w14:textId="77777777" w:rsidTr="00AD6D66">
        <w:trPr>
          <w:gridBefore w:val="1"/>
          <w:wBefore w:w="34" w:type="dxa"/>
        </w:trPr>
        <w:tc>
          <w:tcPr>
            <w:tcW w:w="4644" w:type="dxa"/>
          </w:tcPr>
          <w:p w14:paraId="35967746" w14:textId="77777777" w:rsidR="00EF3A68" w:rsidRPr="00EF3A68" w:rsidRDefault="00EF3A68" w:rsidP="00306419">
            <w:pPr>
              <w:keepNext/>
              <w:rPr>
                <w:b/>
                <w:bCs/>
                <w:sz w:val="22"/>
                <w:szCs w:val="22"/>
                <w:lang w:val="es-ES"/>
              </w:rPr>
            </w:pPr>
            <w:r w:rsidRPr="00EF3A68">
              <w:rPr>
                <w:b/>
                <w:bCs/>
                <w:sz w:val="22"/>
                <w:szCs w:val="22"/>
                <w:lang w:val="es-ES"/>
              </w:rPr>
              <w:t>España</w:t>
            </w:r>
          </w:p>
          <w:p w14:paraId="686A8B86" w14:textId="77777777" w:rsidR="00EF3A68" w:rsidRPr="00EF3A68" w:rsidRDefault="00EF3A68" w:rsidP="00306419">
            <w:pPr>
              <w:keepNext/>
              <w:rPr>
                <w:bCs/>
                <w:sz w:val="22"/>
                <w:szCs w:val="22"/>
                <w:lang w:val="pt-PT"/>
              </w:rPr>
            </w:pPr>
            <w:r w:rsidRPr="00EF3A68">
              <w:rPr>
                <w:bCs/>
                <w:sz w:val="22"/>
                <w:szCs w:val="22"/>
                <w:lang w:val="pt-PT"/>
              </w:rPr>
              <w:t xml:space="preserve">AbbVie </w:t>
            </w:r>
            <w:r w:rsidR="00B7410C">
              <w:rPr>
                <w:bCs/>
                <w:sz w:val="22"/>
                <w:szCs w:val="22"/>
                <w:lang w:val="pt-PT"/>
              </w:rPr>
              <w:t>Spain</w:t>
            </w:r>
            <w:r w:rsidRPr="00EF3A68">
              <w:rPr>
                <w:bCs/>
                <w:sz w:val="22"/>
                <w:szCs w:val="22"/>
                <w:lang w:val="pt-PT"/>
              </w:rPr>
              <w:t xml:space="preserve">, S.L.U. </w:t>
            </w:r>
          </w:p>
          <w:p w14:paraId="5A777E60" w14:textId="77777777" w:rsidR="00EF3A68" w:rsidRPr="00EF3A68" w:rsidRDefault="00EF3A68" w:rsidP="00306419">
            <w:pPr>
              <w:keepNext/>
              <w:rPr>
                <w:bCs/>
                <w:sz w:val="22"/>
                <w:szCs w:val="22"/>
                <w:lang w:val="pl-PL"/>
              </w:rPr>
            </w:pPr>
            <w:r w:rsidRPr="00EF3A68">
              <w:rPr>
                <w:bCs/>
                <w:sz w:val="22"/>
                <w:szCs w:val="22"/>
                <w:lang w:val="pt-PT"/>
              </w:rPr>
              <w:t xml:space="preserve">Tel: +34 9 1 </w:t>
            </w:r>
            <w:r w:rsidR="002B37EB">
              <w:rPr>
                <w:bCs/>
                <w:sz w:val="22"/>
                <w:szCs w:val="22"/>
                <w:lang w:val="pt-PT"/>
              </w:rPr>
              <w:t>384 0910</w:t>
            </w:r>
          </w:p>
        </w:tc>
        <w:tc>
          <w:tcPr>
            <w:tcW w:w="4678" w:type="dxa"/>
          </w:tcPr>
          <w:p w14:paraId="35381BE4" w14:textId="77777777" w:rsidR="00EF3A68" w:rsidRPr="00EF3A68" w:rsidRDefault="00EF3A68" w:rsidP="00306419">
            <w:pPr>
              <w:keepNext/>
              <w:rPr>
                <w:b/>
                <w:bCs/>
                <w:iCs/>
                <w:sz w:val="22"/>
                <w:szCs w:val="22"/>
                <w:lang w:val="pl-PL"/>
              </w:rPr>
            </w:pPr>
            <w:r w:rsidRPr="00EF3A68">
              <w:rPr>
                <w:b/>
                <w:bCs/>
                <w:iCs/>
                <w:sz w:val="22"/>
                <w:szCs w:val="22"/>
                <w:lang w:val="pl-PL"/>
              </w:rPr>
              <w:t>Polska</w:t>
            </w:r>
          </w:p>
          <w:p w14:paraId="4492CCB3" w14:textId="77777777" w:rsidR="00EF3A68" w:rsidRPr="00EF3A68" w:rsidRDefault="00EF3A68" w:rsidP="00306419">
            <w:pPr>
              <w:keepNext/>
              <w:rPr>
                <w:bCs/>
                <w:sz w:val="22"/>
                <w:szCs w:val="22"/>
                <w:lang w:val="pl-PL"/>
              </w:rPr>
            </w:pPr>
            <w:r w:rsidRPr="00EF3A68">
              <w:rPr>
                <w:bCs/>
                <w:sz w:val="22"/>
                <w:szCs w:val="22"/>
                <w:lang w:val="pl-PL"/>
              </w:rPr>
              <w:t>AbbVie Polska Sp. z o.o.</w:t>
            </w:r>
          </w:p>
          <w:p w14:paraId="4EC3C4D2" w14:textId="77777777" w:rsidR="00EF3A68" w:rsidRPr="00EF3A68" w:rsidRDefault="00EF3A68" w:rsidP="00306419">
            <w:pPr>
              <w:keepNext/>
              <w:rPr>
                <w:bCs/>
                <w:sz w:val="22"/>
                <w:szCs w:val="22"/>
                <w:lang w:val="pl-PL"/>
              </w:rPr>
            </w:pPr>
            <w:r w:rsidRPr="00EF3A68">
              <w:rPr>
                <w:sz w:val="22"/>
                <w:szCs w:val="22"/>
                <w:lang w:val="es-ES"/>
              </w:rPr>
              <w:t xml:space="preserve">Tel.: +48 22 </w:t>
            </w:r>
            <w:r w:rsidRPr="00EF3A68">
              <w:rPr>
                <w:bCs/>
                <w:sz w:val="22"/>
                <w:szCs w:val="22"/>
                <w:lang w:val="pl-PL"/>
              </w:rPr>
              <w:t>3</w:t>
            </w:r>
            <w:r w:rsidR="00695478">
              <w:rPr>
                <w:bCs/>
                <w:sz w:val="22"/>
                <w:szCs w:val="22"/>
                <w:lang w:val="pl-PL"/>
              </w:rPr>
              <w:t>72</w:t>
            </w:r>
            <w:r w:rsidRPr="00EF3A68">
              <w:rPr>
                <w:bCs/>
                <w:sz w:val="22"/>
                <w:szCs w:val="22"/>
                <w:lang w:val="pl-PL"/>
              </w:rPr>
              <w:t xml:space="preserve"> </w:t>
            </w:r>
            <w:r w:rsidR="00695478">
              <w:rPr>
                <w:bCs/>
                <w:sz w:val="22"/>
                <w:szCs w:val="22"/>
                <w:lang w:val="pl-PL"/>
              </w:rPr>
              <w:t>78</w:t>
            </w:r>
            <w:r w:rsidRPr="00EF3A68">
              <w:rPr>
                <w:bCs/>
                <w:sz w:val="22"/>
                <w:szCs w:val="22"/>
                <w:lang w:val="pl-PL"/>
              </w:rPr>
              <w:t xml:space="preserve"> 00 </w:t>
            </w:r>
          </w:p>
          <w:p w14:paraId="4762854E" w14:textId="77777777" w:rsidR="00EF3A68" w:rsidRPr="00EF3A68" w:rsidRDefault="00EF3A68" w:rsidP="00306419">
            <w:pPr>
              <w:keepNext/>
              <w:rPr>
                <w:sz w:val="22"/>
                <w:szCs w:val="22"/>
                <w:lang w:val="pl-PL"/>
              </w:rPr>
            </w:pPr>
          </w:p>
        </w:tc>
      </w:tr>
      <w:tr w:rsidR="00EF3A68" w:rsidRPr="00EF3A68" w14:paraId="34C0CE4E" w14:textId="77777777" w:rsidTr="00AD6D66">
        <w:trPr>
          <w:trHeight w:val="989"/>
        </w:trPr>
        <w:tc>
          <w:tcPr>
            <w:tcW w:w="4678" w:type="dxa"/>
            <w:gridSpan w:val="2"/>
          </w:tcPr>
          <w:p w14:paraId="19CEACFD" w14:textId="77777777" w:rsidR="00EF3A68" w:rsidRPr="00EF3A68" w:rsidRDefault="00EF3A68" w:rsidP="00EF3A68">
            <w:pPr>
              <w:rPr>
                <w:b/>
                <w:bCs/>
                <w:sz w:val="22"/>
                <w:szCs w:val="22"/>
                <w:lang w:val="fr-FR"/>
              </w:rPr>
            </w:pPr>
            <w:r w:rsidRPr="00EF3A68">
              <w:rPr>
                <w:b/>
                <w:bCs/>
                <w:sz w:val="22"/>
                <w:szCs w:val="22"/>
                <w:lang w:val="fr-FR"/>
              </w:rPr>
              <w:t>France</w:t>
            </w:r>
          </w:p>
          <w:p w14:paraId="28CF3004" w14:textId="77777777" w:rsidR="00EF3A68" w:rsidRPr="00EF3A68" w:rsidRDefault="00EF3A68" w:rsidP="00EF3A68">
            <w:pPr>
              <w:rPr>
                <w:bCs/>
                <w:sz w:val="22"/>
                <w:szCs w:val="22"/>
                <w:lang w:val="fr-FR"/>
              </w:rPr>
            </w:pPr>
            <w:r w:rsidRPr="00EF3A68">
              <w:rPr>
                <w:bCs/>
                <w:sz w:val="22"/>
                <w:szCs w:val="22"/>
                <w:lang w:val="fr-FR"/>
              </w:rPr>
              <w:t>AbbVie</w:t>
            </w:r>
          </w:p>
          <w:p w14:paraId="2F71D595" w14:textId="77777777" w:rsidR="00EF3A68" w:rsidRPr="00EF3A68" w:rsidRDefault="00EF3A68" w:rsidP="00EF3A68">
            <w:pPr>
              <w:rPr>
                <w:bCs/>
                <w:sz w:val="22"/>
                <w:szCs w:val="22"/>
                <w:lang w:val="fr-FR"/>
              </w:rPr>
            </w:pPr>
            <w:r w:rsidRPr="00EF3A68">
              <w:rPr>
                <w:bCs/>
                <w:sz w:val="22"/>
                <w:szCs w:val="22"/>
                <w:lang w:val="fr-FR"/>
              </w:rPr>
              <w:t>Tél: +33 (0)1 45 60 13 00</w:t>
            </w:r>
          </w:p>
          <w:p w14:paraId="3D1B7D96" w14:textId="77777777" w:rsidR="00EF3A68" w:rsidRPr="00EF3A68" w:rsidRDefault="00EF3A68" w:rsidP="00EF3A68">
            <w:pPr>
              <w:rPr>
                <w:bCs/>
                <w:sz w:val="22"/>
                <w:szCs w:val="22"/>
                <w:lang w:val="pt-PT"/>
              </w:rPr>
            </w:pPr>
          </w:p>
        </w:tc>
        <w:tc>
          <w:tcPr>
            <w:tcW w:w="4678" w:type="dxa"/>
          </w:tcPr>
          <w:p w14:paraId="62ADAFC4" w14:textId="77777777" w:rsidR="00EF3A68" w:rsidRPr="00EF3A68" w:rsidRDefault="00EF3A68" w:rsidP="00EF3A68">
            <w:pPr>
              <w:rPr>
                <w:b/>
                <w:bCs/>
                <w:sz w:val="22"/>
                <w:szCs w:val="22"/>
                <w:lang w:val="pt-PT"/>
              </w:rPr>
            </w:pPr>
            <w:r w:rsidRPr="00EF3A68">
              <w:rPr>
                <w:b/>
                <w:bCs/>
                <w:sz w:val="22"/>
                <w:szCs w:val="22"/>
                <w:lang w:val="pt-PT"/>
              </w:rPr>
              <w:t>Portugal</w:t>
            </w:r>
          </w:p>
          <w:p w14:paraId="3C3CEEF6" w14:textId="77777777" w:rsidR="00EF3A68" w:rsidRPr="00EF3A68" w:rsidRDefault="00EF3A68" w:rsidP="00EF3A68">
            <w:pPr>
              <w:rPr>
                <w:bCs/>
                <w:sz w:val="22"/>
                <w:szCs w:val="22"/>
                <w:lang w:val="fr-FR"/>
              </w:rPr>
            </w:pPr>
            <w:r w:rsidRPr="00EF3A68">
              <w:rPr>
                <w:bCs/>
                <w:sz w:val="22"/>
                <w:szCs w:val="22"/>
                <w:lang w:val="fr-FR"/>
              </w:rPr>
              <w:t xml:space="preserve">AbbVie, Lda. </w:t>
            </w:r>
          </w:p>
          <w:p w14:paraId="08A81768" w14:textId="77777777" w:rsidR="00EF3A68" w:rsidRPr="00EF3A68" w:rsidRDefault="00EF3A68" w:rsidP="00EF3A68">
            <w:pPr>
              <w:rPr>
                <w:sz w:val="22"/>
                <w:szCs w:val="22"/>
                <w:lang w:val="fr-FR"/>
              </w:rPr>
            </w:pPr>
            <w:r w:rsidRPr="00EF3A68">
              <w:rPr>
                <w:sz w:val="22"/>
                <w:szCs w:val="22"/>
                <w:lang w:val="fr-FR"/>
              </w:rPr>
              <w:t>Tel: +351 (0)21 1908400</w:t>
            </w:r>
          </w:p>
          <w:p w14:paraId="3396A190" w14:textId="77777777" w:rsidR="00EF3A68" w:rsidRPr="00EF3A68" w:rsidRDefault="00EF3A68" w:rsidP="00EF3A68">
            <w:pPr>
              <w:rPr>
                <w:sz w:val="22"/>
                <w:szCs w:val="22"/>
                <w:lang w:val="pl-PL"/>
              </w:rPr>
            </w:pPr>
          </w:p>
        </w:tc>
      </w:tr>
      <w:tr w:rsidR="00EF3A68" w:rsidRPr="00EF3A68" w14:paraId="25E761AE" w14:textId="77777777" w:rsidTr="00AD6D66">
        <w:trPr>
          <w:trHeight w:val="989"/>
        </w:trPr>
        <w:tc>
          <w:tcPr>
            <w:tcW w:w="4678" w:type="dxa"/>
            <w:gridSpan w:val="2"/>
          </w:tcPr>
          <w:p w14:paraId="63B75AA1" w14:textId="77777777" w:rsidR="00EF3A68" w:rsidRPr="00EF3A68" w:rsidRDefault="00EF3A68" w:rsidP="00EF3A68">
            <w:pPr>
              <w:autoSpaceDE w:val="0"/>
              <w:autoSpaceDN w:val="0"/>
              <w:adjustRightInd w:val="0"/>
              <w:rPr>
                <w:sz w:val="22"/>
                <w:szCs w:val="22"/>
                <w:lang w:val="pt-PT" w:eastAsia="en-GB"/>
              </w:rPr>
            </w:pPr>
            <w:r w:rsidRPr="00EF3A68">
              <w:rPr>
                <w:b/>
                <w:bCs/>
                <w:sz w:val="22"/>
                <w:szCs w:val="22"/>
                <w:lang w:val="pt-PT" w:eastAsia="en-GB"/>
              </w:rPr>
              <w:t xml:space="preserve">Hrvatska </w:t>
            </w:r>
          </w:p>
          <w:p w14:paraId="0C1CB998" w14:textId="77777777" w:rsidR="00EF3A68" w:rsidRPr="00EF3A68" w:rsidRDefault="00EF3A68" w:rsidP="00EF3A68">
            <w:pPr>
              <w:rPr>
                <w:sz w:val="22"/>
                <w:szCs w:val="22"/>
                <w:lang w:val="hr-HR"/>
              </w:rPr>
            </w:pPr>
            <w:r w:rsidRPr="00EF3A68">
              <w:rPr>
                <w:sz w:val="22"/>
                <w:szCs w:val="22"/>
                <w:lang w:val="hr-HR"/>
              </w:rPr>
              <w:t>AbbVie d.o.o.</w:t>
            </w:r>
          </w:p>
          <w:p w14:paraId="4508AD4C" w14:textId="77777777" w:rsidR="00EF3A68" w:rsidRPr="00EF3A68" w:rsidRDefault="00EF3A68" w:rsidP="00EF3A68">
            <w:pPr>
              <w:rPr>
                <w:color w:val="1F497D"/>
                <w:sz w:val="22"/>
                <w:szCs w:val="22"/>
                <w:lang w:val="en-US"/>
              </w:rPr>
            </w:pPr>
            <w:r w:rsidRPr="00EF3A68">
              <w:rPr>
                <w:sz w:val="22"/>
                <w:szCs w:val="22"/>
                <w:lang w:val="hr-HR"/>
              </w:rPr>
              <w:t xml:space="preserve">Tel: +385 (0)1 </w:t>
            </w:r>
            <w:r w:rsidRPr="00EF3A68">
              <w:rPr>
                <w:sz w:val="22"/>
                <w:szCs w:val="22"/>
                <w:lang w:val="en-US"/>
              </w:rPr>
              <w:t>5625 501</w:t>
            </w:r>
          </w:p>
        </w:tc>
        <w:tc>
          <w:tcPr>
            <w:tcW w:w="4678" w:type="dxa"/>
          </w:tcPr>
          <w:p w14:paraId="78ED1579" w14:textId="77777777" w:rsidR="00EF3A68" w:rsidRPr="00EF3A68" w:rsidRDefault="00EF3A68" w:rsidP="00EF3A68">
            <w:pPr>
              <w:tabs>
                <w:tab w:val="left" w:pos="562"/>
              </w:tabs>
              <w:suppressAutoHyphens/>
              <w:rPr>
                <w:b/>
                <w:bCs/>
                <w:sz w:val="22"/>
                <w:szCs w:val="22"/>
                <w:lang w:val="en-US"/>
              </w:rPr>
            </w:pPr>
            <w:r w:rsidRPr="00EF3A68">
              <w:rPr>
                <w:b/>
                <w:bCs/>
                <w:sz w:val="22"/>
                <w:szCs w:val="22"/>
                <w:lang w:val="en-US"/>
              </w:rPr>
              <w:t>România</w:t>
            </w:r>
          </w:p>
          <w:p w14:paraId="3A5DAD22" w14:textId="77777777" w:rsidR="00EF3A68" w:rsidRPr="00EF3A68" w:rsidRDefault="00EF3A68" w:rsidP="00EF3A68">
            <w:pPr>
              <w:rPr>
                <w:rFonts w:eastAsia="MS Mincho"/>
                <w:color w:val="000000"/>
                <w:sz w:val="22"/>
                <w:szCs w:val="22"/>
                <w:lang w:eastAsia="ja-JP"/>
              </w:rPr>
            </w:pPr>
            <w:r w:rsidRPr="00EF3A68">
              <w:rPr>
                <w:rFonts w:eastAsia="MS Mincho"/>
                <w:color w:val="000000"/>
                <w:sz w:val="22"/>
                <w:szCs w:val="22"/>
                <w:lang w:eastAsia="ja-JP"/>
              </w:rPr>
              <w:t>AbbVie S.R.L.</w:t>
            </w:r>
          </w:p>
          <w:p w14:paraId="36C7B3AA" w14:textId="77777777" w:rsidR="00EF3A68" w:rsidRPr="00EF3A68" w:rsidRDefault="00EF3A68" w:rsidP="00EF3A68">
            <w:pPr>
              <w:rPr>
                <w:sz w:val="22"/>
                <w:szCs w:val="22"/>
                <w:lang w:val="pl-PL"/>
              </w:rPr>
            </w:pPr>
            <w:r w:rsidRPr="00EF3A68">
              <w:rPr>
                <w:sz w:val="22"/>
                <w:szCs w:val="22"/>
                <w:lang w:val="pl-PL"/>
              </w:rPr>
              <w:t>Tel: +40 21 529 30 35</w:t>
            </w:r>
          </w:p>
          <w:p w14:paraId="26445115" w14:textId="77777777" w:rsidR="00EF3A68" w:rsidRPr="00EF3A68" w:rsidRDefault="00EF3A68" w:rsidP="00EF3A68">
            <w:pPr>
              <w:tabs>
                <w:tab w:val="left" w:pos="562"/>
              </w:tabs>
              <w:suppressAutoHyphens/>
              <w:rPr>
                <w:b/>
                <w:bCs/>
                <w:sz w:val="22"/>
                <w:szCs w:val="22"/>
                <w:lang w:val="en-US"/>
              </w:rPr>
            </w:pPr>
          </w:p>
        </w:tc>
      </w:tr>
      <w:tr w:rsidR="00EF3A68" w:rsidRPr="00EF3A68" w14:paraId="6E1ECCC9" w14:textId="77777777" w:rsidTr="00AD6D66">
        <w:trPr>
          <w:gridBefore w:val="1"/>
          <w:wBefore w:w="34" w:type="dxa"/>
        </w:trPr>
        <w:tc>
          <w:tcPr>
            <w:tcW w:w="4644" w:type="dxa"/>
          </w:tcPr>
          <w:p w14:paraId="389B1BE4" w14:textId="77777777" w:rsidR="00EF3A68" w:rsidRPr="00EF3A68" w:rsidRDefault="00EF3A68" w:rsidP="00EF3A68">
            <w:pPr>
              <w:rPr>
                <w:b/>
                <w:bCs/>
                <w:sz w:val="22"/>
                <w:szCs w:val="22"/>
              </w:rPr>
            </w:pPr>
            <w:r w:rsidRPr="00EF3A68">
              <w:rPr>
                <w:b/>
                <w:bCs/>
                <w:sz w:val="22"/>
                <w:szCs w:val="22"/>
              </w:rPr>
              <w:t>Ireland</w:t>
            </w:r>
          </w:p>
          <w:p w14:paraId="3189BED7" w14:textId="77777777" w:rsidR="00EF3A68" w:rsidRPr="00EF3A68" w:rsidRDefault="00EF3A68" w:rsidP="00EF3A68">
            <w:pPr>
              <w:rPr>
                <w:bCs/>
                <w:sz w:val="22"/>
                <w:szCs w:val="22"/>
              </w:rPr>
            </w:pPr>
            <w:r w:rsidRPr="00EF3A68">
              <w:rPr>
                <w:bCs/>
                <w:sz w:val="22"/>
                <w:szCs w:val="22"/>
              </w:rPr>
              <w:t xml:space="preserve">AbbVie Limited </w:t>
            </w:r>
          </w:p>
          <w:p w14:paraId="0C6AFCC0" w14:textId="77777777" w:rsidR="00EF3A68" w:rsidRPr="00EF3A68" w:rsidRDefault="00EF3A68" w:rsidP="00EF3A68">
            <w:pPr>
              <w:rPr>
                <w:bCs/>
                <w:sz w:val="22"/>
                <w:szCs w:val="22"/>
                <w:lang w:val="it-IT"/>
              </w:rPr>
            </w:pPr>
            <w:r w:rsidRPr="00EF3A68">
              <w:rPr>
                <w:bCs/>
                <w:sz w:val="22"/>
                <w:szCs w:val="22"/>
                <w:lang w:val="pt-PT"/>
              </w:rPr>
              <w:t>Tel: +353 (0)1 4287900</w:t>
            </w:r>
          </w:p>
        </w:tc>
        <w:tc>
          <w:tcPr>
            <w:tcW w:w="4678" w:type="dxa"/>
          </w:tcPr>
          <w:p w14:paraId="7F6EFF87" w14:textId="77777777" w:rsidR="00EF3A68" w:rsidRPr="00EF3A68" w:rsidRDefault="00EF3A68" w:rsidP="00EF3A68">
            <w:pPr>
              <w:rPr>
                <w:b/>
                <w:bCs/>
                <w:sz w:val="22"/>
                <w:szCs w:val="22"/>
                <w:lang w:val="sl-SI"/>
              </w:rPr>
            </w:pPr>
            <w:r w:rsidRPr="00EF3A68">
              <w:rPr>
                <w:b/>
                <w:bCs/>
                <w:sz w:val="22"/>
                <w:szCs w:val="22"/>
                <w:lang w:val="sl-SI"/>
              </w:rPr>
              <w:t>Slovenija</w:t>
            </w:r>
          </w:p>
          <w:p w14:paraId="604DDD92" w14:textId="77777777" w:rsidR="00EF3A68" w:rsidRPr="00EF3A68" w:rsidRDefault="00EF3A68" w:rsidP="00EF3A68">
            <w:pPr>
              <w:rPr>
                <w:bCs/>
                <w:sz w:val="22"/>
                <w:szCs w:val="22"/>
                <w:lang w:val="sl-SI"/>
              </w:rPr>
            </w:pPr>
            <w:r w:rsidRPr="00EF3A68">
              <w:rPr>
                <w:bCs/>
                <w:sz w:val="22"/>
                <w:szCs w:val="22"/>
                <w:lang w:val="sl-SI"/>
              </w:rPr>
              <w:t>AbbVie Biofarmacevtska družba d.o.o.</w:t>
            </w:r>
          </w:p>
          <w:p w14:paraId="263A09E0" w14:textId="77777777" w:rsidR="00EF3A68" w:rsidRPr="00EF3A68" w:rsidRDefault="00EF3A68" w:rsidP="00EF3A68">
            <w:pPr>
              <w:rPr>
                <w:bCs/>
                <w:sz w:val="22"/>
                <w:szCs w:val="22"/>
                <w:lang w:val="sl-SI"/>
              </w:rPr>
            </w:pPr>
            <w:r w:rsidRPr="00EF3A68">
              <w:rPr>
                <w:bCs/>
                <w:sz w:val="22"/>
                <w:szCs w:val="22"/>
                <w:lang w:val="sl-SI"/>
              </w:rPr>
              <w:t>Tel: +386 (1)32 08 060</w:t>
            </w:r>
          </w:p>
          <w:p w14:paraId="1B999611" w14:textId="77777777" w:rsidR="00EF3A68" w:rsidRPr="00EF3A68" w:rsidRDefault="00EF3A68" w:rsidP="00EF3A68">
            <w:pPr>
              <w:rPr>
                <w:bCs/>
                <w:sz w:val="22"/>
                <w:szCs w:val="22"/>
                <w:lang w:val="sk-SK"/>
              </w:rPr>
            </w:pPr>
          </w:p>
        </w:tc>
      </w:tr>
      <w:tr w:rsidR="00EF3A68" w:rsidRPr="00EF3A68" w14:paraId="11986F41" w14:textId="77777777" w:rsidTr="00AD6D66">
        <w:trPr>
          <w:gridBefore w:val="1"/>
          <w:wBefore w:w="34" w:type="dxa"/>
        </w:trPr>
        <w:tc>
          <w:tcPr>
            <w:tcW w:w="4644" w:type="dxa"/>
          </w:tcPr>
          <w:p w14:paraId="2EA32738" w14:textId="77777777" w:rsidR="00EF3A68" w:rsidRPr="00EF3A68" w:rsidRDefault="00EF3A68" w:rsidP="00EF3A68">
            <w:pPr>
              <w:rPr>
                <w:b/>
                <w:bCs/>
                <w:sz w:val="22"/>
                <w:szCs w:val="22"/>
                <w:lang w:val="is-IS"/>
              </w:rPr>
            </w:pPr>
            <w:r w:rsidRPr="00EF3A68">
              <w:rPr>
                <w:b/>
                <w:bCs/>
                <w:sz w:val="22"/>
                <w:szCs w:val="22"/>
                <w:lang w:val="is-IS"/>
              </w:rPr>
              <w:t>Ísland</w:t>
            </w:r>
          </w:p>
          <w:p w14:paraId="44244DE9" w14:textId="77777777" w:rsidR="00EF3A68" w:rsidRPr="00EF3A68" w:rsidRDefault="00EF3A68" w:rsidP="00EF3A68">
            <w:pPr>
              <w:rPr>
                <w:bCs/>
                <w:sz w:val="22"/>
                <w:szCs w:val="22"/>
              </w:rPr>
            </w:pPr>
            <w:r w:rsidRPr="00EF3A68">
              <w:rPr>
                <w:bCs/>
                <w:sz w:val="22"/>
                <w:szCs w:val="22"/>
              </w:rPr>
              <w:t>Vistor hf.</w:t>
            </w:r>
          </w:p>
          <w:p w14:paraId="3FCDB0D2" w14:textId="77777777" w:rsidR="00EF3A68" w:rsidRPr="00EF3A68" w:rsidRDefault="00EF3A68" w:rsidP="00EF3A68">
            <w:pPr>
              <w:rPr>
                <w:bCs/>
                <w:sz w:val="22"/>
                <w:szCs w:val="22"/>
              </w:rPr>
            </w:pPr>
            <w:r w:rsidRPr="00EF3A68">
              <w:rPr>
                <w:bCs/>
                <w:sz w:val="22"/>
                <w:szCs w:val="22"/>
              </w:rPr>
              <w:t>Tel: +354 535 7000</w:t>
            </w:r>
          </w:p>
          <w:p w14:paraId="51054593" w14:textId="77777777" w:rsidR="00EF3A68" w:rsidRPr="00EF3A68" w:rsidRDefault="00EF3A68" w:rsidP="00EF3A68">
            <w:pPr>
              <w:rPr>
                <w:bCs/>
                <w:sz w:val="22"/>
                <w:szCs w:val="22"/>
              </w:rPr>
            </w:pPr>
          </w:p>
        </w:tc>
        <w:tc>
          <w:tcPr>
            <w:tcW w:w="4678" w:type="dxa"/>
          </w:tcPr>
          <w:p w14:paraId="524AF7B6" w14:textId="77777777" w:rsidR="00EF3A68" w:rsidRPr="00EF3A68" w:rsidRDefault="00EF3A68" w:rsidP="00EF3A68">
            <w:pPr>
              <w:rPr>
                <w:b/>
                <w:bCs/>
                <w:sz w:val="22"/>
                <w:szCs w:val="22"/>
                <w:lang w:val="sk-SK"/>
              </w:rPr>
            </w:pPr>
            <w:r w:rsidRPr="00EF3A68">
              <w:rPr>
                <w:b/>
                <w:bCs/>
                <w:sz w:val="22"/>
                <w:szCs w:val="22"/>
                <w:lang w:val="sk-SK"/>
              </w:rPr>
              <w:t>Slovenská republika</w:t>
            </w:r>
          </w:p>
          <w:p w14:paraId="210DDCC2" w14:textId="77777777" w:rsidR="00EF3A68" w:rsidRPr="00EF3A68" w:rsidRDefault="00EF3A68" w:rsidP="00EF3A68">
            <w:pPr>
              <w:rPr>
                <w:bCs/>
                <w:sz w:val="22"/>
                <w:szCs w:val="22"/>
                <w:lang w:val="sk-SK"/>
              </w:rPr>
            </w:pPr>
            <w:r w:rsidRPr="00EF3A68">
              <w:rPr>
                <w:bCs/>
                <w:sz w:val="22"/>
                <w:szCs w:val="22"/>
                <w:lang w:val="sk-SK"/>
              </w:rPr>
              <w:t>AbbVie s.r.o.</w:t>
            </w:r>
          </w:p>
          <w:p w14:paraId="2BDAB793" w14:textId="77777777" w:rsidR="00EF3A68" w:rsidRPr="00EF3A68" w:rsidRDefault="00EF3A68" w:rsidP="00EF3A68">
            <w:pPr>
              <w:rPr>
                <w:bCs/>
                <w:sz w:val="22"/>
                <w:szCs w:val="22"/>
                <w:lang w:val="sk-SK"/>
              </w:rPr>
            </w:pPr>
            <w:r w:rsidRPr="00EF3A68">
              <w:rPr>
                <w:bCs/>
                <w:sz w:val="22"/>
                <w:szCs w:val="22"/>
                <w:lang w:val="sk-SK"/>
              </w:rPr>
              <w:t>Tel: +421 2 5050 0777</w:t>
            </w:r>
          </w:p>
          <w:p w14:paraId="00C1459E" w14:textId="77777777" w:rsidR="00EF3A68" w:rsidRPr="00EF3A68" w:rsidRDefault="00EF3A68" w:rsidP="00EF3A68">
            <w:pPr>
              <w:rPr>
                <w:bCs/>
                <w:sz w:val="22"/>
                <w:szCs w:val="22"/>
                <w:lang w:val="it-IT"/>
              </w:rPr>
            </w:pPr>
          </w:p>
        </w:tc>
      </w:tr>
      <w:tr w:rsidR="00EF3A68" w:rsidRPr="00EF3A68" w14:paraId="580E7223" w14:textId="77777777" w:rsidTr="00AD6D66">
        <w:trPr>
          <w:gridBefore w:val="1"/>
          <w:wBefore w:w="34" w:type="dxa"/>
        </w:trPr>
        <w:tc>
          <w:tcPr>
            <w:tcW w:w="4644" w:type="dxa"/>
          </w:tcPr>
          <w:p w14:paraId="1FF0D494" w14:textId="77777777" w:rsidR="00EF3A68" w:rsidRPr="00EF3A68" w:rsidRDefault="00EF3A68" w:rsidP="00EF3A68">
            <w:pPr>
              <w:rPr>
                <w:b/>
                <w:bCs/>
                <w:sz w:val="22"/>
                <w:szCs w:val="22"/>
                <w:lang w:val="it-IT"/>
              </w:rPr>
            </w:pPr>
            <w:r w:rsidRPr="00EF3A68">
              <w:rPr>
                <w:b/>
                <w:bCs/>
                <w:sz w:val="22"/>
                <w:szCs w:val="22"/>
                <w:lang w:val="it-IT"/>
              </w:rPr>
              <w:t>Italia</w:t>
            </w:r>
          </w:p>
          <w:p w14:paraId="7517E713" w14:textId="77777777" w:rsidR="00EF3A68" w:rsidRPr="00EF3A68" w:rsidRDefault="00EF3A68" w:rsidP="00EF3A68">
            <w:pPr>
              <w:tabs>
                <w:tab w:val="left" w:pos="562"/>
              </w:tabs>
              <w:spacing w:line="260" w:lineRule="exact"/>
              <w:rPr>
                <w:bCs/>
                <w:sz w:val="22"/>
                <w:szCs w:val="22"/>
                <w:lang w:val="pt-PT"/>
              </w:rPr>
            </w:pPr>
            <w:r w:rsidRPr="00EF3A68">
              <w:rPr>
                <w:bCs/>
                <w:sz w:val="22"/>
                <w:szCs w:val="22"/>
                <w:lang w:val="pt-PT"/>
              </w:rPr>
              <w:t xml:space="preserve">AbbVie S.r.l. </w:t>
            </w:r>
          </w:p>
          <w:p w14:paraId="3108BA07" w14:textId="77777777" w:rsidR="00EF3A68" w:rsidRPr="00EF3A68" w:rsidRDefault="00EF3A68" w:rsidP="00EF3A68">
            <w:pPr>
              <w:tabs>
                <w:tab w:val="left" w:pos="562"/>
              </w:tabs>
              <w:spacing w:line="260" w:lineRule="exact"/>
              <w:rPr>
                <w:bCs/>
                <w:sz w:val="22"/>
                <w:szCs w:val="22"/>
                <w:lang w:val="en-US"/>
              </w:rPr>
            </w:pPr>
            <w:r w:rsidRPr="00EF3A68">
              <w:rPr>
                <w:bCs/>
                <w:sz w:val="22"/>
                <w:szCs w:val="22"/>
                <w:lang w:val="fr-FR"/>
              </w:rPr>
              <w:t>Tel: +39 06 928921</w:t>
            </w:r>
          </w:p>
        </w:tc>
        <w:tc>
          <w:tcPr>
            <w:tcW w:w="4678" w:type="dxa"/>
          </w:tcPr>
          <w:p w14:paraId="36D572FD" w14:textId="77777777" w:rsidR="00EF3A68" w:rsidRPr="00922746" w:rsidRDefault="00EF3A68" w:rsidP="00EF3A68">
            <w:pPr>
              <w:rPr>
                <w:b/>
                <w:bCs/>
                <w:sz w:val="22"/>
                <w:szCs w:val="22"/>
                <w:lang w:val="en-US"/>
              </w:rPr>
            </w:pPr>
            <w:r w:rsidRPr="00922746">
              <w:rPr>
                <w:b/>
                <w:bCs/>
                <w:sz w:val="22"/>
                <w:szCs w:val="22"/>
                <w:lang w:val="en-US"/>
              </w:rPr>
              <w:t>Suomi/Finland</w:t>
            </w:r>
          </w:p>
          <w:p w14:paraId="35A92296" w14:textId="77777777" w:rsidR="00EF3A68" w:rsidRPr="00EF3A68" w:rsidRDefault="00EF3A68" w:rsidP="00EF3A68">
            <w:pPr>
              <w:rPr>
                <w:bCs/>
                <w:sz w:val="22"/>
                <w:szCs w:val="22"/>
                <w:lang w:val="en-US"/>
              </w:rPr>
            </w:pPr>
            <w:r w:rsidRPr="00EF3A68">
              <w:rPr>
                <w:bCs/>
                <w:sz w:val="22"/>
                <w:szCs w:val="22"/>
              </w:rPr>
              <w:t>AbbVie</w:t>
            </w:r>
            <w:r w:rsidRPr="00EF3A68">
              <w:rPr>
                <w:bCs/>
                <w:sz w:val="22"/>
                <w:szCs w:val="22"/>
                <w:lang w:val="en-US"/>
              </w:rPr>
              <w:t xml:space="preserve"> </w:t>
            </w:r>
            <w:r w:rsidRPr="00EF3A68">
              <w:rPr>
                <w:bCs/>
                <w:sz w:val="22"/>
                <w:szCs w:val="22"/>
              </w:rPr>
              <w:t>Oy</w:t>
            </w:r>
            <w:r w:rsidRPr="00EF3A68">
              <w:rPr>
                <w:bCs/>
                <w:sz w:val="22"/>
                <w:szCs w:val="22"/>
                <w:lang w:val="en-US"/>
              </w:rPr>
              <w:t xml:space="preserve"> </w:t>
            </w:r>
          </w:p>
          <w:p w14:paraId="34A0A3B1" w14:textId="77777777" w:rsidR="00EF3A68" w:rsidRPr="00922746" w:rsidRDefault="00EF3A68" w:rsidP="00EF3A68">
            <w:pPr>
              <w:rPr>
                <w:bCs/>
                <w:sz w:val="22"/>
                <w:szCs w:val="22"/>
                <w:lang w:val="en-US"/>
              </w:rPr>
            </w:pPr>
            <w:r w:rsidRPr="00EF3A68">
              <w:rPr>
                <w:bCs/>
                <w:sz w:val="22"/>
                <w:szCs w:val="22"/>
              </w:rPr>
              <w:t>Puh/Tel: +358 (0)</w:t>
            </w:r>
            <w:r w:rsidR="006A1C1B">
              <w:t xml:space="preserve"> </w:t>
            </w:r>
            <w:r w:rsidR="006A1C1B" w:rsidRPr="0017061C">
              <w:rPr>
                <w:sz w:val="22"/>
                <w:szCs w:val="22"/>
              </w:rPr>
              <w:t>10 2411 200</w:t>
            </w:r>
          </w:p>
          <w:p w14:paraId="11B496EB" w14:textId="77777777" w:rsidR="00EF3A68" w:rsidRPr="00EF3A68" w:rsidRDefault="00EF3A68" w:rsidP="00EF3A68">
            <w:pPr>
              <w:rPr>
                <w:bCs/>
                <w:sz w:val="22"/>
                <w:szCs w:val="22"/>
                <w:lang w:val="it-IT"/>
              </w:rPr>
            </w:pPr>
          </w:p>
        </w:tc>
      </w:tr>
      <w:tr w:rsidR="00EF3A68" w:rsidRPr="00EF3A68" w14:paraId="33D186D6" w14:textId="77777777" w:rsidTr="00AD6D66">
        <w:trPr>
          <w:gridBefore w:val="1"/>
          <w:wBefore w:w="34" w:type="dxa"/>
        </w:trPr>
        <w:tc>
          <w:tcPr>
            <w:tcW w:w="4644" w:type="dxa"/>
          </w:tcPr>
          <w:p w14:paraId="3D3D8E78" w14:textId="77777777" w:rsidR="00EF3A68" w:rsidRPr="00EF3A68" w:rsidRDefault="00EF3A68" w:rsidP="00EF3A68">
            <w:pPr>
              <w:rPr>
                <w:b/>
                <w:bCs/>
                <w:sz w:val="22"/>
                <w:szCs w:val="22"/>
                <w:lang w:val="el-GR"/>
              </w:rPr>
            </w:pPr>
            <w:r w:rsidRPr="00EF3A68">
              <w:rPr>
                <w:b/>
                <w:bCs/>
                <w:sz w:val="22"/>
                <w:szCs w:val="22"/>
                <w:lang w:val="el-GR"/>
              </w:rPr>
              <w:t>Κύπρος</w:t>
            </w:r>
          </w:p>
          <w:p w14:paraId="7D8F5EB1" w14:textId="77777777" w:rsidR="00EF3A68" w:rsidRPr="00EF3A68" w:rsidRDefault="00EF3A68" w:rsidP="00EF3A68">
            <w:pPr>
              <w:rPr>
                <w:bCs/>
                <w:sz w:val="22"/>
                <w:szCs w:val="22"/>
                <w:lang w:val="el-GR"/>
              </w:rPr>
            </w:pPr>
            <w:r w:rsidRPr="00EF3A68">
              <w:rPr>
                <w:bCs/>
                <w:sz w:val="22"/>
                <w:szCs w:val="22"/>
                <w:lang w:val="it-IT"/>
              </w:rPr>
              <w:t>Lifepharma (Z.A.M.) Ltd</w:t>
            </w:r>
          </w:p>
          <w:p w14:paraId="0030A8FC" w14:textId="77777777" w:rsidR="00EF3A68" w:rsidRPr="00EF3A68" w:rsidRDefault="00EF3A68" w:rsidP="00EF3A68">
            <w:pPr>
              <w:rPr>
                <w:bCs/>
                <w:sz w:val="22"/>
                <w:szCs w:val="22"/>
                <w:lang w:val="fi-FI"/>
              </w:rPr>
            </w:pPr>
            <w:r w:rsidRPr="00EF3A68">
              <w:rPr>
                <w:bCs/>
                <w:sz w:val="22"/>
                <w:szCs w:val="22"/>
                <w:lang w:val="el-GR"/>
              </w:rPr>
              <w:t>Τηλ: +357 22 34 74 40</w:t>
            </w:r>
          </w:p>
        </w:tc>
        <w:tc>
          <w:tcPr>
            <w:tcW w:w="4678" w:type="dxa"/>
          </w:tcPr>
          <w:p w14:paraId="65CF889D" w14:textId="77777777" w:rsidR="00EF3A68" w:rsidRPr="00EF3A68" w:rsidRDefault="00EF3A68" w:rsidP="00EF3A68">
            <w:pPr>
              <w:rPr>
                <w:b/>
                <w:bCs/>
                <w:sz w:val="22"/>
                <w:szCs w:val="22"/>
                <w:lang w:val="sv-SE"/>
              </w:rPr>
            </w:pPr>
            <w:r w:rsidRPr="00EF3A68">
              <w:rPr>
                <w:b/>
                <w:bCs/>
                <w:sz w:val="22"/>
                <w:szCs w:val="22"/>
                <w:lang w:val="sv-SE"/>
              </w:rPr>
              <w:t>Sverige</w:t>
            </w:r>
          </w:p>
          <w:p w14:paraId="65B8CA4C" w14:textId="77777777" w:rsidR="00EF3A68" w:rsidRPr="00EF3A68" w:rsidRDefault="00EF3A68" w:rsidP="00EF3A68">
            <w:pPr>
              <w:rPr>
                <w:bCs/>
                <w:sz w:val="22"/>
                <w:szCs w:val="22"/>
                <w:lang w:val="pt-PT"/>
              </w:rPr>
            </w:pPr>
            <w:r w:rsidRPr="00EF3A68">
              <w:rPr>
                <w:bCs/>
                <w:sz w:val="22"/>
                <w:szCs w:val="22"/>
                <w:lang w:val="pt-PT"/>
              </w:rPr>
              <w:t>AbbVie AB</w:t>
            </w:r>
          </w:p>
          <w:p w14:paraId="7D35B6F9" w14:textId="77777777" w:rsidR="00EF3A68" w:rsidRPr="00EF3A68" w:rsidRDefault="00EF3A68" w:rsidP="00EF3A68">
            <w:pPr>
              <w:rPr>
                <w:bCs/>
                <w:sz w:val="22"/>
                <w:szCs w:val="22"/>
                <w:lang w:val="sv-SE"/>
              </w:rPr>
            </w:pPr>
            <w:r w:rsidRPr="00EF3A68">
              <w:rPr>
                <w:bCs/>
                <w:sz w:val="22"/>
                <w:szCs w:val="22"/>
                <w:lang w:val="da-DK"/>
              </w:rPr>
              <w:t>Tel: +46 (0)8 684 44 600</w:t>
            </w:r>
          </w:p>
          <w:p w14:paraId="10B967D8" w14:textId="77777777" w:rsidR="00EF3A68" w:rsidRPr="00EF3A68" w:rsidRDefault="00EF3A68" w:rsidP="00EF3A68">
            <w:pPr>
              <w:rPr>
                <w:bCs/>
                <w:sz w:val="22"/>
                <w:szCs w:val="22"/>
                <w:lang w:val="sv-SE"/>
              </w:rPr>
            </w:pPr>
          </w:p>
        </w:tc>
      </w:tr>
      <w:tr w:rsidR="00EF3A68" w:rsidRPr="00EF3A68" w14:paraId="143F05F0" w14:textId="77777777" w:rsidTr="00AD6D66">
        <w:trPr>
          <w:gridBefore w:val="1"/>
          <w:wBefore w:w="34" w:type="dxa"/>
          <w:cantSplit/>
          <w:trHeight w:val="887"/>
        </w:trPr>
        <w:tc>
          <w:tcPr>
            <w:tcW w:w="4644" w:type="dxa"/>
          </w:tcPr>
          <w:p w14:paraId="082E9085" w14:textId="77777777" w:rsidR="00EF3A68" w:rsidRPr="00EF3A68" w:rsidRDefault="00EF3A68" w:rsidP="00EF3A68">
            <w:pPr>
              <w:rPr>
                <w:b/>
                <w:bCs/>
                <w:sz w:val="22"/>
                <w:szCs w:val="22"/>
                <w:lang w:val="lv-LV"/>
              </w:rPr>
            </w:pPr>
            <w:r w:rsidRPr="00EF3A68">
              <w:rPr>
                <w:b/>
                <w:bCs/>
                <w:sz w:val="22"/>
                <w:szCs w:val="22"/>
                <w:lang w:val="lv-LV"/>
              </w:rPr>
              <w:t>Latvija</w:t>
            </w:r>
          </w:p>
          <w:p w14:paraId="7D6AEA72" w14:textId="77777777" w:rsidR="00EF3A68" w:rsidRPr="00EF3A68" w:rsidRDefault="00EF3A68" w:rsidP="00EF3A68">
            <w:pPr>
              <w:rPr>
                <w:bCs/>
                <w:sz w:val="22"/>
                <w:szCs w:val="22"/>
                <w:lang w:val="lv-LV"/>
              </w:rPr>
            </w:pPr>
            <w:r w:rsidRPr="00EF3A68">
              <w:rPr>
                <w:bCs/>
                <w:sz w:val="22"/>
                <w:szCs w:val="22"/>
                <w:lang w:val="lv-LV"/>
              </w:rPr>
              <w:t xml:space="preserve">AbbVie SIA </w:t>
            </w:r>
          </w:p>
          <w:p w14:paraId="09B11718" w14:textId="77777777" w:rsidR="00EF3A68" w:rsidRPr="00EF3A68" w:rsidRDefault="00EF3A68" w:rsidP="00EF3A68">
            <w:pPr>
              <w:rPr>
                <w:bCs/>
                <w:sz w:val="22"/>
                <w:szCs w:val="22"/>
                <w:lang w:val="lv-LV"/>
              </w:rPr>
            </w:pPr>
            <w:r w:rsidRPr="00EF3A68">
              <w:rPr>
                <w:bCs/>
                <w:sz w:val="22"/>
                <w:szCs w:val="22"/>
                <w:lang w:val="lv-LV"/>
              </w:rPr>
              <w:t>Tel: +371 67605000</w:t>
            </w:r>
          </w:p>
          <w:p w14:paraId="69CFBAF9" w14:textId="77777777" w:rsidR="00EF3A68" w:rsidRPr="00EF3A68" w:rsidRDefault="00EF3A68" w:rsidP="00EF3A68">
            <w:pPr>
              <w:rPr>
                <w:bCs/>
                <w:sz w:val="22"/>
                <w:szCs w:val="22"/>
                <w:lang w:val="lv-LV"/>
              </w:rPr>
            </w:pPr>
          </w:p>
        </w:tc>
        <w:tc>
          <w:tcPr>
            <w:tcW w:w="4678" w:type="dxa"/>
          </w:tcPr>
          <w:p w14:paraId="6144D8B1" w14:textId="7E6E5DCD" w:rsidR="00EF3A68" w:rsidRPr="00EF3A68" w:rsidRDefault="00EF3A68" w:rsidP="00EF3A68">
            <w:pPr>
              <w:rPr>
                <w:b/>
                <w:bCs/>
                <w:sz w:val="22"/>
                <w:szCs w:val="22"/>
              </w:rPr>
            </w:pPr>
            <w:r w:rsidRPr="00EF3A68">
              <w:rPr>
                <w:b/>
                <w:bCs/>
                <w:sz w:val="22"/>
                <w:szCs w:val="22"/>
              </w:rPr>
              <w:t>United Kingdom</w:t>
            </w:r>
            <w:r w:rsidR="009F0A5D" w:rsidRPr="00062463">
              <w:rPr>
                <w:b/>
                <w:bCs/>
                <w:sz w:val="22"/>
                <w:szCs w:val="22"/>
              </w:rPr>
              <w:t xml:space="preserve"> (Northern Ireland)</w:t>
            </w:r>
          </w:p>
          <w:p w14:paraId="2939F045" w14:textId="45AD7CA0" w:rsidR="00EF3A68" w:rsidRPr="00EF3A68" w:rsidRDefault="001A02FD" w:rsidP="00EF3A68">
            <w:pPr>
              <w:rPr>
                <w:bCs/>
                <w:sz w:val="22"/>
                <w:szCs w:val="22"/>
              </w:rPr>
            </w:pPr>
            <w:r w:rsidRPr="004443D2">
              <w:rPr>
                <w:bCs/>
                <w:sz w:val="22"/>
                <w:szCs w:val="22"/>
              </w:rPr>
              <w:t>AbbVie Deutschland GmbH &amp; Co. KG</w:t>
            </w:r>
          </w:p>
          <w:p w14:paraId="2EC3451C" w14:textId="77777777" w:rsidR="00EF3A68" w:rsidRPr="00EF3A68" w:rsidRDefault="00EF3A68" w:rsidP="00EF3A68">
            <w:pPr>
              <w:rPr>
                <w:bCs/>
                <w:sz w:val="22"/>
                <w:szCs w:val="22"/>
                <w:lang w:val="lv-LV"/>
              </w:rPr>
            </w:pPr>
            <w:r w:rsidRPr="00EF3A68">
              <w:rPr>
                <w:bCs/>
                <w:sz w:val="22"/>
                <w:szCs w:val="22"/>
              </w:rPr>
              <w:t>Tel: +44 (0)1628 561090</w:t>
            </w:r>
          </w:p>
        </w:tc>
      </w:tr>
    </w:tbl>
    <w:p w14:paraId="50D37598" w14:textId="77777777" w:rsidR="00EF3A68" w:rsidRDefault="00EF3A68">
      <w:pPr>
        <w:pStyle w:val="EMEANormal"/>
        <w:rPr>
          <w:b/>
          <w:lang w:val="en-GB"/>
        </w:rPr>
      </w:pPr>
    </w:p>
    <w:p w14:paraId="5B5324E7" w14:textId="77777777" w:rsidR="00277ECB" w:rsidRPr="00342F7C" w:rsidRDefault="00277ECB">
      <w:pPr>
        <w:pStyle w:val="EMEANormal"/>
        <w:rPr>
          <w:lang w:val="en-GB"/>
        </w:rPr>
      </w:pPr>
      <w:r w:rsidRPr="00342F7C">
        <w:rPr>
          <w:b/>
          <w:lang w:val="en-GB"/>
        </w:rPr>
        <w:t xml:space="preserve">This leaflet was last </w:t>
      </w:r>
      <w:r w:rsidR="00097EED">
        <w:rPr>
          <w:b/>
          <w:lang w:val="en-GB"/>
        </w:rPr>
        <w:t>revised</w:t>
      </w:r>
      <w:r w:rsidR="00097EED" w:rsidRPr="00342F7C">
        <w:rPr>
          <w:b/>
          <w:lang w:val="en-GB"/>
        </w:rPr>
        <w:t xml:space="preserve"> </w:t>
      </w:r>
      <w:r w:rsidRPr="00342F7C">
        <w:rPr>
          <w:b/>
          <w:lang w:val="en-GB"/>
        </w:rPr>
        <w:t>in</w:t>
      </w:r>
      <w:r w:rsidRPr="00342F7C">
        <w:rPr>
          <w:lang w:val="en-GB"/>
        </w:rPr>
        <w:t>: {MM/YYYY}</w:t>
      </w:r>
    </w:p>
    <w:p w14:paraId="1FBBA635" w14:textId="77777777" w:rsidR="00277ECB" w:rsidRDefault="00277ECB">
      <w:pPr>
        <w:pStyle w:val="EMEANormal"/>
        <w:rPr>
          <w:lang w:val="en-GB"/>
        </w:rPr>
      </w:pPr>
    </w:p>
    <w:p w14:paraId="7CE4157E" w14:textId="77777777" w:rsidR="002F0947" w:rsidRPr="00342F7C" w:rsidRDefault="002F0947" w:rsidP="002F0947">
      <w:pPr>
        <w:pStyle w:val="EMEANormal"/>
        <w:rPr>
          <w:lang w:val="en-GB"/>
        </w:rPr>
      </w:pPr>
      <w:r>
        <w:rPr>
          <w:lang w:val="en-GB"/>
        </w:rPr>
        <w:t>Detailed information on this medicine is available on the European Medicines Agency web site: http://www.ema.europa.eu.</w:t>
      </w:r>
    </w:p>
    <w:p w14:paraId="55198599" w14:textId="77777777" w:rsidR="002F0947" w:rsidRPr="00342F7C" w:rsidRDefault="002F0947">
      <w:pPr>
        <w:pStyle w:val="EMEANormal"/>
        <w:rPr>
          <w:lang w:val="en-GB"/>
        </w:rPr>
      </w:pPr>
    </w:p>
    <w:p w14:paraId="4F271E1D" w14:textId="77777777" w:rsidR="00277ECB" w:rsidRDefault="00277ECB" w:rsidP="005C68A8">
      <w:pPr>
        <w:pStyle w:val="EMEAHeadingLeaflet"/>
        <w:tabs>
          <w:tab w:val="clear" w:pos="562"/>
        </w:tabs>
        <w:spacing w:beforeLines="0" w:before="0" w:afterLines="0" w:after="0"/>
        <w:jc w:val="center"/>
        <w:rPr>
          <w:rFonts w:ascii="Times New Roman" w:hAnsi="Times New Roman"/>
          <w:lang w:val="en-GB"/>
        </w:rPr>
      </w:pPr>
      <w:r w:rsidRPr="00342F7C">
        <w:rPr>
          <w:rFonts w:ascii="Times New Roman" w:hAnsi="Times New Roman"/>
          <w:lang w:val="en-GB"/>
        </w:rPr>
        <w:br w:type="page"/>
      </w:r>
      <w:r w:rsidR="00097EED">
        <w:rPr>
          <w:rFonts w:ascii="Times New Roman" w:hAnsi="Times New Roman"/>
          <w:lang w:val="en-GB"/>
        </w:rPr>
        <w:t>P</w:t>
      </w:r>
      <w:r w:rsidR="0075514E">
        <w:rPr>
          <w:rFonts w:ascii="Times New Roman" w:hAnsi="Times New Roman"/>
          <w:lang w:val="en-GB"/>
        </w:rPr>
        <w:t>ackage l</w:t>
      </w:r>
      <w:r w:rsidR="00097EED">
        <w:rPr>
          <w:rFonts w:ascii="Times New Roman" w:hAnsi="Times New Roman"/>
          <w:lang w:val="en-GB"/>
        </w:rPr>
        <w:t>eaflet</w:t>
      </w:r>
      <w:r w:rsidR="0075514E">
        <w:rPr>
          <w:rFonts w:ascii="Times New Roman" w:hAnsi="Times New Roman"/>
          <w:lang w:val="en-GB"/>
        </w:rPr>
        <w:t>:</w:t>
      </w:r>
      <w:r w:rsidR="00097EED">
        <w:rPr>
          <w:rFonts w:ascii="Times New Roman" w:hAnsi="Times New Roman"/>
          <w:lang w:val="en-GB"/>
        </w:rPr>
        <w:t xml:space="preserve"> Information </w:t>
      </w:r>
      <w:r w:rsidR="0075514E">
        <w:rPr>
          <w:rFonts w:ascii="Times New Roman" w:hAnsi="Times New Roman"/>
          <w:lang w:val="en-GB"/>
        </w:rPr>
        <w:t>for the u</w:t>
      </w:r>
      <w:r w:rsidR="00097EED">
        <w:rPr>
          <w:rFonts w:ascii="Times New Roman" w:hAnsi="Times New Roman"/>
          <w:lang w:val="en-GB"/>
        </w:rPr>
        <w:t>ser</w:t>
      </w:r>
    </w:p>
    <w:p w14:paraId="2ABB2F14" w14:textId="77777777" w:rsidR="005C68A8" w:rsidRPr="005C68A8" w:rsidRDefault="005C68A8" w:rsidP="005C68A8">
      <w:pPr>
        <w:pStyle w:val="EMEANormal"/>
        <w:rPr>
          <w:lang w:val="en-GB"/>
        </w:rPr>
      </w:pPr>
    </w:p>
    <w:p w14:paraId="6A09E55C" w14:textId="77777777" w:rsidR="00277ECB" w:rsidRPr="00342F7C" w:rsidRDefault="0068223A">
      <w:pPr>
        <w:pStyle w:val="EMEANormal"/>
        <w:jc w:val="center"/>
        <w:rPr>
          <w:b/>
          <w:bCs/>
          <w:lang w:val="en-GB"/>
        </w:rPr>
      </w:pPr>
      <w:r>
        <w:rPr>
          <w:b/>
          <w:bCs/>
          <w:lang w:val="en-GB"/>
        </w:rPr>
        <w:t>Kaletra</w:t>
      </w:r>
      <w:r w:rsidRPr="00342F7C">
        <w:rPr>
          <w:b/>
          <w:bCs/>
          <w:lang w:val="en-GB"/>
        </w:rPr>
        <w:t xml:space="preserve"> </w:t>
      </w:r>
      <w:r w:rsidR="006D283F">
        <w:rPr>
          <w:b/>
          <w:bCs/>
          <w:lang w:val="en-GB"/>
        </w:rPr>
        <w:t>200 mg/50 </w:t>
      </w:r>
      <w:r w:rsidR="00277ECB" w:rsidRPr="00342F7C">
        <w:rPr>
          <w:b/>
          <w:bCs/>
          <w:lang w:val="en-GB"/>
        </w:rPr>
        <w:t>mg film</w:t>
      </w:r>
      <w:r w:rsidR="00277ECB" w:rsidRPr="00342F7C">
        <w:rPr>
          <w:b/>
          <w:bCs/>
          <w:lang w:val="en-GB"/>
        </w:rPr>
        <w:noBreakHyphen/>
        <w:t>coated tablets</w:t>
      </w:r>
    </w:p>
    <w:p w14:paraId="18B0E51F" w14:textId="77777777" w:rsidR="00277ECB" w:rsidRPr="00342F7C" w:rsidRDefault="00277ECB">
      <w:pPr>
        <w:pStyle w:val="EMEANormal"/>
        <w:jc w:val="center"/>
        <w:rPr>
          <w:lang w:val="en-GB"/>
        </w:rPr>
      </w:pPr>
      <w:r w:rsidRPr="00342F7C">
        <w:rPr>
          <w:lang w:val="en-GB"/>
        </w:rPr>
        <w:t>lopinavir/ritonavir</w:t>
      </w:r>
    </w:p>
    <w:p w14:paraId="5552A2EA" w14:textId="77777777" w:rsidR="00277ECB" w:rsidRPr="00342F7C" w:rsidRDefault="00277ECB">
      <w:pPr>
        <w:pStyle w:val="EMEANormal"/>
        <w:rPr>
          <w:lang w:val="en-GB"/>
        </w:rPr>
      </w:pPr>
    </w:p>
    <w:p w14:paraId="5E40BDE1" w14:textId="77777777" w:rsidR="00277ECB" w:rsidRPr="00342F7C" w:rsidRDefault="00277ECB">
      <w:pPr>
        <w:pStyle w:val="EMEANormal"/>
        <w:rPr>
          <w:b/>
          <w:bCs/>
          <w:lang w:val="en-GB"/>
        </w:rPr>
      </w:pPr>
      <w:r w:rsidRPr="00342F7C">
        <w:rPr>
          <w:b/>
          <w:bCs/>
          <w:lang w:val="en-GB"/>
        </w:rPr>
        <w:t>Read all of this leaflet carefully before you start taking this medicine</w:t>
      </w:r>
      <w:r w:rsidR="00620B62">
        <w:rPr>
          <w:b/>
          <w:bCs/>
          <w:lang w:val="en-GB"/>
        </w:rPr>
        <w:t xml:space="preserve"> because it contains important information for you</w:t>
      </w:r>
      <w:r w:rsidR="008261FE">
        <w:rPr>
          <w:b/>
          <w:bCs/>
          <w:lang w:val="en-GB"/>
        </w:rPr>
        <w:t xml:space="preserve"> or your child</w:t>
      </w:r>
      <w:r w:rsidRPr="00342F7C">
        <w:rPr>
          <w:b/>
          <w:bCs/>
          <w:lang w:val="en-GB"/>
        </w:rPr>
        <w:t>.</w:t>
      </w:r>
    </w:p>
    <w:p w14:paraId="74C13687" w14:textId="77777777" w:rsidR="00277ECB" w:rsidRPr="00342F7C" w:rsidRDefault="00277ECB" w:rsidP="0052761E">
      <w:pPr>
        <w:pStyle w:val="EMEABullet"/>
        <w:numPr>
          <w:ilvl w:val="0"/>
          <w:numId w:val="53"/>
        </w:numPr>
        <w:tabs>
          <w:tab w:val="clear" w:pos="709"/>
          <w:tab w:val="num" w:pos="567"/>
        </w:tabs>
        <w:ind w:left="567"/>
        <w:rPr>
          <w:lang w:val="en-GB"/>
        </w:rPr>
      </w:pPr>
      <w:r w:rsidRPr="00342F7C">
        <w:rPr>
          <w:lang w:val="en-GB"/>
        </w:rPr>
        <w:t xml:space="preserve">Keep this leaflet. </w:t>
      </w:r>
      <w:r w:rsidR="001B0216" w:rsidRPr="00342F7C">
        <w:rPr>
          <w:lang w:val="en-GB"/>
        </w:rPr>
        <w:t xml:space="preserve"> </w:t>
      </w:r>
      <w:r w:rsidRPr="00342F7C">
        <w:rPr>
          <w:lang w:val="en-GB"/>
        </w:rPr>
        <w:t>You may need to read it again.</w:t>
      </w:r>
    </w:p>
    <w:p w14:paraId="3355D86C" w14:textId="77777777" w:rsidR="00277ECB" w:rsidRPr="00342F7C" w:rsidRDefault="00277ECB" w:rsidP="0052761E">
      <w:pPr>
        <w:pStyle w:val="EMEABullet"/>
        <w:numPr>
          <w:ilvl w:val="0"/>
          <w:numId w:val="53"/>
        </w:numPr>
        <w:tabs>
          <w:tab w:val="clear" w:pos="709"/>
          <w:tab w:val="num" w:pos="567"/>
        </w:tabs>
        <w:ind w:left="567"/>
        <w:rPr>
          <w:lang w:val="en-GB"/>
        </w:rPr>
      </w:pPr>
      <w:r w:rsidRPr="00342F7C">
        <w:rPr>
          <w:lang w:val="en-GB"/>
        </w:rPr>
        <w:t>If you have any further questions, ask your doctor or pharmacist</w:t>
      </w:r>
      <w:r w:rsidR="00232FA6">
        <w:rPr>
          <w:lang w:val="en-GB"/>
        </w:rPr>
        <w:t>.</w:t>
      </w:r>
    </w:p>
    <w:p w14:paraId="7F5C78FA" w14:textId="77777777" w:rsidR="00277ECB" w:rsidRPr="00342F7C" w:rsidRDefault="00277ECB" w:rsidP="0052761E">
      <w:pPr>
        <w:pStyle w:val="EMEABullet"/>
        <w:numPr>
          <w:ilvl w:val="0"/>
          <w:numId w:val="53"/>
        </w:numPr>
        <w:tabs>
          <w:tab w:val="clear" w:pos="709"/>
          <w:tab w:val="num" w:pos="567"/>
        </w:tabs>
        <w:ind w:left="567"/>
        <w:rPr>
          <w:lang w:val="en-GB"/>
        </w:rPr>
      </w:pPr>
      <w:r w:rsidRPr="00342F7C">
        <w:rPr>
          <w:lang w:val="en-GB"/>
        </w:rPr>
        <w:t>This medicine has been prescribed for you</w:t>
      </w:r>
      <w:r w:rsidR="00620B62">
        <w:rPr>
          <w:lang w:val="en-GB"/>
        </w:rPr>
        <w:t xml:space="preserve"> </w:t>
      </w:r>
      <w:r w:rsidR="00B00279">
        <w:rPr>
          <w:lang w:val="en-GB"/>
        </w:rPr>
        <w:t xml:space="preserve">or your child </w:t>
      </w:r>
      <w:r w:rsidR="00620B62">
        <w:rPr>
          <w:lang w:val="en-GB"/>
        </w:rPr>
        <w:t>only</w:t>
      </w:r>
      <w:r w:rsidRPr="00342F7C">
        <w:rPr>
          <w:lang w:val="en-GB"/>
        </w:rPr>
        <w:t>.</w:t>
      </w:r>
      <w:r w:rsidR="001B0216" w:rsidRPr="00342F7C">
        <w:rPr>
          <w:lang w:val="en-GB"/>
        </w:rPr>
        <w:t xml:space="preserve"> </w:t>
      </w:r>
      <w:r w:rsidRPr="00342F7C">
        <w:rPr>
          <w:lang w:val="en-GB"/>
        </w:rPr>
        <w:t xml:space="preserve"> Do not pass it on</w:t>
      </w:r>
      <w:r w:rsidR="00EB3C76">
        <w:rPr>
          <w:lang w:val="en-GB"/>
        </w:rPr>
        <w:t xml:space="preserve"> </w:t>
      </w:r>
      <w:r w:rsidRPr="00342F7C">
        <w:rPr>
          <w:lang w:val="en-GB"/>
        </w:rPr>
        <w:t xml:space="preserve">to others. </w:t>
      </w:r>
      <w:r w:rsidR="001B0216" w:rsidRPr="00342F7C">
        <w:rPr>
          <w:lang w:val="en-GB"/>
        </w:rPr>
        <w:t xml:space="preserve"> </w:t>
      </w:r>
      <w:r w:rsidRPr="00342F7C">
        <w:rPr>
          <w:lang w:val="en-GB"/>
        </w:rPr>
        <w:t xml:space="preserve">It may harm them, even if their </w:t>
      </w:r>
      <w:r w:rsidR="00620B62">
        <w:rPr>
          <w:lang w:val="en-GB"/>
        </w:rPr>
        <w:t>signs of illness</w:t>
      </w:r>
      <w:r w:rsidR="00620B62" w:rsidRPr="00342F7C">
        <w:rPr>
          <w:lang w:val="en-GB"/>
        </w:rPr>
        <w:t xml:space="preserve"> </w:t>
      </w:r>
      <w:r w:rsidRPr="00342F7C">
        <w:rPr>
          <w:lang w:val="en-GB"/>
        </w:rPr>
        <w:t>are the same as yours.</w:t>
      </w:r>
    </w:p>
    <w:p w14:paraId="199A158B" w14:textId="77777777" w:rsidR="00277ECB" w:rsidRPr="00342F7C" w:rsidRDefault="00277ECB" w:rsidP="0052761E">
      <w:pPr>
        <w:pStyle w:val="EMEABullet"/>
        <w:numPr>
          <w:ilvl w:val="0"/>
          <w:numId w:val="53"/>
        </w:numPr>
        <w:tabs>
          <w:tab w:val="clear" w:pos="709"/>
          <w:tab w:val="num" w:pos="567"/>
        </w:tabs>
        <w:ind w:left="567"/>
        <w:rPr>
          <w:lang w:val="en-GB"/>
        </w:rPr>
      </w:pPr>
      <w:r w:rsidRPr="00342F7C">
        <w:rPr>
          <w:lang w:val="en-GB"/>
        </w:rPr>
        <w:t xml:space="preserve">If </w:t>
      </w:r>
      <w:r w:rsidR="00620B62">
        <w:rPr>
          <w:lang w:val="en-GB"/>
        </w:rPr>
        <w:t xml:space="preserve">you get </w:t>
      </w:r>
      <w:r w:rsidRPr="00342F7C">
        <w:rPr>
          <w:lang w:val="en-GB"/>
        </w:rPr>
        <w:t xml:space="preserve">any </w:t>
      </w:r>
      <w:r w:rsidR="00A6410E">
        <w:rPr>
          <w:lang w:val="en-GB"/>
        </w:rPr>
        <w:t xml:space="preserve">side </w:t>
      </w:r>
      <w:r w:rsidRPr="00342F7C">
        <w:rPr>
          <w:lang w:val="en-GB"/>
        </w:rPr>
        <w:t>effects</w:t>
      </w:r>
      <w:r w:rsidR="00620B62">
        <w:rPr>
          <w:lang w:val="en-GB"/>
        </w:rPr>
        <w:t>, talk to your doctor or pharmacist.  This includes any possible side effects not listed in this leaflet.  See section 4</w:t>
      </w:r>
      <w:r w:rsidRPr="00342F7C">
        <w:rPr>
          <w:lang w:val="en-GB"/>
        </w:rPr>
        <w:t>.</w:t>
      </w:r>
    </w:p>
    <w:p w14:paraId="47393FC0" w14:textId="77777777" w:rsidR="00277ECB" w:rsidRPr="00342F7C" w:rsidRDefault="00277ECB">
      <w:pPr>
        <w:pStyle w:val="EMEANormal"/>
        <w:rPr>
          <w:lang w:val="en-GB"/>
        </w:rPr>
      </w:pPr>
    </w:p>
    <w:p w14:paraId="7A4F82D0" w14:textId="77777777" w:rsidR="00277ECB" w:rsidRPr="00342F7C" w:rsidRDefault="004B013F">
      <w:pPr>
        <w:pStyle w:val="EMEANormal"/>
        <w:rPr>
          <w:b/>
          <w:bCs/>
          <w:lang w:val="en-GB"/>
        </w:rPr>
      </w:pPr>
      <w:r>
        <w:rPr>
          <w:b/>
          <w:bCs/>
          <w:lang w:val="en-GB"/>
        </w:rPr>
        <w:t>What is i</w:t>
      </w:r>
      <w:r w:rsidR="00277ECB" w:rsidRPr="00342F7C">
        <w:rPr>
          <w:b/>
          <w:bCs/>
          <w:lang w:val="en-GB"/>
        </w:rPr>
        <w:t>n this leaflet:</w:t>
      </w:r>
    </w:p>
    <w:p w14:paraId="575A4C23" w14:textId="77777777" w:rsidR="00277ECB" w:rsidRPr="00342F7C" w:rsidRDefault="00277ECB">
      <w:pPr>
        <w:pStyle w:val="EMEANormal"/>
        <w:rPr>
          <w:lang w:val="en-GB"/>
        </w:rPr>
      </w:pPr>
      <w:r w:rsidRPr="00342F7C">
        <w:rPr>
          <w:lang w:val="en-GB"/>
        </w:rPr>
        <w:t>1.</w:t>
      </w:r>
      <w:r w:rsidRPr="00342F7C">
        <w:rPr>
          <w:lang w:val="en-GB"/>
        </w:rPr>
        <w:tab/>
        <w:t>What Kaletra is and what it is used for</w:t>
      </w:r>
    </w:p>
    <w:p w14:paraId="3E27CE2E" w14:textId="77777777" w:rsidR="00277ECB" w:rsidRPr="00342F7C" w:rsidRDefault="00277ECB">
      <w:pPr>
        <w:pStyle w:val="EMEANormal"/>
        <w:rPr>
          <w:lang w:val="en-GB"/>
        </w:rPr>
      </w:pPr>
      <w:r w:rsidRPr="00342F7C">
        <w:rPr>
          <w:lang w:val="en-GB"/>
        </w:rPr>
        <w:t>2.</w:t>
      </w:r>
      <w:r w:rsidRPr="00342F7C">
        <w:rPr>
          <w:lang w:val="en-GB"/>
        </w:rPr>
        <w:tab/>
      </w:r>
      <w:r w:rsidR="00620B62">
        <w:rPr>
          <w:lang w:val="en-GB"/>
        </w:rPr>
        <w:t>What</w:t>
      </w:r>
      <w:r w:rsidR="00620B62" w:rsidRPr="00342F7C">
        <w:rPr>
          <w:lang w:val="en-GB"/>
        </w:rPr>
        <w:t xml:space="preserve"> </w:t>
      </w:r>
      <w:r w:rsidRPr="00342F7C">
        <w:rPr>
          <w:lang w:val="en-GB"/>
        </w:rPr>
        <w:t xml:space="preserve">you </w:t>
      </w:r>
      <w:r w:rsidR="00620B62">
        <w:rPr>
          <w:lang w:val="en-GB"/>
        </w:rPr>
        <w:t xml:space="preserve">need to know before you </w:t>
      </w:r>
      <w:r w:rsidR="008261FE">
        <w:rPr>
          <w:lang w:val="en-GB"/>
        </w:rPr>
        <w:t xml:space="preserve">or your child </w:t>
      </w:r>
      <w:r w:rsidRPr="00342F7C">
        <w:rPr>
          <w:lang w:val="en-GB"/>
        </w:rPr>
        <w:t>take</w:t>
      </w:r>
      <w:r w:rsidR="00BD5486">
        <w:rPr>
          <w:lang w:val="en-GB"/>
        </w:rPr>
        <w:t>s</w:t>
      </w:r>
      <w:r w:rsidRPr="00342F7C">
        <w:rPr>
          <w:lang w:val="en-GB"/>
        </w:rPr>
        <w:t xml:space="preserve"> Kaletra</w:t>
      </w:r>
    </w:p>
    <w:p w14:paraId="181D9108" w14:textId="77777777" w:rsidR="00277ECB" w:rsidRPr="00342F7C" w:rsidRDefault="00277ECB">
      <w:pPr>
        <w:pStyle w:val="EMEANormal"/>
        <w:rPr>
          <w:lang w:val="en-GB"/>
        </w:rPr>
      </w:pPr>
      <w:r w:rsidRPr="00342F7C">
        <w:rPr>
          <w:lang w:val="en-GB"/>
        </w:rPr>
        <w:t>3.</w:t>
      </w:r>
      <w:r w:rsidRPr="00342F7C">
        <w:rPr>
          <w:lang w:val="en-GB"/>
        </w:rPr>
        <w:tab/>
        <w:t>How to take Kaletra</w:t>
      </w:r>
    </w:p>
    <w:p w14:paraId="41519CF9" w14:textId="77777777" w:rsidR="00277ECB" w:rsidRPr="00342F7C" w:rsidRDefault="00277ECB">
      <w:pPr>
        <w:pStyle w:val="EMEANormal"/>
        <w:rPr>
          <w:lang w:val="en-GB"/>
        </w:rPr>
      </w:pPr>
      <w:r w:rsidRPr="00342F7C">
        <w:rPr>
          <w:lang w:val="en-GB"/>
        </w:rPr>
        <w:t>4.</w:t>
      </w:r>
      <w:r w:rsidRPr="00342F7C">
        <w:rPr>
          <w:lang w:val="en-GB"/>
        </w:rPr>
        <w:tab/>
        <w:t>Possible side effects</w:t>
      </w:r>
    </w:p>
    <w:p w14:paraId="72FFD7B8" w14:textId="77777777" w:rsidR="00277ECB" w:rsidRPr="00342F7C" w:rsidRDefault="00277ECB">
      <w:pPr>
        <w:pStyle w:val="EMEANormal"/>
        <w:rPr>
          <w:lang w:val="en-GB"/>
        </w:rPr>
      </w:pPr>
      <w:r w:rsidRPr="00342F7C">
        <w:rPr>
          <w:lang w:val="en-GB"/>
        </w:rPr>
        <w:t>5.</w:t>
      </w:r>
      <w:r w:rsidRPr="00342F7C">
        <w:rPr>
          <w:lang w:val="en-GB"/>
        </w:rPr>
        <w:tab/>
        <w:t>How to store Kaletra</w:t>
      </w:r>
    </w:p>
    <w:p w14:paraId="5C0390D3" w14:textId="77777777" w:rsidR="00277ECB" w:rsidRDefault="00277ECB">
      <w:pPr>
        <w:pStyle w:val="EMEANormal"/>
        <w:rPr>
          <w:lang w:val="en-GB"/>
        </w:rPr>
      </w:pPr>
      <w:r w:rsidRPr="00342F7C">
        <w:rPr>
          <w:lang w:val="en-GB"/>
        </w:rPr>
        <w:t>6.</w:t>
      </w:r>
      <w:r w:rsidRPr="00342F7C">
        <w:rPr>
          <w:lang w:val="en-GB"/>
        </w:rPr>
        <w:tab/>
      </w:r>
      <w:r w:rsidR="00620B62">
        <w:rPr>
          <w:lang w:val="en-GB"/>
        </w:rPr>
        <w:t>Contents of the pack and other</w:t>
      </w:r>
      <w:r w:rsidR="00620B62" w:rsidRPr="00342F7C">
        <w:rPr>
          <w:lang w:val="en-GB"/>
        </w:rPr>
        <w:t xml:space="preserve"> </w:t>
      </w:r>
      <w:r w:rsidRPr="00342F7C">
        <w:rPr>
          <w:lang w:val="en-GB"/>
        </w:rPr>
        <w:t>information</w:t>
      </w:r>
    </w:p>
    <w:p w14:paraId="0FD7C68C" w14:textId="77777777" w:rsidR="001E36AB" w:rsidRDefault="001E36AB">
      <w:pPr>
        <w:pStyle w:val="EMEANormal"/>
        <w:rPr>
          <w:lang w:val="en-GB"/>
        </w:rPr>
      </w:pPr>
    </w:p>
    <w:p w14:paraId="63E89ECE" w14:textId="77777777" w:rsidR="001E36AB" w:rsidRPr="00342F7C" w:rsidRDefault="001E36AB">
      <w:pPr>
        <w:pStyle w:val="EMEANormal"/>
        <w:rPr>
          <w:lang w:val="en-GB"/>
        </w:rPr>
      </w:pPr>
    </w:p>
    <w:p w14:paraId="6E213CA5" w14:textId="77777777" w:rsidR="00277ECB" w:rsidRPr="00282043" w:rsidRDefault="00277ECB" w:rsidP="001E36AB">
      <w:pPr>
        <w:rPr>
          <w:b/>
          <w:sz w:val="22"/>
          <w:szCs w:val="22"/>
        </w:rPr>
      </w:pPr>
      <w:r w:rsidRPr="00282043">
        <w:rPr>
          <w:b/>
          <w:sz w:val="22"/>
          <w:szCs w:val="22"/>
        </w:rPr>
        <w:t>1.</w:t>
      </w:r>
      <w:r w:rsidRPr="00282043">
        <w:rPr>
          <w:b/>
          <w:sz w:val="22"/>
          <w:szCs w:val="22"/>
        </w:rPr>
        <w:tab/>
        <w:t>W</w:t>
      </w:r>
      <w:r w:rsidR="001E36AB" w:rsidRPr="00282043">
        <w:rPr>
          <w:b/>
          <w:sz w:val="22"/>
          <w:szCs w:val="22"/>
        </w:rPr>
        <w:t>hat Kaletra is and what it is used for</w:t>
      </w:r>
    </w:p>
    <w:p w14:paraId="0C2070CB" w14:textId="77777777" w:rsidR="001E36AB" w:rsidRPr="001E36AB" w:rsidRDefault="001E36AB" w:rsidP="001E36AB">
      <w:pPr>
        <w:rPr>
          <w:b/>
        </w:rPr>
      </w:pPr>
    </w:p>
    <w:p w14:paraId="5393D01F" w14:textId="77777777" w:rsidR="00277ECB" w:rsidRDefault="00277ECB" w:rsidP="00FE6D86">
      <w:pPr>
        <w:pStyle w:val="EMEABullet"/>
        <w:tabs>
          <w:tab w:val="clear" w:pos="709"/>
          <w:tab w:val="num" w:pos="567"/>
        </w:tabs>
        <w:ind w:left="567"/>
        <w:rPr>
          <w:lang w:val="en-GB"/>
        </w:rPr>
      </w:pPr>
      <w:r w:rsidRPr="00342F7C">
        <w:rPr>
          <w:lang w:val="en-GB"/>
        </w:rPr>
        <w:t>Your doctor has prescribed Kaletra to help to control your Human Immunodeficiency Virus (HIV) infection.  Kaletra does this by slowing down the spread of the infection in your body.</w:t>
      </w:r>
    </w:p>
    <w:p w14:paraId="68A40DD3" w14:textId="77777777" w:rsidR="00D273DB" w:rsidRPr="00342F7C" w:rsidRDefault="00D273DB" w:rsidP="00FE6D86">
      <w:pPr>
        <w:pStyle w:val="EMEABullet"/>
        <w:tabs>
          <w:tab w:val="clear" w:pos="709"/>
          <w:tab w:val="num" w:pos="567"/>
        </w:tabs>
        <w:ind w:left="567"/>
        <w:rPr>
          <w:lang w:val="en-GB"/>
        </w:rPr>
      </w:pPr>
      <w:r>
        <w:rPr>
          <w:lang w:val="en-GB"/>
        </w:rPr>
        <w:t>Kaletra is not a cure for HIV infection or AIDS.</w:t>
      </w:r>
    </w:p>
    <w:p w14:paraId="78B34C50" w14:textId="77777777" w:rsidR="00277ECB" w:rsidRPr="00342F7C" w:rsidRDefault="00277ECB" w:rsidP="00FE6D86">
      <w:pPr>
        <w:pStyle w:val="EMEABullet"/>
        <w:tabs>
          <w:tab w:val="clear" w:pos="709"/>
          <w:tab w:val="num" w:pos="567"/>
        </w:tabs>
        <w:ind w:left="567"/>
        <w:rPr>
          <w:lang w:val="en-GB"/>
        </w:rPr>
      </w:pPr>
      <w:r w:rsidRPr="00342F7C">
        <w:rPr>
          <w:lang w:val="en-GB"/>
        </w:rPr>
        <w:t>Kaletra is used by children 2 years of age or older</w:t>
      </w:r>
      <w:r w:rsidR="00620B62">
        <w:rPr>
          <w:lang w:val="en-GB"/>
        </w:rPr>
        <w:t>, adolescents</w:t>
      </w:r>
      <w:r w:rsidRPr="00342F7C">
        <w:rPr>
          <w:lang w:val="en-GB"/>
        </w:rPr>
        <w:t xml:space="preserve"> and adults who are infected with HIV, the virus which causes AIDS.  </w:t>
      </w:r>
    </w:p>
    <w:p w14:paraId="11839226" w14:textId="77777777" w:rsidR="00277ECB" w:rsidRPr="00342F7C" w:rsidRDefault="00620B62" w:rsidP="00FE6D86">
      <w:pPr>
        <w:pStyle w:val="EMEABullet"/>
        <w:tabs>
          <w:tab w:val="clear" w:pos="709"/>
          <w:tab w:val="num" w:pos="567"/>
        </w:tabs>
        <w:ind w:left="567"/>
        <w:rPr>
          <w:lang w:val="en-GB"/>
        </w:rPr>
      </w:pPr>
      <w:r>
        <w:rPr>
          <w:lang w:val="en-GB"/>
        </w:rPr>
        <w:t xml:space="preserve">Kaletra contains the active substances lopinavir and ritonavir.  </w:t>
      </w:r>
      <w:r w:rsidR="00277ECB" w:rsidRPr="00342F7C">
        <w:rPr>
          <w:lang w:val="en-GB"/>
        </w:rPr>
        <w:t>Kaletra is an antiretroviral medicine.  It belongs to a group of medicines called protease inhibitors.</w:t>
      </w:r>
    </w:p>
    <w:p w14:paraId="7F8A83A8" w14:textId="77777777" w:rsidR="00277ECB" w:rsidRDefault="00277ECB" w:rsidP="00FE6D86">
      <w:pPr>
        <w:pStyle w:val="EMEABullet"/>
        <w:tabs>
          <w:tab w:val="clear" w:pos="709"/>
          <w:tab w:val="num" w:pos="567"/>
        </w:tabs>
        <w:ind w:left="567"/>
        <w:rPr>
          <w:lang w:val="en-GB"/>
        </w:rPr>
      </w:pPr>
      <w:r w:rsidRPr="00342F7C">
        <w:rPr>
          <w:lang w:val="en-GB"/>
        </w:rPr>
        <w:t xml:space="preserve">Kaletra is prescribed for use in combination with other antiviral medicines.  Your doctor will </w:t>
      </w:r>
      <w:r w:rsidR="009C5BCD" w:rsidRPr="00342F7C">
        <w:rPr>
          <w:lang w:val="en-GB"/>
        </w:rPr>
        <w:t xml:space="preserve">discuss with you and </w:t>
      </w:r>
      <w:r w:rsidRPr="00342F7C">
        <w:rPr>
          <w:lang w:val="en-GB"/>
        </w:rPr>
        <w:t>determine which medicines are best for you.</w:t>
      </w:r>
    </w:p>
    <w:p w14:paraId="7FE9CBA6" w14:textId="77777777" w:rsidR="00DE5A55" w:rsidRDefault="00DE5A55" w:rsidP="00DE5A55">
      <w:pPr>
        <w:pStyle w:val="EMEABullet"/>
        <w:numPr>
          <w:ilvl w:val="0"/>
          <w:numId w:val="0"/>
        </w:numPr>
        <w:ind w:left="567" w:hanging="567"/>
        <w:rPr>
          <w:lang w:val="en-GB"/>
        </w:rPr>
      </w:pPr>
    </w:p>
    <w:p w14:paraId="473696D1" w14:textId="77777777" w:rsidR="00DE5A55" w:rsidRPr="00342F7C" w:rsidRDefault="00DE5A55" w:rsidP="00DE5A55">
      <w:pPr>
        <w:pStyle w:val="EMEABullet"/>
        <w:numPr>
          <w:ilvl w:val="0"/>
          <w:numId w:val="0"/>
        </w:numPr>
        <w:ind w:left="567" w:hanging="567"/>
        <w:rPr>
          <w:lang w:val="en-GB"/>
        </w:rPr>
      </w:pPr>
    </w:p>
    <w:p w14:paraId="14449EFA" w14:textId="77777777" w:rsidR="00277ECB" w:rsidRPr="00282043" w:rsidRDefault="00277ECB" w:rsidP="00DE5A55">
      <w:pPr>
        <w:rPr>
          <w:b/>
          <w:sz w:val="22"/>
          <w:szCs w:val="22"/>
        </w:rPr>
      </w:pPr>
      <w:r w:rsidRPr="00282043">
        <w:rPr>
          <w:b/>
          <w:sz w:val="22"/>
          <w:szCs w:val="22"/>
        </w:rPr>
        <w:t>2.</w:t>
      </w:r>
      <w:r w:rsidRPr="00282043">
        <w:rPr>
          <w:b/>
          <w:sz w:val="22"/>
          <w:szCs w:val="22"/>
        </w:rPr>
        <w:tab/>
      </w:r>
      <w:r w:rsidR="00DE5A55" w:rsidRPr="00282043">
        <w:rPr>
          <w:b/>
          <w:sz w:val="22"/>
          <w:szCs w:val="22"/>
        </w:rPr>
        <w:t xml:space="preserve">What you need to know before you </w:t>
      </w:r>
      <w:r w:rsidR="006D2B78" w:rsidRPr="00282043">
        <w:rPr>
          <w:b/>
          <w:sz w:val="22"/>
          <w:szCs w:val="22"/>
        </w:rPr>
        <w:t xml:space="preserve">or your child </w:t>
      </w:r>
      <w:r w:rsidR="00DE5A55" w:rsidRPr="00282043">
        <w:rPr>
          <w:b/>
          <w:sz w:val="22"/>
          <w:szCs w:val="22"/>
        </w:rPr>
        <w:t>take</w:t>
      </w:r>
      <w:r w:rsidR="00BD5486" w:rsidRPr="00282043">
        <w:rPr>
          <w:b/>
          <w:sz w:val="22"/>
          <w:szCs w:val="22"/>
        </w:rPr>
        <w:t>s</w:t>
      </w:r>
      <w:r w:rsidR="00DE5A55" w:rsidRPr="00282043">
        <w:rPr>
          <w:b/>
          <w:sz w:val="22"/>
          <w:szCs w:val="22"/>
        </w:rPr>
        <w:t xml:space="preserve"> Kaletra</w:t>
      </w:r>
    </w:p>
    <w:p w14:paraId="2793A880" w14:textId="77777777" w:rsidR="005C68A8" w:rsidRPr="00DE5A55" w:rsidRDefault="005C68A8" w:rsidP="00DE5A55">
      <w:pPr>
        <w:rPr>
          <w:b/>
        </w:rPr>
      </w:pPr>
    </w:p>
    <w:p w14:paraId="66B3FB82" w14:textId="77777777" w:rsidR="00277ECB" w:rsidRDefault="00277ECB" w:rsidP="005C68A8">
      <w:pPr>
        <w:pStyle w:val="EMEAHeadingLeaflet"/>
        <w:spacing w:beforeLines="0" w:before="0" w:afterLines="0" w:after="0"/>
        <w:rPr>
          <w:rFonts w:ascii="Times New Roman" w:hAnsi="Times New Roman"/>
          <w:lang w:val="en-GB"/>
        </w:rPr>
      </w:pPr>
      <w:r w:rsidRPr="00342F7C">
        <w:rPr>
          <w:rFonts w:ascii="Times New Roman" w:hAnsi="Times New Roman"/>
          <w:lang w:val="en-GB"/>
        </w:rPr>
        <w:t>Do not take Kaletra</w:t>
      </w:r>
    </w:p>
    <w:p w14:paraId="21C48F3B" w14:textId="77777777" w:rsidR="00277ECB" w:rsidRPr="005C68A8" w:rsidRDefault="00147237" w:rsidP="00FE6D86">
      <w:pPr>
        <w:pStyle w:val="EMEABullet"/>
        <w:tabs>
          <w:tab w:val="clear" w:pos="709"/>
          <w:tab w:val="num" w:pos="567"/>
        </w:tabs>
        <w:ind w:left="567"/>
        <w:rPr>
          <w:lang w:val="en-GB"/>
        </w:rPr>
      </w:pPr>
      <w:r>
        <w:rPr>
          <w:lang w:val="en-GB"/>
        </w:rPr>
        <w:t xml:space="preserve">if </w:t>
      </w:r>
      <w:r w:rsidR="00277ECB" w:rsidRPr="00342F7C">
        <w:rPr>
          <w:lang w:val="en-GB"/>
        </w:rPr>
        <w:t>you are allergic to lopinavir, ritonavir or any of the other ingredients of Kaletra</w:t>
      </w:r>
      <w:r w:rsidR="006D2B78">
        <w:rPr>
          <w:lang w:val="en-GB"/>
        </w:rPr>
        <w:t xml:space="preserve"> (see section 6)</w:t>
      </w:r>
      <w:r w:rsidR="00615939">
        <w:rPr>
          <w:lang w:val="en-GB"/>
        </w:rPr>
        <w:t>;</w:t>
      </w:r>
      <w:r w:rsidR="00277ECB" w:rsidRPr="00342F7C">
        <w:rPr>
          <w:lang w:val="en-GB"/>
        </w:rPr>
        <w:t xml:space="preserve"> </w:t>
      </w:r>
    </w:p>
    <w:p w14:paraId="0CB79E95" w14:textId="77777777" w:rsidR="00277ECB" w:rsidRPr="00342F7C" w:rsidRDefault="00147237" w:rsidP="00FE6D86">
      <w:pPr>
        <w:pStyle w:val="EMEABullet"/>
        <w:tabs>
          <w:tab w:val="clear" w:pos="709"/>
          <w:tab w:val="num" w:pos="567"/>
        </w:tabs>
        <w:ind w:left="567"/>
        <w:rPr>
          <w:lang w:val="en-GB"/>
        </w:rPr>
      </w:pPr>
      <w:r>
        <w:rPr>
          <w:lang w:val="en-GB"/>
        </w:rPr>
        <w:t xml:space="preserve">if </w:t>
      </w:r>
      <w:r w:rsidR="00277ECB" w:rsidRPr="00342F7C">
        <w:rPr>
          <w:lang w:val="en-GB"/>
        </w:rPr>
        <w:t>you have severe liver problems</w:t>
      </w:r>
      <w:r w:rsidR="006D2B78">
        <w:rPr>
          <w:lang w:val="en-GB"/>
        </w:rPr>
        <w:t>.</w:t>
      </w:r>
    </w:p>
    <w:p w14:paraId="7B4B6CED" w14:textId="77777777" w:rsidR="00277ECB" w:rsidRPr="00342F7C" w:rsidRDefault="00277ECB">
      <w:pPr>
        <w:pStyle w:val="EMEANormal"/>
        <w:rPr>
          <w:lang w:val="en-GB"/>
        </w:rPr>
      </w:pPr>
    </w:p>
    <w:p w14:paraId="179EC626" w14:textId="77777777" w:rsidR="00277ECB" w:rsidRPr="00342F7C" w:rsidRDefault="00277ECB">
      <w:pPr>
        <w:pStyle w:val="EMEABullet"/>
        <w:numPr>
          <w:ilvl w:val="0"/>
          <w:numId w:val="0"/>
        </w:numPr>
        <w:rPr>
          <w:lang w:val="en-GB"/>
        </w:rPr>
      </w:pPr>
      <w:r w:rsidRPr="00342F7C">
        <w:rPr>
          <w:b/>
          <w:bCs/>
          <w:lang w:val="en-GB"/>
        </w:rPr>
        <w:t>Do not take Kaletra with any of the following medicines:</w:t>
      </w:r>
    </w:p>
    <w:p w14:paraId="412451A2" w14:textId="77777777" w:rsidR="00277ECB" w:rsidRPr="00342F7C" w:rsidRDefault="006D2B78" w:rsidP="0043093C">
      <w:pPr>
        <w:pStyle w:val="EMEABullet"/>
        <w:tabs>
          <w:tab w:val="clear" w:pos="709"/>
          <w:tab w:val="num" w:pos="567"/>
        </w:tabs>
        <w:ind w:left="567"/>
      </w:pPr>
      <w:r>
        <w:t>a</w:t>
      </w:r>
      <w:r w:rsidR="00277ECB" w:rsidRPr="00342F7C">
        <w:t>stemizole or terfenadine (commonly used to treat allergy symptoms – these medicines may be available without prescription);</w:t>
      </w:r>
    </w:p>
    <w:p w14:paraId="295C85AD" w14:textId="77777777" w:rsidR="00277ECB" w:rsidRPr="00342F7C" w:rsidRDefault="006D2B78" w:rsidP="0043093C">
      <w:pPr>
        <w:pStyle w:val="EMEABullet"/>
        <w:tabs>
          <w:tab w:val="clear" w:pos="709"/>
          <w:tab w:val="num" w:pos="567"/>
        </w:tabs>
        <w:ind w:left="567"/>
      </w:pPr>
      <w:r>
        <w:t>m</w:t>
      </w:r>
      <w:r w:rsidR="00277ECB" w:rsidRPr="00342F7C">
        <w:t>idazolam taken orally (taken by mouth), triazolam (used to relieve anxiety and/or trouble sleeping);</w:t>
      </w:r>
    </w:p>
    <w:p w14:paraId="5D80FECF" w14:textId="77777777" w:rsidR="00277ECB" w:rsidRDefault="006D2B78" w:rsidP="0043093C">
      <w:pPr>
        <w:pStyle w:val="EMEABullet"/>
        <w:tabs>
          <w:tab w:val="clear" w:pos="709"/>
          <w:tab w:val="num" w:pos="567"/>
        </w:tabs>
        <w:ind w:left="567"/>
      </w:pPr>
      <w:r>
        <w:t>p</w:t>
      </w:r>
      <w:r w:rsidR="00277ECB" w:rsidRPr="00342F7C">
        <w:t>imozide (used to treat schizophrenia);</w:t>
      </w:r>
    </w:p>
    <w:p w14:paraId="38BC378C" w14:textId="77777777" w:rsidR="004737B7" w:rsidRDefault="006D2B78" w:rsidP="0043093C">
      <w:pPr>
        <w:pStyle w:val="EMEABullet"/>
        <w:tabs>
          <w:tab w:val="clear" w:pos="709"/>
          <w:tab w:val="num" w:pos="567"/>
        </w:tabs>
        <w:ind w:left="567"/>
      </w:pPr>
      <w:r>
        <w:t>q</w:t>
      </w:r>
      <w:r w:rsidR="004737B7" w:rsidRPr="00B8664C">
        <w:t>uetiapine (used to treat schizophrenia, bipolar disorder and major depressive disorder);</w:t>
      </w:r>
    </w:p>
    <w:p w14:paraId="27ABC25D" w14:textId="77777777" w:rsidR="00F072F6" w:rsidRDefault="00F072F6" w:rsidP="0043093C">
      <w:pPr>
        <w:pStyle w:val="EMEABullet"/>
        <w:tabs>
          <w:tab w:val="clear" w:pos="709"/>
          <w:tab w:val="num" w:pos="567"/>
        </w:tabs>
        <w:ind w:left="567"/>
      </w:pPr>
      <w:r w:rsidRPr="00F072F6">
        <w:t>lurasidone (used to treat depression</w:t>
      </w:r>
      <w:r w:rsidRPr="00C40BDF">
        <w:t>);</w:t>
      </w:r>
    </w:p>
    <w:p w14:paraId="034C2EB9" w14:textId="77777777" w:rsidR="00C40BDF" w:rsidRPr="00C40BDF" w:rsidRDefault="00C40BDF" w:rsidP="0043093C">
      <w:pPr>
        <w:pStyle w:val="EMEABullet"/>
        <w:tabs>
          <w:tab w:val="clear" w:pos="709"/>
          <w:tab w:val="num" w:pos="567"/>
        </w:tabs>
        <w:ind w:left="567"/>
      </w:pPr>
      <w:r>
        <w:t>ranolazine (used to treat chronic chest pain [angina]);</w:t>
      </w:r>
    </w:p>
    <w:p w14:paraId="1CA926E2" w14:textId="77777777" w:rsidR="00277ECB" w:rsidRPr="00342F7C" w:rsidRDefault="006D2B78" w:rsidP="0043093C">
      <w:pPr>
        <w:pStyle w:val="EMEABullet"/>
        <w:tabs>
          <w:tab w:val="clear" w:pos="709"/>
          <w:tab w:val="num" w:pos="567"/>
        </w:tabs>
        <w:ind w:left="567"/>
      </w:pPr>
      <w:r>
        <w:t>c</w:t>
      </w:r>
      <w:r w:rsidR="00277ECB" w:rsidRPr="00342F7C">
        <w:t>isapride (used to relieve certain stomach problems);</w:t>
      </w:r>
    </w:p>
    <w:p w14:paraId="20455E02" w14:textId="77777777" w:rsidR="00277ECB" w:rsidRPr="00342F7C" w:rsidRDefault="006D2B78" w:rsidP="0043093C">
      <w:pPr>
        <w:pStyle w:val="EMEABullet"/>
        <w:tabs>
          <w:tab w:val="clear" w:pos="709"/>
          <w:tab w:val="num" w:pos="567"/>
        </w:tabs>
        <w:ind w:left="567"/>
      </w:pPr>
      <w:r>
        <w:t>e</w:t>
      </w:r>
      <w:r w:rsidR="00277ECB" w:rsidRPr="00342F7C">
        <w:t>rgotamine, dihydroergotamine, ergonovine, methylergonovine (used to treat headaches);</w:t>
      </w:r>
    </w:p>
    <w:p w14:paraId="20343C29" w14:textId="77777777" w:rsidR="00277ECB" w:rsidRPr="00342F7C" w:rsidRDefault="006D2B78" w:rsidP="0043093C">
      <w:pPr>
        <w:pStyle w:val="EMEABullet"/>
        <w:tabs>
          <w:tab w:val="clear" w:pos="709"/>
          <w:tab w:val="num" w:pos="567"/>
        </w:tabs>
        <w:ind w:left="567"/>
      </w:pPr>
      <w:r>
        <w:t>a</w:t>
      </w:r>
      <w:r w:rsidR="00277ECB" w:rsidRPr="00342F7C">
        <w:t>miodarone</w:t>
      </w:r>
      <w:r w:rsidR="00531A5A">
        <w:t>, dronedarone</w:t>
      </w:r>
      <w:r w:rsidR="00277ECB" w:rsidRPr="00342F7C">
        <w:t xml:space="preserve"> (used to treat abnormal heart beat);</w:t>
      </w:r>
    </w:p>
    <w:p w14:paraId="0EF4A4AC" w14:textId="77777777" w:rsidR="00ED161C" w:rsidRDefault="006D2B78" w:rsidP="00ED161C">
      <w:pPr>
        <w:pStyle w:val="EMEABullet"/>
        <w:tabs>
          <w:tab w:val="num" w:pos="600"/>
        </w:tabs>
        <w:ind w:left="600" w:hanging="600"/>
        <w:rPr>
          <w:lang w:val="en-GB"/>
        </w:rPr>
      </w:pPr>
      <w:r>
        <w:rPr>
          <w:lang w:val="en-GB"/>
        </w:rPr>
        <w:t>l</w:t>
      </w:r>
      <w:r w:rsidR="002153AE" w:rsidRPr="00342F7C">
        <w:rPr>
          <w:lang w:val="en-GB"/>
        </w:rPr>
        <w:t>ovastatin, simvastatin (used to lower blood cholesterol);</w:t>
      </w:r>
    </w:p>
    <w:p w14:paraId="5A5E21AA" w14:textId="77777777" w:rsidR="00ED161C" w:rsidRDefault="002279CA" w:rsidP="00ED161C">
      <w:pPr>
        <w:pStyle w:val="EMEABullet"/>
        <w:tabs>
          <w:tab w:val="num" w:pos="600"/>
        </w:tabs>
        <w:ind w:left="600" w:hanging="600"/>
        <w:rPr>
          <w:lang w:val="en-GB"/>
        </w:rPr>
      </w:pPr>
      <w:r>
        <w:rPr>
          <w:lang w:val="en-GB"/>
        </w:rPr>
        <w:t>lomitapide (used to lower blood cholesterol);</w:t>
      </w:r>
    </w:p>
    <w:p w14:paraId="683E6606" w14:textId="77777777" w:rsidR="00BE1421" w:rsidRDefault="006D2B78" w:rsidP="00C63A89">
      <w:pPr>
        <w:pStyle w:val="EMEABullet"/>
        <w:tabs>
          <w:tab w:val="num" w:pos="600"/>
        </w:tabs>
        <w:ind w:left="600" w:hanging="600"/>
        <w:rPr>
          <w:lang w:val="en-GB"/>
        </w:rPr>
      </w:pPr>
      <w:r>
        <w:rPr>
          <w:lang w:val="en-GB"/>
        </w:rPr>
        <w:t>a</w:t>
      </w:r>
      <w:r w:rsidR="00C63A89">
        <w:rPr>
          <w:lang w:val="en-GB"/>
        </w:rPr>
        <w:t>lfuzosin (used in men to treat symptoms of an enlarged prostate (benign prostatic hyperplasia (BPH));</w:t>
      </w:r>
    </w:p>
    <w:p w14:paraId="3CDCEA44" w14:textId="77777777" w:rsidR="00C63A89" w:rsidRPr="00AC3B88" w:rsidRDefault="006D2B78" w:rsidP="00C63A89">
      <w:pPr>
        <w:pStyle w:val="EMEABullet"/>
        <w:tabs>
          <w:tab w:val="num" w:pos="600"/>
        </w:tabs>
        <w:ind w:left="601" w:hanging="601"/>
        <w:rPr>
          <w:lang w:val="en-GB"/>
        </w:rPr>
      </w:pPr>
      <w:r>
        <w:rPr>
          <w:lang w:val="en-GB"/>
        </w:rPr>
        <w:t>f</w:t>
      </w:r>
      <w:r w:rsidR="00C63A89">
        <w:rPr>
          <w:lang w:val="en-GB"/>
        </w:rPr>
        <w:t xml:space="preserve">usidic acid (used to treat skin infections caused by </w:t>
      </w:r>
      <w:r w:rsidR="00C63A89" w:rsidRPr="00ED161C">
        <w:rPr>
          <w:i/>
          <w:lang w:val="en-GB"/>
        </w:rPr>
        <w:t>Staphylococcus</w:t>
      </w:r>
      <w:r w:rsidR="00C63A89">
        <w:rPr>
          <w:lang w:val="en-GB"/>
        </w:rPr>
        <w:t xml:space="preserve"> bacteria such as impetigo and infected dermatitis</w:t>
      </w:r>
      <w:r w:rsidR="006E48E5">
        <w:rPr>
          <w:lang w:val="en-GB"/>
        </w:rPr>
        <w:t>)</w:t>
      </w:r>
      <w:r w:rsidR="00C63A89" w:rsidRPr="00AC3B88">
        <w:rPr>
          <w:lang w:val="en-GB"/>
        </w:rPr>
        <w:t>.  Fusidic acid used to treat long-term infections of the bones and joints may be taken unde</w:t>
      </w:r>
      <w:r w:rsidR="007C4B96">
        <w:rPr>
          <w:lang w:val="en-GB"/>
        </w:rPr>
        <w:t xml:space="preserve">r doctor’s supervision (see </w:t>
      </w:r>
      <w:r w:rsidR="009832C1" w:rsidRPr="00282043">
        <w:rPr>
          <w:b/>
          <w:lang w:val="en-GB"/>
        </w:rPr>
        <w:t>O</w:t>
      </w:r>
      <w:r w:rsidR="00C63A89" w:rsidRPr="00282043">
        <w:rPr>
          <w:b/>
          <w:lang w:val="en-GB"/>
        </w:rPr>
        <w:t>ther medicines</w:t>
      </w:r>
      <w:r w:rsidR="009832C1" w:rsidRPr="00282043">
        <w:rPr>
          <w:b/>
          <w:lang w:val="en-GB"/>
        </w:rPr>
        <w:t xml:space="preserve"> and Kaletra</w:t>
      </w:r>
      <w:r w:rsidR="00C63A89" w:rsidRPr="00AC3B88">
        <w:rPr>
          <w:lang w:val="en-GB"/>
        </w:rPr>
        <w:t xml:space="preserve"> section);</w:t>
      </w:r>
    </w:p>
    <w:p w14:paraId="021416BD" w14:textId="77777777" w:rsidR="00C63A89" w:rsidRDefault="006D2B78" w:rsidP="00C63A89">
      <w:pPr>
        <w:pStyle w:val="EMEABullet"/>
        <w:tabs>
          <w:tab w:val="num" w:pos="600"/>
        </w:tabs>
        <w:ind w:left="601" w:hanging="601"/>
        <w:rPr>
          <w:lang w:val="en-GB"/>
        </w:rPr>
      </w:pPr>
      <w:r>
        <w:rPr>
          <w:lang w:val="en-GB"/>
        </w:rPr>
        <w:t>c</w:t>
      </w:r>
      <w:r w:rsidR="00C63A89" w:rsidRPr="00AC3B88">
        <w:rPr>
          <w:lang w:val="en-GB"/>
        </w:rPr>
        <w:t>olchicine (</w:t>
      </w:r>
      <w:r w:rsidR="00391D50">
        <w:rPr>
          <w:lang w:val="en-GB"/>
        </w:rPr>
        <w:t>used to treat gout</w:t>
      </w:r>
      <w:r w:rsidR="00C63A89" w:rsidRPr="00AC3B88">
        <w:rPr>
          <w:lang w:val="en-GB"/>
        </w:rPr>
        <w:t xml:space="preserve">) </w:t>
      </w:r>
      <w:r w:rsidR="00391D50">
        <w:rPr>
          <w:lang w:val="en-GB"/>
        </w:rPr>
        <w:t xml:space="preserve">if you have kidney and/or liver problems (see the section on </w:t>
      </w:r>
      <w:r w:rsidR="00391D50" w:rsidRPr="006F161C">
        <w:rPr>
          <w:b/>
          <w:lang w:val="en-GB"/>
        </w:rPr>
        <w:t>Other medicines and Kaletra</w:t>
      </w:r>
      <w:r w:rsidR="00937181" w:rsidRPr="00937181">
        <w:rPr>
          <w:lang w:val="en-GB"/>
        </w:rPr>
        <w:t>)</w:t>
      </w:r>
      <w:r w:rsidR="00C63A89" w:rsidRPr="00AC3B88">
        <w:rPr>
          <w:lang w:val="en-GB"/>
        </w:rPr>
        <w:t>;</w:t>
      </w:r>
    </w:p>
    <w:p w14:paraId="57B8F094" w14:textId="77777777" w:rsidR="00472FFA" w:rsidRDefault="009C7FB5" w:rsidP="0052761E">
      <w:pPr>
        <w:pStyle w:val="EMEABullet"/>
        <w:numPr>
          <w:ilvl w:val="0"/>
          <w:numId w:val="27"/>
        </w:numPr>
        <w:tabs>
          <w:tab w:val="num" w:pos="600"/>
        </w:tabs>
        <w:ind w:left="601" w:hanging="601"/>
        <w:rPr>
          <w:lang w:val="en-GB"/>
        </w:rPr>
      </w:pPr>
      <w:r w:rsidRPr="00D273DB">
        <w:rPr>
          <w:lang w:val="en-GB"/>
        </w:rPr>
        <w:t>elbasvir/grazoprevir (used t</w:t>
      </w:r>
      <w:r w:rsidR="00F3626C">
        <w:rPr>
          <w:lang w:val="en-GB"/>
        </w:rPr>
        <w:t>o</w:t>
      </w:r>
      <w:r w:rsidRPr="00D273DB">
        <w:rPr>
          <w:lang w:val="en-GB"/>
        </w:rPr>
        <w:t xml:space="preserve"> treat chronic hepatitis C virus [HCV]);</w:t>
      </w:r>
    </w:p>
    <w:p w14:paraId="6CF24624" w14:textId="77777777" w:rsidR="00D273DB" w:rsidRDefault="00472FFA" w:rsidP="0052761E">
      <w:pPr>
        <w:pStyle w:val="EMEABullet"/>
        <w:numPr>
          <w:ilvl w:val="0"/>
          <w:numId w:val="27"/>
        </w:numPr>
        <w:tabs>
          <w:tab w:val="num" w:pos="600"/>
        </w:tabs>
        <w:ind w:left="601" w:hanging="601"/>
        <w:rPr>
          <w:lang w:val="en-GB"/>
        </w:rPr>
      </w:pPr>
      <w:r>
        <w:rPr>
          <w:lang w:val="en-GB"/>
        </w:rPr>
        <w:t>o</w:t>
      </w:r>
      <w:r w:rsidR="00D273DB" w:rsidRPr="00D273DB">
        <w:rPr>
          <w:lang w:val="en-GB"/>
        </w:rPr>
        <w:t>mbitasvir/paritaprevir/ritonavir with or without dasabuvir (used to treat chronic hepatitis C virus [HCV]);</w:t>
      </w:r>
    </w:p>
    <w:p w14:paraId="2579C4E5" w14:textId="77777777" w:rsidR="003E51DB" w:rsidRPr="00D273DB" w:rsidRDefault="003E51DB" w:rsidP="0052761E">
      <w:pPr>
        <w:pStyle w:val="EMEABullet"/>
        <w:numPr>
          <w:ilvl w:val="0"/>
          <w:numId w:val="27"/>
        </w:numPr>
        <w:tabs>
          <w:tab w:val="num" w:pos="600"/>
        </w:tabs>
        <w:ind w:left="601" w:hanging="601"/>
        <w:rPr>
          <w:lang w:val="en-GB"/>
        </w:rPr>
      </w:pPr>
      <w:r>
        <w:rPr>
          <w:lang w:val="en-GB"/>
        </w:rPr>
        <w:t>neratinib (used to treat breast cancer);</w:t>
      </w:r>
    </w:p>
    <w:p w14:paraId="4B835BBC" w14:textId="77777777" w:rsidR="00277ECB" w:rsidRDefault="006D2B78" w:rsidP="00377D06">
      <w:pPr>
        <w:pStyle w:val="EMEABullet"/>
        <w:tabs>
          <w:tab w:val="clear" w:pos="709"/>
          <w:tab w:val="num" w:pos="567"/>
        </w:tabs>
        <w:ind w:left="567"/>
      </w:pPr>
      <w:r>
        <w:t>a</w:t>
      </w:r>
      <w:r w:rsidR="00D40FAE">
        <w:t>vanafil</w:t>
      </w:r>
      <w:r w:rsidR="00247CEB">
        <w:t xml:space="preserve"> or</w:t>
      </w:r>
      <w:r w:rsidR="00D40FAE">
        <w:t xml:space="preserve"> v</w:t>
      </w:r>
      <w:r w:rsidR="00277ECB" w:rsidRPr="00342F7C">
        <w:t>ardenafil (used to treat erectile dysfunction);</w:t>
      </w:r>
    </w:p>
    <w:p w14:paraId="09630D46" w14:textId="77777777" w:rsidR="002153AE" w:rsidRPr="00342F7C" w:rsidRDefault="006D2B78" w:rsidP="00377D06">
      <w:pPr>
        <w:pStyle w:val="EMEABullet"/>
        <w:tabs>
          <w:tab w:val="clear" w:pos="709"/>
          <w:tab w:val="num" w:pos="567"/>
        </w:tabs>
        <w:ind w:left="567"/>
      </w:pPr>
      <w:r>
        <w:t>s</w:t>
      </w:r>
      <w:r w:rsidR="002153AE" w:rsidRPr="00342F7C">
        <w:t>ildenafil used to treat pulmonary arterial hypertension</w:t>
      </w:r>
      <w:r w:rsidR="00C63A89">
        <w:t xml:space="preserve"> (high blood pressure in the pulmonary artery)</w:t>
      </w:r>
      <w:r w:rsidR="002153AE" w:rsidRPr="00342F7C">
        <w:t xml:space="preserve">.  Sildenafil used to treat erectile dysfunction may be taken under doctor’s supervision (see </w:t>
      </w:r>
      <w:r w:rsidR="00377D06">
        <w:rPr>
          <w:b/>
        </w:rPr>
        <w:t>Other medicines and</w:t>
      </w:r>
      <w:r w:rsidR="002153AE" w:rsidRPr="00342F7C">
        <w:rPr>
          <w:b/>
        </w:rPr>
        <w:t xml:space="preserve"> Kaletra</w:t>
      </w:r>
      <w:r w:rsidR="002153AE" w:rsidRPr="00342F7C">
        <w:t xml:space="preserve"> section);</w:t>
      </w:r>
    </w:p>
    <w:p w14:paraId="3800DEF7" w14:textId="77777777" w:rsidR="00277ECB" w:rsidRPr="00342F7C" w:rsidRDefault="006D2B78" w:rsidP="00377D06">
      <w:pPr>
        <w:pStyle w:val="EMEABullet"/>
        <w:tabs>
          <w:tab w:val="clear" w:pos="709"/>
          <w:tab w:val="num" w:pos="567"/>
        </w:tabs>
        <w:ind w:left="567"/>
      </w:pPr>
      <w:r>
        <w:t>p</w:t>
      </w:r>
      <w:r w:rsidR="00277ECB" w:rsidRPr="00342F7C">
        <w:t>roducts that contain St John’s wort (</w:t>
      </w:r>
      <w:r w:rsidR="00277ECB" w:rsidRPr="00342F7C">
        <w:rPr>
          <w:i/>
          <w:iCs/>
        </w:rPr>
        <w:t>Hypericum perforatum</w:t>
      </w:r>
      <w:r w:rsidR="00277ECB" w:rsidRPr="00342F7C">
        <w:t>).</w:t>
      </w:r>
    </w:p>
    <w:p w14:paraId="14768DD6" w14:textId="77777777" w:rsidR="00277ECB" w:rsidRPr="00342F7C" w:rsidRDefault="00277ECB">
      <w:pPr>
        <w:pStyle w:val="EMEANormal"/>
        <w:rPr>
          <w:lang w:val="en-GB"/>
        </w:rPr>
      </w:pPr>
    </w:p>
    <w:p w14:paraId="232C17FF" w14:textId="77777777" w:rsidR="00277ECB" w:rsidRPr="00342F7C" w:rsidRDefault="00277ECB">
      <w:pPr>
        <w:pStyle w:val="EMEANormal"/>
        <w:tabs>
          <w:tab w:val="clear" w:pos="562"/>
        </w:tabs>
        <w:rPr>
          <w:b/>
          <w:bCs/>
          <w:lang w:val="en-GB"/>
        </w:rPr>
      </w:pPr>
      <w:r w:rsidRPr="00342F7C">
        <w:rPr>
          <w:b/>
          <w:bCs/>
          <w:lang w:val="en-GB"/>
        </w:rPr>
        <w:t xml:space="preserve">Read the list of medicines </w:t>
      </w:r>
      <w:r w:rsidR="00D273DB">
        <w:rPr>
          <w:b/>
          <w:bCs/>
          <w:lang w:val="en-GB"/>
        </w:rPr>
        <w:t xml:space="preserve">below </w:t>
      </w:r>
      <w:r w:rsidRPr="00342F7C">
        <w:rPr>
          <w:b/>
          <w:bCs/>
          <w:lang w:val="en-GB"/>
        </w:rPr>
        <w:t>under ‘</w:t>
      </w:r>
      <w:r w:rsidR="00FA43EE">
        <w:rPr>
          <w:b/>
          <w:bCs/>
          <w:lang w:val="en-GB"/>
        </w:rPr>
        <w:t>O</w:t>
      </w:r>
      <w:r w:rsidRPr="00342F7C">
        <w:rPr>
          <w:b/>
          <w:bCs/>
          <w:lang w:val="en-GB"/>
        </w:rPr>
        <w:t>ther medicines</w:t>
      </w:r>
      <w:r w:rsidR="00FA43EE">
        <w:rPr>
          <w:b/>
          <w:bCs/>
          <w:lang w:val="en-GB"/>
        </w:rPr>
        <w:t xml:space="preserve"> and Kaletra</w:t>
      </w:r>
      <w:r w:rsidRPr="00342F7C">
        <w:rPr>
          <w:b/>
          <w:bCs/>
          <w:lang w:val="en-GB"/>
        </w:rPr>
        <w:t xml:space="preserve">’ </w:t>
      </w:r>
      <w:r w:rsidRPr="00342F7C">
        <w:rPr>
          <w:lang w:val="en-GB"/>
        </w:rPr>
        <w:t>for information on certain other medicines which require special care.</w:t>
      </w:r>
    </w:p>
    <w:p w14:paraId="6DA14F86" w14:textId="77777777" w:rsidR="00277ECB" w:rsidRPr="00342F7C" w:rsidRDefault="00277ECB">
      <w:pPr>
        <w:pStyle w:val="EMEANormal"/>
        <w:rPr>
          <w:lang w:val="en-GB"/>
        </w:rPr>
      </w:pPr>
    </w:p>
    <w:p w14:paraId="6074C93B" w14:textId="77777777" w:rsidR="00277ECB" w:rsidRDefault="00277ECB">
      <w:pPr>
        <w:pStyle w:val="EMEANormal"/>
        <w:rPr>
          <w:lang w:val="en-GB"/>
        </w:rPr>
      </w:pPr>
      <w:r w:rsidRPr="00342F7C">
        <w:rPr>
          <w:lang w:val="en-GB"/>
        </w:rPr>
        <w:t xml:space="preserve">If you are currently taking any of these medicines, ask your doctor about </w:t>
      </w:r>
      <w:r w:rsidR="00E3514B" w:rsidRPr="00342F7C">
        <w:rPr>
          <w:lang w:val="en-GB"/>
        </w:rPr>
        <w:t xml:space="preserve">making necessary changes either in </w:t>
      </w:r>
      <w:r w:rsidR="00FC7283" w:rsidRPr="00342F7C">
        <w:rPr>
          <w:lang w:val="en-GB"/>
        </w:rPr>
        <w:t xml:space="preserve">the treatment for your other condition(s) or in </w:t>
      </w:r>
      <w:r w:rsidR="00E3514B" w:rsidRPr="00342F7C">
        <w:rPr>
          <w:lang w:val="en-GB"/>
        </w:rPr>
        <w:t>your antiretroviral treatment.</w:t>
      </w:r>
      <w:r w:rsidRPr="00342F7C">
        <w:rPr>
          <w:lang w:val="en-GB"/>
        </w:rPr>
        <w:t xml:space="preserve"> </w:t>
      </w:r>
    </w:p>
    <w:p w14:paraId="7B58B884" w14:textId="77777777" w:rsidR="005C68A8" w:rsidRPr="00342F7C" w:rsidRDefault="005C68A8">
      <w:pPr>
        <w:pStyle w:val="EMEANormal"/>
        <w:rPr>
          <w:lang w:val="en-GB"/>
        </w:rPr>
      </w:pPr>
    </w:p>
    <w:p w14:paraId="15ABA93A" w14:textId="77777777" w:rsidR="00277ECB" w:rsidRDefault="006D2B78" w:rsidP="005C68A8">
      <w:pPr>
        <w:pStyle w:val="EMEAHeadingLeaflet"/>
        <w:spacing w:beforeLines="0" w:before="0" w:afterLines="0" w:after="0"/>
        <w:rPr>
          <w:rFonts w:ascii="Times New Roman" w:hAnsi="Times New Roman"/>
          <w:lang w:val="en-GB"/>
        </w:rPr>
      </w:pPr>
      <w:r>
        <w:rPr>
          <w:rFonts w:ascii="Times New Roman" w:hAnsi="Times New Roman"/>
          <w:lang w:val="en-GB"/>
        </w:rPr>
        <w:t>Warnings and precautions</w:t>
      </w:r>
    </w:p>
    <w:p w14:paraId="7587C08D" w14:textId="77777777" w:rsidR="005C68A8" w:rsidRDefault="005C68A8" w:rsidP="005C68A8">
      <w:pPr>
        <w:pStyle w:val="EMEANormal"/>
        <w:rPr>
          <w:lang w:val="en-GB"/>
        </w:rPr>
      </w:pPr>
    </w:p>
    <w:p w14:paraId="73F2E10C" w14:textId="77777777" w:rsidR="006D2B78" w:rsidRDefault="006D2B78" w:rsidP="005C68A8">
      <w:pPr>
        <w:pStyle w:val="EMEANormal"/>
        <w:rPr>
          <w:lang w:val="en-GB"/>
        </w:rPr>
      </w:pPr>
      <w:r>
        <w:rPr>
          <w:lang w:val="en-GB"/>
        </w:rPr>
        <w:t xml:space="preserve">Talk to your doctor </w:t>
      </w:r>
      <w:r w:rsidR="00D273DB">
        <w:rPr>
          <w:lang w:val="en-GB"/>
        </w:rPr>
        <w:t xml:space="preserve">or pharmacist </w:t>
      </w:r>
      <w:r>
        <w:rPr>
          <w:lang w:val="en-GB"/>
        </w:rPr>
        <w:t>before taking Kaletra.</w:t>
      </w:r>
    </w:p>
    <w:p w14:paraId="47B08511" w14:textId="77777777" w:rsidR="006D2B78" w:rsidRPr="005C68A8" w:rsidRDefault="006D2B78" w:rsidP="005C68A8">
      <w:pPr>
        <w:pStyle w:val="EMEANormal"/>
        <w:rPr>
          <w:lang w:val="en-GB"/>
        </w:rPr>
      </w:pPr>
    </w:p>
    <w:p w14:paraId="59EDB2D1" w14:textId="77777777" w:rsidR="00277ECB" w:rsidRDefault="00277ECB">
      <w:pPr>
        <w:pStyle w:val="EMEANormal"/>
        <w:rPr>
          <w:b/>
          <w:lang w:val="en-GB"/>
        </w:rPr>
      </w:pPr>
      <w:r w:rsidRPr="0017061C">
        <w:rPr>
          <w:b/>
          <w:lang w:val="en-GB"/>
        </w:rPr>
        <w:t>Important information</w:t>
      </w:r>
    </w:p>
    <w:p w14:paraId="0EF1ED5F" w14:textId="77777777" w:rsidR="006D2B78" w:rsidRPr="00D8422B" w:rsidRDefault="006D2B78">
      <w:pPr>
        <w:pStyle w:val="EMEANormal"/>
        <w:rPr>
          <w:b/>
          <w:lang w:val="en-GB"/>
        </w:rPr>
      </w:pPr>
    </w:p>
    <w:p w14:paraId="722C0922" w14:textId="77777777" w:rsidR="00277ECB" w:rsidRPr="00342F7C" w:rsidRDefault="00277ECB" w:rsidP="00FE6D86">
      <w:pPr>
        <w:pStyle w:val="EMEABullet"/>
        <w:tabs>
          <w:tab w:val="clear" w:pos="709"/>
          <w:tab w:val="num" w:pos="567"/>
        </w:tabs>
        <w:ind w:left="567"/>
        <w:rPr>
          <w:b/>
          <w:bCs/>
          <w:lang w:val="en-GB"/>
        </w:rPr>
      </w:pPr>
      <w:r w:rsidRPr="00342F7C">
        <w:rPr>
          <w:lang w:val="en-GB"/>
        </w:rPr>
        <w:t xml:space="preserve">People taking Kaletra may still develop infections or other illnesses associated with HIV disease and AIDS.  It is therefore important that you remain under the supervision of your doctor while taking Kaletra.  </w:t>
      </w:r>
    </w:p>
    <w:p w14:paraId="1E676353" w14:textId="77777777" w:rsidR="00277ECB" w:rsidRPr="005C68A8" w:rsidRDefault="000C6F32" w:rsidP="00FE6D86">
      <w:pPr>
        <w:pStyle w:val="EMEABullet"/>
        <w:tabs>
          <w:tab w:val="clear" w:pos="709"/>
          <w:tab w:val="num" w:pos="567"/>
        </w:tabs>
        <w:ind w:left="567"/>
        <w:rPr>
          <w:b/>
          <w:bCs/>
          <w:lang w:val="en-GB"/>
        </w:rPr>
      </w:pPr>
      <w:r w:rsidRPr="00206ABB">
        <w:rPr>
          <w:b/>
          <w:lang w:val="en-GB"/>
        </w:rPr>
        <w:t>You can still pass on HIV when taking this medicine</w:t>
      </w:r>
      <w:r>
        <w:rPr>
          <w:lang w:val="en-GB"/>
        </w:rPr>
        <w:t xml:space="preserve">, although the risk is lowered by effective antiretroviral therapy.  Discuss with your </w:t>
      </w:r>
      <w:r w:rsidR="00D273DB">
        <w:rPr>
          <w:lang w:val="en-GB"/>
        </w:rPr>
        <w:t xml:space="preserve">doctor </w:t>
      </w:r>
      <w:r>
        <w:rPr>
          <w:lang w:val="en-GB"/>
        </w:rPr>
        <w:t>the precautions needed to avoid infecting other people</w:t>
      </w:r>
      <w:r w:rsidR="00277ECB" w:rsidRPr="00342F7C">
        <w:rPr>
          <w:lang w:val="en-GB"/>
        </w:rPr>
        <w:t>.</w:t>
      </w:r>
    </w:p>
    <w:p w14:paraId="7F5A384C" w14:textId="77777777" w:rsidR="005C68A8" w:rsidRPr="00342F7C" w:rsidRDefault="005C68A8" w:rsidP="005C68A8">
      <w:pPr>
        <w:pStyle w:val="EMEABullet"/>
        <w:numPr>
          <w:ilvl w:val="0"/>
          <w:numId w:val="0"/>
        </w:numPr>
        <w:ind w:left="567"/>
        <w:rPr>
          <w:b/>
          <w:bCs/>
          <w:lang w:val="en-GB"/>
        </w:rPr>
      </w:pPr>
    </w:p>
    <w:p w14:paraId="432EB0F2" w14:textId="77777777" w:rsidR="00277ECB" w:rsidRDefault="00277ECB" w:rsidP="005C68A8">
      <w:pPr>
        <w:pStyle w:val="EMEAHeadingLeaflet"/>
        <w:spacing w:beforeLines="0" w:before="0" w:afterLines="0" w:after="0"/>
        <w:rPr>
          <w:rFonts w:ascii="Times New Roman" w:hAnsi="Times New Roman"/>
          <w:b w:val="0"/>
          <w:bCs/>
          <w:u w:val="single"/>
          <w:lang w:val="en-GB"/>
        </w:rPr>
      </w:pPr>
      <w:r w:rsidRPr="0017061C">
        <w:rPr>
          <w:rFonts w:ascii="Times New Roman" w:hAnsi="Times New Roman"/>
          <w:bCs/>
          <w:lang w:val="en-GB"/>
        </w:rPr>
        <w:t xml:space="preserve">Tell your doctor if you </w:t>
      </w:r>
      <w:r w:rsidR="00D273DB">
        <w:rPr>
          <w:rFonts w:ascii="Times New Roman" w:hAnsi="Times New Roman"/>
          <w:bCs/>
          <w:lang w:val="en-GB"/>
        </w:rPr>
        <w:t xml:space="preserve">or your child </w:t>
      </w:r>
      <w:r w:rsidRPr="0017061C">
        <w:rPr>
          <w:rFonts w:ascii="Times New Roman" w:hAnsi="Times New Roman"/>
          <w:bCs/>
          <w:lang w:val="en-GB"/>
        </w:rPr>
        <w:t>have/had</w:t>
      </w:r>
    </w:p>
    <w:p w14:paraId="71471F22" w14:textId="77777777" w:rsidR="006D2B78" w:rsidRPr="00D8422B" w:rsidRDefault="006D2B78" w:rsidP="00D8422B">
      <w:pPr>
        <w:pStyle w:val="EMEANormal"/>
        <w:rPr>
          <w:lang w:val="en-GB"/>
        </w:rPr>
      </w:pPr>
    </w:p>
    <w:p w14:paraId="508258C8" w14:textId="77777777" w:rsidR="00277ECB" w:rsidRPr="00342F7C" w:rsidRDefault="00277ECB" w:rsidP="00FE6D86">
      <w:pPr>
        <w:pStyle w:val="EMEABullet"/>
        <w:tabs>
          <w:tab w:val="clear" w:pos="709"/>
          <w:tab w:val="num" w:pos="567"/>
        </w:tabs>
        <w:ind w:left="567"/>
        <w:rPr>
          <w:lang w:val="en-GB"/>
        </w:rPr>
      </w:pPr>
      <w:r w:rsidRPr="00342F7C">
        <w:rPr>
          <w:b/>
          <w:bCs/>
          <w:lang w:val="en-GB"/>
        </w:rPr>
        <w:t>Haemophilia</w:t>
      </w:r>
      <w:r w:rsidRPr="00342F7C">
        <w:rPr>
          <w:lang w:val="en-GB"/>
        </w:rPr>
        <w:t xml:space="preserve"> type A and B as Kaletra might increase the risk of bleeding.</w:t>
      </w:r>
    </w:p>
    <w:p w14:paraId="3394CD32" w14:textId="77777777" w:rsidR="00277ECB" w:rsidRPr="00342F7C" w:rsidRDefault="00277ECB" w:rsidP="00FE6D86">
      <w:pPr>
        <w:pStyle w:val="EMEABullet"/>
        <w:tabs>
          <w:tab w:val="clear" w:pos="709"/>
          <w:tab w:val="num" w:pos="567"/>
        </w:tabs>
        <w:ind w:left="567"/>
        <w:rPr>
          <w:lang w:val="en-GB"/>
        </w:rPr>
      </w:pPr>
      <w:r w:rsidRPr="00342F7C">
        <w:rPr>
          <w:b/>
          <w:bCs/>
          <w:lang w:val="en-GB"/>
        </w:rPr>
        <w:t>Diabetes</w:t>
      </w:r>
      <w:r w:rsidRPr="00342F7C">
        <w:rPr>
          <w:lang w:val="en-GB"/>
        </w:rPr>
        <w:t xml:space="preserve"> as increased blood sugars ha</w:t>
      </w:r>
      <w:r w:rsidR="00755871" w:rsidRPr="00342F7C">
        <w:rPr>
          <w:lang w:val="en-GB"/>
        </w:rPr>
        <w:t>s</w:t>
      </w:r>
      <w:r w:rsidRPr="00342F7C">
        <w:rPr>
          <w:lang w:val="en-GB"/>
        </w:rPr>
        <w:t xml:space="preserve"> been reported in patients receiving Kaletra.</w:t>
      </w:r>
    </w:p>
    <w:p w14:paraId="6E90B726" w14:textId="77777777" w:rsidR="00277ECB" w:rsidRPr="00342F7C" w:rsidRDefault="00277ECB" w:rsidP="00FE6D86">
      <w:pPr>
        <w:pStyle w:val="EMEABullet"/>
        <w:tabs>
          <w:tab w:val="clear" w:pos="709"/>
          <w:tab w:val="num" w:pos="567"/>
        </w:tabs>
        <w:ind w:left="567"/>
        <w:rPr>
          <w:lang w:val="en-GB"/>
        </w:rPr>
      </w:pPr>
      <w:r w:rsidRPr="00342F7C">
        <w:rPr>
          <w:lang w:val="en-GB"/>
        </w:rPr>
        <w:t xml:space="preserve">A history of </w:t>
      </w:r>
      <w:r w:rsidRPr="00342F7C">
        <w:rPr>
          <w:b/>
          <w:bCs/>
          <w:lang w:val="en-GB"/>
        </w:rPr>
        <w:t>liver problems</w:t>
      </w:r>
      <w:r w:rsidRPr="00342F7C">
        <w:rPr>
          <w:lang w:val="en-GB"/>
        </w:rPr>
        <w:t xml:space="preserve"> as patients with a history of liver disease, including chronic hepatitis B or C are at increased risk of severe and potentially fatal liver side effects.</w:t>
      </w:r>
    </w:p>
    <w:p w14:paraId="40CF31A7" w14:textId="77777777" w:rsidR="005C68A8" w:rsidRDefault="005C68A8" w:rsidP="005C68A8">
      <w:pPr>
        <w:pStyle w:val="EMEAHeadingLeaflet"/>
        <w:spacing w:beforeLines="0" w:before="0" w:afterLines="0" w:after="0"/>
        <w:rPr>
          <w:rFonts w:ascii="Times New Roman" w:hAnsi="Times New Roman"/>
          <w:b w:val="0"/>
          <w:bCs/>
          <w:u w:val="single"/>
          <w:lang w:val="en-GB"/>
        </w:rPr>
      </w:pPr>
    </w:p>
    <w:p w14:paraId="67B0AF74" w14:textId="77777777" w:rsidR="00277ECB" w:rsidRDefault="00277ECB" w:rsidP="005C68A8">
      <w:pPr>
        <w:pStyle w:val="EMEAHeadingLeaflet"/>
        <w:spacing w:beforeLines="0" w:before="0" w:afterLines="0" w:after="0"/>
        <w:rPr>
          <w:rFonts w:ascii="Times New Roman" w:hAnsi="Times New Roman"/>
          <w:bCs/>
          <w:lang w:val="en-GB"/>
        </w:rPr>
      </w:pPr>
      <w:r w:rsidRPr="0017061C">
        <w:rPr>
          <w:rFonts w:ascii="Times New Roman" w:hAnsi="Times New Roman"/>
          <w:bCs/>
          <w:lang w:val="en-GB"/>
        </w:rPr>
        <w:t xml:space="preserve">Tell your doctor if you </w:t>
      </w:r>
      <w:r w:rsidR="00D273DB">
        <w:rPr>
          <w:rFonts w:ascii="Times New Roman" w:hAnsi="Times New Roman"/>
          <w:bCs/>
          <w:lang w:val="en-GB"/>
        </w:rPr>
        <w:t xml:space="preserve">or your child </w:t>
      </w:r>
      <w:r w:rsidRPr="0017061C">
        <w:rPr>
          <w:rFonts w:ascii="Times New Roman" w:hAnsi="Times New Roman"/>
          <w:bCs/>
          <w:lang w:val="en-GB"/>
        </w:rPr>
        <w:t>experience</w:t>
      </w:r>
    </w:p>
    <w:p w14:paraId="0047E28A" w14:textId="77777777" w:rsidR="006D2B78" w:rsidRPr="00D8422B" w:rsidRDefault="006D2B78" w:rsidP="00D8422B">
      <w:pPr>
        <w:pStyle w:val="EMEANormal"/>
        <w:rPr>
          <w:lang w:val="en-GB"/>
        </w:rPr>
      </w:pPr>
    </w:p>
    <w:p w14:paraId="60CA831A" w14:textId="77777777" w:rsidR="00277ECB" w:rsidRPr="00342F7C" w:rsidRDefault="00277ECB" w:rsidP="00FE6D86">
      <w:pPr>
        <w:pStyle w:val="EMEABullet"/>
        <w:tabs>
          <w:tab w:val="clear" w:pos="709"/>
          <w:tab w:val="num" w:pos="567"/>
        </w:tabs>
        <w:ind w:left="567"/>
        <w:rPr>
          <w:lang w:val="en-GB"/>
        </w:rPr>
      </w:pPr>
      <w:r w:rsidRPr="00342F7C">
        <w:rPr>
          <w:lang w:val="en-GB"/>
        </w:rPr>
        <w:t>Nausea, vomiting, abdominal pain, difficulty breathing and severe weakness of the muscles in the legs and arms as these symptoms may indicate raised lactic acid levels.</w:t>
      </w:r>
    </w:p>
    <w:p w14:paraId="54145469" w14:textId="77777777" w:rsidR="00277ECB" w:rsidRPr="00342F7C" w:rsidRDefault="00277ECB" w:rsidP="00FE6D86">
      <w:pPr>
        <w:pStyle w:val="EMEABullet"/>
        <w:tabs>
          <w:tab w:val="clear" w:pos="709"/>
          <w:tab w:val="num" w:pos="567"/>
        </w:tabs>
        <w:ind w:left="567"/>
        <w:rPr>
          <w:lang w:val="en-GB"/>
        </w:rPr>
      </w:pPr>
      <w:r w:rsidRPr="00342F7C">
        <w:rPr>
          <w:lang w:val="en-GB"/>
        </w:rPr>
        <w:t>Thirst, frequent urination, blurred vision or weight loss as this may indicate raised sugar levels in the blood.</w:t>
      </w:r>
    </w:p>
    <w:p w14:paraId="2AF731D0" w14:textId="77777777" w:rsidR="00277ECB" w:rsidRPr="00342F7C" w:rsidRDefault="00277ECB" w:rsidP="00FE6D86">
      <w:pPr>
        <w:pStyle w:val="EMEABullet"/>
        <w:tabs>
          <w:tab w:val="clear" w:pos="709"/>
          <w:tab w:val="num" w:pos="567"/>
        </w:tabs>
        <w:ind w:left="567"/>
        <w:rPr>
          <w:lang w:val="en-GB"/>
        </w:rPr>
      </w:pPr>
      <w:r w:rsidRPr="00342F7C">
        <w:rPr>
          <w:lang w:val="en-GB"/>
        </w:rPr>
        <w:t>Nausea, vomiting, abdominal pain as large increases in the amount of triglycerides (fats in the blood) have been considered a risk factor for pancreatitis (inflammation of the pancreas) and these symptoms may suggest this condition.</w:t>
      </w:r>
    </w:p>
    <w:p w14:paraId="683EC117" w14:textId="77777777" w:rsidR="00EF6E3A" w:rsidRDefault="00E3514B" w:rsidP="00FE6D86">
      <w:pPr>
        <w:pStyle w:val="EMEABullet"/>
        <w:tabs>
          <w:tab w:val="clear" w:pos="709"/>
          <w:tab w:val="num" w:pos="567"/>
        </w:tabs>
        <w:ind w:left="567"/>
        <w:rPr>
          <w:lang w:val="en-GB"/>
        </w:rPr>
      </w:pPr>
      <w:r w:rsidRPr="00342F7C">
        <w:rPr>
          <w:lang w:val="en-GB" w:eastAsia="en-GB"/>
        </w:rPr>
        <w:t>In some patients with advanced HIV infection and a history of opportunistic infection, signs and symptoms of inflammation from previous infections may occur soon after anti-HIV treatment is started.  It is believed that these symptoms are due to an improvement in the body’s immune response, enabling the body to fight infections that may have been pre</w:t>
      </w:r>
      <w:r w:rsidR="00EF6E3A">
        <w:rPr>
          <w:lang w:val="en-GB" w:eastAsia="en-GB"/>
        </w:rPr>
        <w:t>sent with no obvious symptoms.</w:t>
      </w:r>
    </w:p>
    <w:p w14:paraId="4A8288F7" w14:textId="77777777" w:rsidR="00277ECB" w:rsidRPr="00342F7C" w:rsidRDefault="00EF6E3A" w:rsidP="003036A6">
      <w:pPr>
        <w:pStyle w:val="EMEABullet"/>
        <w:tabs>
          <w:tab w:val="clear" w:pos="709"/>
          <w:tab w:val="num" w:pos="567"/>
        </w:tabs>
        <w:ind w:left="567"/>
        <w:rPr>
          <w:lang w:val="en-GB" w:eastAsia="en-GB"/>
        </w:rPr>
      </w:pPr>
      <w:r w:rsidRPr="007E5CAB">
        <w:rPr>
          <w:lang w:val="en-GB" w:eastAsia="en-GB"/>
        </w:rPr>
        <w:t>In addition to the opportunistic infections, autoimmune disorders (a condition that occurs when the immune system attacks healthy body tissue) may also occur after you start taking medicines for the treatment of your HIV infection.  Autoimmune disorders may occur many months after the start of treatment.</w:t>
      </w:r>
      <w:r w:rsidR="00BA65D0">
        <w:rPr>
          <w:lang w:val="en-GB" w:eastAsia="en-GB"/>
        </w:rPr>
        <w:t xml:space="preserve"> </w:t>
      </w:r>
      <w:r>
        <w:rPr>
          <w:lang w:val="en-GB" w:eastAsia="en-GB"/>
        </w:rPr>
        <w:t xml:space="preserve"> </w:t>
      </w:r>
      <w:r w:rsidR="00E3514B" w:rsidRPr="00342F7C">
        <w:rPr>
          <w:lang w:val="en-GB" w:eastAsia="en-GB"/>
        </w:rPr>
        <w:t>If you notice any symptoms of infection</w:t>
      </w:r>
      <w:r>
        <w:rPr>
          <w:lang w:val="en-GB" w:eastAsia="en-GB"/>
        </w:rPr>
        <w:t xml:space="preserve"> </w:t>
      </w:r>
      <w:r w:rsidRPr="007E5CAB">
        <w:rPr>
          <w:lang w:val="en-GB" w:eastAsia="en-GB"/>
        </w:rPr>
        <w:t>or other symptoms such as muscle weakness, weakness beginning in the hands and feet and moving up towards the trunk of the body, palpitations, tremor or hyperactivity</w:t>
      </w:r>
      <w:r w:rsidR="00E3514B" w:rsidRPr="00342F7C">
        <w:rPr>
          <w:lang w:val="en-GB" w:eastAsia="en-GB"/>
        </w:rPr>
        <w:t>, please inform your doctor immediately to seek necessary treatment.</w:t>
      </w:r>
    </w:p>
    <w:p w14:paraId="0CCD3E01" w14:textId="77777777" w:rsidR="00277ECB" w:rsidRPr="00342F7C" w:rsidRDefault="00277ECB" w:rsidP="00FE6D86">
      <w:pPr>
        <w:pStyle w:val="EMEABullet"/>
        <w:tabs>
          <w:tab w:val="clear" w:pos="709"/>
          <w:tab w:val="num" w:pos="567"/>
        </w:tabs>
        <w:ind w:left="567"/>
        <w:rPr>
          <w:lang w:val="en-GB"/>
        </w:rPr>
      </w:pPr>
      <w:r w:rsidRPr="00342F7C">
        <w:rPr>
          <w:b/>
          <w:bCs/>
          <w:lang w:val="en-GB"/>
        </w:rPr>
        <w:t xml:space="preserve">Joint stiffness, aches and pains </w:t>
      </w:r>
      <w:r w:rsidRPr="00342F7C">
        <w:rPr>
          <w:lang w:val="en-GB"/>
        </w:rPr>
        <w:t>(especially of the hip, knee and shoulder) and difficulty in movement</w:t>
      </w:r>
      <w:r w:rsidRPr="00342F7C">
        <w:rPr>
          <w:b/>
          <w:bCs/>
          <w:lang w:val="en-GB"/>
        </w:rPr>
        <w:t xml:space="preserve"> </w:t>
      </w:r>
      <w:r w:rsidRPr="00342F7C">
        <w:rPr>
          <w:lang w:val="en-GB"/>
        </w:rPr>
        <w:t>as some patients taking these medicines may develop a bone disease called osteonecrosis (death of bone tissue caused by loss of blood supply to the bone).  The length of combination</w:t>
      </w:r>
      <w:r w:rsidRPr="00342F7C">
        <w:rPr>
          <w:szCs w:val="22"/>
          <w:lang w:val="en-GB"/>
        </w:rPr>
        <w:t xml:space="preserve"> antiretroviral therapy, corticosteroid use, alcohol consumption, severe immunosuppression (reduction in the activity of the immune system), higher body mass index, among others, may be some of the many risk factors for developing this disease.  </w:t>
      </w:r>
    </w:p>
    <w:p w14:paraId="38D070C6" w14:textId="77777777" w:rsidR="00E3514B" w:rsidRPr="00342F7C" w:rsidRDefault="00277ECB" w:rsidP="00FE6D86">
      <w:pPr>
        <w:pStyle w:val="EMEABullet"/>
        <w:tabs>
          <w:tab w:val="clear" w:pos="709"/>
          <w:tab w:val="num" w:pos="567"/>
        </w:tabs>
        <w:ind w:left="567"/>
        <w:rPr>
          <w:lang w:val="en-GB"/>
        </w:rPr>
      </w:pPr>
      <w:r w:rsidRPr="00342F7C">
        <w:rPr>
          <w:b/>
          <w:bCs/>
          <w:lang w:val="en-GB"/>
        </w:rPr>
        <w:t xml:space="preserve">Muscle pain, </w:t>
      </w:r>
      <w:r w:rsidRPr="00342F7C">
        <w:rPr>
          <w:lang w:val="en-GB"/>
        </w:rPr>
        <w:t>tenderness or weakness, particularly in combination with these medicines.  On rare occasions these muscle disorders have been serious.</w:t>
      </w:r>
      <w:r w:rsidR="00E3514B" w:rsidRPr="00342F7C">
        <w:rPr>
          <w:lang w:val="en-GB"/>
        </w:rPr>
        <w:t xml:space="preserve"> </w:t>
      </w:r>
    </w:p>
    <w:p w14:paraId="2F832F8D" w14:textId="77777777" w:rsidR="00277ECB" w:rsidRPr="00342F7C" w:rsidRDefault="00F75414" w:rsidP="00FE6D86">
      <w:pPr>
        <w:pStyle w:val="EMEABullet"/>
        <w:tabs>
          <w:tab w:val="clear" w:pos="709"/>
          <w:tab w:val="num" w:pos="567"/>
        </w:tabs>
        <w:ind w:left="567"/>
        <w:rPr>
          <w:lang w:val="en-GB"/>
        </w:rPr>
      </w:pPr>
      <w:r w:rsidRPr="00342F7C">
        <w:rPr>
          <w:lang w:val="en-GB" w:eastAsia="en-GB"/>
        </w:rPr>
        <w:t>Symptoms of dizziness, lightheadedness, fainting or sensation of abnormal heartbeats.</w:t>
      </w:r>
      <w:r w:rsidR="001B0216" w:rsidRPr="00342F7C">
        <w:rPr>
          <w:lang w:val="en-GB" w:eastAsia="en-GB"/>
        </w:rPr>
        <w:t xml:space="preserve"> </w:t>
      </w:r>
      <w:r w:rsidRPr="00342F7C">
        <w:rPr>
          <w:lang w:val="en-GB" w:eastAsia="en-GB"/>
        </w:rPr>
        <w:t xml:space="preserve"> Kaletra may cause changes in your heart rhythm and the electrical activity of your heart.  Th</w:t>
      </w:r>
      <w:r w:rsidR="00054BE3" w:rsidRPr="00342F7C">
        <w:rPr>
          <w:lang w:val="en-GB" w:eastAsia="en-GB"/>
        </w:rPr>
        <w:t>ese changes may be seen on an EC</w:t>
      </w:r>
      <w:r w:rsidRPr="00342F7C">
        <w:rPr>
          <w:lang w:val="en-GB" w:eastAsia="en-GB"/>
        </w:rPr>
        <w:t>G (electrocardiogram).</w:t>
      </w:r>
    </w:p>
    <w:p w14:paraId="56C402F9" w14:textId="77777777" w:rsidR="005C68A8" w:rsidRDefault="005C68A8" w:rsidP="005C68A8">
      <w:pPr>
        <w:pStyle w:val="EMEAHeadingLeaflet"/>
        <w:spacing w:beforeLines="0" w:before="0" w:afterLines="0" w:after="0"/>
        <w:rPr>
          <w:rFonts w:ascii="Times New Roman" w:hAnsi="Times New Roman"/>
          <w:lang w:val="en-GB"/>
        </w:rPr>
      </w:pPr>
    </w:p>
    <w:p w14:paraId="38B2E0A0" w14:textId="77777777" w:rsidR="00277ECB" w:rsidRPr="00342F7C" w:rsidRDefault="00FA43EE" w:rsidP="005C68A8">
      <w:pPr>
        <w:pStyle w:val="EMEAHeadingLeaflet"/>
        <w:spacing w:beforeLines="0" w:before="0" w:afterLines="0" w:after="0"/>
        <w:rPr>
          <w:rFonts w:ascii="Times New Roman" w:hAnsi="Times New Roman"/>
          <w:lang w:val="en-GB"/>
        </w:rPr>
      </w:pPr>
      <w:r>
        <w:rPr>
          <w:rFonts w:ascii="Times New Roman" w:hAnsi="Times New Roman"/>
          <w:lang w:val="en-GB"/>
        </w:rPr>
        <w:t>O</w:t>
      </w:r>
      <w:r w:rsidR="00277ECB" w:rsidRPr="00342F7C">
        <w:rPr>
          <w:rFonts w:ascii="Times New Roman" w:hAnsi="Times New Roman"/>
          <w:lang w:val="en-GB"/>
        </w:rPr>
        <w:t>ther medicines</w:t>
      </w:r>
      <w:r>
        <w:rPr>
          <w:rFonts w:ascii="Times New Roman" w:hAnsi="Times New Roman"/>
          <w:lang w:val="en-GB"/>
        </w:rPr>
        <w:t xml:space="preserve"> and Kaletra</w:t>
      </w:r>
    </w:p>
    <w:p w14:paraId="41602F9E" w14:textId="77777777" w:rsidR="005C68A8" w:rsidRDefault="005C68A8">
      <w:pPr>
        <w:pStyle w:val="EMEANormal"/>
        <w:rPr>
          <w:b/>
          <w:bCs/>
          <w:u w:val="single"/>
          <w:lang w:val="en-GB"/>
        </w:rPr>
      </w:pPr>
    </w:p>
    <w:p w14:paraId="220FA3E8" w14:textId="77777777" w:rsidR="00277ECB" w:rsidRPr="00342F7C" w:rsidRDefault="00277ECB">
      <w:pPr>
        <w:pStyle w:val="EMEANormal"/>
        <w:rPr>
          <w:b/>
          <w:bCs/>
          <w:lang w:val="en-GB"/>
        </w:rPr>
      </w:pPr>
      <w:r w:rsidRPr="00282043">
        <w:rPr>
          <w:b/>
          <w:bCs/>
          <w:lang w:val="en-GB"/>
        </w:rPr>
        <w:t>Tell your doctor</w:t>
      </w:r>
      <w:r w:rsidR="0097773A" w:rsidRPr="00282043">
        <w:rPr>
          <w:b/>
          <w:bCs/>
          <w:lang w:val="en-GB"/>
        </w:rPr>
        <w:t xml:space="preserve"> or pharmacist</w:t>
      </w:r>
      <w:r w:rsidRPr="00342F7C">
        <w:rPr>
          <w:b/>
          <w:bCs/>
          <w:lang w:val="en-GB"/>
        </w:rPr>
        <w:t xml:space="preserve"> if you </w:t>
      </w:r>
      <w:r w:rsidR="00D273DB">
        <w:rPr>
          <w:b/>
          <w:bCs/>
          <w:lang w:val="en-GB"/>
        </w:rPr>
        <w:t xml:space="preserve">or your child </w:t>
      </w:r>
      <w:r w:rsidRPr="00342F7C">
        <w:rPr>
          <w:b/>
          <w:bCs/>
          <w:lang w:val="en-GB"/>
        </w:rPr>
        <w:t>are taking</w:t>
      </w:r>
      <w:r w:rsidR="0097773A">
        <w:rPr>
          <w:b/>
          <w:bCs/>
          <w:lang w:val="en-GB"/>
        </w:rPr>
        <w:t>, have recently taken or might take any other</w:t>
      </w:r>
      <w:r w:rsidRPr="00342F7C">
        <w:rPr>
          <w:b/>
          <w:bCs/>
          <w:lang w:val="en-GB"/>
        </w:rPr>
        <w:t xml:space="preserve"> medicines</w:t>
      </w:r>
      <w:r w:rsidR="0097773A">
        <w:rPr>
          <w:b/>
          <w:bCs/>
          <w:lang w:val="en-GB"/>
        </w:rPr>
        <w:t>.</w:t>
      </w:r>
      <w:r w:rsidRPr="00342F7C">
        <w:rPr>
          <w:b/>
          <w:bCs/>
          <w:lang w:val="en-GB"/>
        </w:rPr>
        <w:t xml:space="preserve"> </w:t>
      </w:r>
    </w:p>
    <w:p w14:paraId="4D0FB726" w14:textId="77777777" w:rsidR="00277ECB" w:rsidRPr="00342F7C" w:rsidRDefault="002C4066" w:rsidP="00FE6D86">
      <w:pPr>
        <w:pStyle w:val="EMEABullet"/>
        <w:tabs>
          <w:tab w:val="clear" w:pos="709"/>
          <w:tab w:val="num" w:pos="567"/>
        </w:tabs>
        <w:ind w:left="567"/>
        <w:rPr>
          <w:lang w:val="en-GB"/>
        </w:rPr>
      </w:pPr>
      <w:r>
        <w:rPr>
          <w:lang w:val="en-GB"/>
        </w:rPr>
        <w:t>a</w:t>
      </w:r>
      <w:r w:rsidR="00277ECB" w:rsidRPr="00342F7C">
        <w:rPr>
          <w:lang w:val="en-GB"/>
        </w:rPr>
        <w:t>ntibiotics (e.g. rifabutin, rifampicin, clarithromycin);</w:t>
      </w:r>
    </w:p>
    <w:p w14:paraId="6EF20BA9" w14:textId="77777777" w:rsidR="00277ECB" w:rsidRDefault="002C4066" w:rsidP="00FE6D86">
      <w:pPr>
        <w:pStyle w:val="EMEABullet"/>
        <w:tabs>
          <w:tab w:val="clear" w:pos="709"/>
          <w:tab w:val="num" w:pos="567"/>
        </w:tabs>
        <w:ind w:left="567"/>
        <w:rPr>
          <w:lang w:val="en-GB"/>
        </w:rPr>
      </w:pPr>
      <w:r>
        <w:rPr>
          <w:lang w:val="en-GB"/>
        </w:rPr>
        <w:t>a</w:t>
      </w:r>
      <w:r w:rsidR="00277ECB" w:rsidRPr="00342F7C">
        <w:rPr>
          <w:lang w:val="en-GB"/>
        </w:rPr>
        <w:t xml:space="preserve">nticancer medicines (e.g. </w:t>
      </w:r>
      <w:r w:rsidR="003E51DB">
        <w:rPr>
          <w:lang w:val="en-GB"/>
        </w:rPr>
        <w:t xml:space="preserve">abemaciclib, </w:t>
      </w:r>
      <w:r w:rsidR="004B013F">
        <w:rPr>
          <w:lang w:val="en-GB"/>
        </w:rPr>
        <w:t xml:space="preserve">afatinib, </w:t>
      </w:r>
      <w:r w:rsidR="00034DEB">
        <w:rPr>
          <w:lang w:val="en-GB"/>
        </w:rPr>
        <w:t xml:space="preserve">apalutamide, </w:t>
      </w:r>
      <w:r w:rsidR="004B013F">
        <w:rPr>
          <w:lang w:val="en-GB"/>
        </w:rPr>
        <w:t xml:space="preserve">ceritinib, </w:t>
      </w:r>
      <w:r w:rsidR="0025520A">
        <w:rPr>
          <w:lang w:val="en-GB"/>
        </w:rPr>
        <w:t xml:space="preserve">encorafenib, </w:t>
      </w:r>
      <w:r w:rsidR="00A209AA">
        <w:rPr>
          <w:lang w:val="en-GB"/>
        </w:rPr>
        <w:t xml:space="preserve">ibrutinib, </w:t>
      </w:r>
      <w:r w:rsidR="005D447D">
        <w:rPr>
          <w:lang w:val="en-GB"/>
        </w:rPr>
        <w:t xml:space="preserve">venetoclax, </w:t>
      </w:r>
      <w:r w:rsidR="00403F0E" w:rsidRPr="00342F7C">
        <w:rPr>
          <w:lang w:val="en-GB"/>
        </w:rPr>
        <w:t>most tyrosine kinases inhibitors such as dasatinib and nilotinib, also vincristine and vinblastine</w:t>
      </w:r>
      <w:r w:rsidR="00277ECB" w:rsidRPr="00342F7C">
        <w:rPr>
          <w:lang w:val="en-GB"/>
        </w:rPr>
        <w:t>);</w:t>
      </w:r>
    </w:p>
    <w:p w14:paraId="56B650F3" w14:textId="77777777" w:rsidR="00285B05" w:rsidRPr="00342F7C" w:rsidRDefault="002C4066" w:rsidP="00FE6D86">
      <w:pPr>
        <w:pStyle w:val="EMEABullet"/>
        <w:tabs>
          <w:tab w:val="clear" w:pos="709"/>
          <w:tab w:val="num" w:pos="567"/>
        </w:tabs>
        <w:ind w:left="567"/>
        <w:rPr>
          <w:lang w:val="en-GB"/>
        </w:rPr>
      </w:pPr>
      <w:r>
        <w:rPr>
          <w:lang w:val="en-GB"/>
        </w:rPr>
        <w:t>a</w:t>
      </w:r>
      <w:r w:rsidR="00BF75C7">
        <w:rPr>
          <w:lang w:val="en-GB"/>
        </w:rPr>
        <w:t>nticoagula</w:t>
      </w:r>
      <w:r w:rsidR="00285B05">
        <w:rPr>
          <w:lang w:val="en-GB"/>
        </w:rPr>
        <w:t>n</w:t>
      </w:r>
      <w:r w:rsidR="00BF75C7">
        <w:rPr>
          <w:lang w:val="en-GB"/>
        </w:rPr>
        <w:t>t</w:t>
      </w:r>
      <w:r w:rsidR="00285B05">
        <w:rPr>
          <w:lang w:val="en-GB"/>
        </w:rPr>
        <w:t>s (e.g. warfarin, rivaroxaban</w:t>
      </w:r>
      <w:r w:rsidR="004B013F">
        <w:rPr>
          <w:lang w:val="en-GB"/>
        </w:rPr>
        <w:t>, vorapaxar</w:t>
      </w:r>
      <w:r w:rsidR="00285B05">
        <w:rPr>
          <w:lang w:val="en-GB"/>
        </w:rPr>
        <w:t>);</w:t>
      </w:r>
    </w:p>
    <w:p w14:paraId="2B4C4C2D" w14:textId="77777777" w:rsidR="00277ECB" w:rsidRPr="00342F7C" w:rsidRDefault="002C4066" w:rsidP="00FE6D86">
      <w:pPr>
        <w:pStyle w:val="EMEABullet"/>
        <w:tabs>
          <w:tab w:val="clear" w:pos="709"/>
          <w:tab w:val="num" w:pos="567"/>
        </w:tabs>
        <w:ind w:left="567"/>
        <w:rPr>
          <w:lang w:val="en-GB"/>
        </w:rPr>
      </w:pPr>
      <w:r>
        <w:rPr>
          <w:lang w:val="en-GB"/>
        </w:rPr>
        <w:t>a</w:t>
      </w:r>
      <w:r w:rsidR="00277ECB" w:rsidRPr="00342F7C">
        <w:rPr>
          <w:lang w:val="en-GB"/>
        </w:rPr>
        <w:t>ntidepressants (e.g. trazodone, bupropion);</w:t>
      </w:r>
    </w:p>
    <w:p w14:paraId="29132248" w14:textId="77777777" w:rsidR="00277ECB" w:rsidRPr="00342F7C" w:rsidRDefault="002C4066" w:rsidP="00FE6D86">
      <w:pPr>
        <w:pStyle w:val="EMEABullet"/>
        <w:tabs>
          <w:tab w:val="clear" w:pos="709"/>
          <w:tab w:val="num" w:pos="567"/>
        </w:tabs>
        <w:ind w:left="567"/>
        <w:rPr>
          <w:lang w:val="en-GB"/>
        </w:rPr>
      </w:pPr>
      <w:r>
        <w:rPr>
          <w:lang w:val="en-GB"/>
        </w:rPr>
        <w:t>a</w:t>
      </w:r>
      <w:r w:rsidR="00277ECB" w:rsidRPr="00342F7C">
        <w:rPr>
          <w:lang w:val="en-GB"/>
        </w:rPr>
        <w:t>nti-epilepsy medicines (e.g. carbamazepine, phenytoin, phenobarbital</w:t>
      </w:r>
      <w:r w:rsidR="00285B05">
        <w:rPr>
          <w:lang w:val="en-GB"/>
        </w:rPr>
        <w:t>, lamotrigine and valproate</w:t>
      </w:r>
      <w:r w:rsidR="00277ECB" w:rsidRPr="00342F7C">
        <w:rPr>
          <w:lang w:val="en-GB"/>
        </w:rPr>
        <w:t>);</w:t>
      </w:r>
    </w:p>
    <w:p w14:paraId="5E16E604" w14:textId="77777777" w:rsidR="00277ECB" w:rsidRPr="007E1E2E" w:rsidRDefault="002C4066" w:rsidP="00FE6D86">
      <w:pPr>
        <w:pStyle w:val="EMEABullet"/>
        <w:tabs>
          <w:tab w:val="clear" w:pos="709"/>
          <w:tab w:val="num" w:pos="567"/>
        </w:tabs>
        <w:ind w:left="567"/>
        <w:rPr>
          <w:lang w:val="fr-FR"/>
        </w:rPr>
      </w:pPr>
      <w:r>
        <w:rPr>
          <w:lang w:val="fr-FR"/>
        </w:rPr>
        <w:t>a</w:t>
      </w:r>
      <w:r w:rsidR="00277ECB" w:rsidRPr="007E1E2E">
        <w:rPr>
          <w:lang w:val="fr-FR"/>
        </w:rPr>
        <w:t>ntifungals (e.g. ketoconazole, itraconazole, voriconazole);</w:t>
      </w:r>
    </w:p>
    <w:p w14:paraId="2F831AB2" w14:textId="77777777" w:rsidR="00BF75CD" w:rsidRDefault="002C4066" w:rsidP="00FE6D86">
      <w:pPr>
        <w:pStyle w:val="EMEABullet"/>
        <w:tabs>
          <w:tab w:val="clear" w:pos="709"/>
          <w:tab w:val="num" w:pos="567"/>
        </w:tabs>
        <w:ind w:left="567"/>
        <w:rPr>
          <w:lang w:val="en-GB"/>
        </w:rPr>
      </w:pPr>
      <w:r>
        <w:rPr>
          <w:lang w:val="en-GB"/>
        </w:rPr>
        <w:t>a</w:t>
      </w:r>
      <w:r w:rsidR="00BF75CD">
        <w:rPr>
          <w:lang w:val="en-GB"/>
        </w:rPr>
        <w:t>nti</w:t>
      </w:r>
      <w:r w:rsidR="00C269D3">
        <w:rPr>
          <w:lang w:val="en-GB"/>
        </w:rPr>
        <w:noBreakHyphen/>
      </w:r>
      <w:r w:rsidR="00BF75CD">
        <w:rPr>
          <w:lang w:val="en-GB"/>
        </w:rPr>
        <w:t>gout medicines (e.g. colchicine)</w:t>
      </w:r>
      <w:r w:rsidR="00391D50">
        <w:rPr>
          <w:lang w:val="en-GB"/>
        </w:rPr>
        <w:t>.  You must not take Kaletra with colchicine if you have kidney and/or liver problems (see also ‘</w:t>
      </w:r>
      <w:r w:rsidR="00391D50" w:rsidRPr="00531A5A">
        <w:rPr>
          <w:b/>
          <w:lang w:val="en-GB"/>
        </w:rPr>
        <w:t>Do not take Kaletra</w:t>
      </w:r>
      <w:r w:rsidR="00391D50">
        <w:rPr>
          <w:lang w:val="en-GB"/>
        </w:rPr>
        <w:t>’ above)</w:t>
      </w:r>
      <w:r w:rsidR="00BF75CD">
        <w:rPr>
          <w:lang w:val="en-GB"/>
        </w:rPr>
        <w:t>;</w:t>
      </w:r>
    </w:p>
    <w:p w14:paraId="53A3E013" w14:textId="77777777" w:rsidR="00CA5F26" w:rsidRPr="00CA5F26" w:rsidRDefault="002C4066" w:rsidP="00FE6D86">
      <w:pPr>
        <w:pStyle w:val="EMEABullet"/>
        <w:tabs>
          <w:tab w:val="clear" w:pos="709"/>
          <w:tab w:val="num" w:pos="567"/>
        </w:tabs>
        <w:ind w:left="567"/>
        <w:rPr>
          <w:lang w:val="en-GB"/>
        </w:rPr>
      </w:pPr>
      <w:r>
        <w:rPr>
          <w:lang w:val="en-GB"/>
        </w:rPr>
        <w:t>a</w:t>
      </w:r>
      <w:r w:rsidR="00CA5F26">
        <w:rPr>
          <w:lang w:val="en-GB"/>
        </w:rPr>
        <w:t>nti</w:t>
      </w:r>
      <w:r w:rsidR="00CA5F26">
        <w:rPr>
          <w:lang w:val="en-GB"/>
        </w:rPr>
        <w:noBreakHyphen/>
        <w:t>tuberculosis medicine (bedaquiline</w:t>
      </w:r>
      <w:r w:rsidR="006D4547">
        <w:rPr>
          <w:lang w:val="en-GB"/>
        </w:rPr>
        <w:t>, delamanid</w:t>
      </w:r>
      <w:r w:rsidR="00CA5F26">
        <w:rPr>
          <w:lang w:val="en-GB"/>
        </w:rPr>
        <w:t>);</w:t>
      </w:r>
    </w:p>
    <w:p w14:paraId="50D828B2" w14:textId="77777777" w:rsidR="00285B05" w:rsidRPr="00342F7C" w:rsidRDefault="002C4066" w:rsidP="00FE6D86">
      <w:pPr>
        <w:pStyle w:val="EMEABullet"/>
        <w:tabs>
          <w:tab w:val="clear" w:pos="709"/>
          <w:tab w:val="num" w:pos="567"/>
        </w:tabs>
        <w:ind w:left="567"/>
        <w:rPr>
          <w:lang w:val="en-GB"/>
        </w:rPr>
      </w:pPr>
      <w:r>
        <w:rPr>
          <w:lang w:val="en-GB"/>
        </w:rPr>
        <w:t>a</w:t>
      </w:r>
      <w:r w:rsidR="00F46A84">
        <w:rPr>
          <w:lang w:val="en-GB"/>
        </w:rPr>
        <w:t>ntiviral</w:t>
      </w:r>
      <w:r w:rsidR="00285B05">
        <w:rPr>
          <w:lang w:val="en-GB"/>
        </w:rPr>
        <w:t xml:space="preserve"> medicine used to treat chronic hepatitis C</w:t>
      </w:r>
      <w:r w:rsidR="00F46A84">
        <w:rPr>
          <w:lang w:val="en-GB"/>
        </w:rPr>
        <w:t xml:space="preserve"> virus (HCV) infection</w:t>
      </w:r>
      <w:r w:rsidR="00285B05">
        <w:rPr>
          <w:lang w:val="en-GB"/>
        </w:rPr>
        <w:t xml:space="preserve"> in adults (e.g.</w:t>
      </w:r>
      <w:r w:rsidR="000F6FCC">
        <w:rPr>
          <w:lang w:val="en-GB"/>
        </w:rPr>
        <w:t xml:space="preserve"> </w:t>
      </w:r>
      <w:r w:rsidR="003E51DB">
        <w:rPr>
          <w:lang w:val="en-GB"/>
        </w:rPr>
        <w:t xml:space="preserve">glecaprevir/pibrentasvir, </w:t>
      </w:r>
      <w:r w:rsidR="000F6FCC">
        <w:rPr>
          <w:lang w:val="en-GB"/>
        </w:rPr>
        <w:t>simeprevir</w:t>
      </w:r>
      <w:r w:rsidR="00463201">
        <w:rPr>
          <w:lang w:val="en-GB"/>
        </w:rPr>
        <w:t xml:space="preserve"> and</w:t>
      </w:r>
      <w:r w:rsidR="003E51DB">
        <w:rPr>
          <w:lang w:val="en-GB"/>
        </w:rPr>
        <w:t xml:space="preserve"> sofosbuvir/velpatasvir/voxilaprevir</w:t>
      </w:r>
      <w:r w:rsidR="00285B05">
        <w:rPr>
          <w:lang w:val="en-GB"/>
        </w:rPr>
        <w:t>);</w:t>
      </w:r>
    </w:p>
    <w:p w14:paraId="0F9E0ECE" w14:textId="77777777" w:rsidR="00277ECB" w:rsidRDefault="002C4066" w:rsidP="00FE6D86">
      <w:pPr>
        <w:pStyle w:val="EMEABullet"/>
        <w:tabs>
          <w:tab w:val="clear" w:pos="709"/>
          <w:tab w:val="num" w:pos="567"/>
        </w:tabs>
        <w:ind w:left="567"/>
        <w:rPr>
          <w:lang w:val="en-GB"/>
        </w:rPr>
      </w:pPr>
      <w:r>
        <w:rPr>
          <w:lang w:val="en-GB"/>
        </w:rPr>
        <w:t>e</w:t>
      </w:r>
      <w:r w:rsidR="00277ECB" w:rsidRPr="00342F7C">
        <w:rPr>
          <w:lang w:val="en-GB"/>
        </w:rPr>
        <w:t>rectile dysfunction medicines (e.g. sildenafil and tadalafil);</w:t>
      </w:r>
    </w:p>
    <w:p w14:paraId="3DAABC05" w14:textId="77777777" w:rsidR="00C63A89" w:rsidRPr="00342F7C" w:rsidRDefault="002C4066" w:rsidP="00FE6D86">
      <w:pPr>
        <w:pStyle w:val="EMEABullet"/>
        <w:tabs>
          <w:tab w:val="clear" w:pos="709"/>
          <w:tab w:val="num" w:pos="567"/>
        </w:tabs>
        <w:ind w:left="567"/>
        <w:rPr>
          <w:lang w:val="en-GB"/>
        </w:rPr>
      </w:pPr>
      <w:r>
        <w:rPr>
          <w:lang w:val="en-GB"/>
        </w:rPr>
        <w:t>f</w:t>
      </w:r>
      <w:r w:rsidR="00C63A89" w:rsidRPr="00C63A89">
        <w:rPr>
          <w:lang w:val="en-GB"/>
        </w:rPr>
        <w:t>usidic acid used to treat long-term infections of the bones and joints (e.g. osteomyelitis);</w:t>
      </w:r>
    </w:p>
    <w:p w14:paraId="59FBD4B8" w14:textId="77777777" w:rsidR="00277ECB" w:rsidRPr="00342F7C" w:rsidRDefault="002C4066" w:rsidP="00FE6D86">
      <w:pPr>
        <w:pStyle w:val="EMEABullet"/>
        <w:tabs>
          <w:tab w:val="clear" w:pos="709"/>
          <w:tab w:val="num" w:pos="567"/>
        </w:tabs>
        <w:ind w:left="567"/>
        <w:rPr>
          <w:lang w:val="en-GB"/>
        </w:rPr>
      </w:pPr>
      <w:r>
        <w:rPr>
          <w:lang w:val="en-GB"/>
        </w:rPr>
        <w:t>h</w:t>
      </w:r>
      <w:r w:rsidR="00277ECB" w:rsidRPr="00342F7C">
        <w:rPr>
          <w:lang w:val="en-GB"/>
        </w:rPr>
        <w:t>eart medicines including:</w:t>
      </w:r>
    </w:p>
    <w:p w14:paraId="2D1C8CEF" w14:textId="77777777" w:rsidR="00277ECB" w:rsidRPr="00342F7C" w:rsidRDefault="002C4066">
      <w:pPr>
        <w:pStyle w:val="EMEABullet"/>
        <w:numPr>
          <w:ilvl w:val="1"/>
          <w:numId w:val="1"/>
        </w:numPr>
        <w:rPr>
          <w:lang w:val="en-GB"/>
        </w:rPr>
      </w:pPr>
      <w:r>
        <w:rPr>
          <w:lang w:val="en-GB"/>
        </w:rPr>
        <w:t>d</w:t>
      </w:r>
      <w:r w:rsidR="00277ECB" w:rsidRPr="00342F7C">
        <w:rPr>
          <w:lang w:val="en-GB"/>
        </w:rPr>
        <w:t>igoxin;</w:t>
      </w:r>
    </w:p>
    <w:p w14:paraId="3B576A7E" w14:textId="77777777" w:rsidR="00277ECB" w:rsidRPr="00342F7C" w:rsidRDefault="002C4066">
      <w:pPr>
        <w:pStyle w:val="EMEABullet"/>
        <w:numPr>
          <w:ilvl w:val="1"/>
          <w:numId w:val="1"/>
        </w:numPr>
        <w:rPr>
          <w:lang w:val="en-GB"/>
        </w:rPr>
      </w:pPr>
      <w:r>
        <w:rPr>
          <w:lang w:val="en-GB"/>
        </w:rPr>
        <w:t>c</w:t>
      </w:r>
      <w:r w:rsidR="00277ECB" w:rsidRPr="00342F7C">
        <w:rPr>
          <w:lang w:val="en-GB"/>
        </w:rPr>
        <w:t>alcium channel antagonists (e.g. felodipine, nifedipine, nicardipine);</w:t>
      </w:r>
    </w:p>
    <w:p w14:paraId="239D2A0F" w14:textId="77777777" w:rsidR="00277ECB" w:rsidRPr="00342F7C" w:rsidRDefault="002C4066">
      <w:pPr>
        <w:pStyle w:val="EMEABullet"/>
        <w:numPr>
          <w:ilvl w:val="1"/>
          <w:numId w:val="1"/>
        </w:numPr>
        <w:rPr>
          <w:lang w:val="en-GB"/>
        </w:rPr>
      </w:pPr>
      <w:r>
        <w:rPr>
          <w:lang w:val="en-GB"/>
        </w:rPr>
        <w:t>m</w:t>
      </w:r>
      <w:r w:rsidR="00277ECB" w:rsidRPr="00342F7C">
        <w:rPr>
          <w:lang w:val="en-GB"/>
        </w:rPr>
        <w:t>edicines used to correct heart rhythm (e.g. bepridil, systemic lidocaine, quinidine);</w:t>
      </w:r>
    </w:p>
    <w:p w14:paraId="5F634376" w14:textId="77777777" w:rsidR="00C27A20" w:rsidRPr="007E1E2E" w:rsidRDefault="00FA615C" w:rsidP="00FE6D86">
      <w:pPr>
        <w:pStyle w:val="EMEABullet"/>
        <w:tabs>
          <w:tab w:val="clear" w:pos="709"/>
          <w:tab w:val="num" w:pos="567"/>
        </w:tabs>
        <w:ind w:left="567"/>
        <w:rPr>
          <w:lang w:val="fr-FR"/>
        </w:rPr>
      </w:pPr>
      <w:r w:rsidRPr="007E1E2E">
        <w:rPr>
          <w:lang w:val="fr-FR"/>
        </w:rPr>
        <w:t>HIV CCR5-anta</w:t>
      </w:r>
      <w:r w:rsidR="00C27A20" w:rsidRPr="007E1E2E">
        <w:rPr>
          <w:lang w:val="fr-FR"/>
        </w:rPr>
        <w:t>gonist (e.g. maraviroc);</w:t>
      </w:r>
    </w:p>
    <w:p w14:paraId="7E1FE0AD" w14:textId="60698FD7" w:rsidR="00C27A20" w:rsidRPr="008915C6" w:rsidRDefault="00C27A20" w:rsidP="00FE6D86">
      <w:pPr>
        <w:pStyle w:val="EMEABullet"/>
        <w:tabs>
          <w:tab w:val="clear" w:pos="709"/>
          <w:tab w:val="num" w:pos="567"/>
        </w:tabs>
        <w:ind w:left="567"/>
        <w:rPr>
          <w:lang w:val="en-GB"/>
        </w:rPr>
      </w:pPr>
      <w:r>
        <w:rPr>
          <w:lang w:val="pt-BR"/>
        </w:rPr>
        <w:t>HIV-1 integrase inhibitor (e.g. raltegravir);</w:t>
      </w:r>
    </w:p>
    <w:p w14:paraId="4CC01F52" w14:textId="017E5C11" w:rsidR="008915C6" w:rsidRPr="00A209AA" w:rsidRDefault="008915C6" w:rsidP="00FE6D86">
      <w:pPr>
        <w:pStyle w:val="EMEABullet"/>
        <w:tabs>
          <w:tab w:val="clear" w:pos="709"/>
          <w:tab w:val="num" w:pos="567"/>
        </w:tabs>
        <w:ind w:left="567"/>
        <w:rPr>
          <w:lang w:val="en-GB"/>
        </w:rPr>
      </w:pPr>
      <w:r>
        <w:rPr>
          <w:lang w:val="pt-BR"/>
        </w:rPr>
        <w:t>medicines used to treat low blood platelet count (e.g. fostamatinib);</w:t>
      </w:r>
    </w:p>
    <w:p w14:paraId="27FB52BF" w14:textId="77777777" w:rsidR="00A209AA" w:rsidRDefault="00A209AA" w:rsidP="00FE6D86">
      <w:pPr>
        <w:pStyle w:val="EMEABullet"/>
        <w:tabs>
          <w:tab w:val="clear" w:pos="709"/>
          <w:tab w:val="num" w:pos="567"/>
        </w:tabs>
        <w:ind w:left="567"/>
        <w:rPr>
          <w:lang w:val="en-GB"/>
        </w:rPr>
      </w:pPr>
      <w:r>
        <w:rPr>
          <w:lang w:val="pt-BR"/>
        </w:rPr>
        <w:t>levothyroxine (used to treat thyroid problems);</w:t>
      </w:r>
    </w:p>
    <w:p w14:paraId="6FA233A3" w14:textId="77777777" w:rsidR="00C71BC5" w:rsidRDefault="002C4066" w:rsidP="00FE6D86">
      <w:pPr>
        <w:pStyle w:val="EMEABullet"/>
        <w:tabs>
          <w:tab w:val="clear" w:pos="709"/>
          <w:tab w:val="num" w:pos="567"/>
        </w:tabs>
        <w:ind w:left="567"/>
        <w:rPr>
          <w:lang w:val="en-GB"/>
        </w:rPr>
      </w:pPr>
      <w:r>
        <w:rPr>
          <w:lang w:val="en-GB"/>
        </w:rPr>
        <w:t>m</w:t>
      </w:r>
      <w:r w:rsidR="00277ECB" w:rsidRPr="00342F7C">
        <w:rPr>
          <w:lang w:val="en-GB"/>
        </w:rPr>
        <w:t>edicines used to lower blood cholesterol (e.g. atorvastatin, lovastatin, rosuvastatin or simvastatin);</w:t>
      </w:r>
      <w:r w:rsidR="00C71BC5" w:rsidRPr="00C71BC5">
        <w:rPr>
          <w:lang w:val="en-GB"/>
        </w:rPr>
        <w:t xml:space="preserve"> </w:t>
      </w:r>
    </w:p>
    <w:p w14:paraId="3CA3F4A4" w14:textId="77777777" w:rsidR="00D129BC" w:rsidRDefault="002C4066" w:rsidP="00FE6D86">
      <w:pPr>
        <w:pStyle w:val="EMEABullet"/>
        <w:tabs>
          <w:tab w:val="clear" w:pos="709"/>
          <w:tab w:val="num" w:pos="567"/>
        </w:tabs>
        <w:ind w:left="567"/>
        <w:rPr>
          <w:lang w:val="en-GB"/>
        </w:rPr>
      </w:pPr>
      <w:r>
        <w:rPr>
          <w:lang w:val="en-GB"/>
        </w:rPr>
        <w:t>m</w:t>
      </w:r>
      <w:r w:rsidR="00D129BC">
        <w:rPr>
          <w:lang w:val="en-GB"/>
        </w:rPr>
        <w:t>edicines use</w:t>
      </w:r>
      <w:r w:rsidR="00843753">
        <w:rPr>
          <w:lang w:val="en-GB"/>
        </w:rPr>
        <w:t>d</w:t>
      </w:r>
      <w:r w:rsidR="00D129BC">
        <w:rPr>
          <w:lang w:val="en-GB"/>
        </w:rPr>
        <w:t xml:space="preserve"> to treat asthma and other lung-related problems such as chronic obstructive pulmonary disease (COPD) (e.g. salmeterol);</w:t>
      </w:r>
    </w:p>
    <w:p w14:paraId="78ED1E4D" w14:textId="77777777" w:rsidR="00277ECB" w:rsidRPr="00342F7C" w:rsidRDefault="002C4066" w:rsidP="00FE6D86">
      <w:pPr>
        <w:pStyle w:val="EMEABullet"/>
        <w:tabs>
          <w:tab w:val="clear" w:pos="709"/>
          <w:tab w:val="num" w:pos="567"/>
        </w:tabs>
        <w:ind w:left="567"/>
        <w:rPr>
          <w:lang w:val="en-GB"/>
        </w:rPr>
      </w:pPr>
      <w:r>
        <w:rPr>
          <w:lang w:val="en-GB"/>
        </w:rPr>
        <w:t>m</w:t>
      </w:r>
      <w:r w:rsidR="00F33343">
        <w:rPr>
          <w:lang w:val="en-GB"/>
        </w:rPr>
        <w:t>edicines used to treat pulmona</w:t>
      </w:r>
      <w:r w:rsidR="00F33343" w:rsidRPr="00C71BC5">
        <w:rPr>
          <w:lang w:val="en-GB"/>
        </w:rPr>
        <w:t xml:space="preserve">ry </w:t>
      </w:r>
      <w:r w:rsidR="00F33343" w:rsidRPr="00C71BC5">
        <w:t>arterial hypertension</w:t>
      </w:r>
      <w:r w:rsidR="00F33343" w:rsidRPr="00C71BC5">
        <w:rPr>
          <w:szCs w:val="22"/>
          <w:lang w:val="en-GB"/>
        </w:rPr>
        <w:t xml:space="preserve"> </w:t>
      </w:r>
      <w:r w:rsidR="00F33343" w:rsidRPr="00C71BC5">
        <w:rPr>
          <w:szCs w:val="22"/>
        </w:rPr>
        <w:t>(high blood pressure in the pulmonary artery)</w:t>
      </w:r>
      <w:r w:rsidR="00F33343" w:rsidRPr="00C71BC5">
        <w:rPr>
          <w:szCs w:val="22"/>
          <w:lang w:val="en-GB"/>
        </w:rPr>
        <w:t xml:space="preserve"> </w:t>
      </w:r>
      <w:r w:rsidR="00F33343" w:rsidRPr="00C71BC5">
        <w:rPr>
          <w:lang w:val="en-GB"/>
        </w:rPr>
        <w:t>(e</w:t>
      </w:r>
      <w:r w:rsidR="00F33343">
        <w:rPr>
          <w:lang w:val="en-GB"/>
        </w:rPr>
        <w:t>.g. bosentan,</w:t>
      </w:r>
      <w:r w:rsidR="00C63A89">
        <w:rPr>
          <w:lang w:val="en-GB"/>
        </w:rPr>
        <w:t xml:space="preserve"> </w:t>
      </w:r>
      <w:r w:rsidR="004B013F">
        <w:rPr>
          <w:lang w:val="en-GB"/>
        </w:rPr>
        <w:t xml:space="preserve">riociguat, </w:t>
      </w:r>
      <w:r w:rsidR="00C63A89">
        <w:rPr>
          <w:lang w:val="en-GB"/>
        </w:rPr>
        <w:t>sildenafil,</w:t>
      </w:r>
      <w:r w:rsidR="00F33343">
        <w:rPr>
          <w:lang w:val="en-GB"/>
        </w:rPr>
        <w:t xml:space="preserve"> tadalafil);</w:t>
      </w:r>
    </w:p>
    <w:p w14:paraId="3BB0714D" w14:textId="77777777" w:rsidR="00277ECB" w:rsidRPr="00342F7C" w:rsidRDefault="002C4066" w:rsidP="00FE6D86">
      <w:pPr>
        <w:pStyle w:val="EMEABullet"/>
        <w:tabs>
          <w:tab w:val="clear" w:pos="709"/>
          <w:tab w:val="num" w:pos="567"/>
        </w:tabs>
        <w:ind w:left="567"/>
        <w:rPr>
          <w:lang w:val="en-GB"/>
        </w:rPr>
      </w:pPr>
      <w:r>
        <w:rPr>
          <w:lang w:val="en-GB"/>
        </w:rPr>
        <w:t>m</w:t>
      </w:r>
      <w:r w:rsidR="00277ECB" w:rsidRPr="00342F7C">
        <w:rPr>
          <w:lang w:val="en-GB"/>
        </w:rPr>
        <w:t>edicines affecting the immune system (e.g. cyclosporin, sirolimus (rapamycin), tacrolimus);</w:t>
      </w:r>
    </w:p>
    <w:p w14:paraId="7AF75E3A" w14:textId="77777777" w:rsidR="00277ECB" w:rsidRPr="00342F7C" w:rsidRDefault="002C4066" w:rsidP="00FE6D86">
      <w:pPr>
        <w:pStyle w:val="EMEABullet"/>
        <w:tabs>
          <w:tab w:val="clear" w:pos="709"/>
          <w:tab w:val="num" w:pos="567"/>
        </w:tabs>
        <w:ind w:left="567"/>
        <w:rPr>
          <w:lang w:val="en-GB"/>
        </w:rPr>
      </w:pPr>
      <w:r>
        <w:rPr>
          <w:lang w:val="en-GB"/>
        </w:rPr>
        <w:t>m</w:t>
      </w:r>
      <w:r w:rsidR="00277ECB" w:rsidRPr="00342F7C">
        <w:rPr>
          <w:lang w:val="en-GB"/>
        </w:rPr>
        <w:t>edicines used for smoking cessation (e.g. bupropion);</w:t>
      </w:r>
    </w:p>
    <w:p w14:paraId="7EE6CD4E" w14:textId="77777777" w:rsidR="00403F0E" w:rsidRPr="00342F7C" w:rsidRDefault="002C4066" w:rsidP="00FE6D86">
      <w:pPr>
        <w:pStyle w:val="EMEABullet"/>
        <w:tabs>
          <w:tab w:val="clear" w:pos="709"/>
          <w:tab w:val="num" w:pos="567"/>
        </w:tabs>
        <w:ind w:left="567"/>
        <w:rPr>
          <w:lang w:val="en-GB"/>
        </w:rPr>
      </w:pPr>
      <w:r>
        <w:rPr>
          <w:lang w:val="en-GB"/>
        </w:rPr>
        <w:t>p</w:t>
      </w:r>
      <w:r w:rsidR="00403F0E" w:rsidRPr="00342F7C">
        <w:rPr>
          <w:lang w:val="en-GB"/>
        </w:rPr>
        <w:t>ain-relieving medicines (e.g. fentanyl);</w:t>
      </w:r>
    </w:p>
    <w:p w14:paraId="775F1B73" w14:textId="77777777" w:rsidR="00277ECB" w:rsidRPr="00342F7C" w:rsidRDefault="002C4066" w:rsidP="00FE6D86">
      <w:pPr>
        <w:pStyle w:val="EMEABullet"/>
        <w:tabs>
          <w:tab w:val="clear" w:pos="709"/>
          <w:tab w:val="num" w:pos="567"/>
        </w:tabs>
        <w:ind w:left="567"/>
        <w:rPr>
          <w:lang w:val="en-GB"/>
        </w:rPr>
      </w:pPr>
      <w:r>
        <w:rPr>
          <w:lang w:val="en-GB"/>
        </w:rPr>
        <w:t>m</w:t>
      </w:r>
      <w:r w:rsidR="00277ECB" w:rsidRPr="00342F7C">
        <w:rPr>
          <w:lang w:val="en-GB"/>
        </w:rPr>
        <w:t>orphine-like medicines (e.g. methadone);</w:t>
      </w:r>
    </w:p>
    <w:p w14:paraId="16ACFD32" w14:textId="77777777" w:rsidR="00277ECB" w:rsidRPr="00342F7C" w:rsidRDefault="003428CC" w:rsidP="00FE6D86">
      <w:pPr>
        <w:pStyle w:val="EMEABullet"/>
        <w:tabs>
          <w:tab w:val="clear" w:pos="709"/>
          <w:tab w:val="num" w:pos="567"/>
        </w:tabs>
        <w:ind w:left="567"/>
        <w:rPr>
          <w:lang w:val="en-GB"/>
        </w:rPr>
      </w:pPr>
      <w:r>
        <w:rPr>
          <w:lang w:val="en-GB"/>
        </w:rPr>
        <w:t>n</w:t>
      </w:r>
      <w:r w:rsidR="00277ECB" w:rsidRPr="00342F7C">
        <w:rPr>
          <w:lang w:val="en-GB"/>
        </w:rPr>
        <w:t>on-nucleoside reverse transcriptase inhibitors (NNRTIs) (e.g. efavirenz, nevirapine);</w:t>
      </w:r>
    </w:p>
    <w:p w14:paraId="057A28BB" w14:textId="77777777" w:rsidR="00277ECB" w:rsidRPr="00342F7C" w:rsidRDefault="002C4066" w:rsidP="00FE6D86">
      <w:pPr>
        <w:pStyle w:val="EMEABullet"/>
        <w:tabs>
          <w:tab w:val="clear" w:pos="709"/>
          <w:tab w:val="num" w:pos="567"/>
        </w:tabs>
        <w:ind w:left="567"/>
        <w:rPr>
          <w:lang w:val="en-GB"/>
        </w:rPr>
      </w:pPr>
      <w:r>
        <w:rPr>
          <w:lang w:val="en-GB"/>
        </w:rPr>
        <w:t>o</w:t>
      </w:r>
      <w:r w:rsidR="00277ECB" w:rsidRPr="00342F7C">
        <w:rPr>
          <w:lang w:val="en-GB"/>
        </w:rPr>
        <w:t xml:space="preserve">ral contraceptive or using a patch contraceptive to prevent pregnancy (see section below titled </w:t>
      </w:r>
      <w:r w:rsidR="00277ECB" w:rsidRPr="00342F7C">
        <w:rPr>
          <w:b/>
          <w:bCs/>
          <w:lang w:val="en-GB"/>
        </w:rPr>
        <w:t>Contraceptives</w:t>
      </w:r>
      <w:r w:rsidR="00277ECB" w:rsidRPr="00342F7C">
        <w:rPr>
          <w:lang w:val="en-GB"/>
        </w:rPr>
        <w:t>);</w:t>
      </w:r>
    </w:p>
    <w:p w14:paraId="3A793EF0" w14:textId="77777777" w:rsidR="00277ECB" w:rsidRPr="007E1E2E" w:rsidRDefault="002C4066" w:rsidP="00FE6D86">
      <w:pPr>
        <w:pStyle w:val="EMEABullet"/>
        <w:tabs>
          <w:tab w:val="clear" w:pos="709"/>
          <w:tab w:val="num" w:pos="567"/>
        </w:tabs>
        <w:ind w:left="567"/>
        <w:rPr>
          <w:lang w:val="fr-FR"/>
        </w:rPr>
      </w:pPr>
      <w:r>
        <w:rPr>
          <w:lang w:val="fr-FR"/>
        </w:rPr>
        <w:t>p</w:t>
      </w:r>
      <w:r w:rsidR="00277ECB" w:rsidRPr="007E1E2E">
        <w:rPr>
          <w:lang w:val="fr-FR"/>
        </w:rPr>
        <w:t>rotease inhibitors (e.g. fosamprenavir, indinavir, ritonavir, saquinavir</w:t>
      </w:r>
      <w:r w:rsidR="009C11D6" w:rsidRPr="007E1E2E">
        <w:rPr>
          <w:lang w:val="fr-FR"/>
        </w:rPr>
        <w:t>, tipranavir</w:t>
      </w:r>
      <w:r w:rsidR="00277ECB" w:rsidRPr="007E1E2E">
        <w:rPr>
          <w:lang w:val="fr-FR"/>
        </w:rPr>
        <w:t>);</w:t>
      </w:r>
    </w:p>
    <w:p w14:paraId="58704F15" w14:textId="77777777" w:rsidR="00277ECB" w:rsidRPr="00342F7C" w:rsidRDefault="002C4066" w:rsidP="00FE6D86">
      <w:pPr>
        <w:pStyle w:val="EMEABullet"/>
        <w:tabs>
          <w:tab w:val="clear" w:pos="709"/>
          <w:tab w:val="num" w:pos="567"/>
        </w:tabs>
        <w:ind w:left="567"/>
        <w:rPr>
          <w:lang w:val="en-GB"/>
        </w:rPr>
      </w:pPr>
      <w:r>
        <w:rPr>
          <w:lang w:val="en-GB"/>
        </w:rPr>
        <w:t>s</w:t>
      </w:r>
      <w:r w:rsidR="00277ECB" w:rsidRPr="00342F7C">
        <w:rPr>
          <w:lang w:val="en-GB"/>
        </w:rPr>
        <w:t>edatives (e.g. midazolam administered by injection);</w:t>
      </w:r>
    </w:p>
    <w:p w14:paraId="6796C6EC" w14:textId="77777777" w:rsidR="00277ECB" w:rsidRPr="00342F7C" w:rsidRDefault="002C4066" w:rsidP="00FE6D86">
      <w:pPr>
        <w:pStyle w:val="EMEABullet"/>
        <w:tabs>
          <w:tab w:val="clear" w:pos="709"/>
          <w:tab w:val="num" w:pos="567"/>
        </w:tabs>
        <w:ind w:left="567"/>
        <w:rPr>
          <w:lang w:val="en-GB"/>
        </w:rPr>
      </w:pPr>
      <w:r>
        <w:rPr>
          <w:lang w:val="en-GB"/>
        </w:rPr>
        <w:t>s</w:t>
      </w:r>
      <w:r w:rsidR="00277ECB" w:rsidRPr="00342F7C">
        <w:rPr>
          <w:lang w:val="en-GB"/>
        </w:rPr>
        <w:t>teroids (e.g. </w:t>
      </w:r>
      <w:r w:rsidR="00285B05">
        <w:rPr>
          <w:lang w:val="en-GB"/>
        </w:rPr>
        <w:t xml:space="preserve">budesonide, </w:t>
      </w:r>
      <w:r w:rsidR="00277ECB" w:rsidRPr="00342F7C">
        <w:rPr>
          <w:lang w:val="en-GB"/>
        </w:rPr>
        <w:t>dexamethasone, fluticasone propionate, ethinyl oestradiol</w:t>
      </w:r>
      <w:r w:rsidR="00E011E0">
        <w:rPr>
          <w:lang w:val="en-GB"/>
        </w:rPr>
        <w:t xml:space="preserve">, </w:t>
      </w:r>
      <w:r w:rsidR="00E011E0">
        <w:rPr>
          <w:iCs/>
          <w:lang w:val="en-GB"/>
        </w:rPr>
        <w:t>triamcinolone</w:t>
      </w:r>
      <w:r w:rsidR="00277ECB" w:rsidRPr="00342F7C">
        <w:rPr>
          <w:lang w:val="en-GB"/>
        </w:rPr>
        <w:t>)</w:t>
      </w:r>
      <w:r w:rsidR="0020732B">
        <w:rPr>
          <w:lang w:val="en-GB"/>
        </w:rPr>
        <w:t>.</w:t>
      </w:r>
    </w:p>
    <w:p w14:paraId="1E5A33F6" w14:textId="77777777" w:rsidR="00277ECB" w:rsidRPr="00342F7C" w:rsidRDefault="00277ECB">
      <w:pPr>
        <w:pStyle w:val="EMEABullet"/>
        <w:numPr>
          <w:ilvl w:val="0"/>
          <w:numId w:val="0"/>
        </w:numPr>
        <w:rPr>
          <w:lang w:val="en-GB"/>
        </w:rPr>
      </w:pPr>
    </w:p>
    <w:p w14:paraId="0588313F" w14:textId="77777777" w:rsidR="00277ECB" w:rsidRPr="00342F7C" w:rsidRDefault="00277ECB">
      <w:pPr>
        <w:pStyle w:val="EMEABullet"/>
        <w:numPr>
          <w:ilvl w:val="0"/>
          <w:numId w:val="0"/>
        </w:numPr>
        <w:rPr>
          <w:lang w:val="en-GB"/>
        </w:rPr>
      </w:pPr>
      <w:r w:rsidRPr="00342F7C">
        <w:rPr>
          <w:b/>
          <w:bCs/>
          <w:lang w:val="en-GB"/>
        </w:rPr>
        <w:t xml:space="preserve">Read the list of medicines </w:t>
      </w:r>
      <w:r w:rsidR="00D273DB">
        <w:rPr>
          <w:b/>
          <w:bCs/>
          <w:lang w:val="en-GB"/>
        </w:rPr>
        <w:t>above</w:t>
      </w:r>
      <w:r w:rsidR="00D273DB" w:rsidRPr="00342F7C">
        <w:rPr>
          <w:b/>
          <w:bCs/>
          <w:lang w:val="en-GB"/>
        </w:rPr>
        <w:t xml:space="preserve"> </w:t>
      </w:r>
      <w:r w:rsidRPr="00342F7C">
        <w:rPr>
          <w:b/>
          <w:bCs/>
          <w:lang w:val="en-GB"/>
        </w:rPr>
        <w:t>‘Do not take Kaletra with any of the following medicines</w:t>
      </w:r>
      <w:r w:rsidRPr="00342F7C">
        <w:rPr>
          <w:lang w:val="en-GB"/>
        </w:rPr>
        <w:t>’ for information on medicines that you must not take with Kaletra.</w:t>
      </w:r>
    </w:p>
    <w:p w14:paraId="54D5FF4C" w14:textId="77777777" w:rsidR="00277ECB" w:rsidRPr="00342F7C" w:rsidRDefault="00277ECB">
      <w:pPr>
        <w:pStyle w:val="EMEABullet"/>
        <w:numPr>
          <w:ilvl w:val="0"/>
          <w:numId w:val="0"/>
        </w:numPr>
        <w:rPr>
          <w:lang w:val="en-GB"/>
        </w:rPr>
      </w:pPr>
    </w:p>
    <w:p w14:paraId="30AFF667" w14:textId="77777777" w:rsidR="00277ECB" w:rsidRPr="00342F7C" w:rsidRDefault="004714CA">
      <w:pPr>
        <w:pStyle w:val="EMEANormal"/>
        <w:rPr>
          <w:lang w:val="en-GB"/>
        </w:rPr>
      </w:pPr>
      <w:r>
        <w:rPr>
          <w:lang w:val="en-GB"/>
        </w:rPr>
        <w:t>T</w:t>
      </w:r>
      <w:r w:rsidR="00277ECB" w:rsidRPr="00342F7C">
        <w:rPr>
          <w:lang w:val="en-GB"/>
        </w:rPr>
        <w:t xml:space="preserve">ell your doctor or pharmacist if you </w:t>
      </w:r>
      <w:r w:rsidR="00D273DB">
        <w:rPr>
          <w:lang w:val="en-GB"/>
        </w:rPr>
        <w:t xml:space="preserve">or your child </w:t>
      </w:r>
      <w:r w:rsidR="00277ECB" w:rsidRPr="00342F7C">
        <w:rPr>
          <w:lang w:val="en-GB"/>
        </w:rPr>
        <w:t>are taking</w:t>
      </w:r>
      <w:r>
        <w:rPr>
          <w:lang w:val="en-GB"/>
        </w:rPr>
        <w:t>,</w:t>
      </w:r>
      <w:r w:rsidR="00277ECB" w:rsidRPr="00342F7C">
        <w:rPr>
          <w:lang w:val="en-GB"/>
        </w:rPr>
        <w:t xml:space="preserve"> have recently taken </w:t>
      </w:r>
      <w:r>
        <w:rPr>
          <w:lang w:val="en-GB"/>
        </w:rPr>
        <w:t xml:space="preserve">or might take </w:t>
      </w:r>
      <w:r w:rsidR="00277ECB" w:rsidRPr="00342F7C">
        <w:rPr>
          <w:lang w:val="en-GB"/>
        </w:rPr>
        <w:t>any other medicines, including medicines obtained without prescription.</w:t>
      </w:r>
    </w:p>
    <w:p w14:paraId="698CA78E" w14:textId="77777777" w:rsidR="00277ECB" w:rsidRPr="00342F7C" w:rsidRDefault="00277ECB">
      <w:pPr>
        <w:pStyle w:val="EMEABullet"/>
        <w:numPr>
          <w:ilvl w:val="0"/>
          <w:numId w:val="0"/>
        </w:numPr>
        <w:rPr>
          <w:lang w:val="en-GB"/>
        </w:rPr>
      </w:pPr>
    </w:p>
    <w:p w14:paraId="5404E021" w14:textId="77777777" w:rsidR="00277ECB" w:rsidRDefault="00277ECB">
      <w:pPr>
        <w:pStyle w:val="EMEABullet"/>
        <w:numPr>
          <w:ilvl w:val="0"/>
          <w:numId w:val="0"/>
        </w:numPr>
        <w:rPr>
          <w:b/>
          <w:bCs/>
          <w:lang w:val="en-GB"/>
        </w:rPr>
      </w:pPr>
      <w:r w:rsidRPr="00342F7C">
        <w:rPr>
          <w:b/>
          <w:bCs/>
          <w:lang w:val="en-GB"/>
        </w:rPr>
        <w:t>Erectile dysfunction medicines (</w:t>
      </w:r>
      <w:r w:rsidR="00D40FAE" w:rsidRPr="0017061C">
        <w:rPr>
          <w:b/>
          <w:lang w:val="en-GB"/>
        </w:rPr>
        <w:t>avanafil,</w:t>
      </w:r>
      <w:r w:rsidR="00D40FAE" w:rsidRPr="00342F7C">
        <w:rPr>
          <w:b/>
          <w:bCs/>
          <w:lang w:val="en-GB"/>
        </w:rPr>
        <w:t xml:space="preserve"> </w:t>
      </w:r>
      <w:r w:rsidRPr="00342F7C">
        <w:rPr>
          <w:b/>
          <w:bCs/>
          <w:lang w:val="en-GB"/>
        </w:rPr>
        <w:t>vardenafil, sildenafil, tadalafil)</w:t>
      </w:r>
    </w:p>
    <w:p w14:paraId="5A174141" w14:textId="77777777" w:rsidR="00A7637E" w:rsidRPr="00342F7C" w:rsidRDefault="00A7637E">
      <w:pPr>
        <w:pStyle w:val="EMEABullet"/>
        <w:numPr>
          <w:ilvl w:val="0"/>
          <w:numId w:val="0"/>
        </w:numPr>
        <w:rPr>
          <w:b/>
          <w:bCs/>
          <w:lang w:val="en-GB"/>
        </w:rPr>
      </w:pPr>
    </w:p>
    <w:p w14:paraId="492F50B3" w14:textId="77777777" w:rsidR="00277ECB" w:rsidRPr="00342F7C" w:rsidRDefault="00277ECB" w:rsidP="00FE6D86">
      <w:pPr>
        <w:pStyle w:val="EMEABullet"/>
        <w:tabs>
          <w:tab w:val="clear" w:pos="709"/>
          <w:tab w:val="num" w:pos="567"/>
        </w:tabs>
        <w:ind w:left="567"/>
        <w:rPr>
          <w:lang w:val="en-GB"/>
        </w:rPr>
      </w:pPr>
      <w:r w:rsidRPr="00342F7C">
        <w:rPr>
          <w:b/>
          <w:bCs/>
          <w:lang w:val="en-GB"/>
        </w:rPr>
        <w:t>Do not take Kaletra</w:t>
      </w:r>
      <w:r w:rsidRPr="00342F7C">
        <w:rPr>
          <w:lang w:val="en-GB"/>
        </w:rPr>
        <w:t xml:space="preserve"> if you are currently taking </w:t>
      </w:r>
      <w:r w:rsidR="00D40FAE">
        <w:rPr>
          <w:lang w:val="en-GB"/>
        </w:rPr>
        <w:t>avanafil</w:t>
      </w:r>
      <w:r w:rsidR="00D40FAE" w:rsidRPr="00342F7C">
        <w:rPr>
          <w:lang w:val="en-GB"/>
        </w:rPr>
        <w:t xml:space="preserve"> </w:t>
      </w:r>
      <w:r w:rsidR="00D40FAE">
        <w:rPr>
          <w:lang w:val="en-GB"/>
        </w:rPr>
        <w:t xml:space="preserve">or </w:t>
      </w:r>
      <w:r w:rsidRPr="00342F7C">
        <w:rPr>
          <w:lang w:val="en-GB"/>
        </w:rPr>
        <w:t>vardenafil.</w:t>
      </w:r>
    </w:p>
    <w:p w14:paraId="3737C70F" w14:textId="77777777" w:rsidR="009F5E22" w:rsidRPr="00342F7C" w:rsidRDefault="009F5E22" w:rsidP="00FE6D86">
      <w:pPr>
        <w:pStyle w:val="EMEABullet"/>
        <w:tabs>
          <w:tab w:val="clear" w:pos="709"/>
          <w:tab w:val="num" w:pos="567"/>
        </w:tabs>
        <w:ind w:left="567"/>
        <w:rPr>
          <w:lang w:val="en-GB"/>
        </w:rPr>
      </w:pPr>
      <w:r w:rsidRPr="00342F7C">
        <w:rPr>
          <w:lang w:val="en-GB"/>
        </w:rPr>
        <w:t xml:space="preserve">You must not take Kaletra with sildenafil used to treat pulmonary arterial hypertension </w:t>
      </w:r>
      <w:r w:rsidR="00C63A89" w:rsidRPr="00C71BC5">
        <w:rPr>
          <w:szCs w:val="22"/>
        </w:rPr>
        <w:t>(high blood pressure in the pulmonary artery)</w:t>
      </w:r>
      <w:r w:rsidR="00C63A89" w:rsidRPr="00342F7C">
        <w:rPr>
          <w:lang w:val="en-GB"/>
        </w:rPr>
        <w:t xml:space="preserve"> </w:t>
      </w:r>
      <w:r w:rsidRPr="00342F7C">
        <w:rPr>
          <w:lang w:val="en-GB"/>
        </w:rPr>
        <w:t xml:space="preserve">(see also </w:t>
      </w:r>
      <w:r w:rsidRPr="00342F7C">
        <w:rPr>
          <w:b/>
          <w:lang w:val="en-GB"/>
        </w:rPr>
        <w:t>Do not take Kaletra</w:t>
      </w:r>
      <w:r w:rsidRPr="00342F7C">
        <w:rPr>
          <w:lang w:val="en-GB"/>
        </w:rPr>
        <w:t xml:space="preserve"> section</w:t>
      </w:r>
      <w:r w:rsidR="00D273DB">
        <w:rPr>
          <w:lang w:val="en-GB"/>
        </w:rPr>
        <w:t xml:space="preserve"> above</w:t>
      </w:r>
      <w:r w:rsidRPr="00342F7C">
        <w:rPr>
          <w:lang w:val="en-GB"/>
        </w:rPr>
        <w:t>)</w:t>
      </w:r>
      <w:r w:rsidR="00B65B9A" w:rsidRPr="00342F7C">
        <w:rPr>
          <w:lang w:val="en-GB"/>
        </w:rPr>
        <w:t>.</w:t>
      </w:r>
    </w:p>
    <w:p w14:paraId="71DC50BB" w14:textId="77777777" w:rsidR="00277ECB" w:rsidRPr="00342F7C" w:rsidRDefault="00277ECB" w:rsidP="00FE6D86">
      <w:pPr>
        <w:pStyle w:val="EMEABullet"/>
        <w:tabs>
          <w:tab w:val="clear" w:pos="709"/>
          <w:tab w:val="num" w:pos="567"/>
        </w:tabs>
        <w:ind w:left="567"/>
        <w:rPr>
          <w:lang w:val="en-GB"/>
        </w:rPr>
      </w:pPr>
      <w:r w:rsidRPr="00342F7C">
        <w:rPr>
          <w:lang w:val="en-GB"/>
        </w:rPr>
        <w:t xml:space="preserve">If you take sildenafil or tadalafil and Kaletra together, you may be at risk of side effects such as low blood pressure, passing out, visual changes and penile erection lasting more than 4 hours.  If an erection lasts longer than 4 hours, you should get medical help </w:t>
      </w:r>
      <w:r w:rsidRPr="00342F7C">
        <w:rPr>
          <w:b/>
          <w:bCs/>
          <w:lang w:val="en-GB"/>
        </w:rPr>
        <w:t>immediately</w:t>
      </w:r>
      <w:r w:rsidRPr="00342F7C">
        <w:rPr>
          <w:lang w:val="en-GB"/>
        </w:rPr>
        <w:t xml:space="preserve"> to avoid permanent damage to your penis.  Your doctor can explain these symptoms to you.</w:t>
      </w:r>
    </w:p>
    <w:p w14:paraId="2C11FE4F" w14:textId="77777777" w:rsidR="00277ECB" w:rsidRPr="00342F7C" w:rsidRDefault="00277ECB">
      <w:pPr>
        <w:pStyle w:val="EMEANormal"/>
        <w:rPr>
          <w:lang w:val="en-GB"/>
        </w:rPr>
      </w:pPr>
    </w:p>
    <w:p w14:paraId="4955F796" w14:textId="77777777" w:rsidR="00277ECB" w:rsidRPr="00342F7C" w:rsidRDefault="00277ECB">
      <w:pPr>
        <w:pStyle w:val="EMEABullet"/>
        <w:numPr>
          <w:ilvl w:val="0"/>
          <w:numId w:val="0"/>
        </w:numPr>
        <w:rPr>
          <w:b/>
          <w:bCs/>
          <w:lang w:val="en-GB"/>
        </w:rPr>
      </w:pPr>
      <w:r w:rsidRPr="00342F7C">
        <w:rPr>
          <w:b/>
          <w:bCs/>
          <w:lang w:val="en-GB"/>
        </w:rPr>
        <w:t>Contraceptives</w:t>
      </w:r>
    </w:p>
    <w:p w14:paraId="02081C00" w14:textId="77777777" w:rsidR="00277ECB" w:rsidRPr="00342F7C" w:rsidRDefault="00277ECB">
      <w:pPr>
        <w:pStyle w:val="EMEABullet"/>
        <w:numPr>
          <w:ilvl w:val="0"/>
          <w:numId w:val="0"/>
        </w:numPr>
        <w:rPr>
          <w:b/>
          <w:bCs/>
          <w:lang w:val="en-GB"/>
        </w:rPr>
      </w:pPr>
    </w:p>
    <w:p w14:paraId="0C26CBB3" w14:textId="77777777" w:rsidR="00277ECB" w:rsidRPr="00342F7C" w:rsidRDefault="00277ECB" w:rsidP="00FE6D86">
      <w:pPr>
        <w:pStyle w:val="EMEABullet"/>
        <w:tabs>
          <w:tab w:val="clear" w:pos="709"/>
          <w:tab w:val="num" w:pos="567"/>
        </w:tabs>
        <w:ind w:left="567"/>
        <w:rPr>
          <w:lang w:val="en-GB"/>
        </w:rPr>
      </w:pPr>
      <w:r w:rsidRPr="00342F7C">
        <w:rPr>
          <w:lang w:val="en-GB"/>
        </w:rPr>
        <w:t>If you are currently using an oral contraceptive or using a patch contraceptive to prevent pregnancy, you should use an additional or different type of contraception (e.g. condom) as Kaletra may reduce the effectiveness of oral and patch contraceptives.</w:t>
      </w:r>
    </w:p>
    <w:p w14:paraId="47613F23" w14:textId="77777777" w:rsidR="00277ECB" w:rsidRPr="00342F7C" w:rsidRDefault="00277ECB" w:rsidP="00FE6D86">
      <w:pPr>
        <w:pStyle w:val="EMEABullet"/>
        <w:tabs>
          <w:tab w:val="clear" w:pos="709"/>
          <w:tab w:val="num" w:pos="567"/>
        </w:tabs>
        <w:ind w:left="567"/>
        <w:rPr>
          <w:lang w:val="en-GB"/>
        </w:rPr>
      </w:pPr>
      <w:r w:rsidRPr="00342F7C">
        <w:rPr>
          <w:lang w:val="en-GB"/>
        </w:rPr>
        <w:t>Kaletra does not reduce the risk of passing HIV to others.  Appropriate precautions (e.g. use of a condom) should be taken to prevent passing on the disease through sexual contact.</w:t>
      </w:r>
    </w:p>
    <w:p w14:paraId="78BFF985" w14:textId="77777777" w:rsidR="005C68A8" w:rsidRDefault="005C68A8" w:rsidP="005C68A8">
      <w:pPr>
        <w:pStyle w:val="EMEAHeadingLeaflet"/>
        <w:spacing w:beforeLines="0" w:before="0" w:afterLines="0" w:after="0"/>
        <w:rPr>
          <w:rFonts w:ascii="Times New Roman" w:hAnsi="Times New Roman"/>
          <w:lang w:val="en-GB"/>
        </w:rPr>
      </w:pPr>
    </w:p>
    <w:p w14:paraId="77D44FBC" w14:textId="77777777" w:rsidR="00277ECB" w:rsidRPr="00342F7C" w:rsidRDefault="00277ECB" w:rsidP="005C68A8">
      <w:pPr>
        <w:pStyle w:val="EMEAHeadingLeaflet"/>
        <w:spacing w:beforeLines="0" w:before="0" w:afterLines="0" w:after="0"/>
        <w:rPr>
          <w:rFonts w:ascii="Times New Roman" w:hAnsi="Times New Roman"/>
          <w:lang w:val="en-GB"/>
        </w:rPr>
      </w:pPr>
      <w:r w:rsidRPr="00342F7C">
        <w:rPr>
          <w:rFonts w:ascii="Times New Roman" w:hAnsi="Times New Roman"/>
          <w:lang w:val="en-GB"/>
        </w:rPr>
        <w:t>Pregnancy and breast-feeding</w:t>
      </w:r>
    </w:p>
    <w:p w14:paraId="2703D935" w14:textId="77777777" w:rsidR="00277ECB" w:rsidRPr="00342F7C" w:rsidRDefault="00277ECB">
      <w:pPr>
        <w:pStyle w:val="EMEANormal"/>
        <w:rPr>
          <w:lang w:val="en-GB"/>
        </w:rPr>
      </w:pPr>
    </w:p>
    <w:p w14:paraId="59B08E1C" w14:textId="77777777" w:rsidR="00D273DB" w:rsidRPr="00342F7C" w:rsidRDefault="00277ECB" w:rsidP="0052761E">
      <w:pPr>
        <w:pStyle w:val="EMEABullet"/>
        <w:numPr>
          <w:ilvl w:val="0"/>
          <w:numId w:val="41"/>
        </w:numPr>
        <w:tabs>
          <w:tab w:val="clear" w:pos="709"/>
          <w:tab w:val="num" w:pos="567"/>
        </w:tabs>
        <w:ind w:left="567"/>
        <w:rPr>
          <w:lang w:val="en-GB"/>
        </w:rPr>
      </w:pPr>
      <w:r w:rsidRPr="00342F7C">
        <w:rPr>
          <w:lang w:val="en-GB"/>
        </w:rPr>
        <w:t>Tell you</w:t>
      </w:r>
      <w:r w:rsidR="00B341CE">
        <w:rPr>
          <w:lang w:val="en-GB"/>
        </w:rPr>
        <w:t>r</w:t>
      </w:r>
      <w:r w:rsidRPr="00342F7C">
        <w:rPr>
          <w:lang w:val="en-GB"/>
        </w:rPr>
        <w:t xml:space="preserve"> doctor </w:t>
      </w:r>
      <w:r w:rsidRPr="00342F7C">
        <w:rPr>
          <w:b/>
          <w:bCs/>
          <w:lang w:val="en-GB"/>
        </w:rPr>
        <w:t>immediately</w:t>
      </w:r>
      <w:r w:rsidRPr="00342F7C">
        <w:rPr>
          <w:lang w:val="en-GB"/>
        </w:rPr>
        <w:t xml:space="preserve"> if </w:t>
      </w:r>
      <w:r w:rsidR="00562D03">
        <w:rPr>
          <w:lang w:val="en-GB"/>
        </w:rPr>
        <w:t xml:space="preserve">you are planning to have a baby, </w:t>
      </w:r>
      <w:r w:rsidRPr="00342F7C">
        <w:rPr>
          <w:lang w:val="en-GB"/>
        </w:rPr>
        <w:t xml:space="preserve">you are pregnant, think you may be pregnant or if you are breast-feeding.  </w:t>
      </w:r>
    </w:p>
    <w:p w14:paraId="6548A96D" w14:textId="77777777" w:rsidR="00277ECB" w:rsidRPr="00D273DB" w:rsidRDefault="00562D03" w:rsidP="00D273DB">
      <w:pPr>
        <w:pStyle w:val="EMEABullet"/>
        <w:tabs>
          <w:tab w:val="clear" w:pos="709"/>
          <w:tab w:val="num" w:pos="567"/>
        </w:tabs>
        <w:ind w:left="567"/>
        <w:rPr>
          <w:lang w:val="en-GB"/>
        </w:rPr>
      </w:pPr>
      <w:r w:rsidRPr="00D273DB">
        <w:rPr>
          <w:lang w:val="en-GB"/>
        </w:rPr>
        <w:t>B</w:t>
      </w:r>
      <w:r w:rsidR="00277ECB" w:rsidRPr="00D273DB">
        <w:rPr>
          <w:lang w:val="en-GB"/>
        </w:rPr>
        <w:t xml:space="preserve">reast-feeding mothers should not take Kaletra unless specifically directed by the doctor.  </w:t>
      </w:r>
    </w:p>
    <w:p w14:paraId="2F98B1F6" w14:textId="77777777" w:rsidR="00277ECB" w:rsidRPr="00342F7C" w:rsidRDefault="00277ECB" w:rsidP="00FE6D86">
      <w:pPr>
        <w:pStyle w:val="EMEABullet"/>
        <w:tabs>
          <w:tab w:val="clear" w:pos="709"/>
          <w:tab w:val="num" w:pos="567"/>
        </w:tabs>
        <w:ind w:left="567"/>
        <w:rPr>
          <w:lang w:val="en-GB"/>
        </w:rPr>
      </w:pPr>
      <w:r w:rsidRPr="00342F7C">
        <w:rPr>
          <w:lang w:val="en-GB"/>
        </w:rPr>
        <w:t>It is recommended that HIV-infected women do not breast-feed their infants because there is a possibility that the baby can be infected with HIV through your breast milk.</w:t>
      </w:r>
    </w:p>
    <w:p w14:paraId="0FEFEB69" w14:textId="77777777" w:rsidR="005C68A8" w:rsidRDefault="005C68A8" w:rsidP="005C68A8">
      <w:pPr>
        <w:pStyle w:val="EMEAHeadingLeaflet"/>
        <w:spacing w:beforeLines="0" w:before="0" w:afterLines="0" w:after="0"/>
        <w:rPr>
          <w:rFonts w:ascii="Times New Roman" w:hAnsi="Times New Roman"/>
          <w:lang w:val="en-GB"/>
        </w:rPr>
      </w:pPr>
    </w:p>
    <w:p w14:paraId="0226C1BD" w14:textId="77777777" w:rsidR="00277ECB" w:rsidRPr="00342F7C" w:rsidRDefault="00277ECB" w:rsidP="005C68A8">
      <w:pPr>
        <w:pStyle w:val="EMEAHeadingLeaflet"/>
        <w:spacing w:beforeLines="0" w:before="0" w:afterLines="0" w:after="0"/>
        <w:rPr>
          <w:rFonts w:ascii="Times New Roman" w:hAnsi="Times New Roman"/>
          <w:lang w:val="en-GB"/>
        </w:rPr>
      </w:pPr>
      <w:r w:rsidRPr="00342F7C">
        <w:rPr>
          <w:rFonts w:ascii="Times New Roman" w:hAnsi="Times New Roman"/>
          <w:lang w:val="en-GB"/>
        </w:rPr>
        <w:t>Driving or using machines</w:t>
      </w:r>
    </w:p>
    <w:p w14:paraId="23E311AE" w14:textId="77777777" w:rsidR="00277ECB" w:rsidRPr="00342F7C" w:rsidRDefault="00277ECB">
      <w:pPr>
        <w:pStyle w:val="EMEANormal"/>
        <w:rPr>
          <w:lang w:val="en-GB"/>
        </w:rPr>
      </w:pPr>
    </w:p>
    <w:p w14:paraId="592A0585" w14:textId="77777777" w:rsidR="00277ECB" w:rsidRDefault="00277ECB">
      <w:pPr>
        <w:pStyle w:val="EMEABullet"/>
        <w:numPr>
          <w:ilvl w:val="0"/>
          <w:numId w:val="0"/>
        </w:numPr>
        <w:rPr>
          <w:lang w:val="en-GB"/>
        </w:rPr>
      </w:pPr>
      <w:r w:rsidRPr="00342F7C">
        <w:rPr>
          <w:lang w:val="en-GB"/>
        </w:rPr>
        <w:t>Kaletra has not specifically been tested for its possible effects on the ability to drive a car or operate machines.  Do not drive a car or operate machinery if you experience any side effects (e.g. nausea) that impact your ability to do so safe</w:t>
      </w:r>
      <w:r w:rsidR="007E63B2" w:rsidRPr="00342F7C">
        <w:rPr>
          <w:lang w:val="en-GB"/>
        </w:rPr>
        <w:t>l</w:t>
      </w:r>
      <w:r w:rsidRPr="00342F7C">
        <w:rPr>
          <w:lang w:val="en-GB"/>
        </w:rPr>
        <w:t>y.  Instead, contact your doctor.</w:t>
      </w:r>
    </w:p>
    <w:p w14:paraId="3C22B0D5" w14:textId="77777777" w:rsidR="00D40409" w:rsidRDefault="00D40409">
      <w:pPr>
        <w:pStyle w:val="EMEABullet"/>
        <w:numPr>
          <w:ilvl w:val="0"/>
          <w:numId w:val="0"/>
        </w:numPr>
        <w:rPr>
          <w:lang w:val="en-GB"/>
        </w:rPr>
      </w:pPr>
    </w:p>
    <w:p w14:paraId="19E6BC57" w14:textId="77777777" w:rsidR="00D40409" w:rsidRPr="00342F7C" w:rsidRDefault="00D40409">
      <w:pPr>
        <w:pStyle w:val="EMEABullet"/>
        <w:numPr>
          <w:ilvl w:val="0"/>
          <w:numId w:val="0"/>
        </w:numPr>
        <w:rPr>
          <w:lang w:val="en-GB"/>
        </w:rPr>
      </w:pPr>
    </w:p>
    <w:p w14:paraId="43D40ABB" w14:textId="77777777" w:rsidR="003B7630" w:rsidRPr="00282043" w:rsidRDefault="00277ECB" w:rsidP="00DE10C4">
      <w:pPr>
        <w:keepNext/>
        <w:rPr>
          <w:b/>
          <w:sz w:val="22"/>
          <w:szCs w:val="22"/>
        </w:rPr>
      </w:pPr>
      <w:r w:rsidRPr="00282043">
        <w:rPr>
          <w:b/>
          <w:sz w:val="22"/>
          <w:szCs w:val="22"/>
        </w:rPr>
        <w:t>3.</w:t>
      </w:r>
      <w:r w:rsidRPr="00282043">
        <w:rPr>
          <w:b/>
          <w:sz w:val="22"/>
          <w:szCs w:val="22"/>
        </w:rPr>
        <w:tab/>
        <w:t>H</w:t>
      </w:r>
      <w:r w:rsidR="00D40409" w:rsidRPr="00282043">
        <w:rPr>
          <w:b/>
          <w:sz w:val="22"/>
          <w:szCs w:val="22"/>
        </w:rPr>
        <w:t>ow to take Kaletra</w:t>
      </w:r>
    </w:p>
    <w:p w14:paraId="38AC7975" w14:textId="77777777" w:rsidR="00277ECB" w:rsidRPr="00342F7C" w:rsidRDefault="00277ECB" w:rsidP="00DE10C4">
      <w:pPr>
        <w:pStyle w:val="EMEANormal"/>
        <w:keepNext/>
        <w:rPr>
          <w:b/>
          <w:bCs/>
          <w:lang w:val="en-GB"/>
        </w:rPr>
      </w:pPr>
    </w:p>
    <w:p w14:paraId="4BBC48F5" w14:textId="77777777" w:rsidR="00277ECB" w:rsidRPr="00342F7C" w:rsidRDefault="00277ECB" w:rsidP="00DE10C4">
      <w:pPr>
        <w:pStyle w:val="EMEABullet"/>
        <w:keepNext/>
        <w:numPr>
          <w:ilvl w:val="0"/>
          <w:numId w:val="0"/>
        </w:numPr>
        <w:pBdr>
          <w:top w:val="single" w:sz="4" w:space="1" w:color="auto"/>
          <w:left w:val="single" w:sz="4" w:space="4" w:color="auto"/>
          <w:bottom w:val="single" w:sz="4" w:space="1" w:color="auto"/>
          <w:right w:val="single" w:sz="4" w:space="4" w:color="auto"/>
        </w:pBdr>
        <w:shd w:val="clear" w:color="auto" w:fill="D9D9D9"/>
        <w:jc w:val="center"/>
        <w:rPr>
          <w:lang w:val="en-GB"/>
        </w:rPr>
      </w:pPr>
      <w:r w:rsidRPr="00342F7C">
        <w:rPr>
          <w:lang w:val="en-GB"/>
        </w:rPr>
        <w:t>It is important that Kaletra tablets are swallowed whole and not chewed, broken or crushed.</w:t>
      </w:r>
    </w:p>
    <w:p w14:paraId="1147B579" w14:textId="77777777" w:rsidR="00277ECB" w:rsidRPr="00342F7C" w:rsidRDefault="00277ECB" w:rsidP="00DE10C4">
      <w:pPr>
        <w:pStyle w:val="EMEABullet"/>
        <w:keepNext/>
        <w:numPr>
          <w:ilvl w:val="0"/>
          <w:numId w:val="0"/>
        </w:numPr>
        <w:rPr>
          <w:lang w:val="en-GB"/>
        </w:rPr>
      </w:pPr>
    </w:p>
    <w:p w14:paraId="0709ADF7" w14:textId="77777777" w:rsidR="00277ECB" w:rsidRPr="00342F7C" w:rsidRDefault="00277ECB" w:rsidP="0017061C">
      <w:pPr>
        <w:pStyle w:val="EMEABullet"/>
        <w:numPr>
          <w:ilvl w:val="0"/>
          <w:numId w:val="0"/>
        </w:numPr>
        <w:rPr>
          <w:lang w:val="en-GB"/>
        </w:rPr>
      </w:pPr>
      <w:r w:rsidRPr="00342F7C">
        <w:rPr>
          <w:lang w:val="en-GB"/>
        </w:rPr>
        <w:t xml:space="preserve">Always take </w:t>
      </w:r>
      <w:r w:rsidR="003428CC">
        <w:rPr>
          <w:lang w:val="en-GB"/>
        </w:rPr>
        <w:t>this medicine</w:t>
      </w:r>
      <w:r w:rsidR="003428CC" w:rsidRPr="00342F7C">
        <w:rPr>
          <w:lang w:val="en-GB"/>
        </w:rPr>
        <w:t xml:space="preserve"> </w:t>
      </w:r>
      <w:r w:rsidRPr="00342F7C">
        <w:rPr>
          <w:lang w:val="en-GB"/>
        </w:rPr>
        <w:t>exactly as your doctor has told you.</w:t>
      </w:r>
      <w:r w:rsidR="003428CC">
        <w:rPr>
          <w:lang w:val="en-GB"/>
        </w:rPr>
        <w:t xml:space="preserve"> C</w:t>
      </w:r>
      <w:r w:rsidRPr="00342F7C">
        <w:rPr>
          <w:lang w:val="en-GB"/>
        </w:rPr>
        <w:t>heck with your doctor or pharmacist if you are not sure how you should take your medicine.</w:t>
      </w:r>
    </w:p>
    <w:p w14:paraId="19638964" w14:textId="77777777" w:rsidR="004B37FD" w:rsidRDefault="004B37FD" w:rsidP="004B37FD">
      <w:pPr>
        <w:pStyle w:val="EMEAHeadingLeaflet"/>
        <w:spacing w:beforeLines="0" w:before="0" w:afterLines="0" w:after="0"/>
        <w:rPr>
          <w:rFonts w:ascii="Times New Roman" w:hAnsi="Times New Roman"/>
          <w:lang w:val="en-GB"/>
        </w:rPr>
      </w:pPr>
    </w:p>
    <w:p w14:paraId="1A9A7EB2" w14:textId="77777777" w:rsidR="00277ECB" w:rsidRPr="00342F7C" w:rsidRDefault="00277ECB" w:rsidP="004E4B46">
      <w:pPr>
        <w:pStyle w:val="EMEAHeadingLeaflet"/>
        <w:keepNext/>
        <w:spacing w:beforeLines="0" w:before="0" w:afterLines="0" w:after="0"/>
        <w:rPr>
          <w:rFonts w:ascii="Times New Roman" w:hAnsi="Times New Roman"/>
          <w:lang w:val="en-GB"/>
        </w:rPr>
      </w:pPr>
      <w:r w:rsidRPr="00342F7C">
        <w:rPr>
          <w:rFonts w:ascii="Times New Roman" w:hAnsi="Times New Roman"/>
          <w:lang w:val="en-GB"/>
        </w:rPr>
        <w:t>How much Kaletra should be taken and when?</w:t>
      </w:r>
    </w:p>
    <w:p w14:paraId="33FB4370" w14:textId="77777777" w:rsidR="004B37FD" w:rsidRDefault="004B37FD" w:rsidP="004E4B46">
      <w:pPr>
        <w:pStyle w:val="EMEANormal"/>
        <w:keepNext/>
        <w:rPr>
          <w:b/>
          <w:lang w:val="en-GB"/>
        </w:rPr>
      </w:pPr>
    </w:p>
    <w:p w14:paraId="4956F22F" w14:textId="77777777" w:rsidR="009C5BCD" w:rsidRPr="00342F7C" w:rsidRDefault="009C5BCD" w:rsidP="004E4B46">
      <w:pPr>
        <w:pStyle w:val="EMEANormal"/>
        <w:keepNext/>
        <w:rPr>
          <w:b/>
          <w:lang w:val="en-GB"/>
        </w:rPr>
      </w:pPr>
      <w:r w:rsidRPr="00342F7C">
        <w:rPr>
          <w:b/>
          <w:lang w:val="en-GB"/>
        </w:rPr>
        <w:t>Use in adults</w:t>
      </w:r>
    </w:p>
    <w:p w14:paraId="2795CE64" w14:textId="77777777" w:rsidR="009C5BCD" w:rsidRPr="00342F7C" w:rsidRDefault="009C5BCD" w:rsidP="004E4B46">
      <w:pPr>
        <w:pStyle w:val="EMEANormal"/>
        <w:keepNext/>
        <w:rPr>
          <w:lang w:val="en-GB"/>
        </w:rPr>
      </w:pPr>
    </w:p>
    <w:p w14:paraId="391B9996" w14:textId="77777777" w:rsidR="00277ECB" w:rsidRPr="00342F7C" w:rsidRDefault="00277ECB" w:rsidP="00FE6D86">
      <w:pPr>
        <w:pStyle w:val="EMEABullet"/>
        <w:tabs>
          <w:tab w:val="clear" w:pos="709"/>
          <w:tab w:val="num" w:pos="567"/>
        </w:tabs>
        <w:ind w:left="567"/>
        <w:rPr>
          <w:lang w:val="en-GB"/>
        </w:rPr>
      </w:pPr>
      <w:r w:rsidRPr="00342F7C">
        <w:rPr>
          <w:lang w:val="en-GB"/>
        </w:rPr>
        <w:t xml:space="preserve">The usual adult dose is 400 mg/100 mg twice a day i.e. every 12 hours, in combination with other anti-HIV medicines.  </w:t>
      </w:r>
      <w:r w:rsidR="00B34893" w:rsidRPr="00342F7C">
        <w:rPr>
          <w:lang w:val="en-GB"/>
        </w:rPr>
        <w:t xml:space="preserve">Adult patients who have not previously taken other antiviral medicines can also take Kaletra tablets once daily as an 800 mg/200 mg dose.  </w:t>
      </w:r>
      <w:r w:rsidRPr="00342F7C">
        <w:rPr>
          <w:lang w:val="en-GB"/>
        </w:rPr>
        <w:t>Your doctor will advise on the number of tablets to be taken.</w:t>
      </w:r>
      <w:r w:rsidR="00CF4401" w:rsidRPr="00342F7C">
        <w:rPr>
          <w:lang w:val="en-GB"/>
        </w:rPr>
        <w:t xml:space="preserve">  Adult patients who have previously taken other antiviral medicines can take Kalet</w:t>
      </w:r>
      <w:r w:rsidR="003F3D02" w:rsidRPr="00342F7C">
        <w:rPr>
          <w:lang w:val="en-GB"/>
        </w:rPr>
        <w:t>ra tablets once daily as an 800 mg/200 </w:t>
      </w:r>
      <w:r w:rsidR="00CF4401" w:rsidRPr="00342F7C">
        <w:rPr>
          <w:lang w:val="en-GB"/>
        </w:rPr>
        <w:t>mg dose if their doctor decides it is appropriate.</w:t>
      </w:r>
    </w:p>
    <w:p w14:paraId="72DFDF5D" w14:textId="77777777" w:rsidR="00B34893" w:rsidRPr="00342F7C" w:rsidRDefault="00B34893" w:rsidP="00FE6D86">
      <w:pPr>
        <w:pStyle w:val="EMEABullet"/>
        <w:tabs>
          <w:tab w:val="clear" w:pos="709"/>
          <w:tab w:val="num" w:pos="567"/>
        </w:tabs>
        <w:ind w:left="567"/>
        <w:rPr>
          <w:lang w:val="en-GB"/>
        </w:rPr>
      </w:pPr>
      <w:r w:rsidRPr="00342F7C">
        <w:rPr>
          <w:lang w:val="en-GB"/>
        </w:rPr>
        <w:t xml:space="preserve">Kaletra must not be taken once daily with efavirenz, nevirapine, </w:t>
      </w:r>
      <w:r w:rsidRPr="00342F7C">
        <w:rPr>
          <w:szCs w:val="22"/>
          <w:lang w:val="en-GB"/>
        </w:rPr>
        <w:t>carbamazepine, phenobarbital and phenytoin.</w:t>
      </w:r>
    </w:p>
    <w:p w14:paraId="1188E4C1" w14:textId="77777777" w:rsidR="003D1B4E" w:rsidRPr="00342F7C" w:rsidRDefault="003D1B4E" w:rsidP="00FE6D86">
      <w:pPr>
        <w:pStyle w:val="EMEABullet"/>
        <w:tabs>
          <w:tab w:val="clear" w:pos="709"/>
          <w:tab w:val="num" w:pos="567"/>
        </w:tabs>
        <w:ind w:left="567"/>
        <w:rPr>
          <w:lang w:val="en-GB"/>
        </w:rPr>
      </w:pPr>
      <w:r w:rsidRPr="00342F7C">
        <w:rPr>
          <w:szCs w:val="22"/>
          <w:lang w:val="en-GB"/>
        </w:rPr>
        <w:t>Kaletra tablets can be taken with or without food.</w:t>
      </w:r>
    </w:p>
    <w:p w14:paraId="4BBC7E3A" w14:textId="77777777" w:rsidR="003D1B4E" w:rsidRPr="00342F7C" w:rsidRDefault="003D1B4E" w:rsidP="003D1B4E">
      <w:pPr>
        <w:pStyle w:val="EMEABullet"/>
        <w:numPr>
          <w:ilvl w:val="0"/>
          <w:numId w:val="0"/>
        </w:numPr>
        <w:rPr>
          <w:lang w:val="en-GB"/>
        </w:rPr>
      </w:pPr>
    </w:p>
    <w:p w14:paraId="1943672A" w14:textId="77777777" w:rsidR="003D1B4E" w:rsidRPr="00342F7C" w:rsidRDefault="003D1B4E" w:rsidP="003D1B4E">
      <w:pPr>
        <w:pStyle w:val="EMEABullet"/>
        <w:numPr>
          <w:ilvl w:val="0"/>
          <w:numId w:val="0"/>
        </w:numPr>
        <w:rPr>
          <w:b/>
          <w:lang w:val="en-GB"/>
        </w:rPr>
      </w:pPr>
      <w:r w:rsidRPr="00342F7C">
        <w:rPr>
          <w:b/>
          <w:lang w:val="en-GB"/>
        </w:rPr>
        <w:t>Use in children</w:t>
      </w:r>
    </w:p>
    <w:p w14:paraId="49D985E8" w14:textId="77777777" w:rsidR="003D1B4E" w:rsidRPr="00342F7C" w:rsidRDefault="003D1B4E" w:rsidP="003D1B4E">
      <w:pPr>
        <w:pStyle w:val="EMEABullet"/>
        <w:numPr>
          <w:ilvl w:val="0"/>
          <w:numId w:val="0"/>
        </w:numPr>
        <w:rPr>
          <w:lang w:val="en-GB"/>
        </w:rPr>
      </w:pPr>
    </w:p>
    <w:p w14:paraId="38F2F258" w14:textId="77777777" w:rsidR="00277ECB" w:rsidRPr="00342F7C" w:rsidRDefault="00277ECB" w:rsidP="00FE6D86">
      <w:pPr>
        <w:pStyle w:val="EMEABullet"/>
        <w:tabs>
          <w:tab w:val="clear" w:pos="709"/>
          <w:tab w:val="num" w:pos="567"/>
        </w:tabs>
        <w:ind w:left="567"/>
        <w:rPr>
          <w:lang w:val="en-GB"/>
        </w:rPr>
      </w:pPr>
      <w:r w:rsidRPr="00342F7C">
        <w:rPr>
          <w:lang w:val="en-GB"/>
        </w:rPr>
        <w:t xml:space="preserve">For children, your doctor will decide the right dose (number of tablets) based on the child’s height and weight.  </w:t>
      </w:r>
    </w:p>
    <w:p w14:paraId="5B47E45F" w14:textId="77777777" w:rsidR="003D1B4E" w:rsidRPr="00342F7C" w:rsidRDefault="003D1B4E" w:rsidP="00FE6D86">
      <w:pPr>
        <w:pStyle w:val="EMEABullet"/>
        <w:tabs>
          <w:tab w:val="clear" w:pos="709"/>
          <w:tab w:val="num" w:pos="567"/>
        </w:tabs>
        <w:ind w:left="567"/>
        <w:rPr>
          <w:lang w:val="en-GB"/>
        </w:rPr>
      </w:pPr>
      <w:r w:rsidRPr="00342F7C">
        <w:rPr>
          <w:szCs w:val="22"/>
          <w:lang w:val="en-GB"/>
        </w:rPr>
        <w:t>Kaletra tablets can be taken with or without food.</w:t>
      </w:r>
    </w:p>
    <w:p w14:paraId="7010F882" w14:textId="77777777" w:rsidR="003D1B4E" w:rsidRPr="00342F7C" w:rsidRDefault="003D1B4E" w:rsidP="003D1B4E">
      <w:pPr>
        <w:pStyle w:val="EMEABullet"/>
        <w:numPr>
          <w:ilvl w:val="0"/>
          <w:numId w:val="0"/>
        </w:numPr>
        <w:rPr>
          <w:lang w:val="en-GB"/>
        </w:rPr>
      </w:pPr>
    </w:p>
    <w:p w14:paraId="561A97EC" w14:textId="77777777" w:rsidR="00277ECB" w:rsidRPr="00342F7C" w:rsidRDefault="00277ECB" w:rsidP="003D1B4E">
      <w:pPr>
        <w:pStyle w:val="EMEABullet"/>
        <w:numPr>
          <w:ilvl w:val="0"/>
          <w:numId w:val="0"/>
        </w:numPr>
        <w:rPr>
          <w:lang w:val="en-GB"/>
        </w:rPr>
      </w:pPr>
      <w:r w:rsidRPr="00342F7C">
        <w:rPr>
          <w:lang w:val="en-GB"/>
        </w:rPr>
        <w:t xml:space="preserve">Kaletra is also supplied as </w:t>
      </w:r>
      <w:r w:rsidR="00B34893" w:rsidRPr="00342F7C">
        <w:rPr>
          <w:lang w:val="en-GB"/>
        </w:rPr>
        <w:t xml:space="preserve">100 mg/25 mg film-coated tablets.  Kaletra </w:t>
      </w:r>
      <w:r w:rsidRPr="00342F7C">
        <w:rPr>
          <w:lang w:val="en-GB"/>
        </w:rPr>
        <w:t xml:space="preserve">oral solution </w:t>
      </w:r>
      <w:r w:rsidR="00B34893" w:rsidRPr="00342F7C">
        <w:rPr>
          <w:lang w:val="en-GB"/>
        </w:rPr>
        <w:t>is available</w:t>
      </w:r>
      <w:r w:rsidR="00B50C76" w:rsidRPr="00342F7C">
        <w:rPr>
          <w:lang w:val="en-GB"/>
        </w:rPr>
        <w:t xml:space="preserve"> </w:t>
      </w:r>
      <w:r w:rsidRPr="00342F7C">
        <w:rPr>
          <w:lang w:val="en-GB"/>
        </w:rPr>
        <w:t>for patients who cannot take tablets.</w:t>
      </w:r>
    </w:p>
    <w:p w14:paraId="55432CF2" w14:textId="77777777" w:rsidR="004B37FD" w:rsidRDefault="004B37FD" w:rsidP="004B37FD">
      <w:pPr>
        <w:pStyle w:val="EMEAHeadingLeaflet"/>
        <w:spacing w:beforeLines="0" w:before="0" w:afterLines="0" w:after="0"/>
        <w:rPr>
          <w:rFonts w:ascii="Times New Roman" w:hAnsi="Times New Roman"/>
          <w:lang w:val="en-GB"/>
        </w:rPr>
      </w:pPr>
    </w:p>
    <w:p w14:paraId="0D20358E" w14:textId="77777777" w:rsidR="00277ECB" w:rsidRDefault="00277ECB" w:rsidP="004B37FD">
      <w:pPr>
        <w:pStyle w:val="EMEAHeadingLeaflet"/>
        <w:spacing w:beforeLines="0" w:before="0" w:afterLines="0" w:after="0"/>
        <w:rPr>
          <w:rFonts w:ascii="Times New Roman" w:hAnsi="Times New Roman"/>
          <w:lang w:val="en-GB"/>
        </w:rPr>
      </w:pPr>
      <w:r w:rsidRPr="00342F7C">
        <w:rPr>
          <w:rFonts w:ascii="Times New Roman" w:hAnsi="Times New Roman"/>
          <w:lang w:val="en-GB"/>
        </w:rPr>
        <w:t xml:space="preserve">If you </w:t>
      </w:r>
      <w:r w:rsidR="001E3098">
        <w:rPr>
          <w:rFonts w:ascii="Times New Roman" w:hAnsi="Times New Roman"/>
          <w:lang w:val="en-GB"/>
        </w:rPr>
        <w:t xml:space="preserve">or your child </w:t>
      </w:r>
      <w:r w:rsidRPr="00342F7C">
        <w:rPr>
          <w:rFonts w:ascii="Times New Roman" w:hAnsi="Times New Roman"/>
          <w:lang w:val="en-GB"/>
        </w:rPr>
        <w:t>take more Kaletra than you should</w:t>
      </w:r>
    </w:p>
    <w:p w14:paraId="27B342CF" w14:textId="77777777" w:rsidR="004B37FD" w:rsidRPr="004B37FD" w:rsidRDefault="004B37FD" w:rsidP="004B37FD">
      <w:pPr>
        <w:pStyle w:val="EMEANormal"/>
        <w:rPr>
          <w:lang w:val="en-GB"/>
        </w:rPr>
      </w:pPr>
    </w:p>
    <w:p w14:paraId="2316B7D9" w14:textId="77777777" w:rsidR="00277ECB" w:rsidRPr="00342F7C" w:rsidRDefault="00277ECB" w:rsidP="00FE6D86">
      <w:pPr>
        <w:pStyle w:val="EMEABullet"/>
        <w:tabs>
          <w:tab w:val="clear" w:pos="709"/>
          <w:tab w:val="num" w:pos="567"/>
        </w:tabs>
        <w:ind w:left="567"/>
        <w:rPr>
          <w:lang w:val="en-GB"/>
        </w:rPr>
      </w:pPr>
      <w:r w:rsidRPr="00342F7C">
        <w:rPr>
          <w:lang w:val="en-GB"/>
        </w:rPr>
        <w:t>If you realise you have taken more Kaletra than you were supposed to, contact you</w:t>
      </w:r>
      <w:r w:rsidR="003A5D18">
        <w:rPr>
          <w:lang w:val="en-GB"/>
        </w:rPr>
        <w:t>r</w:t>
      </w:r>
      <w:r w:rsidRPr="00342F7C">
        <w:rPr>
          <w:lang w:val="en-GB"/>
        </w:rPr>
        <w:t xml:space="preserve"> doctor right away.  </w:t>
      </w:r>
    </w:p>
    <w:p w14:paraId="3997BF99" w14:textId="77777777" w:rsidR="00277ECB" w:rsidRPr="00342F7C" w:rsidRDefault="00277ECB" w:rsidP="00FE6D86">
      <w:pPr>
        <w:pStyle w:val="EMEABullet"/>
        <w:tabs>
          <w:tab w:val="clear" w:pos="709"/>
          <w:tab w:val="num" w:pos="567"/>
        </w:tabs>
        <w:ind w:left="567"/>
        <w:rPr>
          <w:lang w:val="en-GB"/>
        </w:rPr>
      </w:pPr>
      <w:r w:rsidRPr="00342F7C">
        <w:rPr>
          <w:lang w:val="en-GB"/>
        </w:rPr>
        <w:t>If you cannot contact your doctor, go to the hospital.</w:t>
      </w:r>
    </w:p>
    <w:p w14:paraId="0D9E1A2A" w14:textId="77777777" w:rsidR="004B37FD" w:rsidRDefault="004B37FD" w:rsidP="004B37FD">
      <w:pPr>
        <w:pStyle w:val="EMEAHeadingLeaflet"/>
        <w:spacing w:beforeLines="0" w:before="0" w:afterLines="0" w:after="0"/>
        <w:rPr>
          <w:rFonts w:ascii="Times New Roman" w:hAnsi="Times New Roman"/>
          <w:lang w:val="en-GB"/>
        </w:rPr>
      </w:pPr>
    </w:p>
    <w:p w14:paraId="055E7EF9" w14:textId="77777777" w:rsidR="00277ECB" w:rsidRPr="00342F7C" w:rsidRDefault="00277ECB" w:rsidP="004B37FD">
      <w:pPr>
        <w:pStyle w:val="EMEAHeadingLeaflet"/>
        <w:spacing w:beforeLines="0" w:before="0" w:afterLines="0" w:after="0"/>
        <w:rPr>
          <w:rFonts w:ascii="Times New Roman" w:hAnsi="Times New Roman"/>
          <w:lang w:val="en-GB"/>
        </w:rPr>
      </w:pPr>
      <w:r w:rsidRPr="00342F7C">
        <w:rPr>
          <w:rFonts w:ascii="Times New Roman" w:hAnsi="Times New Roman"/>
          <w:lang w:val="en-GB"/>
        </w:rPr>
        <w:t xml:space="preserve">If you </w:t>
      </w:r>
      <w:r w:rsidR="001E3098">
        <w:rPr>
          <w:rFonts w:ascii="Times New Roman" w:hAnsi="Times New Roman"/>
          <w:lang w:val="en-GB"/>
        </w:rPr>
        <w:t xml:space="preserve">or your child </w:t>
      </w:r>
      <w:r w:rsidRPr="00342F7C">
        <w:rPr>
          <w:rFonts w:ascii="Times New Roman" w:hAnsi="Times New Roman"/>
          <w:lang w:val="en-GB"/>
        </w:rPr>
        <w:t>forget to take Kaletra</w:t>
      </w:r>
    </w:p>
    <w:p w14:paraId="1539D566" w14:textId="77777777" w:rsidR="004B37FD" w:rsidRDefault="004B37FD" w:rsidP="009670E5">
      <w:pPr>
        <w:pStyle w:val="EMEABullet"/>
        <w:numPr>
          <w:ilvl w:val="0"/>
          <w:numId w:val="0"/>
        </w:numPr>
        <w:rPr>
          <w:i/>
          <w:u w:val="single"/>
        </w:rPr>
      </w:pPr>
    </w:p>
    <w:p w14:paraId="66BC73B5" w14:textId="77777777" w:rsidR="009670E5" w:rsidRPr="00304D2B" w:rsidRDefault="009670E5" w:rsidP="009670E5">
      <w:pPr>
        <w:pStyle w:val="EMEABullet"/>
        <w:numPr>
          <w:ilvl w:val="0"/>
          <w:numId w:val="0"/>
        </w:numPr>
        <w:rPr>
          <w:i/>
          <w:u w:val="single"/>
        </w:rPr>
      </w:pPr>
      <w:r w:rsidRPr="00304D2B">
        <w:rPr>
          <w:i/>
          <w:u w:val="single"/>
        </w:rPr>
        <w:t>If you are taking Kaletra twice a day</w:t>
      </w:r>
    </w:p>
    <w:p w14:paraId="66AFD5CC" w14:textId="77777777" w:rsidR="009670E5" w:rsidRDefault="009670E5" w:rsidP="0052761E">
      <w:pPr>
        <w:pStyle w:val="EMEABullet"/>
        <w:numPr>
          <w:ilvl w:val="0"/>
          <w:numId w:val="19"/>
        </w:numPr>
        <w:ind w:left="567" w:hanging="567"/>
      </w:pPr>
      <w:r>
        <w:t>If you notice you miss a dose within 6 hours of your normal dosing time, take your missed dose as soon as possible, and then continue with your normal dose at the regular time as prescribed by your doctor.</w:t>
      </w:r>
    </w:p>
    <w:p w14:paraId="02A9D44C" w14:textId="77777777" w:rsidR="009670E5" w:rsidRDefault="009670E5" w:rsidP="009670E5">
      <w:pPr>
        <w:pStyle w:val="EMEABullet"/>
        <w:numPr>
          <w:ilvl w:val="0"/>
          <w:numId w:val="0"/>
        </w:numPr>
      </w:pPr>
    </w:p>
    <w:p w14:paraId="48420B46" w14:textId="77777777" w:rsidR="009670E5" w:rsidRDefault="009670E5" w:rsidP="0052761E">
      <w:pPr>
        <w:pStyle w:val="EMEABullet"/>
        <w:numPr>
          <w:ilvl w:val="0"/>
          <w:numId w:val="19"/>
        </w:numPr>
        <w:ind w:left="567" w:hanging="567"/>
      </w:pPr>
      <w:r>
        <w:t>If you notice you miss a dose by more than 6 hours after your normal dosing time, do not take the missed dose.  Take the next dose as usual.  Do not take a double dose to make up for a forgotten dose.</w:t>
      </w:r>
    </w:p>
    <w:p w14:paraId="28B767F5" w14:textId="77777777" w:rsidR="009670E5" w:rsidRDefault="009670E5" w:rsidP="009670E5">
      <w:pPr>
        <w:pStyle w:val="EMEABullet"/>
        <w:numPr>
          <w:ilvl w:val="0"/>
          <w:numId w:val="0"/>
        </w:numPr>
      </w:pPr>
    </w:p>
    <w:p w14:paraId="1F1BDF39" w14:textId="77777777" w:rsidR="009670E5" w:rsidRPr="00304D2B" w:rsidRDefault="009670E5" w:rsidP="009670E5">
      <w:pPr>
        <w:pStyle w:val="EMEABullet"/>
        <w:numPr>
          <w:ilvl w:val="0"/>
          <w:numId w:val="0"/>
        </w:numPr>
        <w:rPr>
          <w:i/>
          <w:u w:val="single"/>
        </w:rPr>
      </w:pPr>
      <w:r w:rsidRPr="00304D2B">
        <w:rPr>
          <w:i/>
          <w:u w:val="single"/>
        </w:rPr>
        <w:t>If you are taking Kaletra once a day</w:t>
      </w:r>
    </w:p>
    <w:p w14:paraId="0B4F508C" w14:textId="77777777" w:rsidR="009670E5" w:rsidRDefault="009670E5" w:rsidP="0052761E">
      <w:pPr>
        <w:pStyle w:val="EMEABullet"/>
        <w:numPr>
          <w:ilvl w:val="0"/>
          <w:numId w:val="20"/>
        </w:numPr>
        <w:ind w:left="567" w:hanging="567"/>
      </w:pPr>
      <w:r>
        <w:t>If you notice you miss a dose within 12 hours of your normal dosing time, take your missed dose as soon as possible, and then continue with your normal dose at the regular time as prescribed by your doctor.</w:t>
      </w:r>
    </w:p>
    <w:p w14:paraId="7CD1BF3B" w14:textId="77777777" w:rsidR="009670E5" w:rsidRDefault="009670E5" w:rsidP="009670E5">
      <w:pPr>
        <w:pStyle w:val="EMEABullet"/>
        <w:numPr>
          <w:ilvl w:val="0"/>
          <w:numId w:val="0"/>
        </w:numPr>
      </w:pPr>
    </w:p>
    <w:p w14:paraId="15A2395D" w14:textId="77777777" w:rsidR="009670E5" w:rsidRDefault="009670E5" w:rsidP="0052761E">
      <w:pPr>
        <w:pStyle w:val="EMEABullet"/>
        <w:numPr>
          <w:ilvl w:val="0"/>
          <w:numId w:val="20"/>
        </w:numPr>
        <w:ind w:left="567" w:hanging="567"/>
      </w:pPr>
      <w:r>
        <w:t>If you notice you miss a dose by more than 12 hours after your normal dosing time, do not take the missed dose.  Take the next dose as usual.  Do not take a double dose to make up for a forgotten dose.</w:t>
      </w:r>
    </w:p>
    <w:p w14:paraId="0B7F733D" w14:textId="77777777" w:rsidR="004B37FD" w:rsidRDefault="004B37FD" w:rsidP="004B37FD">
      <w:pPr>
        <w:pStyle w:val="EMEAHeadingLeaflet"/>
        <w:spacing w:beforeLines="0" w:before="0" w:afterLines="0" w:after="0"/>
        <w:rPr>
          <w:rFonts w:ascii="Times New Roman" w:hAnsi="Times New Roman"/>
          <w:lang w:val="en-GB"/>
        </w:rPr>
      </w:pPr>
    </w:p>
    <w:p w14:paraId="3374A575" w14:textId="77777777" w:rsidR="009C5BCD" w:rsidRPr="00342F7C" w:rsidRDefault="009C5BCD" w:rsidP="004B37FD">
      <w:pPr>
        <w:pStyle w:val="EMEAHeadingLeaflet"/>
        <w:spacing w:beforeLines="0" w:before="0" w:afterLines="0" w:after="0"/>
        <w:rPr>
          <w:rFonts w:ascii="Times New Roman" w:hAnsi="Times New Roman"/>
          <w:lang w:val="en-GB"/>
        </w:rPr>
      </w:pPr>
      <w:r w:rsidRPr="00342F7C">
        <w:rPr>
          <w:rFonts w:ascii="Times New Roman" w:hAnsi="Times New Roman"/>
          <w:lang w:val="en-GB"/>
        </w:rPr>
        <w:t>I</w:t>
      </w:r>
      <w:r w:rsidR="003D1B4E" w:rsidRPr="00342F7C">
        <w:rPr>
          <w:rFonts w:ascii="Times New Roman" w:hAnsi="Times New Roman"/>
          <w:lang w:val="en-GB"/>
        </w:rPr>
        <w:t>f you</w:t>
      </w:r>
      <w:r w:rsidRPr="00342F7C">
        <w:rPr>
          <w:rFonts w:ascii="Times New Roman" w:hAnsi="Times New Roman"/>
          <w:lang w:val="en-GB"/>
        </w:rPr>
        <w:t xml:space="preserve"> </w:t>
      </w:r>
      <w:r w:rsidR="001E3098">
        <w:rPr>
          <w:rFonts w:ascii="Times New Roman" w:hAnsi="Times New Roman"/>
          <w:lang w:val="en-GB"/>
        </w:rPr>
        <w:t xml:space="preserve">or your child </w:t>
      </w:r>
      <w:r w:rsidRPr="00342F7C">
        <w:rPr>
          <w:rFonts w:ascii="Times New Roman" w:hAnsi="Times New Roman"/>
          <w:lang w:val="en-GB"/>
        </w:rPr>
        <w:t>stop taking Kaletra</w:t>
      </w:r>
    </w:p>
    <w:p w14:paraId="1CFC391F" w14:textId="77777777" w:rsidR="009C5BCD" w:rsidRPr="00342F7C" w:rsidRDefault="009C5BCD" w:rsidP="009C5BCD">
      <w:pPr>
        <w:pStyle w:val="EMEANormal"/>
        <w:rPr>
          <w:lang w:val="en-GB"/>
        </w:rPr>
      </w:pPr>
    </w:p>
    <w:p w14:paraId="132815E8" w14:textId="77777777" w:rsidR="009C5BCD" w:rsidRPr="00342F7C" w:rsidRDefault="009C5BCD" w:rsidP="00FE6D86">
      <w:pPr>
        <w:pStyle w:val="EMEABullet"/>
        <w:tabs>
          <w:tab w:val="clear" w:pos="709"/>
          <w:tab w:val="num" w:pos="567"/>
        </w:tabs>
        <w:ind w:left="567"/>
        <w:rPr>
          <w:lang w:val="en-GB"/>
        </w:rPr>
      </w:pPr>
      <w:r w:rsidRPr="00342F7C">
        <w:rPr>
          <w:lang w:val="en-GB"/>
        </w:rPr>
        <w:t>Do not stop or change the daily dose of Kaletra without first consulting with your doctor.</w:t>
      </w:r>
    </w:p>
    <w:p w14:paraId="03DD2F3D" w14:textId="77777777" w:rsidR="009C5BCD" w:rsidRPr="00342F7C" w:rsidRDefault="009C5BCD" w:rsidP="00FE6D86">
      <w:pPr>
        <w:pStyle w:val="EMEABullet"/>
        <w:tabs>
          <w:tab w:val="clear" w:pos="709"/>
          <w:tab w:val="num" w:pos="567"/>
        </w:tabs>
        <w:ind w:left="567"/>
        <w:rPr>
          <w:lang w:val="en-GB"/>
        </w:rPr>
      </w:pPr>
      <w:r w:rsidRPr="00342F7C">
        <w:rPr>
          <w:lang w:val="en-GB"/>
        </w:rPr>
        <w:t xml:space="preserve">Kaletra should always be taken every day to help control your HIV infection, no matter how much better you feel.  </w:t>
      </w:r>
    </w:p>
    <w:p w14:paraId="5769F559" w14:textId="77777777" w:rsidR="009C5BCD" w:rsidRPr="00342F7C" w:rsidRDefault="001E3098" w:rsidP="00FE6D86">
      <w:pPr>
        <w:pStyle w:val="EMEABullet"/>
        <w:tabs>
          <w:tab w:val="clear" w:pos="709"/>
          <w:tab w:val="num" w:pos="567"/>
        </w:tabs>
        <w:ind w:left="567"/>
        <w:rPr>
          <w:lang w:val="en-GB"/>
        </w:rPr>
      </w:pPr>
      <w:r>
        <w:rPr>
          <w:lang w:val="en-GB"/>
        </w:rPr>
        <w:t>Taking</w:t>
      </w:r>
      <w:r w:rsidRPr="00342F7C">
        <w:rPr>
          <w:lang w:val="en-GB"/>
        </w:rPr>
        <w:t xml:space="preserve"> </w:t>
      </w:r>
      <w:r w:rsidR="009C5BCD" w:rsidRPr="00342F7C">
        <w:rPr>
          <w:lang w:val="en-GB"/>
        </w:rPr>
        <w:t>Kaletra as recommended should give you the best chance of delaying the development of resistance to the product.</w:t>
      </w:r>
    </w:p>
    <w:p w14:paraId="16F64E65" w14:textId="77777777" w:rsidR="009C5BCD" w:rsidRPr="00342F7C" w:rsidRDefault="009C5BCD" w:rsidP="00FE6D86">
      <w:pPr>
        <w:pStyle w:val="EMEABullet"/>
        <w:tabs>
          <w:tab w:val="clear" w:pos="709"/>
          <w:tab w:val="num" w:pos="567"/>
        </w:tabs>
        <w:ind w:left="567"/>
        <w:rPr>
          <w:lang w:val="en-GB"/>
        </w:rPr>
      </w:pPr>
      <w:r w:rsidRPr="00342F7C">
        <w:rPr>
          <w:lang w:val="en-GB"/>
        </w:rPr>
        <w:t xml:space="preserve">If a side effect is preventing you from taking Kaletra as directed tell your doctor right away. </w:t>
      </w:r>
    </w:p>
    <w:p w14:paraId="022A4439" w14:textId="77777777" w:rsidR="009C5BCD" w:rsidRPr="00342F7C" w:rsidRDefault="009C5BCD" w:rsidP="00FE6D86">
      <w:pPr>
        <w:pStyle w:val="EMEABullet"/>
        <w:tabs>
          <w:tab w:val="clear" w:pos="709"/>
          <w:tab w:val="num" w:pos="567"/>
        </w:tabs>
        <w:ind w:left="567"/>
        <w:rPr>
          <w:lang w:val="en-GB"/>
        </w:rPr>
      </w:pPr>
      <w:r w:rsidRPr="00342F7C">
        <w:rPr>
          <w:lang w:val="en-GB"/>
        </w:rPr>
        <w:t>Always keep enough Kaletra on hand so you don’t run out.  When you travel or need to stay in the hospital make sure you will have enough Kaletra to last until you can get a new supply.</w:t>
      </w:r>
    </w:p>
    <w:p w14:paraId="2A87F5C8" w14:textId="77777777" w:rsidR="009C5BCD" w:rsidRDefault="009C5BCD" w:rsidP="00FE6D86">
      <w:pPr>
        <w:pStyle w:val="EMEABullet"/>
        <w:tabs>
          <w:tab w:val="clear" w:pos="709"/>
          <w:tab w:val="num" w:pos="567"/>
        </w:tabs>
        <w:ind w:left="567"/>
        <w:rPr>
          <w:lang w:val="en-GB"/>
        </w:rPr>
      </w:pPr>
      <w:r w:rsidRPr="00342F7C">
        <w:rPr>
          <w:lang w:val="en-GB"/>
        </w:rPr>
        <w:t>Continue to take this medicine until your doctor tells you otherwise.</w:t>
      </w:r>
    </w:p>
    <w:p w14:paraId="3CECC08B" w14:textId="77777777" w:rsidR="00D40409" w:rsidRDefault="00D40409" w:rsidP="00D40409">
      <w:pPr>
        <w:pStyle w:val="EMEABullet"/>
        <w:numPr>
          <w:ilvl w:val="0"/>
          <w:numId w:val="0"/>
        </w:numPr>
        <w:ind w:left="567" w:hanging="567"/>
        <w:rPr>
          <w:lang w:val="en-GB"/>
        </w:rPr>
      </w:pPr>
    </w:p>
    <w:p w14:paraId="61A35887" w14:textId="77777777" w:rsidR="00D40409" w:rsidRPr="00342F7C" w:rsidRDefault="00D40409" w:rsidP="00D40409">
      <w:pPr>
        <w:pStyle w:val="EMEABullet"/>
        <w:numPr>
          <w:ilvl w:val="0"/>
          <w:numId w:val="0"/>
        </w:numPr>
        <w:ind w:left="567" w:hanging="567"/>
        <w:rPr>
          <w:lang w:val="en-GB"/>
        </w:rPr>
      </w:pPr>
    </w:p>
    <w:p w14:paraId="5288308C" w14:textId="77777777" w:rsidR="00277ECB" w:rsidRPr="00282043" w:rsidRDefault="00277ECB" w:rsidP="005260F8">
      <w:pPr>
        <w:keepNext/>
        <w:rPr>
          <w:b/>
          <w:sz w:val="22"/>
          <w:szCs w:val="22"/>
        </w:rPr>
      </w:pPr>
      <w:r w:rsidRPr="00282043">
        <w:rPr>
          <w:b/>
          <w:sz w:val="22"/>
          <w:szCs w:val="22"/>
        </w:rPr>
        <w:t>4.</w:t>
      </w:r>
      <w:r w:rsidRPr="00282043">
        <w:rPr>
          <w:b/>
          <w:sz w:val="22"/>
          <w:szCs w:val="22"/>
        </w:rPr>
        <w:tab/>
        <w:t>P</w:t>
      </w:r>
      <w:r w:rsidR="00D40409" w:rsidRPr="00282043">
        <w:rPr>
          <w:b/>
          <w:sz w:val="22"/>
          <w:szCs w:val="22"/>
        </w:rPr>
        <w:t>ossible side effects</w:t>
      </w:r>
    </w:p>
    <w:p w14:paraId="4DBB4E37" w14:textId="77777777" w:rsidR="00D40409" w:rsidRPr="00D40409" w:rsidRDefault="00D40409" w:rsidP="005260F8">
      <w:pPr>
        <w:keepNext/>
        <w:rPr>
          <w:b/>
        </w:rPr>
      </w:pPr>
    </w:p>
    <w:p w14:paraId="25B46847" w14:textId="77777777" w:rsidR="00277ECB" w:rsidRPr="00342F7C" w:rsidRDefault="00277ECB" w:rsidP="005260F8">
      <w:pPr>
        <w:pStyle w:val="EMEANormal"/>
        <w:keepNext/>
        <w:rPr>
          <w:lang w:val="en-GB"/>
        </w:rPr>
      </w:pPr>
      <w:r w:rsidRPr="00342F7C">
        <w:rPr>
          <w:lang w:val="en-GB"/>
        </w:rPr>
        <w:t xml:space="preserve">Like all medicines, Kaletra can cause side effects, although not everybody gets them.  It may be difficult to tell which side effects have been caused by Kaletra and which may occur due to other medicines you take at the same time or by the complications of the HIV infection.  </w:t>
      </w:r>
    </w:p>
    <w:p w14:paraId="15112C89" w14:textId="77777777" w:rsidR="00CA7C65" w:rsidRDefault="00CA7C65" w:rsidP="005260F8">
      <w:pPr>
        <w:pStyle w:val="EMEANormal"/>
        <w:keepNext/>
        <w:rPr>
          <w:lang w:val="en-GB"/>
        </w:rPr>
      </w:pPr>
    </w:p>
    <w:p w14:paraId="4EE634D9" w14:textId="77777777" w:rsidR="00CA7C65" w:rsidRDefault="00CA7C65" w:rsidP="00CA7C65">
      <w:pPr>
        <w:pStyle w:val="EMEANormal"/>
        <w:rPr>
          <w:lang w:val="en-GB"/>
        </w:rPr>
      </w:pPr>
      <w:r>
        <w:rPr>
          <w:lang w:val="en-GB"/>
        </w:rPr>
        <w:t>During HIV therapy there may be an increase in weight and in levels of blood lipids and glucose.  This is partly linked to restored health and life style, and in the case of blood lipids sometimes to the HIV medicines themselves.  Your doctor will test for these changes.</w:t>
      </w:r>
    </w:p>
    <w:p w14:paraId="708641B2" w14:textId="77777777" w:rsidR="00CA7C65" w:rsidRDefault="00CA7C65" w:rsidP="00CA7C65">
      <w:pPr>
        <w:pStyle w:val="EMEANormal"/>
        <w:rPr>
          <w:lang w:val="en-GB"/>
        </w:rPr>
      </w:pPr>
    </w:p>
    <w:p w14:paraId="699333D6" w14:textId="77777777" w:rsidR="00277ECB" w:rsidRPr="00342F7C" w:rsidRDefault="00CA7C65" w:rsidP="00CA7C65">
      <w:pPr>
        <w:pStyle w:val="EMEANormal"/>
        <w:keepNext/>
        <w:rPr>
          <w:lang w:val="en-GB"/>
        </w:rPr>
      </w:pPr>
      <w:r w:rsidRPr="00616DF6">
        <w:rPr>
          <w:b/>
          <w:lang w:val="en-GB"/>
        </w:rPr>
        <w:t>The following side effects have been reported by patients who took this medicine.</w:t>
      </w:r>
      <w:r>
        <w:rPr>
          <w:lang w:val="en-GB"/>
        </w:rPr>
        <w:t xml:space="preserve">  </w:t>
      </w:r>
      <w:r w:rsidR="00277ECB" w:rsidRPr="00342F7C">
        <w:rPr>
          <w:lang w:val="en-GB"/>
        </w:rPr>
        <w:t>You should tell your doctor promptly about these or any other symptoms.  If the condition persists or worsens, seek medical attention.</w:t>
      </w:r>
    </w:p>
    <w:p w14:paraId="4F38816B" w14:textId="77777777" w:rsidR="00277ECB" w:rsidRPr="00342F7C" w:rsidRDefault="00277ECB">
      <w:pPr>
        <w:pStyle w:val="EMEANormal"/>
        <w:rPr>
          <w:lang w:val="en-GB"/>
        </w:rPr>
      </w:pPr>
    </w:p>
    <w:p w14:paraId="45C9B632" w14:textId="77777777" w:rsidR="00277ECB" w:rsidRPr="00342F7C" w:rsidRDefault="004B013F">
      <w:pPr>
        <w:pStyle w:val="EMEANormal"/>
        <w:rPr>
          <w:lang w:val="en-GB"/>
        </w:rPr>
      </w:pPr>
      <w:r>
        <w:rPr>
          <w:b/>
          <w:bCs/>
          <w:lang w:val="en-GB"/>
        </w:rPr>
        <w:t>Very common:</w:t>
      </w:r>
      <w:r w:rsidR="00277ECB" w:rsidRPr="00342F7C">
        <w:rPr>
          <w:lang w:val="en-GB"/>
        </w:rPr>
        <w:t xml:space="preserve"> </w:t>
      </w:r>
      <w:r>
        <w:rPr>
          <w:lang w:val="en-GB"/>
        </w:rPr>
        <w:t xml:space="preserve">may </w:t>
      </w:r>
      <w:r w:rsidR="00277ECB" w:rsidRPr="00342F7C">
        <w:rPr>
          <w:lang w:val="en-GB"/>
        </w:rPr>
        <w:t>affect more than 1 in 10</w:t>
      </w:r>
      <w:r>
        <w:rPr>
          <w:lang w:val="en-GB"/>
        </w:rPr>
        <w:t xml:space="preserve"> people</w:t>
      </w:r>
    </w:p>
    <w:p w14:paraId="665F6B36" w14:textId="77777777" w:rsidR="00277ECB" w:rsidRPr="00342F7C" w:rsidRDefault="003428CC" w:rsidP="00FE6D86">
      <w:pPr>
        <w:pStyle w:val="EMEABullet"/>
        <w:tabs>
          <w:tab w:val="clear" w:pos="709"/>
          <w:tab w:val="num" w:pos="567"/>
        </w:tabs>
        <w:ind w:left="567"/>
        <w:rPr>
          <w:lang w:val="en-GB"/>
        </w:rPr>
      </w:pPr>
      <w:r>
        <w:rPr>
          <w:lang w:val="en-GB"/>
        </w:rPr>
        <w:t>d</w:t>
      </w:r>
      <w:r w:rsidR="00277ECB" w:rsidRPr="00342F7C">
        <w:rPr>
          <w:lang w:val="en-GB"/>
        </w:rPr>
        <w:t xml:space="preserve">iarrhoea; </w:t>
      </w:r>
    </w:p>
    <w:p w14:paraId="75A0E8A8" w14:textId="77777777" w:rsidR="007B6357" w:rsidRPr="00342F7C" w:rsidRDefault="003428CC" w:rsidP="00FE6D86">
      <w:pPr>
        <w:pStyle w:val="EMEABullet"/>
        <w:tabs>
          <w:tab w:val="clear" w:pos="709"/>
          <w:tab w:val="num" w:pos="567"/>
        </w:tabs>
        <w:ind w:left="567"/>
        <w:rPr>
          <w:lang w:val="en-GB"/>
        </w:rPr>
      </w:pPr>
      <w:r>
        <w:rPr>
          <w:lang w:val="en-GB"/>
        </w:rPr>
        <w:t>n</w:t>
      </w:r>
      <w:r w:rsidR="007B6357" w:rsidRPr="00342F7C">
        <w:rPr>
          <w:lang w:val="en-GB"/>
        </w:rPr>
        <w:t>ausea;</w:t>
      </w:r>
    </w:p>
    <w:p w14:paraId="390A6067" w14:textId="77777777" w:rsidR="007B6357" w:rsidRPr="00342F7C" w:rsidRDefault="003428CC" w:rsidP="00FE6D86">
      <w:pPr>
        <w:pStyle w:val="EMEABullet"/>
        <w:tabs>
          <w:tab w:val="clear" w:pos="709"/>
          <w:tab w:val="num" w:pos="567"/>
        </w:tabs>
        <w:ind w:left="567"/>
        <w:rPr>
          <w:lang w:val="en-GB"/>
        </w:rPr>
      </w:pPr>
      <w:r>
        <w:rPr>
          <w:lang w:val="en-GB"/>
        </w:rPr>
        <w:t>u</w:t>
      </w:r>
      <w:r w:rsidR="007B6357" w:rsidRPr="00342F7C">
        <w:rPr>
          <w:lang w:val="en-GB"/>
        </w:rPr>
        <w:t>pper respiratory tract infection.</w:t>
      </w:r>
    </w:p>
    <w:p w14:paraId="5E21347F" w14:textId="77777777" w:rsidR="00277ECB" w:rsidRPr="00342F7C" w:rsidRDefault="00277ECB">
      <w:pPr>
        <w:pStyle w:val="EMEANormal"/>
        <w:rPr>
          <w:lang w:val="en-GB"/>
        </w:rPr>
      </w:pPr>
    </w:p>
    <w:p w14:paraId="3AE7C740" w14:textId="77777777" w:rsidR="00277ECB" w:rsidRPr="00342F7C" w:rsidRDefault="004B013F">
      <w:pPr>
        <w:pStyle w:val="EMEANormal"/>
        <w:rPr>
          <w:lang w:val="en-GB"/>
        </w:rPr>
      </w:pPr>
      <w:r>
        <w:rPr>
          <w:b/>
          <w:bCs/>
          <w:lang w:val="en-GB"/>
        </w:rPr>
        <w:t>Common:</w:t>
      </w:r>
      <w:r w:rsidRPr="00342F7C">
        <w:rPr>
          <w:lang w:val="en-GB"/>
        </w:rPr>
        <w:t xml:space="preserve"> </w:t>
      </w:r>
      <w:r>
        <w:rPr>
          <w:lang w:val="en-GB"/>
        </w:rPr>
        <w:t xml:space="preserve">may </w:t>
      </w:r>
      <w:r w:rsidR="00277ECB" w:rsidRPr="00342F7C">
        <w:rPr>
          <w:lang w:val="en-GB"/>
        </w:rPr>
        <w:t>affect</w:t>
      </w:r>
      <w:r>
        <w:rPr>
          <w:lang w:val="en-GB"/>
        </w:rPr>
        <w:t xml:space="preserve"> up to</w:t>
      </w:r>
      <w:r w:rsidR="00277ECB" w:rsidRPr="00342F7C">
        <w:rPr>
          <w:lang w:val="en-GB"/>
        </w:rPr>
        <w:t xml:space="preserve"> 1 </w:t>
      </w:r>
      <w:r>
        <w:rPr>
          <w:lang w:val="en-GB"/>
        </w:rPr>
        <w:t>in</w:t>
      </w:r>
      <w:r w:rsidR="00277ECB" w:rsidRPr="00342F7C">
        <w:rPr>
          <w:lang w:val="en-GB"/>
        </w:rPr>
        <w:t xml:space="preserve"> 10 </w:t>
      </w:r>
      <w:r>
        <w:rPr>
          <w:lang w:val="en-GB"/>
        </w:rPr>
        <w:t>people</w:t>
      </w:r>
    </w:p>
    <w:p w14:paraId="68D3B74B" w14:textId="77777777" w:rsidR="007B6357" w:rsidRPr="00342F7C" w:rsidRDefault="003428CC" w:rsidP="00FE6D86">
      <w:pPr>
        <w:pStyle w:val="EMEABullet"/>
        <w:tabs>
          <w:tab w:val="clear" w:pos="709"/>
          <w:tab w:val="num" w:pos="567"/>
        </w:tabs>
        <w:ind w:left="567"/>
        <w:rPr>
          <w:lang w:val="en-GB"/>
        </w:rPr>
      </w:pPr>
      <w:r>
        <w:rPr>
          <w:lang w:val="en-GB"/>
        </w:rPr>
        <w:t>i</w:t>
      </w:r>
      <w:r w:rsidR="007B6357" w:rsidRPr="00342F7C">
        <w:rPr>
          <w:lang w:val="en-GB"/>
        </w:rPr>
        <w:t>nflammation of the pancreas;</w:t>
      </w:r>
    </w:p>
    <w:p w14:paraId="1D2B984E" w14:textId="77777777" w:rsidR="007B6357" w:rsidRDefault="003428CC" w:rsidP="00FE6D86">
      <w:pPr>
        <w:pStyle w:val="EMEABullet"/>
        <w:tabs>
          <w:tab w:val="clear" w:pos="709"/>
          <w:tab w:val="num" w:pos="567"/>
        </w:tabs>
        <w:ind w:left="567"/>
        <w:rPr>
          <w:lang w:val="en-GB"/>
        </w:rPr>
      </w:pPr>
      <w:r>
        <w:rPr>
          <w:lang w:val="en-GB"/>
        </w:rPr>
        <w:t>v</w:t>
      </w:r>
      <w:r w:rsidR="007B6357" w:rsidRPr="00342F7C">
        <w:rPr>
          <w:lang w:val="en-GB"/>
        </w:rPr>
        <w:t>omiting, enlarged abdomen, pain in the lower and upper stomach area, passing wind, indigestion, decreased appetite, reflux from your stomach to your oesophagus which may cause pain;</w:t>
      </w:r>
    </w:p>
    <w:p w14:paraId="2C7EBCEE" w14:textId="77777777" w:rsidR="001E3098" w:rsidRPr="00342F7C" w:rsidRDefault="001E3098" w:rsidP="001E3098">
      <w:pPr>
        <w:pStyle w:val="EMEABullet"/>
        <w:numPr>
          <w:ilvl w:val="1"/>
          <w:numId w:val="1"/>
        </w:numPr>
        <w:rPr>
          <w:lang w:val="en-GB"/>
        </w:rPr>
      </w:pPr>
      <w:r w:rsidRPr="000D4359">
        <w:rPr>
          <w:b/>
          <w:lang w:val="en-GB"/>
        </w:rPr>
        <w:t>Tell your doctor</w:t>
      </w:r>
      <w:r w:rsidRPr="00314F6E">
        <w:rPr>
          <w:lang w:val="en-GB"/>
        </w:rPr>
        <w:t xml:space="preserve"> if you experience nausea, vomiting or abdominal pain as these may be suggestive of pancreatitis (inflammation of the pancreas).</w:t>
      </w:r>
    </w:p>
    <w:p w14:paraId="1522D313" w14:textId="77777777" w:rsidR="007B6357" w:rsidRPr="00342F7C" w:rsidRDefault="003428CC" w:rsidP="00FE6D86">
      <w:pPr>
        <w:pStyle w:val="EMEABullet"/>
        <w:tabs>
          <w:tab w:val="clear" w:pos="709"/>
          <w:tab w:val="num" w:pos="567"/>
        </w:tabs>
        <w:ind w:left="567"/>
        <w:rPr>
          <w:lang w:val="en-GB"/>
        </w:rPr>
      </w:pPr>
      <w:r>
        <w:rPr>
          <w:lang w:val="en-GB"/>
        </w:rPr>
        <w:t>s</w:t>
      </w:r>
      <w:r w:rsidR="007B6357" w:rsidRPr="00342F7C">
        <w:rPr>
          <w:lang w:val="en-GB"/>
        </w:rPr>
        <w:t>welling or inflammation of the stomach, intestines and colon;</w:t>
      </w:r>
    </w:p>
    <w:p w14:paraId="740846DB" w14:textId="77777777" w:rsidR="007B6357" w:rsidRPr="00342F7C" w:rsidRDefault="003428CC" w:rsidP="00FE6D86">
      <w:pPr>
        <w:pStyle w:val="EMEABullet"/>
        <w:tabs>
          <w:tab w:val="clear" w:pos="709"/>
          <w:tab w:val="num" w:pos="567"/>
        </w:tabs>
        <w:ind w:left="567"/>
        <w:rPr>
          <w:lang w:val="en-GB"/>
        </w:rPr>
      </w:pPr>
      <w:r>
        <w:rPr>
          <w:lang w:val="en-GB"/>
        </w:rPr>
        <w:t>i</w:t>
      </w:r>
      <w:r w:rsidR="007B6357" w:rsidRPr="00342F7C">
        <w:rPr>
          <w:lang w:val="en-GB"/>
        </w:rPr>
        <w:t>ncreased cholesterol levels in your blood, increased triglycerides (a form of fat) levels in your blood, high blood pressure;</w:t>
      </w:r>
    </w:p>
    <w:p w14:paraId="7C934048" w14:textId="77777777" w:rsidR="007B6357" w:rsidRPr="00342F7C" w:rsidRDefault="003428CC" w:rsidP="00FE6D86">
      <w:pPr>
        <w:pStyle w:val="EMEABullet"/>
        <w:tabs>
          <w:tab w:val="clear" w:pos="709"/>
          <w:tab w:val="num" w:pos="567"/>
        </w:tabs>
        <w:ind w:left="567"/>
        <w:rPr>
          <w:lang w:val="en-GB"/>
        </w:rPr>
      </w:pPr>
      <w:r>
        <w:rPr>
          <w:lang w:val="en-GB"/>
        </w:rPr>
        <w:t>d</w:t>
      </w:r>
      <w:r w:rsidR="007B6357" w:rsidRPr="00342F7C">
        <w:rPr>
          <w:lang w:val="en-GB"/>
        </w:rPr>
        <w:t>ecreased ability of the body to handle sugar including diabetes mellitus, weight loss;</w:t>
      </w:r>
    </w:p>
    <w:p w14:paraId="38160CC2" w14:textId="77777777" w:rsidR="007B6357" w:rsidRPr="00342F7C" w:rsidRDefault="003428CC" w:rsidP="00FE6D86">
      <w:pPr>
        <w:pStyle w:val="EMEABullet"/>
        <w:tabs>
          <w:tab w:val="clear" w:pos="709"/>
          <w:tab w:val="num" w:pos="567"/>
        </w:tabs>
        <w:ind w:left="567"/>
        <w:rPr>
          <w:lang w:val="en-GB"/>
        </w:rPr>
      </w:pPr>
      <w:r>
        <w:rPr>
          <w:lang w:val="en-GB"/>
        </w:rPr>
        <w:t>l</w:t>
      </w:r>
      <w:r w:rsidR="007B6357" w:rsidRPr="00342F7C">
        <w:rPr>
          <w:lang w:val="en-GB"/>
        </w:rPr>
        <w:t>ow number of red blood cells, low number of white blood cells which are usually used to fight infection;</w:t>
      </w:r>
    </w:p>
    <w:p w14:paraId="40F43908" w14:textId="77777777" w:rsidR="007B6357" w:rsidRPr="00342F7C" w:rsidRDefault="003428CC" w:rsidP="00FE6D86">
      <w:pPr>
        <w:pStyle w:val="EMEABullet"/>
        <w:tabs>
          <w:tab w:val="clear" w:pos="709"/>
          <w:tab w:val="num" w:pos="567"/>
        </w:tabs>
        <w:ind w:left="567"/>
        <w:rPr>
          <w:lang w:val="en-GB"/>
        </w:rPr>
      </w:pPr>
      <w:r>
        <w:rPr>
          <w:lang w:val="en-GB"/>
        </w:rPr>
        <w:t>r</w:t>
      </w:r>
      <w:r w:rsidR="007B6357" w:rsidRPr="00342F7C">
        <w:rPr>
          <w:lang w:val="en-GB"/>
        </w:rPr>
        <w:t>ash, eczema, accumulation of scales of greasy skin;</w:t>
      </w:r>
    </w:p>
    <w:p w14:paraId="743CB77A" w14:textId="77777777" w:rsidR="007B6357" w:rsidRPr="00342F7C" w:rsidRDefault="003428CC" w:rsidP="00FE6D86">
      <w:pPr>
        <w:pStyle w:val="EMEABullet"/>
        <w:tabs>
          <w:tab w:val="clear" w:pos="709"/>
          <w:tab w:val="num" w:pos="567"/>
        </w:tabs>
        <w:ind w:left="567"/>
        <w:rPr>
          <w:lang w:val="en-GB"/>
        </w:rPr>
      </w:pPr>
      <w:r>
        <w:rPr>
          <w:lang w:val="en-GB"/>
        </w:rPr>
        <w:t>d</w:t>
      </w:r>
      <w:r w:rsidR="007B6357" w:rsidRPr="00342F7C">
        <w:rPr>
          <w:lang w:val="en-GB"/>
        </w:rPr>
        <w:t>izziness, anxiety, difficulty in sleeping;</w:t>
      </w:r>
    </w:p>
    <w:p w14:paraId="5857BFC6" w14:textId="77777777" w:rsidR="007B6357" w:rsidRPr="00342F7C" w:rsidRDefault="003428CC" w:rsidP="00FE6D86">
      <w:pPr>
        <w:pStyle w:val="EMEABullet"/>
        <w:tabs>
          <w:tab w:val="clear" w:pos="709"/>
          <w:tab w:val="num" w:pos="567"/>
        </w:tabs>
        <w:ind w:left="567"/>
        <w:rPr>
          <w:lang w:val="en-GB"/>
        </w:rPr>
      </w:pPr>
      <w:r>
        <w:rPr>
          <w:lang w:val="en-GB"/>
        </w:rPr>
        <w:t>f</w:t>
      </w:r>
      <w:r w:rsidR="007B6357" w:rsidRPr="00342F7C">
        <w:rPr>
          <w:lang w:val="en-GB"/>
        </w:rPr>
        <w:t>eeling tired, lack of strength and energy, headache including migraine;</w:t>
      </w:r>
    </w:p>
    <w:p w14:paraId="396503E5" w14:textId="77777777" w:rsidR="007B6357" w:rsidRPr="00342F7C" w:rsidRDefault="003428CC" w:rsidP="00FE6D86">
      <w:pPr>
        <w:pStyle w:val="EMEABullet"/>
        <w:tabs>
          <w:tab w:val="clear" w:pos="709"/>
          <w:tab w:val="num" w:pos="567"/>
        </w:tabs>
        <w:ind w:left="567"/>
        <w:rPr>
          <w:lang w:val="en-GB"/>
        </w:rPr>
      </w:pPr>
      <w:r>
        <w:rPr>
          <w:lang w:val="en-GB"/>
        </w:rPr>
        <w:t>h</w:t>
      </w:r>
      <w:r w:rsidR="007B6357" w:rsidRPr="00342F7C">
        <w:rPr>
          <w:lang w:val="en-GB"/>
        </w:rPr>
        <w:t>aemorrhoids;</w:t>
      </w:r>
    </w:p>
    <w:p w14:paraId="7353306B" w14:textId="77777777" w:rsidR="007B6357" w:rsidRPr="00342F7C" w:rsidRDefault="003428CC" w:rsidP="00FE6D86">
      <w:pPr>
        <w:pStyle w:val="EMEABullet"/>
        <w:tabs>
          <w:tab w:val="clear" w:pos="709"/>
          <w:tab w:val="num" w:pos="567"/>
        </w:tabs>
        <w:ind w:left="567"/>
        <w:rPr>
          <w:lang w:val="en-GB"/>
        </w:rPr>
      </w:pPr>
      <w:r>
        <w:rPr>
          <w:lang w:val="en-GB"/>
        </w:rPr>
        <w:t>i</w:t>
      </w:r>
      <w:r w:rsidR="007B6357" w:rsidRPr="00342F7C">
        <w:rPr>
          <w:lang w:val="en-GB"/>
        </w:rPr>
        <w:t>nflammation of the liver including increased liver enzymes;</w:t>
      </w:r>
    </w:p>
    <w:p w14:paraId="59757CF8" w14:textId="77777777" w:rsidR="007B6357" w:rsidRPr="00342F7C" w:rsidRDefault="003428CC" w:rsidP="00FE6D86">
      <w:pPr>
        <w:pStyle w:val="EMEABullet"/>
        <w:tabs>
          <w:tab w:val="clear" w:pos="709"/>
          <w:tab w:val="num" w:pos="567"/>
        </w:tabs>
        <w:ind w:left="567"/>
        <w:rPr>
          <w:lang w:val="en-GB"/>
        </w:rPr>
      </w:pPr>
      <w:r>
        <w:rPr>
          <w:lang w:val="en-GB"/>
        </w:rPr>
        <w:t>a</w:t>
      </w:r>
      <w:r w:rsidR="007B6357" w:rsidRPr="00342F7C">
        <w:rPr>
          <w:lang w:val="en-GB"/>
        </w:rPr>
        <w:t>llergic reactions including hives and inflammation in the mouth;</w:t>
      </w:r>
    </w:p>
    <w:p w14:paraId="0B4818ED" w14:textId="77777777" w:rsidR="007B6357" w:rsidRPr="00342F7C" w:rsidRDefault="003428CC" w:rsidP="00FE6D86">
      <w:pPr>
        <w:pStyle w:val="EMEABullet"/>
        <w:tabs>
          <w:tab w:val="clear" w:pos="709"/>
          <w:tab w:val="num" w:pos="567"/>
        </w:tabs>
        <w:ind w:left="567"/>
        <w:rPr>
          <w:lang w:val="en-GB"/>
        </w:rPr>
      </w:pPr>
      <w:r>
        <w:rPr>
          <w:lang w:val="en-GB"/>
        </w:rPr>
        <w:t>l</w:t>
      </w:r>
      <w:r w:rsidR="007B6357" w:rsidRPr="00342F7C">
        <w:rPr>
          <w:lang w:val="en-GB"/>
        </w:rPr>
        <w:t>ower respiratory tract infection;</w:t>
      </w:r>
    </w:p>
    <w:p w14:paraId="67F105FA" w14:textId="77777777" w:rsidR="007B6357" w:rsidRPr="00342F7C" w:rsidRDefault="003428CC" w:rsidP="00FE6D86">
      <w:pPr>
        <w:pStyle w:val="EMEABullet"/>
        <w:tabs>
          <w:tab w:val="clear" w:pos="709"/>
          <w:tab w:val="num" w:pos="567"/>
        </w:tabs>
        <w:ind w:left="567"/>
        <w:rPr>
          <w:lang w:val="en-GB"/>
        </w:rPr>
      </w:pPr>
      <w:r>
        <w:rPr>
          <w:lang w:val="en-GB"/>
        </w:rPr>
        <w:t>e</w:t>
      </w:r>
      <w:r w:rsidR="007B6357" w:rsidRPr="00342F7C">
        <w:rPr>
          <w:lang w:val="en-GB"/>
        </w:rPr>
        <w:t>nlargement of the lymph nodes;</w:t>
      </w:r>
    </w:p>
    <w:p w14:paraId="247F2568" w14:textId="77777777" w:rsidR="007B6357" w:rsidRPr="00342F7C" w:rsidRDefault="003428CC" w:rsidP="00FE6D86">
      <w:pPr>
        <w:pStyle w:val="EMEABullet"/>
        <w:tabs>
          <w:tab w:val="clear" w:pos="709"/>
          <w:tab w:val="num" w:pos="567"/>
        </w:tabs>
        <w:ind w:left="567"/>
        <w:rPr>
          <w:lang w:val="en-GB"/>
        </w:rPr>
      </w:pPr>
      <w:r>
        <w:rPr>
          <w:lang w:val="en-GB"/>
        </w:rPr>
        <w:t>i</w:t>
      </w:r>
      <w:r w:rsidR="007B6357" w:rsidRPr="00342F7C">
        <w:rPr>
          <w:lang w:val="en-GB"/>
        </w:rPr>
        <w:t>mpotence, abnormally heavy or extended menstrual flow or a lack of menstruation;</w:t>
      </w:r>
    </w:p>
    <w:p w14:paraId="3CCADB9A" w14:textId="77777777" w:rsidR="007B6357" w:rsidRPr="00342F7C" w:rsidRDefault="003428CC" w:rsidP="00FE6D86">
      <w:pPr>
        <w:pStyle w:val="EMEABullet"/>
        <w:tabs>
          <w:tab w:val="clear" w:pos="709"/>
          <w:tab w:val="num" w:pos="567"/>
        </w:tabs>
        <w:ind w:left="567"/>
        <w:rPr>
          <w:lang w:val="en-GB"/>
        </w:rPr>
      </w:pPr>
      <w:r>
        <w:rPr>
          <w:lang w:val="en-GB"/>
        </w:rPr>
        <w:t>m</w:t>
      </w:r>
      <w:r w:rsidR="007B6357" w:rsidRPr="00342F7C">
        <w:rPr>
          <w:lang w:val="en-GB"/>
        </w:rPr>
        <w:t>uscle disorders such as weakness and spasms, pain in the joints, muscles and back;</w:t>
      </w:r>
    </w:p>
    <w:p w14:paraId="4D576E19" w14:textId="77777777" w:rsidR="007B6357" w:rsidRPr="00342F7C" w:rsidRDefault="003428CC" w:rsidP="00FE6D86">
      <w:pPr>
        <w:pStyle w:val="EMEABullet"/>
        <w:tabs>
          <w:tab w:val="clear" w:pos="709"/>
          <w:tab w:val="num" w:pos="567"/>
        </w:tabs>
        <w:ind w:left="567"/>
        <w:rPr>
          <w:lang w:val="en-GB"/>
        </w:rPr>
      </w:pPr>
      <w:r>
        <w:rPr>
          <w:lang w:val="en-GB"/>
        </w:rPr>
        <w:t>d</w:t>
      </w:r>
      <w:r w:rsidR="007B6357" w:rsidRPr="00342F7C">
        <w:rPr>
          <w:lang w:val="en-GB"/>
        </w:rPr>
        <w:t>amage to nerves of the peripheral nervous system;</w:t>
      </w:r>
    </w:p>
    <w:p w14:paraId="2E27960A" w14:textId="77777777" w:rsidR="007B6357" w:rsidRPr="00342F7C" w:rsidRDefault="003428CC" w:rsidP="00FE6D86">
      <w:pPr>
        <w:pStyle w:val="EMEABullet"/>
        <w:tabs>
          <w:tab w:val="clear" w:pos="709"/>
          <w:tab w:val="num" w:pos="567"/>
        </w:tabs>
        <w:ind w:left="567"/>
        <w:rPr>
          <w:lang w:val="en-GB"/>
        </w:rPr>
      </w:pPr>
      <w:r>
        <w:rPr>
          <w:lang w:val="en-GB"/>
        </w:rPr>
        <w:t>n</w:t>
      </w:r>
      <w:r w:rsidR="007B6357" w:rsidRPr="00342F7C">
        <w:rPr>
          <w:lang w:val="en-GB"/>
        </w:rPr>
        <w:t xml:space="preserve">ight sweats, itching, rash including raised bumps on the skin, infection of the skin, inflammation of skin or hair pores, accumulation of fluid in the cells or tissues.  </w:t>
      </w:r>
    </w:p>
    <w:p w14:paraId="3FB3D91F" w14:textId="77777777" w:rsidR="00277ECB" w:rsidRPr="00342F7C" w:rsidRDefault="00277ECB">
      <w:pPr>
        <w:pStyle w:val="EMEANormal"/>
        <w:rPr>
          <w:lang w:val="en-GB"/>
        </w:rPr>
      </w:pPr>
    </w:p>
    <w:p w14:paraId="719D4BC8" w14:textId="77777777" w:rsidR="00277ECB" w:rsidRPr="00342F7C" w:rsidRDefault="00A00DAF" w:rsidP="004E4B46">
      <w:pPr>
        <w:pStyle w:val="EMEANormal"/>
        <w:keepNext/>
        <w:rPr>
          <w:lang w:val="en-GB"/>
        </w:rPr>
      </w:pPr>
      <w:r w:rsidRPr="00A00DAF">
        <w:rPr>
          <w:b/>
          <w:bCs/>
          <w:lang w:val="en-GB"/>
        </w:rPr>
        <w:t>Uncommon:</w:t>
      </w:r>
      <w:r w:rsidRPr="00342F7C">
        <w:rPr>
          <w:lang w:val="en-GB"/>
        </w:rPr>
        <w:t xml:space="preserve"> </w:t>
      </w:r>
      <w:r>
        <w:rPr>
          <w:lang w:val="en-GB"/>
        </w:rPr>
        <w:t xml:space="preserve">may </w:t>
      </w:r>
      <w:r w:rsidR="00277ECB" w:rsidRPr="00342F7C">
        <w:rPr>
          <w:lang w:val="en-GB"/>
        </w:rPr>
        <w:t>affect</w:t>
      </w:r>
      <w:r>
        <w:rPr>
          <w:lang w:val="en-GB"/>
        </w:rPr>
        <w:t xml:space="preserve"> up to</w:t>
      </w:r>
      <w:r w:rsidR="00277ECB" w:rsidRPr="00342F7C">
        <w:rPr>
          <w:lang w:val="en-GB"/>
        </w:rPr>
        <w:t xml:space="preserve"> 1 </w:t>
      </w:r>
      <w:r>
        <w:rPr>
          <w:lang w:val="en-GB"/>
        </w:rPr>
        <w:t>in</w:t>
      </w:r>
      <w:r w:rsidR="00277ECB" w:rsidRPr="00342F7C">
        <w:rPr>
          <w:lang w:val="en-GB"/>
        </w:rPr>
        <w:t xml:space="preserve"> 10</w:t>
      </w:r>
      <w:r>
        <w:rPr>
          <w:lang w:val="en-GB"/>
        </w:rPr>
        <w:t>0 people</w:t>
      </w:r>
      <w:r w:rsidR="00277ECB" w:rsidRPr="00342F7C">
        <w:rPr>
          <w:lang w:val="en-GB"/>
        </w:rPr>
        <w:t xml:space="preserve">  </w:t>
      </w:r>
    </w:p>
    <w:p w14:paraId="3A712979" w14:textId="77777777" w:rsidR="001F0286" w:rsidRPr="00342F7C" w:rsidRDefault="003428CC" w:rsidP="004E4B46">
      <w:pPr>
        <w:pStyle w:val="EMEABullet"/>
        <w:keepNext/>
        <w:tabs>
          <w:tab w:val="clear" w:pos="709"/>
          <w:tab w:val="num" w:pos="567"/>
        </w:tabs>
        <w:ind w:left="567"/>
        <w:rPr>
          <w:lang w:val="en-GB"/>
        </w:rPr>
      </w:pPr>
      <w:r>
        <w:rPr>
          <w:lang w:val="en-GB"/>
        </w:rPr>
        <w:t>a</w:t>
      </w:r>
      <w:r w:rsidR="001F0286" w:rsidRPr="00342F7C">
        <w:rPr>
          <w:lang w:val="en-GB"/>
        </w:rPr>
        <w:t>bnormal dreams;</w:t>
      </w:r>
    </w:p>
    <w:p w14:paraId="2250DD80" w14:textId="77777777" w:rsidR="001F0286" w:rsidRPr="00342F7C" w:rsidRDefault="003428CC" w:rsidP="00FE6D86">
      <w:pPr>
        <w:pStyle w:val="EMEABullet"/>
        <w:tabs>
          <w:tab w:val="clear" w:pos="709"/>
          <w:tab w:val="num" w:pos="567"/>
        </w:tabs>
        <w:ind w:left="567"/>
        <w:rPr>
          <w:lang w:val="en-GB"/>
        </w:rPr>
      </w:pPr>
      <w:r>
        <w:rPr>
          <w:lang w:val="en-GB"/>
        </w:rPr>
        <w:t>l</w:t>
      </w:r>
      <w:r w:rsidR="001F0286" w:rsidRPr="00342F7C">
        <w:rPr>
          <w:lang w:val="en-GB"/>
        </w:rPr>
        <w:t>oss or changed sense of taste;</w:t>
      </w:r>
    </w:p>
    <w:p w14:paraId="134E4979" w14:textId="77777777" w:rsidR="001F0286" w:rsidRPr="00342F7C" w:rsidRDefault="003428CC" w:rsidP="00FE6D86">
      <w:pPr>
        <w:pStyle w:val="EMEABullet"/>
        <w:tabs>
          <w:tab w:val="clear" w:pos="709"/>
          <w:tab w:val="num" w:pos="567"/>
        </w:tabs>
        <w:ind w:left="567"/>
        <w:rPr>
          <w:lang w:val="en-GB"/>
        </w:rPr>
      </w:pPr>
      <w:r>
        <w:rPr>
          <w:lang w:val="en-GB"/>
        </w:rPr>
        <w:t>h</w:t>
      </w:r>
      <w:r w:rsidR="001F0286" w:rsidRPr="00342F7C">
        <w:rPr>
          <w:lang w:val="en-GB"/>
        </w:rPr>
        <w:t>air loss;</w:t>
      </w:r>
    </w:p>
    <w:p w14:paraId="3D6575DB" w14:textId="77777777" w:rsidR="001F0286" w:rsidRPr="00342F7C" w:rsidRDefault="003428CC" w:rsidP="00FE6D86">
      <w:pPr>
        <w:pStyle w:val="EMEABullet"/>
        <w:tabs>
          <w:tab w:val="clear" w:pos="709"/>
          <w:tab w:val="num" w:pos="567"/>
        </w:tabs>
        <w:ind w:left="567"/>
        <w:rPr>
          <w:lang w:val="en-GB"/>
        </w:rPr>
      </w:pPr>
      <w:r>
        <w:rPr>
          <w:lang w:val="en-GB"/>
        </w:rPr>
        <w:t>a</w:t>
      </w:r>
      <w:r w:rsidR="001F0286" w:rsidRPr="00342F7C">
        <w:rPr>
          <w:lang w:val="en-GB"/>
        </w:rPr>
        <w:t>n abnormality in your electrocardiogram</w:t>
      </w:r>
      <w:r w:rsidR="001E3098">
        <w:rPr>
          <w:lang w:val="en-GB"/>
        </w:rPr>
        <w:t xml:space="preserve"> (ECG)</w:t>
      </w:r>
      <w:r w:rsidR="001F0286" w:rsidRPr="00342F7C">
        <w:rPr>
          <w:lang w:val="en-GB"/>
        </w:rPr>
        <w:t xml:space="preserve"> called atrioventricular block;</w:t>
      </w:r>
    </w:p>
    <w:p w14:paraId="786736A9" w14:textId="77777777" w:rsidR="001F0286" w:rsidRPr="00342F7C" w:rsidRDefault="003428CC" w:rsidP="00FE6D86">
      <w:pPr>
        <w:pStyle w:val="EMEABullet"/>
        <w:tabs>
          <w:tab w:val="clear" w:pos="709"/>
          <w:tab w:val="num" w:pos="567"/>
        </w:tabs>
        <w:ind w:left="567"/>
        <w:rPr>
          <w:lang w:val="en-GB"/>
        </w:rPr>
      </w:pPr>
      <w:r>
        <w:rPr>
          <w:lang w:val="en-GB"/>
        </w:rPr>
        <w:t>p</w:t>
      </w:r>
      <w:r w:rsidR="001F0286" w:rsidRPr="00342F7C">
        <w:rPr>
          <w:lang w:val="en-GB"/>
        </w:rPr>
        <w:t>laque building up inside your arteries which could lead to heart attack and stroke;</w:t>
      </w:r>
    </w:p>
    <w:p w14:paraId="2AA8E503" w14:textId="77777777" w:rsidR="001F0286" w:rsidRPr="00342F7C" w:rsidRDefault="003428CC" w:rsidP="00FE6D86">
      <w:pPr>
        <w:pStyle w:val="EMEABullet"/>
        <w:tabs>
          <w:tab w:val="clear" w:pos="709"/>
          <w:tab w:val="num" w:pos="567"/>
        </w:tabs>
        <w:ind w:left="567"/>
        <w:rPr>
          <w:lang w:val="en-GB"/>
        </w:rPr>
      </w:pPr>
      <w:r>
        <w:rPr>
          <w:lang w:val="en-GB"/>
        </w:rPr>
        <w:t>i</w:t>
      </w:r>
      <w:r w:rsidR="001F0286" w:rsidRPr="00342F7C">
        <w:rPr>
          <w:lang w:val="en-GB"/>
        </w:rPr>
        <w:t>nflammation of blood vessels and capillaries;</w:t>
      </w:r>
    </w:p>
    <w:p w14:paraId="2C66620F" w14:textId="77777777" w:rsidR="001F0286" w:rsidRPr="00342F7C" w:rsidRDefault="00F6760A" w:rsidP="00FE6D86">
      <w:pPr>
        <w:pStyle w:val="EMEABullet"/>
        <w:tabs>
          <w:tab w:val="clear" w:pos="709"/>
          <w:tab w:val="num" w:pos="567"/>
        </w:tabs>
        <w:ind w:left="567"/>
        <w:rPr>
          <w:lang w:val="en-GB"/>
        </w:rPr>
      </w:pPr>
      <w:r>
        <w:rPr>
          <w:lang w:val="en-GB"/>
        </w:rPr>
        <w:t>i</w:t>
      </w:r>
      <w:r w:rsidR="001F0286" w:rsidRPr="00342F7C">
        <w:rPr>
          <w:lang w:val="en-GB"/>
        </w:rPr>
        <w:t>nflammation of the bile duct;</w:t>
      </w:r>
    </w:p>
    <w:p w14:paraId="6ECC953D" w14:textId="77777777" w:rsidR="001F0286" w:rsidRPr="00342F7C" w:rsidRDefault="00F6760A" w:rsidP="00FE6D86">
      <w:pPr>
        <w:pStyle w:val="EMEABullet"/>
        <w:tabs>
          <w:tab w:val="clear" w:pos="709"/>
          <w:tab w:val="num" w:pos="567"/>
        </w:tabs>
        <w:ind w:left="567"/>
        <w:rPr>
          <w:lang w:val="en-GB"/>
        </w:rPr>
      </w:pPr>
      <w:r>
        <w:rPr>
          <w:lang w:val="en-GB"/>
        </w:rPr>
        <w:t>u</w:t>
      </w:r>
      <w:r w:rsidR="001F0286" w:rsidRPr="00342F7C">
        <w:rPr>
          <w:lang w:val="en-GB"/>
        </w:rPr>
        <w:t>ncontrolled shaking of the body;</w:t>
      </w:r>
    </w:p>
    <w:p w14:paraId="3986436A" w14:textId="77777777" w:rsidR="001F0286" w:rsidRPr="00342F7C" w:rsidRDefault="00F6760A" w:rsidP="00FE6D86">
      <w:pPr>
        <w:pStyle w:val="EMEABullet"/>
        <w:tabs>
          <w:tab w:val="clear" w:pos="709"/>
          <w:tab w:val="num" w:pos="567"/>
        </w:tabs>
        <w:ind w:left="567"/>
        <w:rPr>
          <w:lang w:val="en-GB"/>
        </w:rPr>
      </w:pPr>
      <w:r>
        <w:rPr>
          <w:lang w:val="en-GB"/>
        </w:rPr>
        <w:t>c</w:t>
      </w:r>
      <w:r w:rsidR="001F0286" w:rsidRPr="00342F7C">
        <w:rPr>
          <w:lang w:val="en-GB"/>
        </w:rPr>
        <w:t>onstipation;</w:t>
      </w:r>
    </w:p>
    <w:p w14:paraId="6ED515E4" w14:textId="77777777" w:rsidR="001F0286" w:rsidRPr="00342F7C" w:rsidRDefault="00F6760A" w:rsidP="00FE6D86">
      <w:pPr>
        <w:pStyle w:val="EMEABullet"/>
        <w:tabs>
          <w:tab w:val="clear" w:pos="709"/>
          <w:tab w:val="num" w:pos="567"/>
        </w:tabs>
        <w:ind w:left="567"/>
        <w:rPr>
          <w:lang w:val="en-GB"/>
        </w:rPr>
      </w:pPr>
      <w:r>
        <w:rPr>
          <w:lang w:val="en-GB"/>
        </w:rPr>
        <w:t>d</w:t>
      </w:r>
      <w:r w:rsidR="001F0286" w:rsidRPr="00342F7C">
        <w:rPr>
          <w:lang w:val="en-GB"/>
        </w:rPr>
        <w:t>eep vein inflammation related to a blood clot;</w:t>
      </w:r>
    </w:p>
    <w:p w14:paraId="7FB5CA9A" w14:textId="77777777" w:rsidR="001F0286" w:rsidRPr="00342F7C" w:rsidRDefault="00F6760A" w:rsidP="00FE6D86">
      <w:pPr>
        <w:pStyle w:val="EMEABullet"/>
        <w:tabs>
          <w:tab w:val="clear" w:pos="709"/>
          <w:tab w:val="num" w:pos="567"/>
        </w:tabs>
        <w:ind w:left="567"/>
        <w:rPr>
          <w:lang w:val="en-GB"/>
        </w:rPr>
      </w:pPr>
      <w:r>
        <w:rPr>
          <w:lang w:val="en-GB"/>
        </w:rPr>
        <w:t>d</w:t>
      </w:r>
      <w:r w:rsidR="001F0286" w:rsidRPr="00342F7C">
        <w:rPr>
          <w:lang w:val="en-GB"/>
        </w:rPr>
        <w:t>ry mouth;</w:t>
      </w:r>
    </w:p>
    <w:p w14:paraId="7C2A8308" w14:textId="77777777" w:rsidR="001F0286" w:rsidRPr="00342F7C" w:rsidRDefault="00F6760A" w:rsidP="00FE6D86">
      <w:pPr>
        <w:pStyle w:val="EMEABullet"/>
        <w:tabs>
          <w:tab w:val="clear" w:pos="709"/>
          <w:tab w:val="num" w:pos="567"/>
        </w:tabs>
        <w:ind w:left="567"/>
        <w:rPr>
          <w:lang w:val="en-GB"/>
        </w:rPr>
      </w:pPr>
      <w:r>
        <w:rPr>
          <w:lang w:val="en-GB"/>
        </w:rPr>
        <w:t>i</w:t>
      </w:r>
      <w:r w:rsidR="001F0286" w:rsidRPr="00342F7C">
        <w:rPr>
          <w:lang w:val="en-GB"/>
        </w:rPr>
        <w:t>nability to control your bowels;</w:t>
      </w:r>
    </w:p>
    <w:p w14:paraId="05F1CB50" w14:textId="77777777" w:rsidR="001F0286" w:rsidRPr="00342F7C" w:rsidRDefault="00F6760A" w:rsidP="00FE6D86">
      <w:pPr>
        <w:pStyle w:val="EMEABullet"/>
        <w:tabs>
          <w:tab w:val="clear" w:pos="709"/>
          <w:tab w:val="num" w:pos="567"/>
        </w:tabs>
        <w:ind w:left="567"/>
        <w:rPr>
          <w:lang w:val="en-GB"/>
        </w:rPr>
      </w:pPr>
      <w:r>
        <w:rPr>
          <w:lang w:val="en-GB"/>
        </w:rPr>
        <w:t>i</w:t>
      </w:r>
      <w:r w:rsidR="001F0286" w:rsidRPr="00342F7C">
        <w:rPr>
          <w:lang w:val="en-GB"/>
        </w:rPr>
        <w:t>nflammation of the first section of the small intestine just after the stomach, wound or ulcer in the digestive tract, bleeding from the intestinal tract or rectum;</w:t>
      </w:r>
    </w:p>
    <w:p w14:paraId="281163DA" w14:textId="77777777" w:rsidR="001F0286" w:rsidRDefault="00F6760A" w:rsidP="00FE6D86">
      <w:pPr>
        <w:pStyle w:val="EMEABullet"/>
        <w:tabs>
          <w:tab w:val="clear" w:pos="709"/>
          <w:tab w:val="num" w:pos="567"/>
        </w:tabs>
        <w:ind w:left="567"/>
        <w:rPr>
          <w:lang w:val="en-GB"/>
        </w:rPr>
      </w:pPr>
      <w:r>
        <w:rPr>
          <w:lang w:val="en-GB"/>
        </w:rPr>
        <w:t>r</w:t>
      </w:r>
      <w:r w:rsidR="001F0286" w:rsidRPr="00342F7C">
        <w:rPr>
          <w:lang w:val="en-GB"/>
        </w:rPr>
        <w:t>ed blood cells in the urine;</w:t>
      </w:r>
    </w:p>
    <w:p w14:paraId="3E3066FB" w14:textId="77777777" w:rsidR="00514145" w:rsidRPr="00342F7C" w:rsidRDefault="00514145" w:rsidP="00FE6D86">
      <w:pPr>
        <w:pStyle w:val="EMEABullet"/>
        <w:tabs>
          <w:tab w:val="clear" w:pos="709"/>
          <w:tab w:val="num" w:pos="567"/>
        </w:tabs>
        <w:ind w:left="567"/>
        <w:rPr>
          <w:lang w:val="en-GB"/>
        </w:rPr>
      </w:pPr>
      <w:r>
        <w:rPr>
          <w:lang w:val="en-GB"/>
        </w:rPr>
        <w:t>yellowing of the skin or whites of eyes (jaundice);</w:t>
      </w:r>
    </w:p>
    <w:p w14:paraId="61EB7B48" w14:textId="77777777" w:rsidR="001F0286" w:rsidRPr="00342F7C" w:rsidRDefault="00F6760A" w:rsidP="00FE6D86">
      <w:pPr>
        <w:pStyle w:val="EMEABullet"/>
        <w:tabs>
          <w:tab w:val="clear" w:pos="709"/>
          <w:tab w:val="num" w:pos="567"/>
        </w:tabs>
        <w:ind w:left="567"/>
        <w:rPr>
          <w:lang w:val="en-GB"/>
        </w:rPr>
      </w:pPr>
      <w:r>
        <w:rPr>
          <w:lang w:val="en-GB"/>
        </w:rPr>
        <w:t>f</w:t>
      </w:r>
      <w:r w:rsidR="001F0286" w:rsidRPr="00342F7C">
        <w:rPr>
          <w:lang w:val="en-GB"/>
        </w:rPr>
        <w:t>atty deposits in the liver, enlarged liver;</w:t>
      </w:r>
    </w:p>
    <w:p w14:paraId="21E559AB" w14:textId="77777777" w:rsidR="001F0286" w:rsidRPr="00342F7C" w:rsidRDefault="00F6760A" w:rsidP="00FE6D86">
      <w:pPr>
        <w:pStyle w:val="EMEABullet"/>
        <w:tabs>
          <w:tab w:val="clear" w:pos="709"/>
          <w:tab w:val="num" w:pos="567"/>
        </w:tabs>
        <w:ind w:left="567"/>
        <w:rPr>
          <w:lang w:val="en-GB"/>
        </w:rPr>
      </w:pPr>
      <w:r>
        <w:rPr>
          <w:lang w:val="en-GB"/>
        </w:rPr>
        <w:t>l</w:t>
      </w:r>
      <w:r w:rsidR="001F0286" w:rsidRPr="00342F7C">
        <w:rPr>
          <w:lang w:val="en-GB"/>
        </w:rPr>
        <w:t>ack of functioning of the testes;</w:t>
      </w:r>
    </w:p>
    <w:p w14:paraId="76ADA6CC" w14:textId="77777777" w:rsidR="001F0286" w:rsidRPr="00342F7C" w:rsidRDefault="00F6760A" w:rsidP="00FE6D86">
      <w:pPr>
        <w:pStyle w:val="EMEABullet"/>
        <w:tabs>
          <w:tab w:val="clear" w:pos="709"/>
          <w:tab w:val="num" w:pos="567"/>
        </w:tabs>
        <w:ind w:left="567"/>
        <w:rPr>
          <w:lang w:val="en-GB"/>
        </w:rPr>
      </w:pPr>
      <w:r>
        <w:rPr>
          <w:lang w:val="en-GB"/>
        </w:rPr>
        <w:t>a</w:t>
      </w:r>
      <w:r w:rsidR="001F0286" w:rsidRPr="00342F7C">
        <w:rPr>
          <w:lang w:val="en-GB"/>
        </w:rPr>
        <w:t xml:space="preserve"> flare-up of symptoms related to an inactive infection in </w:t>
      </w:r>
      <w:r w:rsidR="00EF6E3A">
        <w:rPr>
          <w:lang w:val="en-GB"/>
        </w:rPr>
        <w:t xml:space="preserve">your body (immune </w:t>
      </w:r>
      <w:r w:rsidR="0076580C">
        <w:rPr>
          <w:lang w:val="en-GB"/>
        </w:rPr>
        <w:t>reconstitution</w:t>
      </w:r>
      <w:r w:rsidR="001F0286" w:rsidRPr="00342F7C">
        <w:rPr>
          <w:lang w:val="en-GB"/>
        </w:rPr>
        <w:t>);</w:t>
      </w:r>
    </w:p>
    <w:p w14:paraId="7EE4CA5B" w14:textId="77777777" w:rsidR="001F0286" w:rsidRPr="00342F7C" w:rsidRDefault="00F6760A" w:rsidP="00FE6D86">
      <w:pPr>
        <w:pStyle w:val="EMEABullet"/>
        <w:tabs>
          <w:tab w:val="clear" w:pos="709"/>
          <w:tab w:val="num" w:pos="567"/>
        </w:tabs>
        <w:ind w:left="567"/>
        <w:rPr>
          <w:lang w:val="en-GB"/>
        </w:rPr>
      </w:pPr>
      <w:r>
        <w:rPr>
          <w:lang w:val="en-GB"/>
        </w:rPr>
        <w:t>i</w:t>
      </w:r>
      <w:r w:rsidR="001F0286" w:rsidRPr="00342F7C">
        <w:rPr>
          <w:lang w:val="en-GB"/>
        </w:rPr>
        <w:t>ncreased appetite;</w:t>
      </w:r>
    </w:p>
    <w:p w14:paraId="2A33F4C7" w14:textId="77777777" w:rsidR="001F0286" w:rsidRPr="00342F7C" w:rsidRDefault="00F6760A" w:rsidP="00FE6D86">
      <w:pPr>
        <w:pStyle w:val="EMEABullet"/>
        <w:tabs>
          <w:tab w:val="clear" w:pos="709"/>
          <w:tab w:val="num" w:pos="567"/>
        </w:tabs>
        <w:ind w:left="567"/>
        <w:rPr>
          <w:lang w:val="en-GB"/>
        </w:rPr>
      </w:pPr>
      <w:r>
        <w:rPr>
          <w:lang w:val="en-GB"/>
        </w:rPr>
        <w:t>a</w:t>
      </w:r>
      <w:r w:rsidR="001F0286" w:rsidRPr="00342F7C">
        <w:rPr>
          <w:lang w:val="en-GB"/>
        </w:rPr>
        <w:t>bnormally high level of bilirubin (a pigment produced from the breakdown of red blood cells) in the blood</w:t>
      </w:r>
    </w:p>
    <w:p w14:paraId="2642498A" w14:textId="77777777" w:rsidR="001F0286" w:rsidRPr="00342F7C" w:rsidRDefault="00F6760A" w:rsidP="00FE6D86">
      <w:pPr>
        <w:pStyle w:val="EMEABullet"/>
        <w:tabs>
          <w:tab w:val="clear" w:pos="709"/>
          <w:tab w:val="num" w:pos="567"/>
        </w:tabs>
        <w:ind w:left="567"/>
        <w:rPr>
          <w:lang w:val="en-GB"/>
        </w:rPr>
      </w:pPr>
      <w:r>
        <w:rPr>
          <w:lang w:val="en-GB"/>
        </w:rPr>
        <w:t>d</w:t>
      </w:r>
      <w:r w:rsidR="001F0286" w:rsidRPr="00342F7C">
        <w:rPr>
          <w:lang w:val="en-GB"/>
        </w:rPr>
        <w:t>ecreased sexual desire;</w:t>
      </w:r>
    </w:p>
    <w:p w14:paraId="580C0567" w14:textId="77777777" w:rsidR="001F0286" w:rsidRPr="00342F7C" w:rsidRDefault="00F6760A" w:rsidP="00FE6D86">
      <w:pPr>
        <w:pStyle w:val="EMEABullet"/>
        <w:tabs>
          <w:tab w:val="clear" w:pos="709"/>
          <w:tab w:val="num" w:pos="567"/>
        </w:tabs>
        <w:ind w:left="567"/>
        <w:rPr>
          <w:lang w:val="en-GB"/>
        </w:rPr>
      </w:pPr>
      <w:r>
        <w:rPr>
          <w:lang w:val="en-GB"/>
        </w:rPr>
        <w:t>i</w:t>
      </w:r>
      <w:r w:rsidR="001F0286" w:rsidRPr="00342F7C">
        <w:rPr>
          <w:lang w:val="en-GB"/>
        </w:rPr>
        <w:t>nflammation of the kidney;</w:t>
      </w:r>
    </w:p>
    <w:p w14:paraId="60382B30" w14:textId="77777777" w:rsidR="001F0286" w:rsidRPr="00342F7C" w:rsidRDefault="00F6760A" w:rsidP="00FE6D86">
      <w:pPr>
        <w:pStyle w:val="EMEABullet"/>
        <w:tabs>
          <w:tab w:val="clear" w:pos="709"/>
          <w:tab w:val="num" w:pos="567"/>
        </w:tabs>
        <w:ind w:left="567"/>
        <w:rPr>
          <w:lang w:val="en-GB"/>
        </w:rPr>
      </w:pPr>
      <w:r>
        <w:rPr>
          <w:lang w:val="en-GB"/>
        </w:rPr>
        <w:t>b</w:t>
      </w:r>
      <w:r w:rsidR="001F0286" w:rsidRPr="00342F7C">
        <w:rPr>
          <w:lang w:val="en-GB"/>
        </w:rPr>
        <w:t>one death caused by poor blood supply to the area;</w:t>
      </w:r>
    </w:p>
    <w:p w14:paraId="65DDCA6B" w14:textId="77777777" w:rsidR="001F0286" w:rsidRPr="00342F7C" w:rsidRDefault="00F6760A" w:rsidP="00FE6D86">
      <w:pPr>
        <w:pStyle w:val="EMEABullet"/>
        <w:tabs>
          <w:tab w:val="clear" w:pos="709"/>
          <w:tab w:val="num" w:pos="567"/>
        </w:tabs>
        <w:ind w:left="567"/>
        <w:rPr>
          <w:lang w:val="en-GB"/>
        </w:rPr>
      </w:pPr>
      <w:r>
        <w:rPr>
          <w:lang w:val="en-GB"/>
        </w:rPr>
        <w:t>m</w:t>
      </w:r>
      <w:r w:rsidR="001F0286" w:rsidRPr="00342F7C">
        <w:rPr>
          <w:lang w:val="en-GB"/>
        </w:rPr>
        <w:t>outh sores or ulcerations, inflammation of the stomach and intestine;</w:t>
      </w:r>
    </w:p>
    <w:p w14:paraId="08AB5FFD" w14:textId="77777777" w:rsidR="001F0286" w:rsidRPr="00342F7C" w:rsidRDefault="00F6760A" w:rsidP="00FE6D86">
      <w:pPr>
        <w:pStyle w:val="EMEABullet"/>
        <w:tabs>
          <w:tab w:val="clear" w:pos="709"/>
          <w:tab w:val="num" w:pos="567"/>
        </w:tabs>
        <w:ind w:left="567"/>
        <w:rPr>
          <w:lang w:val="en-GB"/>
        </w:rPr>
      </w:pPr>
      <w:r>
        <w:rPr>
          <w:lang w:val="en-GB"/>
        </w:rPr>
        <w:t>k</w:t>
      </w:r>
      <w:r w:rsidR="001F0286" w:rsidRPr="00342F7C">
        <w:rPr>
          <w:lang w:val="en-GB"/>
        </w:rPr>
        <w:t>idney failure;</w:t>
      </w:r>
    </w:p>
    <w:p w14:paraId="318E1CB7" w14:textId="77777777" w:rsidR="001F0286" w:rsidRPr="00342F7C" w:rsidRDefault="00F6760A" w:rsidP="00FE6D86">
      <w:pPr>
        <w:pStyle w:val="EMEABullet"/>
        <w:tabs>
          <w:tab w:val="clear" w:pos="709"/>
          <w:tab w:val="num" w:pos="567"/>
        </w:tabs>
        <w:ind w:left="567"/>
        <w:rPr>
          <w:lang w:val="en-GB"/>
        </w:rPr>
      </w:pPr>
      <w:r>
        <w:rPr>
          <w:lang w:val="en-GB"/>
        </w:rPr>
        <w:t>b</w:t>
      </w:r>
      <w:r w:rsidR="001F0286" w:rsidRPr="00342F7C">
        <w:rPr>
          <w:lang w:val="en-GB"/>
        </w:rPr>
        <w:t xml:space="preserve">reakdown of muscle </w:t>
      </w:r>
      <w:r w:rsidR="00CA009F" w:rsidRPr="00342F7C">
        <w:rPr>
          <w:lang w:val="en-GB"/>
        </w:rPr>
        <w:t>fibres</w:t>
      </w:r>
      <w:r w:rsidR="001F0286" w:rsidRPr="00342F7C">
        <w:rPr>
          <w:lang w:val="en-GB"/>
        </w:rPr>
        <w:t xml:space="preserve"> resulting in the release of muscle </w:t>
      </w:r>
      <w:r w:rsidR="00CA009F" w:rsidRPr="00342F7C">
        <w:rPr>
          <w:lang w:val="en-GB"/>
        </w:rPr>
        <w:t>fibre</w:t>
      </w:r>
      <w:r w:rsidR="001F0286" w:rsidRPr="00342F7C">
        <w:rPr>
          <w:lang w:val="en-GB"/>
        </w:rPr>
        <w:t xml:space="preserve"> contents (myoglobin) into the bloodstream;</w:t>
      </w:r>
    </w:p>
    <w:p w14:paraId="33F06DFA" w14:textId="77777777" w:rsidR="001F0286" w:rsidRPr="00342F7C" w:rsidRDefault="00F6760A" w:rsidP="00FE6D86">
      <w:pPr>
        <w:pStyle w:val="EMEABullet"/>
        <w:tabs>
          <w:tab w:val="clear" w:pos="709"/>
          <w:tab w:val="num" w:pos="567"/>
        </w:tabs>
        <w:ind w:left="567"/>
        <w:rPr>
          <w:lang w:val="en-GB"/>
        </w:rPr>
      </w:pPr>
      <w:r>
        <w:rPr>
          <w:lang w:val="en-GB"/>
        </w:rPr>
        <w:t>a</w:t>
      </w:r>
      <w:r w:rsidR="001F0286" w:rsidRPr="00342F7C">
        <w:rPr>
          <w:lang w:val="en-GB"/>
        </w:rPr>
        <w:t xml:space="preserve"> sound in one ear or both ears, such as buzzing, ringing or whistling;</w:t>
      </w:r>
    </w:p>
    <w:p w14:paraId="29B7CCF7" w14:textId="77777777" w:rsidR="001F0286" w:rsidRPr="00342F7C" w:rsidRDefault="00F6760A" w:rsidP="00FE6D86">
      <w:pPr>
        <w:pStyle w:val="EMEABullet"/>
        <w:tabs>
          <w:tab w:val="clear" w:pos="709"/>
          <w:tab w:val="num" w:pos="567"/>
        </w:tabs>
        <w:ind w:left="567"/>
        <w:rPr>
          <w:lang w:val="en-GB"/>
        </w:rPr>
      </w:pPr>
      <w:r>
        <w:rPr>
          <w:lang w:val="en-GB"/>
        </w:rPr>
        <w:t>t</w:t>
      </w:r>
      <w:r w:rsidR="001F0286" w:rsidRPr="00342F7C">
        <w:rPr>
          <w:lang w:val="en-GB"/>
        </w:rPr>
        <w:t>remor;</w:t>
      </w:r>
    </w:p>
    <w:p w14:paraId="0B3EDB9A" w14:textId="77777777" w:rsidR="001F0286" w:rsidRPr="00342F7C" w:rsidRDefault="00F6760A" w:rsidP="00FE6D86">
      <w:pPr>
        <w:pStyle w:val="EMEABullet"/>
        <w:tabs>
          <w:tab w:val="clear" w:pos="709"/>
          <w:tab w:val="num" w:pos="567"/>
        </w:tabs>
        <w:ind w:left="567"/>
        <w:rPr>
          <w:lang w:val="en-GB"/>
        </w:rPr>
      </w:pPr>
      <w:r>
        <w:rPr>
          <w:lang w:val="en-GB"/>
        </w:rPr>
        <w:t>a</w:t>
      </w:r>
      <w:r w:rsidR="001F0286" w:rsidRPr="00342F7C">
        <w:rPr>
          <w:lang w:val="en-GB"/>
        </w:rPr>
        <w:t>bnormal closure of one of the valves (tricuspid valve in your heart);</w:t>
      </w:r>
    </w:p>
    <w:p w14:paraId="057B5B72" w14:textId="77777777" w:rsidR="001F0286" w:rsidRPr="00342F7C" w:rsidRDefault="00F6760A" w:rsidP="00FE6D86">
      <w:pPr>
        <w:pStyle w:val="EMEABullet"/>
        <w:tabs>
          <w:tab w:val="clear" w:pos="709"/>
          <w:tab w:val="num" w:pos="567"/>
        </w:tabs>
        <w:ind w:left="567"/>
        <w:rPr>
          <w:lang w:val="en-GB"/>
        </w:rPr>
      </w:pPr>
      <w:r>
        <w:rPr>
          <w:lang w:val="en-GB"/>
        </w:rPr>
        <w:t>v</w:t>
      </w:r>
      <w:r w:rsidR="001F0286" w:rsidRPr="00342F7C">
        <w:rPr>
          <w:lang w:val="en-GB"/>
        </w:rPr>
        <w:t>ertigo (spinning feeling);</w:t>
      </w:r>
    </w:p>
    <w:p w14:paraId="686FD63D" w14:textId="77777777" w:rsidR="001F0286" w:rsidRPr="00342F7C" w:rsidRDefault="00F6760A" w:rsidP="00FE6D86">
      <w:pPr>
        <w:pStyle w:val="EMEABullet"/>
        <w:tabs>
          <w:tab w:val="clear" w:pos="709"/>
          <w:tab w:val="num" w:pos="567"/>
        </w:tabs>
        <w:ind w:left="567"/>
        <w:rPr>
          <w:lang w:val="en-GB"/>
        </w:rPr>
      </w:pPr>
      <w:r>
        <w:rPr>
          <w:lang w:val="en-GB"/>
        </w:rPr>
        <w:t>e</w:t>
      </w:r>
      <w:r w:rsidR="001F0286" w:rsidRPr="00342F7C">
        <w:rPr>
          <w:lang w:val="en-GB"/>
        </w:rPr>
        <w:t>ye disorder, abnormal vision;</w:t>
      </w:r>
    </w:p>
    <w:p w14:paraId="257ADA59" w14:textId="77777777" w:rsidR="00B34893" w:rsidRPr="00342F7C" w:rsidRDefault="00F6760A" w:rsidP="00FE6D86">
      <w:pPr>
        <w:pStyle w:val="EMEABullet"/>
        <w:tabs>
          <w:tab w:val="clear" w:pos="709"/>
          <w:tab w:val="num" w:pos="567"/>
        </w:tabs>
        <w:ind w:left="567"/>
        <w:rPr>
          <w:lang w:val="en-GB"/>
        </w:rPr>
      </w:pPr>
      <w:r>
        <w:rPr>
          <w:lang w:val="en-GB"/>
        </w:rPr>
        <w:t>w</w:t>
      </w:r>
      <w:r w:rsidR="001F0286" w:rsidRPr="00342F7C">
        <w:rPr>
          <w:lang w:val="en-GB"/>
        </w:rPr>
        <w:t>eight gain.</w:t>
      </w:r>
    </w:p>
    <w:p w14:paraId="7517494B" w14:textId="77777777" w:rsidR="00DD620C" w:rsidRPr="00342F7C" w:rsidRDefault="00DD620C" w:rsidP="00DD620C">
      <w:pPr>
        <w:pStyle w:val="EMEANormal"/>
        <w:rPr>
          <w:lang w:val="en-GB" w:eastAsia="en-GB"/>
        </w:rPr>
      </w:pPr>
    </w:p>
    <w:p w14:paraId="1963AE98" w14:textId="77777777" w:rsidR="001E3098" w:rsidRDefault="00514145" w:rsidP="007F6003">
      <w:pPr>
        <w:pStyle w:val="EMEANormal"/>
        <w:rPr>
          <w:lang w:val="en-GB" w:eastAsia="en-GB"/>
        </w:rPr>
      </w:pPr>
      <w:r w:rsidRPr="00514145">
        <w:rPr>
          <w:b/>
          <w:bCs/>
          <w:lang w:val="en-GB" w:eastAsia="en-GB"/>
        </w:rPr>
        <w:t>Rare</w:t>
      </w:r>
      <w:r>
        <w:rPr>
          <w:lang w:val="en-GB" w:eastAsia="en-GB"/>
        </w:rPr>
        <w:t>: may affect up to 1 in 1,000 people</w:t>
      </w:r>
      <w:r w:rsidR="00DD620C" w:rsidRPr="00342F7C">
        <w:rPr>
          <w:lang w:val="en-GB" w:eastAsia="en-GB"/>
        </w:rPr>
        <w:t xml:space="preserve"> </w:t>
      </w:r>
    </w:p>
    <w:p w14:paraId="202DC9DF" w14:textId="77777777" w:rsidR="00DD620C" w:rsidRPr="00342F7C" w:rsidRDefault="00DD620C" w:rsidP="0052761E">
      <w:pPr>
        <w:pStyle w:val="EMEANormal"/>
        <w:numPr>
          <w:ilvl w:val="0"/>
          <w:numId w:val="27"/>
        </w:numPr>
        <w:ind w:left="567" w:hanging="567"/>
        <w:rPr>
          <w:lang w:val="en-GB" w:eastAsia="en-GB"/>
        </w:rPr>
      </w:pPr>
      <w:r w:rsidRPr="00342F7C">
        <w:rPr>
          <w:lang w:val="en-GB" w:eastAsia="en-GB"/>
        </w:rPr>
        <w:t>severe or life</w:t>
      </w:r>
      <w:r w:rsidR="00514145">
        <w:rPr>
          <w:lang w:val="en-GB" w:eastAsia="en-GB"/>
        </w:rPr>
        <w:softHyphen/>
      </w:r>
      <w:r w:rsidRPr="00342F7C">
        <w:rPr>
          <w:lang w:val="en-GB" w:eastAsia="en-GB"/>
        </w:rPr>
        <w:t>threatening skin rashes and blisters (Stevens-Johnson synd</w:t>
      </w:r>
      <w:r w:rsidR="00D36207">
        <w:rPr>
          <w:lang w:val="en-GB" w:eastAsia="en-GB"/>
        </w:rPr>
        <w:t>rome and erythema multiforme).</w:t>
      </w:r>
    </w:p>
    <w:p w14:paraId="17A642E3" w14:textId="77777777" w:rsidR="00B34893" w:rsidRPr="005A7D58" w:rsidRDefault="00B34893">
      <w:pPr>
        <w:pStyle w:val="EMEABullet"/>
        <w:numPr>
          <w:ilvl w:val="0"/>
          <w:numId w:val="0"/>
        </w:numPr>
        <w:rPr>
          <w:szCs w:val="22"/>
          <w:lang w:val="en-GB"/>
        </w:rPr>
      </w:pPr>
    </w:p>
    <w:p w14:paraId="6060ADE5" w14:textId="77777777" w:rsidR="002B6A81" w:rsidRPr="005A7D58" w:rsidRDefault="002B6A81" w:rsidP="002B6A81">
      <w:pPr>
        <w:tabs>
          <w:tab w:val="left" w:pos="567"/>
        </w:tabs>
        <w:rPr>
          <w:color w:val="000000"/>
          <w:sz w:val="22"/>
          <w:szCs w:val="22"/>
        </w:rPr>
      </w:pPr>
      <w:r w:rsidRPr="005A7D58">
        <w:rPr>
          <w:b/>
          <w:bCs/>
          <w:sz w:val="22"/>
          <w:szCs w:val="22"/>
        </w:rPr>
        <w:t xml:space="preserve">Not known: </w:t>
      </w:r>
      <w:r w:rsidRPr="005A7D58">
        <w:rPr>
          <w:sz w:val="22"/>
          <w:szCs w:val="22"/>
        </w:rPr>
        <w:t>frequency</w:t>
      </w:r>
      <w:r w:rsidRPr="005A7D58">
        <w:rPr>
          <w:b/>
          <w:bCs/>
          <w:sz w:val="22"/>
          <w:szCs w:val="22"/>
        </w:rPr>
        <w:t xml:space="preserve"> </w:t>
      </w:r>
      <w:r w:rsidRPr="005A7D58">
        <w:rPr>
          <w:color w:val="000000"/>
          <w:sz w:val="22"/>
          <w:szCs w:val="22"/>
        </w:rPr>
        <w:t>cannot be estimated from the available data</w:t>
      </w:r>
    </w:p>
    <w:p w14:paraId="77FC0334" w14:textId="77777777" w:rsidR="002B6A81" w:rsidRPr="005A7D58" w:rsidRDefault="002B6A81" w:rsidP="002B6A81">
      <w:pPr>
        <w:pStyle w:val="EMEABullet"/>
        <w:tabs>
          <w:tab w:val="clear" w:pos="709"/>
          <w:tab w:val="num" w:pos="567"/>
        </w:tabs>
        <w:ind w:left="567"/>
        <w:rPr>
          <w:szCs w:val="22"/>
          <w:lang w:val="en-GB"/>
        </w:rPr>
      </w:pPr>
      <w:r w:rsidRPr="005A7D58">
        <w:rPr>
          <w:szCs w:val="22"/>
          <w:lang w:val="en-GB"/>
        </w:rPr>
        <w:t>kidney stones.</w:t>
      </w:r>
    </w:p>
    <w:p w14:paraId="1A13DA01" w14:textId="77777777" w:rsidR="002B6A81" w:rsidRPr="00342F7C" w:rsidRDefault="002B6A81">
      <w:pPr>
        <w:pStyle w:val="EMEABullet"/>
        <w:numPr>
          <w:ilvl w:val="0"/>
          <w:numId w:val="0"/>
        </w:numPr>
        <w:rPr>
          <w:lang w:val="en-GB"/>
        </w:rPr>
      </w:pPr>
    </w:p>
    <w:p w14:paraId="069F1270" w14:textId="77777777" w:rsidR="00277ECB" w:rsidRDefault="00277ECB">
      <w:pPr>
        <w:pStyle w:val="EMEANormal"/>
        <w:rPr>
          <w:lang w:val="en-GB"/>
        </w:rPr>
      </w:pPr>
      <w:r w:rsidRPr="00342F7C">
        <w:rPr>
          <w:lang w:val="en-GB"/>
        </w:rPr>
        <w:t>If any of the side effects gets serious, or if you notice any side effects not listed in this leaflet, please inform your doctor or pharmacist.</w:t>
      </w:r>
    </w:p>
    <w:p w14:paraId="1F92FD66" w14:textId="77777777" w:rsidR="007B76F0" w:rsidRDefault="007B76F0">
      <w:pPr>
        <w:pStyle w:val="EMEANormal"/>
        <w:rPr>
          <w:lang w:val="en-GB"/>
        </w:rPr>
      </w:pPr>
    </w:p>
    <w:p w14:paraId="650FFA0F" w14:textId="77777777" w:rsidR="007B76F0" w:rsidRPr="0017061C" w:rsidRDefault="007B76F0" w:rsidP="007B76F0">
      <w:pPr>
        <w:pStyle w:val="EMEANormal"/>
        <w:rPr>
          <w:b/>
          <w:lang w:val="en-GB"/>
        </w:rPr>
      </w:pPr>
      <w:r w:rsidRPr="0017061C">
        <w:rPr>
          <w:b/>
          <w:lang w:val="en-GB"/>
        </w:rPr>
        <w:t>Reporting of side effects</w:t>
      </w:r>
    </w:p>
    <w:p w14:paraId="30F900A5" w14:textId="77777777" w:rsidR="007B76F0" w:rsidRDefault="007B76F0" w:rsidP="007B76F0">
      <w:pPr>
        <w:pStyle w:val="EMEANormal"/>
        <w:rPr>
          <w:b/>
          <w:u w:val="single"/>
          <w:lang w:val="en-GB"/>
        </w:rPr>
      </w:pPr>
    </w:p>
    <w:p w14:paraId="5B9A82B2" w14:textId="77777777" w:rsidR="007B76F0" w:rsidRDefault="007B76F0">
      <w:pPr>
        <w:pStyle w:val="EMEANormal"/>
        <w:rPr>
          <w:lang w:val="en-GB"/>
        </w:rPr>
      </w:pPr>
      <w:r>
        <w:rPr>
          <w:lang w:val="en-GB"/>
        </w:rPr>
        <w:t xml:space="preserve">If you get any side effects, talk to your doctor or pharmacist.  This includes any possible side effects not listed in this leaflet.  You can also report side effects directly via </w:t>
      </w:r>
      <w:r w:rsidRPr="00E4158F">
        <w:rPr>
          <w:highlight w:val="lightGray"/>
          <w:lang w:val="en-GB"/>
        </w:rPr>
        <w:t xml:space="preserve">the national reporting system listed in </w:t>
      </w:r>
      <w:hyperlink r:id="rId27" w:history="1">
        <w:r w:rsidRPr="00AC0B47">
          <w:rPr>
            <w:rStyle w:val="Hyperlink"/>
            <w:highlight w:val="lightGray"/>
            <w:lang w:val="en-GB"/>
          </w:rPr>
          <w:t>Appendix V</w:t>
        </w:r>
      </w:hyperlink>
      <w:r>
        <w:rPr>
          <w:lang w:val="en-GB"/>
        </w:rPr>
        <w:t>.  By reporting side effects you can help provide more information on the safety of this medicine.</w:t>
      </w:r>
    </w:p>
    <w:p w14:paraId="5194CED0" w14:textId="77777777" w:rsidR="007B76F0" w:rsidRDefault="007B76F0">
      <w:pPr>
        <w:pStyle w:val="EMEANormal"/>
        <w:rPr>
          <w:lang w:val="en-GB"/>
        </w:rPr>
      </w:pPr>
    </w:p>
    <w:p w14:paraId="54CEEDD5" w14:textId="77777777" w:rsidR="00D40409" w:rsidRPr="00342F7C" w:rsidRDefault="00D40409">
      <w:pPr>
        <w:pStyle w:val="EMEANormal"/>
        <w:rPr>
          <w:lang w:val="en-GB"/>
        </w:rPr>
      </w:pPr>
    </w:p>
    <w:p w14:paraId="2186F047" w14:textId="77777777" w:rsidR="00277ECB" w:rsidRPr="00282043" w:rsidRDefault="00277ECB" w:rsidP="004E4B46">
      <w:pPr>
        <w:keepNext/>
        <w:rPr>
          <w:b/>
          <w:sz w:val="22"/>
          <w:szCs w:val="22"/>
        </w:rPr>
      </w:pPr>
      <w:r w:rsidRPr="00282043">
        <w:rPr>
          <w:b/>
          <w:sz w:val="22"/>
          <w:szCs w:val="22"/>
        </w:rPr>
        <w:t>5.</w:t>
      </w:r>
      <w:r w:rsidRPr="00282043">
        <w:rPr>
          <w:b/>
          <w:sz w:val="22"/>
          <w:szCs w:val="22"/>
        </w:rPr>
        <w:tab/>
        <w:t>H</w:t>
      </w:r>
      <w:r w:rsidR="00D40409" w:rsidRPr="00282043">
        <w:rPr>
          <w:b/>
          <w:sz w:val="22"/>
          <w:szCs w:val="22"/>
        </w:rPr>
        <w:t>ow to store Kaletra</w:t>
      </w:r>
    </w:p>
    <w:p w14:paraId="50BC9CD9" w14:textId="77777777" w:rsidR="00D40409" w:rsidRPr="00D40409" w:rsidRDefault="00D40409" w:rsidP="004E4B46">
      <w:pPr>
        <w:keepNext/>
        <w:rPr>
          <w:b/>
        </w:rPr>
      </w:pPr>
    </w:p>
    <w:p w14:paraId="6EDA0E7D" w14:textId="77777777" w:rsidR="00277ECB" w:rsidRPr="00342F7C" w:rsidRDefault="007B76F0" w:rsidP="004E4B46">
      <w:pPr>
        <w:pStyle w:val="EMEABullet"/>
        <w:keepNext/>
        <w:tabs>
          <w:tab w:val="clear" w:pos="709"/>
          <w:tab w:val="num" w:pos="567"/>
        </w:tabs>
        <w:ind w:left="567"/>
        <w:rPr>
          <w:lang w:val="en-GB"/>
        </w:rPr>
      </w:pPr>
      <w:r>
        <w:rPr>
          <w:lang w:val="en-GB"/>
        </w:rPr>
        <w:t>Keep this medicine</w:t>
      </w:r>
      <w:r w:rsidR="00277ECB" w:rsidRPr="00342F7C">
        <w:rPr>
          <w:lang w:val="en-GB"/>
        </w:rPr>
        <w:t xml:space="preserve"> out of the sight </w:t>
      </w:r>
      <w:r>
        <w:rPr>
          <w:lang w:val="en-GB"/>
        </w:rPr>
        <w:t xml:space="preserve">and reach </w:t>
      </w:r>
      <w:r w:rsidR="00277ECB" w:rsidRPr="00342F7C">
        <w:rPr>
          <w:lang w:val="en-GB"/>
        </w:rPr>
        <w:t>of children.</w:t>
      </w:r>
    </w:p>
    <w:p w14:paraId="3E6AD390" w14:textId="77777777" w:rsidR="00277ECB" w:rsidRPr="00342F7C" w:rsidRDefault="00277ECB" w:rsidP="004E4B46">
      <w:pPr>
        <w:pStyle w:val="EMEABullet"/>
        <w:keepNext/>
        <w:tabs>
          <w:tab w:val="clear" w:pos="709"/>
          <w:tab w:val="num" w:pos="567"/>
        </w:tabs>
        <w:ind w:left="567"/>
        <w:rPr>
          <w:lang w:val="en-GB"/>
        </w:rPr>
      </w:pPr>
      <w:r w:rsidRPr="00342F7C">
        <w:rPr>
          <w:lang w:val="en-GB"/>
        </w:rPr>
        <w:t>Do not use Kaletra after the expiry date which is stated on the pack.</w:t>
      </w:r>
    </w:p>
    <w:p w14:paraId="2343026C" w14:textId="77777777" w:rsidR="00277ECB" w:rsidRPr="00342F7C" w:rsidRDefault="00277ECB" w:rsidP="004E4B46">
      <w:pPr>
        <w:pStyle w:val="EMEABullet"/>
        <w:keepNext/>
        <w:tabs>
          <w:tab w:val="clear" w:pos="709"/>
          <w:tab w:val="num" w:pos="567"/>
        </w:tabs>
        <w:ind w:left="567"/>
        <w:rPr>
          <w:lang w:val="en-GB"/>
        </w:rPr>
      </w:pPr>
      <w:r w:rsidRPr="00342F7C">
        <w:rPr>
          <w:lang w:val="en-GB"/>
        </w:rPr>
        <w:t>This medicinal product does not require any special storage conditions.</w:t>
      </w:r>
    </w:p>
    <w:p w14:paraId="5CC0AB2B" w14:textId="77777777" w:rsidR="009577FF" w:rsidRDefault="009577FF" w:rsidP="00DA5CBF">
      <w:pPr>
        <w:pStyle w:val="EMEABullet"/>
        <w:keepNext/>
        <w:tabs>
          <w:tab w:val="clear" w:pos="709"/>
          <w:tab w:val="num" w:pos="567"/>
        </w:tabs>
        <w:ind w:left="567"/>
        <w:rPr>
          <w:lang w:val="en-GB"/>
        </w:rPr>
      </w:pPr>
      <w:r>
        <w:rPr>
          <w:lang w:val="en-GB"/>
        </w:rPr>
        <w:t xml:space="preserve">Do not use this medicine if you notice any </w:t>
      </w:r>
      <w:r w:rsidR="00185668">
        <w:rPr>
          <w:lang w:val="en-GB"/>
        </w:rPr>
        <w:t>discolouration</w:t>
      </w:r>
      <w:r>
        <w:rPr>
          <w:lang w:val="en-GB"/>
        </w:rPr>
        <w:t>.</w:t>
      </w:r>
    </w:p>
    <w:p w14:paraId="66738AD4" w14:textId="77777777" w:rsidR="009577FF" w:rsidRPr="00342F7C" w:rsidRDefault="009577FF">
      <w:pPr>
        <w:pStyle w:val="EMEABullet"/>
        <w:numPr>
          <w:ilvl w:val="0"/>
          <w:numId w:val="0"/>
        </w:numPr>
        <w:rPr>
          <w:lang w:val="en-GB"/>
        </w:rPr>
      </w:pPr>
    </w:p>
    <w:p w14:paraId="79A1CAAB" w14:textId="77777777" w:rsidR="00277ECB" w:rsidRPr="00342F7C" w:rsidRDefault="00277ECB">
      <w:pPr>
        <w:pStyle w:val="EMEANormal"/>
        <w:rPr>
          <w:b/>
          <w:bCs/>
          <w:lang w:val="en-GB"/>
        </w:rPr>
      </w:pPr>
      <w:r w:rsidRPr="00342F7C">
        <w:rPr>
          <w:b/>
          <w:bCs/>
          <w:lang w:val="en-GB"/>
        </w:rPr>
        <w:t>How should I dispose of any unused Kaletra?</w:t>
      </w:r>
    </w:p>
    <w:p w14:paraId="4EE8F24A" w14:textId="77777777" w:rsidR="00277ECB" w:rsidRPr="00342F7C" w:rsidRDefault="00277ECB">
      <w:pPr>
        <w:pStyle w:val="EMEANormal"/>
        <w:rPr>
          <w:b/>
          <w:bCs/>
          <w:lang w:val="en-GB"/>
        </w:rPr>
      </w:pPr>
    </w:p>
    <w:p w14:paraId="59A3D793" w14:textId="77777777" w:rsidR="00277ECB" w:rsidRDefault="00F6760A" w:rsidP="0017061C">
      <w:pPr>
        <w:pStyle w:val="EMEABullet"/>
        <w:numPr>
          <w:ilvl w:val="0"/>
          <w:numId w:val="0"/>
        </w:numPr>
        <w:rPr>
          <w:lang w:val="en-GB"/>
        </w:rPr>
      </w:pPr>
      <w:r>
        <w:rPr>
          <w:lang w:val="en-GB"/>
        </w:rPr>
        <w:t>Do not throw away any medicines</w:t>
      </w:r>
      <w:r w:rsidR="00277ECB" w:rsidRPr="00342F7C">
        <w:rPr>
          <w:lang w:val="en-GB"/>
        </w:rPr>
        <w:t xml:space="preserve"> via wastewater.  Ask your pharmacist how to </w:t>
      </w:r>
      <w:r>
        <w:rPr>
          <w:lang w:val="en-GB"/>
        </w:rPr>
        <w:t>throw away</w:t>
      </w:r>
      <w:r w:rsidR="00277ECB" w:rsidRPr="00342F7C">
        <w:rPr>
          <w:lang w:val="en-GB"/>
        </w:rPr>
        <w:t xml:space="preserve"> medicines </w:t>
      </w:r>
      <w:r>
        <w:rPr>
          <w:lang w:val="en-GB"/>
        </w:rPr>
        <w:t xml:space="preserve">you </w:t>
      </w:r>
      <w:r w:rsidR="00277ECB" w:rsidRPr="00342F7C">
        <w:rPr>
          <w:lang w:val="en-GB"/>
        </w:rPr>
        <w:t xml:space="preserve">no longer </w:t>
      </w:r>
      <w:r>
        <w:rPr>
          <w:lang w:val="en-GB"/>
        </w:rPr>
        <w:t>use</w:t>
      </w:r>
      <w:r w:rsidR="00277ECB" w:rsidRPr="00342F7C">
        <w:rPr>
          <w:lang w:val="en-GB"/>
        </w:rPr>
        <w:t>. These measures will help protect the environment.</w:t>
      </w:r>
    </w:p>
    <w:p w14:paraId="7D92024F" w14:textId="77777777" w:rsidR="00D40409" w:rsidRDefault="00D40409">
      <w:pPr>
        <w:pStyle w:val="EMEANormal"/>
        <w:rPr>
          <w:lang w:val="en-GB"/>
        </w:rPr>
      </w:pPr>
    </w:p>
    <w:p w14:paraId="656F7DB8" w14:textId="77777777" w:rsidR="00D40409" w:rsidRPr="00342F7C" w:rsidRDefault="00D40409">
      <w:pPr>
        <w:pStyle w:val="EMEANormal"/>
        <w:rPr>
          <w:lang w:val="en-GB"/>
        </w:rPr>
      </w:pPr>
    </w:p>
    <w:p w14:paraId="0136E0C7" w14:textId="77777777" w:rsidR="00D40409" w:rsidRPr="00282043" w:rsidRDefault="00277ECB" w:rsidP="00D40409">
      <w:pPr>
        <w:rPr>
          <w:b/>
          <w:sz w:val="22"/>
          <w:szCs w:val="22"/>
        </w:rPr>
      </w:pPr>
      <w:r w:rsidRPr="00282043">
        <w:rPr>
          <w:b/>
          <w:sz w:val="22"/>
          <w:szCs w:val="22"/>
        </w:rPr>
        <w:t>6.</w:t>
      </w:r>
      <w:r w:rsidRPr="00282043">
        <w:rPr>
          <w:b/>
          <w:sz w:val="22"/>
          <w:szCs w:val="22"/>
        </w:rPr>
        <w:tab/>
      </w:r>
      <w:r w:rsidR="007B76F0" w:rsidRPr="00282043">
        <w:rPr>
          <w:b/>
          <w:sz w:val="22"/>
          <w:szCs w:val="22"/>
        </w:rPr>
        <w:t>C</w:t>
      </w:r>
      <w:r w:rsidR="00D40409" w:rsidRPr="00282043">
        <w:rPr>
          <w:b/>
          <w:sz w:val="22"/>
          <w:szCs w:val="22"/>
        </w:rPr>
        <w:t>ontents of the pack and other information</w:t>
      </w:r>
    </w:p>
    <w:p w14:paraId="3159D91B" w14:textId="77777777" w:rsidR="00396549" w:rsidRDefault="00396549">
      <w:pPr>
        <w:pStyle w:val="EMEANormal"/>
        <w:rPr>
          <w:b/>
          <w:bCs/>
          <w:lang w:val="en-GB"/>
        </w:rPr>
      </w:pPr>
    </w:p>
    <w:p w14:paraId="5EEABE18" w14:textId="77777777" w:rsidR="00277ECB" w:rsidRPr="00342F7C" w:rsidRDefault="00277ECB">
      <w:pPr>
        <w:pStyle w:val="EMEANormal"/>
        <w:rPr>
          <w:b/>
          <w:bCs/>
          <w:lang w:val="en-GB"/>
        </w:rPr>
      </w:pPr>
      <w:r w:rsidRPr="00342F7C">
        <w:rPr>
          <w:b/>
          <w:bCs/>
          <w:lang w:val="en-GB"/>
        </w:rPr>
        <w:t>What Kaletra contains</w:t>
      </w:r>
    </w:p>
    <w:p w14:paraId="6E8B8987" w14:textId="77777777" w:rsidR="00277ECB" w:rsidRPr="00342F7C" w:rsidRDefault="00277ECB">
      <w:pPr>
        <w:pStyle w:val="EMEANormal"/>
        <w:rPr>
          <w:lang w:val="en-GB"/>
        </w:rPr>
      </w:pPr>
    </w:p>
    <w:p w14:paraId="7A27EA4A" w14:textId="77777777" w:rsidR="00277ECB" w:rsidRPr="00342F7C" w:rsidRDefault="00277ECB">
      <w:pPr>
        <w:pStyle w:val="EMEANormal"/>
        <w:rPr>
          <w:lang w:val="en-GB"/>
        </w:rPr>
      </w:pPr>
      <w:r w:rsidRPr="00342F7C">
        <w:rPr>
          <w:lang w:val="en-GB"/>
        </w:rPr>
        <w:t>The active substances are lopinavir and ritonavir.</w:t>
      </w:r>
    </w:p>
    <w:p w14:paraId="68540899" w14:textId="77777777" w:rsidR="00277ECB" w:rsidRPr="00342F7C" w:rsidRDefault="00277ECB">
      <w:pPr>
        <w:pStyle w:val="EMEANormal"/>
        <w:rPr>
          <w:lang w:val="en-GB"/>
        </w:rPr>
      </w:pPr>
      <w:r w:rsidRPr="00342F7C">
        <w:rPr>
          <w:lang w:val="en-GB"/>
        </w:rPr>
        <w:t>Each tablet of Kaletra contains 200 mg of lopinavir and 50 mg of ritonavir</w:t>
      </w:r>
    </w:p>
    <w:p w14:paraId="7ADACF30" w14:textId="77777777" w:rsidR="00277ECB" w:rsidRPr="00342F7C" w:rsidRDefault="00277ECB">
      <w:pPr>
        <w:pStyle w:val="EMEANormal"/>
        <w:rPr>
          <w:lang w:val="en-GB"/>
        </w:rPr>
      </w:pPr>
    </w:p>
    <w:p w14:paraId="374B5D13" w14:textId="77777777" w:rsidR="00277ECB" w:rsidRPr="00342F7C" w:rsidRDefault="00277ECB">
      <w:pPr>
        <w:pStyle w:val="EMEABullet"/>
        <w:numPr>
          <w:ilvl w:val="0"/>
          <w:numId w:val="0"/>
        </w:numPr>
        <w:rPr>
          <w:lang w:val="en-GB"/>
        </w:rPr>
      </w:pPr>
      <w:r w:rsidRPr="00342F7C">
        <w:rPr>
          <w:lang w:val="en-GB"/>
        </w:rPr>
        <w:t xml:space="preserve">The other ingredients are: </w:t>
      </w:r>
    </w:p>
    <w:p w14:paraId="613E6676" w14:textId="77777777" w:rsidR="00277ECB" w:rsidRPr="00342F7C" w:rsidRDefault="00277ECB">
      <w:pPr>
        <w:pStyle w:val="EMEABullet"/>
        <w:numPr>
          <w:ilvl w:val="0"/>
          <w:numId w:val="0"/>
        </w:numPr>
        <w:rPr>
          <w:lang w:val="en-GB"/>
        </w:rPr>
      </w:pPr>
    </w:p>
    <w:p w14:paraId="31ED9E6D" w14:textId="77777777" w:rsidR="00277ECB" w:rsidRPr="00342F7C" w:rsidRDefault="00277ECB">
      <w:pPr>
        <w:pStyle w:val="EMEABullet"/>
        <w:numPr>
          <w:ilvl w:val="0"/>
          <w:numId w:val="0"/>
        </w:numPr>
        <w:rPr>
          <w:b/>
          <w:bCs/>
          <w:lang w:val="en-GB"/>
        </w:rPr>
      </w:pPr>
      <w:r w:rsidRPr="00342F7C">
        <w:rPr>
          <w:b/>
          <w:bCs/>
          <w:lang w:val="en-GB"/>
        </w:rPr>
        <w:t>Tablet</w:t>
      </w:r>
    </w:p>
    <w:p w14:paraId="03E3821C" w14:textId="3C685E49" w:rsidR="00277ECB" w:rsidRPr="00342F7C" w:rsidRDefault="00277ECB">
      <w:pPr>
        <w:pStyle w:val="EMEABullet"/>
        <w:numPr>
          <w:ilvl w:val="0"/>
          <w:numId w:val="0"/>
        </w:numPr>
        <w:rPr>
          <w:lang w:val="en-GB"/>
        </w:rPr>
      </w:pPr>
      <w:r w:rsidRPr="00342F7C">
        <w:rPr>
          <w:lang w:val="en-GB"/>
        </w:rPr>
        <w:t>Copovidone, sorbitan laurate, colloidal anhydrous silica, sodium stearyl fumarate</w:t>
      </w:r>
      <w:r w:rsidRPr="00342F7C">
        <w:rPr>
          <w:snapToGrid w:val="0"/>
          <w:lang w:val="en-GB"/>
        </w:rPr>
        <w:t xml:space="preserve">. </w:t>
      </w:r>
    </w:p>
    <w:p w14:paraId="4A031CBA" w14:textId="77777777" w:rsidR="00277ECB" w:rsidRPr="00342F7C" w:rsidRDefault="00277ECB">
      <w:pPr>
        <w:pStyle w:val="EMEANormal"/>
        <w:rPr>
          <w:lang w:val="en-GB"/>
        </w:rPr>
      </w:pPr>
    </w:p>
    <w:p w14:paraId="7471DA04" w14:textId="77777777" w:rsidR="00277ECB" w:rsidRPr="00342F7C" w:rsidRDefault="00277ECB">
      <w:pPr>
        <w:pStyle w:val="EMEANormal"/>
        <w:tabs>
          <w:tab w:val="clear" w:pos="562"/>
        </w:tabs>
        <w:rPr>
          <w:b/>
          <w:bCs/>
          <w:snapToGrid w:val="0"/>
          <w:lang w:val="en-GB"/>
        </w:rPr>
      </w:pPr>
      <w:r w:rsidRPr="00342F7C">
        <w:rPr>
          <w:b/>
          <w:bCs/>
          <w:snapToGrid w:val="0"/>
          <w:lang w:val="en-GB"/>
        </w:rPr>
        <w:t>Tablet coating</w:t>
      </w:r>
    </w:p>
    <w:p w14:paraId="4EC5D279" w14:textId="1D896C31" w:rsidR="00277ECB" w:rsidRPr="00342F7C" w:rsidRDefault="00277ECB">
      <w:pPr>
        <w:pStyle w:val="EMEANormal"/>
        <w:tabs>
          <w:tab w:val="clear" w:pos="562"/>
        </w:tabs>
        <w:rPr>
          <w:snapToGrid w:val="0"/>
          <w:lang w:val="en-GB"/>
        </w:rPr>
      </w:pPr>
      <w:r w:rsidRPr="00342F7C">
        <w:rPr>
          <w:snapToGrid w:val="0"/>
          <w:lang w:val="en-GB"/>
        </w:rPr>
        <w:t xml:space="preserve">Hypromellose, titanium dioxide, macrogols type 400 (polyethylene glycol 400), hydroxypropyl cellulose, talc, colloidal anhydrous silica, macrogols type 3350 (polyethylene glycol 3350), </w:t>
      </w:r>
      <w:r w:rsidR="00F75737">
        <w:rPr>
          <w:snapToGrid w:val="0"/>
          <w:lang w:val="en-GB"/>
        </w:rPr>
        <w:t>r</w:t>
      </w:r>
      <w:r w:rsidR="00F75737" w:rsidRPr="00C15E8E">
        <w:rPr>
          <w:snapToGrid w:val="0"/>
          <w:lang w:val="en-GB"/>
        </w:rPr>
        <w:t xml:space="preserve">ed </w:t>
      </w:r>
      <w:r w:rsidR="00F75737">
        <w:rPr>
          <w:snapToGrid w:val="0"/>
          <w:lang w:val="en-GB"/>
        </w:rPr>
        <w:t xml:space="preserve">ferric </w:t>
      </w:r>
      <w:r w:rsidR="00F75737" w:rsidRPr="00C15E8E">
        <w:rPr>
          <w:snapToGrid w:val="0"/>
          <w:lang w:val="en-GB"/>
        </w:rPr>
        <w:t>oxide E172</w:t>
      </w:r>
      <w:r w:rsidRPr="00342F7C">
        <w:rPr>
          <w:snapToGrid w:val="0"/>
          <w:lang w:val="en-GB"/>
        </w:rPr>
        <w:t>, polysorbate 80.</w:t>
      </w:r>
    </w:p>
    <w:p w14:paraId="16285216" w14:textId="77777777" w:rsidR="00277ECB" w:rsidRPr="00342F7C" w:rsidRDefault="00277ECB">
      <w:pPr>
        <w:pStyle w:val="EMEANormal"/>
        <w:tabs>
          <w:tab w:val="clear" w:pos="562"/>
        </w:tabs>
        <w:rPr>
          <w:snapToGrid w:val="0"/>
          <w:lang w:val="en-GB"/>
        </w:rPr>
      </w:pPr>
    </w:p>
    <w:p w14:paraId="23E1DF93" w14:textId="77777777" w:rsidR="00277ECB" w:rsidRPr="00342F7C" w:rsidRDefault="00277ECB">
      <w:pPr>
        <w:pStyle w:val="EMEANormal"/>
        <w:tabs>
          <w:tab w:val="clear" w:pos="562"/>
        </w:tabs>
        <w:rPr>
          <w:b/>
          <w:bCs/>
          <w:snapToGrid w:val="0"/>
          <w:lang w:val="en-GB"/>
        </w:rPr>
      </w:pPr>
      <w:r w:rsidRPr="00342F7C">
        <w:rPr>
          <w:b/>
          <w:bCs/>
          <w:snapToGrid w:val="0"/>
          <w:lang w:val="en-GB"/>
        </w:rPr>
        <w:t>What Kaletra looks like and contents of the pack</w:t>
      </w:r>
    </w:p>
    <w:p w14:paraId="2B4ACC1E" w14:textId="77777777" w:rsidR="00277ECB" w:rsidRPr="00342F7C" w:rsidRDefault="00277ECB">
      <w:pPr>
        <w:pStyle w:val="EMEANormal"/>
        <w:rPr>
          <w:lang w:val="en-GB"/>
        </w:rPr>
      </w:pPr>
    </w:p>
    <w:p w14:paraId="6F8559D6" w14:textId="27CDDBFF" w:rsidR="00277ECB" w:rsidRPr="00342F7C" w:rsidRDefault="00277ECB" w:rsidP="004700A8">
      <w:pPr>
        <w:pStyle w:val="EMEABullet"/>
        <w:numPr>
          <w:ilvl w:val="0"/>
          <w:numId w:val="0"/>
        </w:numPr>
        <w:rPr>
          <w:lang w:val="en-GB"/>
        </w:rPr>
      </w:pPr>
      <w:r w:rsidRPr="00342F7C">
        <w:rPr>
          <w:lang w:val="en-GB"/>
        </w:rPr>
        <w:t xml:space="preserve">Kaletra film-coated tablets are </w:t>
      </w:r>
      <w:r w:rsidR="00F00909" w:rsidRPr="00C15E8E">
        <w:rPr>
          <w:lang w:val="en-GB"/>
        </w:rPr>
        <w:t xml:space="preserve">red </w:t>
      </w:r>
      <w:r w:rsidR="003036A6" w:rsidRPr="004D5C5D">
        <w:rPr>
          <w:lang w:val="en-GB"/>
        </w:rPr>
        <w:t>de</w:t>
      </w:r>
      <w:r w:rsidRPr="004D5C5D">
        <w:rPr>
          <w:lang w:val="en-GB"/>
        </w:rPr>
        <w:t>bossed</w:t>
      </w:r>
      <w:r w:rsidRPr="00342F7C">
        <w:rPr>
          <w:lang w:val="en-GB"/>
        </w:rPr>
        <w:t xml:space="preserve"> with [Abbott logo] and “</w:t>
      </w:r>
      <w:r w:rsidR="00F00909">
        <w:rPr>
          <w:lang w:val="en-GB"/>
        </w:rPr>
        <w:t>AL</w:t>
      </w:r>
      <w:r w:rsidRPr="00342F7C">
        <w:rPr>
          <w:lang w:val="en-GB"/>
        </w:rPr>
        <w:t xml:space="preserve">”.  </w:t>
      </w:r>
    </w:p>
    <w:p w14:paraId="69D456C2" w14:textId="77777777" w:rsidR="00277ECB" w:rsidRPr="00342F7C" w:rsidRDefault="00277ECB" w:rsidP="004700A8">
      <w:pPr>
        <w:pStyle w:val="EMEANormal"/>
        <w:rPr>
          <w:lang w:val="en-GB"/>
        </w:rPr>
      </w:pPr>
    </w:p>
    <w:p w14:paraId="12113F99" w14:textId="77777777" w:rsidR="003400CE" w:rsidRPr="00342F7C" w:rsidRDefault="003400CE" w:rsidP="004700A8">
      <w:pPr>
        <w:pStyle w:val="EMEABullet"/>
        <w:numPr>
          <w:ilvl w:val="0"/>
          <w:numId w:val="0"/>
        </w:numPr>
        <w:rPr>
          <w:lang w:val="en-GB"/>
        </w:rPr>
      </w:pPr>
      <w:r w:rsidRPr="00342F7C">
        <w:rPr>
          <w:lang w:val="en-GB"/>
        </w:rPr>
        <w:t xml:space="preserve">Kaletra film-coated tablets are supplied </w:t>
      </w:r>
      <w:r w:rsidR="004700A8" w:rsidRPr="00342F7C">
        <w:rPr>
          <w:lang w:val="en-GB"/>
        </w:rPr>
        <w:t xml:space="preserve">in packs </w:t>
      </w:r>
      <w:r w:rsidR="00C476A8">
        <w:rPr>
          <w:lang w:val="en-GB"/>
        </w:rPr>
        <w:t>containing</w:t>
      </w:r>
      <w:r w:rsidR="00C476A8" w:rsidRPr="00342F7C">
        <w:rPr>
          <w:lang w:val="en-GB"/>
        </w:rPr>
        <w:t xml:space="preserve"> </w:t>
      </w:r>
      <w:r w:rsidR="004700A8" w:rsidRPr="00342F7C">
        <w:rPr>
          <w:lang w:val="en-GB"/>
        </w:rPr>
        <w:t xml:space="preserve">120 tablets (1 </w:t>
      </w:r>
      <w:r w:rsidR="006863EF" w:rsidRPr="00342F7C">
        <w:rPr>
          <w:lang w:val="en-GB"/>
        </w:rPr>
        <w:t xml:space="preserve">plastic </w:t>
      </w:r>
      <w:r w:rsidR="004700A8" w:rsidRPr="00342F7C">
        <w:rPr>
          <w:lang w:val="en-GB"/>
        </w:rPr>
        <w:t xml:space="preserve">bottle of 120 tablets) and </w:t>
      </w:r>
      <w:r w:rsidR="007009DB">
        <w:rPr>
          <w:lang w:val="en-GB"/>
        </w:rPr>
        <w:t xml:space="preserve">multipacks comprising </w:t>
      </w:r>
      <w:r w:rsidR="004700A8" w:rsidRPr="00342F7C">
        <w:rPr>
          <w:lang w:val="en-GB"/>
        </w:rPr>
        <w:t xml:space="preserve">3 </w:t>
      </w:r>
      <w:r w:rsidR="006863EF" w:rsidRPr="00342F7C">
        <w:rPr>
          <w:lang w:val="en-GB"/>
        </w:rPr>
        <w:t xml:space="preserve">plastic </w:t>
      </w:r>
      <w:r w:rsidR="004700A8" w:rsidRPr="00342F7C">
        <w:rPr>
          <w:lang w:val="en-GB"/>
        </w:rPr>
        <w:t xml:space="preserve">bottles </w:t>
      </w:r>
      <w:r w:rsidR="00754FAA">
        <w:rPr>
          <w:lang w:val="en-GB"/>
        </w:rPr>
        <w:t>each containing</w:t>
      </w:r>
      <w:r w:rsidR="00754FAA" w:rsidRPr="00342F7C">
        <w:rPr>
          <w:lang w:val="en-GB"/>
        </w:rPr>
        <w:t xml:space="preserve"> </w:t>
      </w:r>
      <w:r w:rsidR="004700A8" w:rsidRPr="00342F7C">
        <w:rPr>
          <w:lang w:val="en-GB"/>
        </w:rPr>
        <w:t>120 tablets</w:t>
      </w:r>
      <w:r w:rsidR="007009DB">
        <w:rPr>
          <w:lang w:val="en-GB"/>
        </w:rPr>
        <w:t xml:space="preserve"> (360 tablets</w:t>
      </w:r>
      <w:r w:rsidR="004700A8" w:rsidRPr="00342F7C">
        <w:rPr>
          <w:lang w:val="en-GB"/>
        </w:rPr>
        <w:t>).  Blister multipacks</w:t>
      </w:r>
      <w:r w:rsidR="006863EF" w:rsidRPr="00342F7C">
        <w:rPr>
          <w:lang w:val="en-GB"/>
        </w:rPr>
        <w:t xml:space="preserve"> containing 120 tablets (1 pack of 120 tablets or 3 packs </w:t>
      </w:r>
      <w:r w:rsidR="00754FAA">
        <w:rPr>
          <w:lang w:val="en-GB"/>
        </w:rPr>
        <w:t>each containing</w:t>
      </w:r>
      <w:r w:rsidR="00754FAA" w:rsidRPr="00342F7C">
        <w:rPr>
          <w:lang w:val="en-GB"/>
        </w:rPr>
        <w:t xml:space="preserve"> </w:t>
      </w:r>
      <w:r w:rsidR="006863EF" w:rsidRPr="00342F7C">
        <w:rPr>
          <w:lang w:val="en-GB"/>
        </w:rPr>
        <w:t>40 tablets) are also available.</w:t>
      </w:r>
      <w:r w:rsidR="004700A8" w:rsidRPr="00342F7C">
        <w:rPr>
          <w:lang w:val="en-GB"/>
        </w:rPr>
        <w:t xml:space="preserve">  </w:t>
      </w:r>
    </w:p>
    <w:p w14:paraId="3AC1925F" w14:textId="77777777" w:rsidR="009940CB" w:rsidRPr="00342F7C" w:rsidRDefault="009940CB" w:rsidP="009940CB">
      <w:pPr>
        <w:pStyle w:val="EMEABullet"/>
        <w:numPr>
          <w:ilvl w:val="0"/>
          <w:numId w:val="0"/>
        </w:numPr>
        <w:rPr>
          <w:lang w:val="en-GB"/>
        </w:rPr>
      </w:pPr>
    </w:p>
    <w:p w14:paraId="2F190C6C" w14:textId="77777777" w:rsidR="003D773E" w:rsidRDefault="009940CB" w:rsidP="009940CB">
      <w:pPr>
        <w:pStyle w:val="EMEABullet"/>
        <w:numPr>
          <w:ilvl w:val="0"/>
          <w:numId w:val="0"/>
        </w:numPr>
        <w:rPr>
          <w:lang w:val="en-GB"/>
        </w:rPr>
      </w:pPr>
      <w:r w:rsidRPr="00342F7C">
        <w:rPr>
          <w:lang w:val="en-GB"/>
        </w:rPr>
        <w:t>Not all pack sizes may be marketed.</w:t>
      </w:r>
    </w:p>
    <w:p w14:paraId="6EFE50C4" w14:textId="77777777" w:rsidR="004B37FD" w:rsidRPr="00342F7C" w:rsidRDefault="004B37FD" w:rsidP="009940CB">
      <w:pPr>
        <w:pStyle w:val="EMEABullet"/>
        <w:numPr>
          <w:ilvl w:val="0"/>
          <w:numId w:val="0"/>
        </w:numPr>
        <w:rPr>
          <w:lang w:val="en-GB"/>
        </w:rPr>
      </w:pPr>
    </w:p>
    <w:p w14:paraId="2D6D5E9F" w14:textId="77777777" w:rsidR="00FE6D86" w:rsidRDefault="003D773E" w:rsidP="004B37FD">
      <w:pPr>
        <w:pStyle w:val="EMEAHeading2SPC"/>
        <w:tabs>
          <w:tab w:val="left" w:pos="4560"/>
        </w:tabs>
        <w:spacing w:beforeLines="0" w:before="0" w:afterLines="0" w:after="0"/>
        <w:rPr>
          <w:b w:val="0"/>
          <w:lang w:val="en-GB"/>
        </w:rPr>
      </w:pPr>
      <w:r w:rsidRPr="00342F7C">
        <w:rPr>
          <w:lang w:val="en-GB"/>
        </w:rPr>
        <w:t>Marketing Authorisation Holder</w:t>
      </w:r>
      <w:r w:rsidRPr="00342F7C">
        <w:rPr>
          <w:b w:val="0"/>
          <w:lang w:val="en-GB"/>
        </w:rPr>
        <w:t xml:space="preserve">: </w:t>
      </w:r>
      <w:r w:rsidR="00F423D9">
        <w:rPr>
          <w:b w:val="0"/>
          <w:lang w:val="en-GB"/>
        </w:rPr>
        <w:t xml:space="preserve"> </w:t>
      </w:r>
    </w:p>
    <w:p w14:paraId="57D3D77F" w14:textId="77777777" w:rsidR="003D773E" w:rsidRPr="00A118F7" w:rsidRDefault="00A118F7" w:rsidP="00A118F7">
      <w:pPr>
        <w:rPr>
          <w:sz w:val="22"/>
          <w:szCs w:val="22"/>
        </w:rPr>
      </w:pPr>
      <w:r w:rsidRPr="00A118F7">
        <w:rPr>
          <w:sz w:val="22"/>
          <w:szCs w:val="22"/>
          <w:lang w:eastAsia="en-GB"/>
        </w:rPr>
        <w:t>AbbVie Deutschland GmbH &amp; Co. KG</w:t>
      </w:r>
      <w:r>
        <w:rPr>
          <w:sz w:val="22"/>
          <w:szCs w:val="22"/>
          <w:lang w:eastAsia="en-GB"/>
        </w:rPr>
        <w:t xml:space="preserve">, </w:t>
      </w:r>
      <w:r w:rsidRPr="00A118F7">
        <w:rPr>
          <w:sz w:val="22"/>
          <w:szCs w:val="22"/>
          <w:lang w:eastAsia="en-GB"/>
        </w:rPr>
        <w:t>Knollstrasse</w:t>
      </w:r>
      <w:r>
        <w:rPr>
          <w:sz w:val="22"/>
          <w:szCs w:val="22"/>
          <w:lang w:eastAsia="en-GB"/>
        </w:rPr>
        <w:t xml:space="preserve">, </w:t>
      </w:r>
      <w:r w:rsidRPr="00A118F7">
        <w:rPr>
          <w:sz w:val="22"/>
          <w:szCs w:val="22"/>
          <w:lang w:eastAsia="en-GB"/>
        </w:rPr>
        <w:t>67061 Ludwigshafen</w:t>
      </w:r>
      <w:r>
        <w:rPr>
          <w:sz w:val="22"/>
          <w:szCs w:val="22"/>
          <w:lang w:eastAsia="en-GB"/>
        </w:rPr>
        <w:t xml:space="preserve">, </w:t>
      </w:r>
      <w:r w:rsidRPr="00A118F7">
        <w:rPr>
          <w:sz w:val="22"/>
          <w:szCs w:val="22"/>
          <w:lang w:eastAsia="en-GB"/>
        </w:rPr>
        <w:t>Germany</w:t>
      </w:r>
    </w:p>
    <w:p w14:paraId="74FF05E4" w14:textId="77777777" w:rsidR="004B37FD" w:rsidRPr="004B37FD" w:rsidRDefault="004B37FD" w:rsidP="004B37FD">
      <w:pPr>
        <w:pStyle w:val="EMEANormal"/>
        <w:rPr>
          <w:lang w:val="en-GB"/>
        </w:rPr>
      </w:pPr>
    </w:p>
    <w:p w14:paraId="7691E519" w14:textId="77777777" w:rsidR="00C97B15" w:rsidRPr="00342F7C" w:rsidRDefault="00C97B15" w:rsidP="00C97B15">
      <w:pPr>
        <w:pStyle w:val="EMEANormal"/>
        <w:tabs>
          <w:tab w:val="left" w:pos="1560"/>
          <w:tab w:val="left" w:pos="4560"/>
        </w:tabs>
        <w:rPr>
          <w:lang w:val="en-GB"/>
        </w:rPr>
      </w:pPr>
      <w:r w:rsidRPr="00342F7C">
        <w:rPr>
          <w:b/>
          <w:lang w:val="en-GB"/>
        </w:rPr>
        <w:t>Manufacturer</w:t>
      </w:r>
      <w:r w:rsidRPr="00342F7C">
        <w:rPr>
          <w:lang w:val="en-GB"/>
        </w:rPr>
        <w:t xml:space="preserve">: </w:t>
      </w:r>
      <w:r w:rsidRPr="00342F7C">
        <w:rPr>
          <w:lang w:val="en-GB"/>
        </w:rPr>
        <w:tab/>
      </w:r>
    </w:p>
    <w:p w14:paraId="560EF83A" w14:textId="77777777" w:rsidR="00C97B15" w:rsidRDefault="00C97B15" w:rsidP="00C97B15">
      <w:pPr>
        <w:tabs>
          <w:tab w:val="left" w:pos="1560"/>
        </w:tabs>
        <w:autoSpaceDE w:val="0"/>
        <w:autoSpaceDN w:val="0"/>
        <w:adjustRightInd w:val="0"/>
        <w:rPr>
          <w:sz w:val="22"/>
          <w:szCs w:val="22"/>
          <w:lang w:eastAsia="en-GB"/>
        </w:rPr>
      </w:pPr>
      <w:r w:rsidRPr="00342F7C">
        <w:rPr>
          <w:sz w:val="22"/>
          <w:szCs w:val="22"/>
          <w:lang w:eastAsia="en-GB"/>
        </w:rPr>
        <w:t>Abb</w:t>
      </w:r>
      <w:r w:rsidR="00CB3C33">
        <w:rPr>
          <w:sz w:val="22"/>
          <w:szCs w:val="22"/>
          <w:lang w:eastAsia="en-GB"/>
        </w:rPr>
        <w:t>Vie Deutschland</w:t>
      </w:r>
      <w:r w:rsidRPr="00342F7C">
        <w:rPr>
          <w:sz w:val="22"/>
          <w:szCs w:val="22"/>
          <w:lang w:eastAsia="en-GB"/>
        </w:rPr>
        <w:t xml:space="preserve"> GmbH &amp; Co. KG, Knollstrasse, 67061 </w:t>
      </w:r>
      <w:smartTag w:uri="urn:schemas-microsoft-com:office:smarttags" w:element="place">
        <w:smartTag w:uri="urn:schemas-microsoft-com:office:smarttags" w:element="City">
          <w:r w:rsidRPr="00342F7C">
            <w:rPr>
              <w:sz w:val="22"/>
              <w:szCs w:val="22"/>
              <w:lang w:eastAsia="en-GB"/>
            </w:rPr>
            <w:t>Ludwigshafen</w:t>
          </w:r>
        </w:smartTag>
        <w:r w:rsidRPr="00342F7C">
          <w:rPr>
            <w:sz w:val="22"/>
            <w:szCs w:val="22"/>
            <w:lang w:eastAsia="en-GB"/>
          </w:rPr>
          <w:t xml:space="preserve">, </w:t>
        </w:r>
        <w:smartTag w:uri="urn:schemas-microsoft-com:office:smarttags" w:element="country-region">
          <w:r w:rsidRPr="00342F7C">
            <w:rPr>
              <w:sz w:val="22"/>
              <w:szCs w:val="22"/>
              <w:lang w:eastAsia="en-GB"/>
            </w:rPr>
            <w:t>Germany</w:t>
          </w:r>
        </w:smartTag>
      </w:smartTag>
    </w:p>
    <w:p w14:paraId="1755A490" w14:textId="77777777" w:rsidR="00A3479B" w:rsidRPr="00342F7C" w:rsidRDefault="00A3479B" w:rsidP="00A3479B">
      <w:pPr>
        <w:tabs>
          <w:tab w:val="left" w:pos="1560"/>
        </w:tabs>
        <w:autoSpaceDE w:val="0"/>
        <w:autoSpaceDN w:val="0"/>
        <w:adjustRightInd w:val="0"/>
        <w:rPr>
          <w:sz w:val="22"/>
          <w:szCs w:val="22"/>
        </w:rPr>
      </w:pPr>
      <w:r w:rsidRPr="00462079">
        <w:rPr>
          <w:bCs/>
          <w:sz w:val="22"/>
          <w:szCs w:val="22"/>
          <w:highlight w:val="lightGray"/>
        </w:rPr>
        <w:t xml:space="preserve">Fournier Laboratories Ireland Limited, Carrigtwohill Business Park, Anngrove, Carrigtwohill, Co. </w:t>
      </w:r>
      <w:smartTag w:uri="urn:schemas-microsoft-com:office:smarttags" w:element="place">
        <w:smartTag w:uri="urn:schemas-microsoft-com:office:smarttags" w:element="City">
          <w:r w:rsidRPr="00462079">
            <w:rPr>
              <w:bCs/>
              <w:sz w:val="22"/>
              <w:szCs w:val="22"/>
              <w:highlight w:val="lightGray"/>
            </w:rPr>
            <w:t>Cork</w:t>
          </w:r>
        </w:smartTag>
        <w:r w:rsidRPr="00462079">
          <w:rPr>
            <w:bCs/>
            <w:sz w:val="22"/>
            <w:szCs w:val="22"/>
            <w:highlight w:val="lightGray"/>
          </w:rPr>
          <w:t xml:space="preserve">, </w:t>
        </w:r>
        <w:smartTag w:uri="urn:schemas-microsoft-com:office:smarttags" w:element="country-region">
          <w:r w:rsidRPr="00462079">
            <w:rPr>
              <w:bCs/>
              <w:sz w:val="22"/>
              <w:szCs w:val="22"/>
              <w:highlight w:val="lightGray"/>
            </w:rPr>
            <w:t>Ireland</w:t>
          </w:r>
        </w:smartTag>
      </w:smartTag>
    </w:p>
    <w:p w14:paraId="4B96D379" w14:textId="77777777" w:rsidR="00277ECB" w:rsidRPr="00342F7C" w:rsidRDefault="00277ECB" w:rsidP="003D773E">
      <w:pPr>
        <w:pStyle w:val="EMEANormal"/>
        <w:tabs>
          <w:tab w:val="left" w:pos="4560"/>
        </w:tabs>
        <w:rPr>
          <w:lang w:val="en-GB"/>
        </w:rPr>
      </w:pPr>
    </w:p>
    <w:p w14:paraId="743B9468" w14:textId="77777777" w:rsidR="00277ECB" w:rsidRDefault="00277ECB">
      <w:pPr>
        <w:pStyle w:val="EMEANormal"/>
        <w:rPr>
          <w:lang w:val="en-GB"/>
        </w:rPr>
      </w:pPr>
      <w:r w:rsidRPr="00342F7C">
        <w:rPr>
          <w:lang w:val="en-GB"/>
        </w:rPr>
        <w:t>For any information about this medicine, please contact the local representative of the Marketing Authorisation Holder:</w:t>
      </w:r>
    </w:p>
    <w:p w14:paraId="2CB9569D" w14:textId="77777777" w:rsidR="00CB3C33" w:rsidRPr="00AA4AE8" w:rsidRDefault="00CB3C33"/>
    <w:tbl>
      <w:tblPr>
        <w:tblW w:w="9356" w:type="dxa"/>
        <w:tblInd w:w="-34" w:type="dxa"/>
        <w:tblLayout w:type="fixed"/>
        <w:tblLook w:val="0000" w:firstRow="0" w:lastRow="0" w:firstColumn="0" w:lastColumn="0" w:noHBand="0" w:noVBand="0"/>
      </w:tblPr>
      <w:tblGrid>
        <w:gridCol w:w="34"/>
        <w:gridCol w:w="4644"/>
        <w:gridCol w:w="4678"/>
      </w:tblGrid>
      <w:tr w:rsidR="00EF3A68" w:rsidRPr="00EF3A68" w14:paraId="1390C83A" w14:textId="77777777" w:rsidTr="00AD6D66">
        <w:trPr>
          <w:gridBefore w:val="1"/>
          <w:wBefore w:w="34" w:type="dxa"/>
        </w:trPr>
        <w:tc>
          <w:tcPr>
            <w:tcW w:w="4644" w:type="dxa"/>
          </w:tcPr>
          <w:p w14:paraId="5D3C9030" w14:textId="77777777" w:rsidR="00EF3A68" w:rsidRPr="00EF3A68" w:rsidRDefault="00EF3A68" w:rsidP="004E4B46">
            <w:pPr>
              <w:keepNext/>
              <w:rPr>
                <w:b/>
                <w:bCs/>
                <w:sz w:val="22"/>
                <w:szCs w:val="22"/>
                <w:lang w:val="fr-BE"/>
              </w:rPr>
            </w:pPr>
            <w:r w:rsidRPr="00EF3A68">
              <w:rPr>
                <w:b/>
                <w:bCs/>
                <w:sz w:val="22"/>
                <w:szCs w:val="22"/>
                <w:lang w:val="fr-BE"/>
              </w:rPr>
              <w:t>België/Belgique/Belgien</w:t>
            </w:r>
          </w:p>
          <w:p w14:paraId="77746264" w14:textId="77777777" w:rsidR="00EF3A68" w:rsidRPr="00EF3A68" w:rsidRDefault="00EF3A68" w:rsidP="004E4B46">
            <w:pPr>
              <w:keepNext/>
              <w:tabs>
                <w:tab w:val="center" w:pos="2214"/>
              </w:tabs>
              <w:rPr>
                <w:bCs/>
                <w:sz w:val="22"/>
                <w:szCs w:val="22"/>
                <w:lang w:val="fr-FR"/>
              </w:rPr>
            </w:pPr>
            <w:r w:rsidRPr="00EF3A68">
              <w:rPr>
                <w:bCs/>
                <w:sz w:val="22"/>
                <w:szCs w:val="22"/>
                <w:lang w:val="fr-FR"/>
              </w:rPr>
              <w:t>AbbVie SA</w:t>
            </w:r>
          </w:p>
          <w:p w14:paraId="46EF982E" w14:textId="77777777" w:rsidR="00EF3A68" w:rsidRPr="00EF3A68" w:rsidRDefault="00EF3A68" w:rsidP="004E4B46">
            <w:pPr>
              <w:keepNext/>
              <w:tabs>
                <w:tab w:val="left" w:pos="562"/>
              </w:tabs>
              <w:spacing w:line="260" w:lineRule="exact"/>
              <w:rPr>
                <w:bCs/>
                <w:sz w:val="22"/>
                <w:szCs w:val="22"/>
                <w:lang w:val="fr-FR"/>
              </w:rPr>
            </w:pPr>
            <w:r w:rsidRPr="00EF3A68">
              <w:rPr>
                <w:bCs/>
                <w:sz w:val="22"/>
                <w:szCs w:val="22"/>
                <w:lang w:val="fr-FR"/>
              </w:rPr>
              <w:t xml:space="preserve">Tél/Tel: +32 10 </w:t>
            </w:r>
            <w:r w:rsidRPr="00EF3A68">
              <w:rPr>
                <w:sz w:val="22"/>
                <w:szCs w:val="22"/>
                <w:lang w:val="fr-FR"/>
              </w:rPr>
              <w:t xml:space="preserve"> 477811</w:t>
            </w:r>
          </w:p>
        </w:tc>
        <w:tc>
          <w:tcPr>
            <w:tcW w:w="4678" w:type="dxa"/>
          </w:tcPr>
          <w:p w14:paraId="70ADEE4E" w14:textId="77777777" w:rsidR="00EF3A68" w:rsidRPr="00EF3A68" w:rsidRDefault="00EF3A68" w:rsidP="004E4B46">
            <w:pPr>
              <w:keepNext/>
              <w:rPr>
                <w:b/>
                <w:bCs/>
                <w:sz w:val="22"/>
                <w:szCs w:val="22"/>
                <w:lang w:val="lt-LT"/>
              </w:rPr>
            </w:pPr>
            <w:r w:rsidRPr="00EF3A68">
              <w:rPr>
                <w:b/>
                <w:bCs/>
                <w:sz w:val="22"/>
                <w:szCs w:val="22"/>
                <w:lang w:val="lt-LT"/>
              </w:rPr>
              <w:t>Lietuva</w:t>
            </w:r>
          </w:p>
          <w:p w14:paraId="5B9C1F1E" w14:textId="77777777" w:rsidR="00EF3A68" w:rsidRPr="00EF3A68" w:rsidRDefault="00EF3A68" w:rsidP="004E4B46">
            <w:pPr>
              <w:keepNext/>
              <w:rPr>
                <w:bCs/>
                <w:sz w:val="22"/>
                <w:szCs w:val="22"/>
                <w:lang w:val="lv-LV"/>
              </w:rPr>
            </w:pPr>
            <w:r w:rsidRPr="00EF3A68">
              <w:rPr>
                <w:bCs/>
                <w:sz w:val="22"/>
                <w:szCs w:val="22"/>
                <w:lang w:val="lv-LV"/>
              </w:rPr>
              <w:t xml:space="preserve">AbbVie UAB </w:t>
            </w:r>
          </w:p>
          <w:p w14:paraId="0F62BA9C" w14:textId="77777777" w:rsidR="00EF3A68" w:rsidRPr="00EF3A68" w:rsidRDefault="00EF3A68" w:rsidP="004E4B46">
            <w:pPr>
              <w:keepNext/>
              <w:jc w:val="both"/>
              <w:rPr>
                <w:bCs/>
                <w:sz w:val="22"/>
                <w:szCs w:val="22"/>
                <w:lang w:val="lv-LV"/>
              </w:rPr>
            </w:pPr>
            <w:r w:rsidRPr="00EF3A68">
              <w:rPr>
                <w:bCs/>
                <w:sz w:val="22"/>
                <w:szCs w:val="22"/>
                <w:lang w:val="lv-LV"/>
              </w:rPr>
              <w:t>Tel: +370 5 205 3023</w:t>
            </w:r>
          </w:p>
          <w:p w14:paraId="599DBE0C" w14:textId="77777777" w:rsidR="00EF3A68" w:rsidRPr="00EF3A68" w:rsidRDefault="00EF3A68" w:rsidP="004E4B46">
            <w:pPr>
              <w:keepNext/>
              <w:rPr>
                <w:bCs/>
                <w:sz w:val="22"/>
                <w:szCs w:val="22"/>
                <w:lang w:val="fr-FR"/>
              </w:rPr>
            </w:pPr>
          </w:p>
        </w:tc>
      </w:tr>
      <w:tr w:rsidR="00EF3A68" w:rsidRPr="00EF3A68" w14:paraId="5AD4D545" w14:textId="77777777" w:rsidTr="00AD6D66">
        <w:trPr>
          <w:gridBefore w:val="1"/>
          <w:wBefore w:w="34" w:type="dxa"/>
        </w:trPr>
        <w:tc>
          <w:tcPr>
            <w:tcW w:w="4644" w:type="dxa"/>
          </w:tcPr>
          <w:p w14:paraId="345E01D5" w14:textId="77777777" w:rsidR="00EF3A68" w:rsidRPr="00EF3A68" w:rsidRDefault="00EF3A68" w:rsidP="004B37FD">
            <w:pPr>
              <w:keepNext/>
              <w:autoSpaceDE w:val="0"/>
              <w:autoSpaceDN w:val="0"/>
              <w:adjustRightInd w:val="0"/>
              <w:rPr>
                <w:b/>
                <w:bCs/>
                <w:sz w:val="22"/>
                <w:szCs w:val="22"/>
                <w:lang w:val="bg-BG"/>
              </w:rPr>
            </w:pPr>
            <w:r w:rsidRPr="00EF3A68">
              <w:rPr>
                <w:b/>
                <w:bCs/>
                <w:sz w:val="22"/>
                <w:szCs w:val="22"/>
                <w:lang w:val="bg-BG"/>
              </w:rPr>
              <w:t>България</w:t>
            </w:r>
          </w:p>
          <w:p w14:paraId="15791B07" w14:textId="77777777" w:rsidR="00EF3A68" w:rsidRPr="00EF3A68" w:rsidRDefault="00EF3A68" w:rsidP="004B37FD">
            <w:pPr>
              <w:keepNext/>
              <w:autoSpaceDE w:val="0"/>
              <w:autoSpaceDN w:val="0"/>
              <w:adjustRightInd w:val="0"/>
              <w:rPr>
                <w:sz w:val="22"/>
                <w:szCs w:val="22"/>
                <w:lang w:val="da-DK"/>
              </w:rPr>
            </w:pPr>
            <w:r w:rsidRPr="00EF3A68">
              <w:rPr>
                <w:bCs/>
                <w:sz w:val="22"/>
                <w:szCs w:val="22"/>
                <w:lang w:val="bg-BG"/>
              </w:rPr>
              <w:t>АбВи ЕООД</w:t>
            </w:r>
          </w:p>
          <w:p w14:paraId="620E9C6E" w14:textId="77777777" w:rsidR="00EF3A68" w:rsidRPr="00EF3A68" w:rsidRDefault="00EF3A68" w:rsidP="004B37FD">
            <w:pPr>
              <w:keepNext/>
              <w:tabs>
                <w:tab w:val="left" w:pos="-720"/>
              </w:tabs>
              <w:rPr>
                <w:bCs/>
                <w:sz w:val="22"/>
                <w:szCs w:val="22"/>
                <w:lang w:val="da-DK"/>
              </w:rPr>
            </w:pPr>
            <w:r w:rsidRPr="00EF3A68">
              <w:rPr>
                <w:rFonts w:eastAsia="MS Mincho"/>
                <w:color w:val="000000"/>
                <w:sz w:val="22"/>
                <w:szCs w:val="22"/>
                <w:lang w:eastAsia="ja-JP"/>
              </w:rPr>
              <w:t>Тел.</w:t>
            </w:r>
            <w:r w:rsidRPr="00EF3A68">
              <w:rPr>
                <w:rFonts w:eastAsia="MS Mincho"/>
                <w:color w:val="000000"/>
                <w:sz w:val="22"/>
                <w:szCs w:val="22"/>
                <w:lang w:val="it-IT" w:eastAsia="ja-JP"/>
              </w:rPr>
              <w:t>: +359 2 90 30 43</w:t>
            </w:r>
            <w:r w:rsidR="006248E7">
              <w:rPr>
                <w:rFonts w:eastAsia="MS Mincho"/>
                <w:color w:val="000000"/>
                <w:sz w:val="22"/>
                <w:szCs w:val="22"/>
                <w:lang w:val="it-IT" w:eastAsia="ja-JP"/>
              </w:rPr>
              <w:t>0</w:t>
            </w:r>
          </w:p>
        </w:tc>
        <w:tc>
          <w:tcPr>
            <w:tcW w:w="4678" w:type="dxa"/>
          </w:tcPr>
          <w:p w14:paraId="65940D56" w14:textId="77777777" w:rsidR="00EF3A68" w:rsidRPr="00EF3A68" w:rsidRDefault="00EF3A68" w:rsidP="004B37FD">
            <w:pPr>
              <w:keepNext/>
              <w:rPr>
                <w:b/>
                <w:bCs/>
                <w:sz w:val="22"/>
                <w:szCs w:val="22"/>
                <w:lang w:val="de-DE"/>
              </w:rPr>
            </w:pPr>
            <w:r w:rsidRPr="00EF3A68">
              <w:rPr>
                <w:b/>
                <w:bCs/>
                <w:sz w:val="22"/>
                <w:szCs w:val="22"/>
                <w:lang w:val="de-DE"/>
              </w:rPr>
              <w:t>Luxembourg/Luxemburg</w:t>
            </w:r>
          </w:p>
          <w:p w14:paraId="7BD0933A" w14:textId="77777777" w:rsidR="00EF3A68" w:rsidRPr="00EF3A68" w:rsidRDefault="00EF3A68" w:rsidP="004B37FD">
            <w:pPr>
              <w:keepNext/>
              <w:rPr>
                <w:bCs/>
                <w:sz w:val="22"/>
                <w:szCs w:val="22"/>
                <w:lang w:val="de-DE"/>
              </w:rPr>
            </w:pPr>
            <w:r w:rsidRPr="00EF3A68">
              <w:rPr>
                <w:bCs/>
                <w:sz w:val="22"/>
                <w:szCs w:val="22"/>
                <w:lang w:val="de-DE"/>
              </w:rPr>
              <w:t>AbbVie SA</w:t>
            </w:r>
          </w:p>
          <w:p w14:paraId="0BAD02FF" w14:textId="77777777" w:rsidR="00EF3A68" w:rsidRPr="00EF3A68" w:rsidRDefault="00EF3A68" w:rsidP="004B37FD">
            <w:pPr>
              <w:keepNext/>
              <w:tabs>
                <w:tab w:val="center" w:pos="2231"/>
              </w:tabs>
              <w:rPr>
                <w:bCs/>
                <w:sz w:val="22"/>
                <w:szCs w:val="22"/>
                <w:lang w:val="de-DE"/>
              </w:rPr>
            </w:pPr>
            <w:r w:rsidRPr="00EF3A68">
              <w:rPr>
                <w:bCs/>
                <w:sz w:val="22"/>
                <w:szCs w:val="22"/>
                <w:lang w:val="de-DE"/>
              </w:rPr>
              <w:t>Belgique/Belgien</w:t>
            </w:r>
          </w:p>
          <w:p w14:paraId="0758ABE9" w14:textId="77777777" w:rsidR="00EF3A68" w:rsidRPr="00EF3A68" w:rsidRDefault="00EF3A68" w:rsidP="004B37FD">
            <w:pPr>
              <w:keepNext/>
              <w:rPr>
                <w:bCs/>
                <w:sz w:val="22"/>
                <w:szCs w:val="22"/>
                <w:lang w:val="fr-FR"/>
              </w:rPr>
            </w:pPr>
            <w:r w:rsidRPr="00EF3A68">
              <w:rPr>
                <w:bCs/>
                <w:sz w:val="22"/>
                <w:szCs w:val="22"/>
                <w:lang w:val="fr-FR"/>
              </w:rPr>
              <w:t>Tél/Tel: +32 10 477811</w:t>
            </w:r>
          </w:p>
          <w:p w14:paraId="6FC7B0C1" w14:textId="77777777" w:rsidR="00EF3A68" w:rsidRPr="00EF3A68" w:rsidRDefault="00EF3A68" w:rsidP="004B37FD">
            <w:pPr>
              <w:keepNext/>
              <w:tabs>
                <w:tab w:val="left" w:pos="562"/>
                <w:tab w:val="left" w:pos="2380"/>
              </w:tabs>
              <w:suppressAutoHyphens/>
              <w:rPr>
                <w:bCs/>
                <w:sz w:val="22"/>
                <w:szCs w:val="22"/>
                <w:lang w:val="hu-HU"/>
              </w:rPr>
            </w:pPr>
          </w:p>
        </w:tc>
      </w:tr>
      <w:tr w:rsidR="00EF3A68" w:rsidRPr="00EF3A68" w14:paraId="15C0D157" w14:textId="77777777" w:rsidTr="00AD6D66">
        <w:trPr>
          <w:gridBefore w:val="1"/>
          <w:wBefore w:w="34" w:type="dxa"/>
        </w:trPr>
        <w:tc>
          <w:tcPr>
            <w:tcW w:w="4644" w:type="dxa"/>
          </w:tcPr>
          <w:p w14:paraId="3206AD55" w14:textId="77777777" w:rsidR="00EF3A68" w:rsidRPr="00EF3A68" w:rsidRDefault="00EF3A68" w:rsidP="00EF3A68">
            <w:pPr>
              <w:rPr>
                <w:b/>
                <w:bCs/>
                <w:sz w:val="22"/>
                <w:szCs w:val="22"/>
                <w:lang w:val="de-DE"/>
              </w:rPr>
            </w:pPr>
            <w:r w:rsidRPr="00EF3A68">
              <w:rPr>
                <w:b/>
                <w:bCs/>
                <w:sz w:val="22"/>
                <w:szCs w:val="22"/>
                <w:lang w:val="de-DE"/>
              </w:rPr>
              <w:t>Česká republika</w:t>
            </w:r>
          </w:p>
          <w:p w14:paraId="4534539F" w14:textId="77777777" w:rsidR="00EF3A68" w:rsidRPr="00EF3A68" w:rsidRDefault="00EF3A68" w:rsidP="00EF3A68">
            <w:pPr>
              <w:rPr>
                <w:bCs/>
                <w:sz w:val="22"/>
                <w:szCs w:val="22"/>
                <w:lang w:val="de-DE"/>
              </w:rPr>
            </w:pPr>
            <w:r w:rsidRPr="00EF3A68">
              <w:rPr>
                <w:bCs/>
                <w:sz w:val="22"/>
                <w:szCs w:val="22"/>
                <w:lang w:val="de-DE"/>
              </w:rPr>
              <w:t xml:space="preserve">AbbVie s.r.o. </w:t>
            </w:r>
          </w:p>
          <w:p w14:paraId="0378C804" w14:textId="77777777" w:rsidR="00EF3A68" w:rsidRPr="00EF3A68" w:rsidRDefault="00EF3A68" w:rsidP="00EF3A68">
            <w:pPr>
              <w:rPr>
                <w:bCs/>
                <w:sz w:val="22"/>
                <w:szCs w:val="22"/>
                <w:lang w:val="de-DE"/>
              </w:rPr>
            </w:pPr>
            <w:r w:rsidRPr="00EF3A68">
              <w:rPr>
                <w:bCs/>
                <w:sz w:val="22"/>
                <w:szCs w:val="22"/>
                <w:lang w:val="de-DE"/>
              </w:rPr>
              <w:t>Tel: +420 233 098 111</w:t>
            </w:r>
          </w:p>
          <w:p w14:paraId="4B9DFF58" w14:textId="77777777" w:rsidR="00EF3A68" w:rsidRPr="00EF3A68" w:rsidRDefault="00EF3A68" w:rsidP="00EF3A68">
            <w:pPr>
              <w:rPr>
                <w:bCs/>
                <w:sz w:val="22"/>
                <w:szCs w:val="22"/>
                <w:lang w:val="de-DE"/>
              </w:rPr>
            </w:pPr>
          </w:p>
        </w:tc>
        <w:tc>
          <w:tcPr>
            <w:tcW w:w="4678" w:type="dxa"/>
          </w:tcPr>
          <w:p w14:paraId="0759AE29" w14:textId="77777777" w:rsidR="00EF3A68" w:rsidRPr="00EF3A68" w:rsidRDefault="00EF3A68" w:rsidP="00EF3A68">
            <w:pPr>
              <w:tabs>
                <w:tab w:val="left" w:pos="562"/>
              </w:tabs>
              <w:suppressAutoHyphens/>
              <w:rPr>
                <w:b/>
                <w:bCs/>
                <w:sz w:val="22"/>
                <w:szCs w:val="22"/>
                <w:lang w:val="hu-HU"/>
              </w:rPr>
            </w:pPr>
            <w:r w:rsidRPr="00EF3A68">
              <w:rPr>
                <w:b/>
                <w:bCs/>
                <w:sz w:val="22"/>
                <w:szCs w:val="22"/>
                <w:lang w:val="hu-HU"/>
              </w:rPr>
              <w:t>Magyarország</w:t>
            </w:r>
          </w:p>
          <w:p w14:paraId="167B108C" w14:textId="77777777" w:rsidR="00EF3A68" w:rsidRPr="00EF3A68" w:rsidRDefault="00EF3A68" w:rsidP="00EF3A68">
            <w:pPr>
              <w:tabs>
                <w:tab w:val="left" w:pos="562"/>
              </w:tabs>
              <w:suppressAutoHyphens/>
              <w:rPr>
                <w:bCs/>
                <w:sz w:val="22"/>
                <w:szCs w:val="22"/>
                <w:lang w:val="hu-HU"/>
              </w:rPr>
            </w:pPr>
            <w:r w:rsidRPr="00EF3A68">
              <w:rPr>
                <w:bCs/>
                <w:sz w:val="22"/>
                <w:szCs w:val="22"/>
                <w:lang w:val="hu-HU"/>
              </w:rPr>
              <w:t>AbbVie Kft.</w:t>
            </w:r>
          </w:p>
          <w:p w14:paraId="0A368070" w14:textId="77777777" w:rsidR="00EF3A68" w:rsidRPr="00EF3A68" w:rsidRDefault="00EF3A68" w:rsidP="00EF3A68">
            <w:pPr>
              <w:tabs>
                <w:tab w:val="left" w:pos="562"/>
                <w:tab w:val="left" w:pos="2380"/>
              </w:tabs>
              <w:suppressAutoHyphens/>
              <w:rPr>
                <w:bCs/>
                <w:sz w:val="22"/>
                <w:szCs w:val="22"/>
                <w:lang w:val="hu-HU"/>
              </w:rPr>
            </w:pPr>
            <w:r w:rsidRPr="00EF3A68">
              <w:rPr>
                <w:bCs/>
                <w:sz w:val="22"/>
                <w:szCs w:val="22"/>
                <w:lang w:val="hu-HU"/>
              </w:rPr>
              <w:t>Tel.: +36 1 455 8600</w:t>
            </w:r>
          </w:p>
          <w:p w14:paraId="67E9F74A" w14:textId="77777777" w:rsidR="00EF3A68" w:rsidRPr="00EF3A68" w:rsidRDefault="00EF3A68" w:rsidP="00EF3A68">
            <w:pPr>
              <w:rPr>
                <w:bCs/>
                <w:sz w:val="22"/>
                <w:szCs w:val="22"/>
              </w:rPr>
            </w:pPr>
          </w:p>
        </w:tc>
      </w:tr>
      <w:tr w:rsidR="00EF3A68" w:rsidRPr="00EF3A68" w14:paraId="343FDBDF" w14:textId="77777777" w:rsidTr="00AD6D66">
        <w:trPr>
          <w:gridBefore w:val="1"/>
          <w:wBefore w:w="34" w:type="dxa"/>
          <w:trHeight w:val="1015"/>
        </w:trPr>
        <w:tc>
          <w:tcPr>
            <w:tcW w:w="4644" w:type="dxa"/>
          </w:tcPr>
          <w:p w14:paraId="212BA8F6" w14:textId="77777777" w:rsidR="00EF3A68" w:rsidRPr="00EF3A68" w:rsidRDefault="00EF3A68" w:rsidP="00EF3A68">
            <w:pPr>
              <w:rPr>
                <w:b/>
                <w:bCs/>
                <w:sz w:val="22"/>
                <w:szCs w:val="22"/>
              </w:rPr>
            </w:pPr>
            <w:r w:rsidRPr="00EF3A68">
              <w:rPr>
                <w:b/>
                <w:bCs/>
                <w:sz w:val="22"/>
                <w:szCs w:val="22"/>
              </w:rPr>
              <w:t>Danmark</w:t>
            </w:r>
          </w:p>
          <w:p w14:paraId="22FD9B3E" w14:textId="77777777" w:rsidR="00EF3A68" w:rsidRPr="00EF3A68" w:rsidRDefault="00EF3A68" w:rsidP="00EF3A68">
            <w:pPr>
              <w:rPr>
                <w:bCs/>
                <w:sz w:val="22"/>
                <w:szCs w:val="22"/>
              </w:rPr>
            </w:pPr>
            <w:r w:rsidRPr="00EF3A68">
              <w:rPr>
                <w:bCs/>
                <w:sz w:val="22"/>
                <w:szCs w:val="22"/>
              </w:rPr>
              <w:t>AbbVie A/S</w:t>
            </w:r>
          </w:p>
          <w:p w14:paraId="76396400" w14:textId="77777777" w:rsidR="00EF3A68" w:rsidRPr="00EF3A68" w:rsidRDefault="00EF3A68" w:rsidP="00EF3A68">
            <w:pPr>
              <w:rPr>
                <w:bCs/>
                <w:sz w:val="22"/>
                <w:szCs w:val="22"/>
              </w:rPr>
            </w:pPr>
            <w:r w:rsidRPr="00EF3A68">
              <w:rPr>
                <w:bCs/>
                <w:sz w:val="22"/>
                <w:szCs w:val="22"/>
              </w:rPr>
              <w:t>Tlf: +45 72 30-20-28</w:t>
            </w:r>
          </w:p>
        </w:tc>
        <w:tc>
          <w:tcPr>
            <w:tcW w:w="4678" w:type="dxa"/>
          </w:tcPr>
          <w:p w14:paraId="12BE42F9" w14:textId="77777777" w:rsidR="00EF3A68" w:rsidRPr="00EF3A68" w:rsidRDefault="00EF3A68" w:rsidP="00EF3A68">
            <w:pPr>
              <w:rPr>
                <w:b/>
                <w:bCs/>
                <w:sz w:val="22"/>
                <w:szCs w:val="22"/>
                <w:lang w:val="mt-MT"/>
              </w:rPr>
            </w:pPr>
            <w:r w:rsidRPr="00EF3A68">
              <w:rPr>
                <w:b/>
                <w:bCs/>
                <w:sz w:val="22"/>
                <w:szCs w:val="22"/>
                <w:lang w:val="mt-MT"/>
              </w:rPr>
              <w:t>Malta</w:t>
            </w:r>
          </w:p>
          <w:p w14:paraId="281BFE62" w14:textId="77777777" w:rsidR="00EF3A68" w:rsidRPr="00922746" w:rsidRDefault="00EF3A68" w:rsidP="00EF3A68">
            <w:pPr>
              <w:rPr>
                <w:bCs/>
                <w:sz w:val="22"/>
                <w:szCs w:val="22"/>
                <w:lang w:val="fi-FI"/>
              </w:rPr>
            </w:pPr>
            <w:r w:rsidRPr="00922746">
              <w:rPr>
                <w:bCs/>
                <w:sz w:val="22"/>
                <w:szCs w:val="22"/>
                <w:lang w:val="fi-FI"/>
              </w:rPr>
              <w:t xml:space="preserve">V.J.Salomone Pharma Limited </w:t>
            </w:r>
          </w:p>
          <w:p w14:paraId="54FACAB8" w14:textId="77777777" w:rsidR="00EF3A68" w:rsidRPr="00EF3A68" w:rsidRDefault="00EF3A68" w:rsidP="00EF3A68">
            <w:pPr>
              <w:rPr>
                <w:bCs/>
                <w:sz w:val="22"/>
                <w:szCs w:val="22"/>
              </w:rPr>
            </w:pPr>
            <w:r w:rsidRPr="00EF3A68">
              <w:rPr>
                <w:bCs/>
                <w:sz w:val="22"/>
                <w:szCs w:val="22"/>
              </w:rPr>
              <w:t>Tel: +356 22983201</w:t>
            </w:r>
          </w:p>
        </w:tc>
      </w:tr>
      <w:tr w:rsidR="00EF3A68" w:rsidRPr="00EF3A68" w14:paraId="20345ED9" w14:textId="77777777" w:rsidTr="00AD6D66">
        <w:trPr>
          <w:gridBefore w:val="1"/>
          <w:wBefore w:w="34" w:type="dxa"/>
        </w:trPr>
        <w:tc>
          <w:tcPr>
            <w:tcW w:w="4644" w:type="dxa"/>
          </w:tcPr>
          <w:p w14:paraId="10E2CA7D" w14:textId="77777777" w:rsidR="00EF3A68" w:rsidRPr="00EF3A68" w:rsidRDefault="00EF3A68" w:rsidP="00EF3A68">
            <w:pPr>
              <w:rPr>
                <w:b/>
                <w:bCs/>
                <w:sz w:val="22"/>
                <w:szCs w:val="22"/>
                <w:lang w:val="de-DE"/>
              </w:rPr>
            </w:pPr>
            <w:r w:rsidRPr="00EF3A68">
              <w:rPr>
                <w:b/>
                <w:bCs/>
                <w:sz w:val="22"/>
                <w:szCs w:val="22"/>
                <w:lang w:val="de-DE"/>
              </w:rPr>
              <w:t>Deutschland</w:t>
            </w:r>
          </w:p>
          <w:p w14:paraId="677ED408" w14:textId="77777777" w:rsidR="00EF3A68" w:rsidRPr="00EF3A68" w:rsidRDefault="00EF3A68" w:rsidP="00EF3A68">
            <w:pPr>
              <w:rPr>
                <w:bCs/>
                <w:sz w:val="22"/>
                <w:szCs w:val="22"/>
                <w:lang w:val="de-DE"/>
              </w:rPr>
            </w:pPr>
            <w:r w:rsidRPr="00EF3A68">
              <w:rPr>
                <w:sz w:val="22"/>
                <w:szCs w:val="22"/>
                <w:lang w:val="de-DE"/>
              </w:rPr>
              <w:t xml:space="preserve">AbbVie Deutschland </w:t>
            </w:r>
            <w:r w:rsidRPr="00EF3A68">
              <w:rPr>
                <w:bCs/>
                <w:sz w:val="22"/>
                <w:szCs w:val="22"/>
                <w:lang w:val="de-DE"/>
              </w:rPr>
              <w:t>GmbH &amp; Co. KG</w:t>
            </w:r>
          </w:p>
          <w:p w14:paraId="079920B5" w14:textId="77777777" w:rsidR="00EF3A68" w:rsidRPr="00EF3A68" w:rsidRDefault="00EF3A68" w:rsidP="00EF3A68">
            <w:pPr>
              <w:rPr>
                <w:sz w:val="22"/>
                <w:szCs w:val="22"/>
                <w:lang w:val="de-DE"/>
              </w:rPr>
            </w:pPr>
            <w:r w:rsidRPr="00EF3A68">
              <w:rPr>
                <w:sz w:val="22"/>
                <w:szCs w:val="22"/>
                <w:lang w:val="de-DE"/>
              </w:rPr>
              <w:t xml:space="preserve">Tel: </w:t>
            </w:r>
            <w:r w:rsidR="00616B54">
              <w:rPr>
                <w:sz w:val="22"/>
                <w:szCs w:val="22"/>
                <w:lang w:val="de-DE"/>
              </w:rPr>
              <w:t>00</w:t>
            </w:r>
            <w:r w:rsidRPr="00EF3A68">
              <w:rPr>
                <w:sz w:val="22"/>
                <w:szCs w:val="22"/>
                <w:lang w:val="de-DE"/>
              </w:rPr>
              <w:t>800 222843 33 (gebührenfrei)</w:t>
            </w:r>
          </w:p>
          <w:p w14:paraId="18888584" w14:textId="77777777" w:rsidR="00EF3A68" w:rsidRPr="00EF3A68" w:rsidRDefault="00EF3A68" w:rsidP="00EF3A68">
            <w:pPr>
              <w:rPr>
                <w:sz w:val="22"/>
                <w:szCs w:val="22"/>
                <w:lang w:val="de-DE"/>
              </w:rPr>
            </w:pPr>
            <w:r w:rsidRPr="00EF3A68">
              <w:rPr>
                <w:sz w:val="22"/>
                <w:szCs w:val="22"/>
                <w:lang w:val="de-DE"/>
              </w:rPr>
              <w:t>Tel: +49 (0) 611 / 1720-0</w:t>
            </w:r>
          </w:p>
          <w:p w14:paraId="4876D08D" w14:textId="77777777" w:rsidR="00EF3A68" w:rsidRPr="00EF3A68" w:rsidRDefault="00EF3A68" w:rsidP="00EF3A68">
            <w:pPr>
              <w:rPr>
                <w:bCs/>
                <w:sz w:val="22"/>
                <w:szCs w:val="22"/>
                <w:lang w:val="et-EE"/>
              </w:rPr>
            </w:pPr>
          </w:p>
        </w:tc>
        <w:tc>
          <w:tcPr>
            <w:tcW w:w="4678" w:type="dxa"/>
          </w:tcPr>
          <w:p w14:paraId="112B8286" w14:textId="77777777" w:rsidR="00EF3A68" w:rsidRPr="00EF3A68" w:rsidRDefault="00EF3A68" w:rsidP="00EF3A68">
            <w:pPr>
              <w:rPr>
                <w:b/>
                <w:bCs/>
                <w:sz w:val="22"/>
                <w:szCs w:val="22"/>
                <w:lang w:val="nl-NL"/>
              </w:rPr>
            </w:pPr>
            <w:r w:rsidRPr="00EF3A68">
              <w:rPr>
                <w:b/>
                <w:bCs/>
                <w:sz w:val="22"/>
                <w:szCs w:val="22"/>
                <w:lang w:val="nl-NL"/>
              </w:rPr>
              <w:t>Nederland</w:t>
            </w:r>
          </w:p>
          <w:p w14:paraId="4D3B053A" w14:textId="77777777" w:rsidR="00EF3A68" w:rsidRPr="00EF3A68" w:rsidRDefault="00EF3A68" w:rsidP="00EF3A68">
            <w:pPr>
              <w:rPr>
                <w:bCs/>
                <w:sz w:val="22"/>
                <w:szCs w:val="22"/>
                <w:lang w:val="de-DE"/>
              </w:rPr>
            </w:pPr>
            <w:r w:rsidRPr="00EF3A68">
              <w:rPr>
                <w:bCs/>
                <w:sz w:val="22"/>
                <w:szCs w:val="22"/>
                <w:lang w:val="de-DE"/>
              </w:rPr>
              <w:t>AbbVie B.V.</w:t>
            </w:r>
          </w:p>
          <w:p w14:paraId="6C4464E6" w14:textId="77777777" w:rsidR="00EF3A68" w:rsidRPr="00EF3A68" w:rsidRDefault="00EF3A68" w:rsidP="00EF3A68">
            <w:pPr>
              <w:rPr>
                <w:bCs/>
                <w:sz w:val="22"/>
                <w:szCs w:val="22"/>
                <w:lang w:val="de-DE"/>
              </w:rPr>
            </w:pPr>
            <w:r w:rsidRPr="00EF3A68">
              <w:rPr>
                <w:bCs/>
                <w:sz w:val="22"/>
                <w:szCs w:val="22"/>
                <w:lang w:val="de-DE"/>
              </w:rPr>
              <w:t>Tel: +31 (0)88 322 2843</w:t>
            </w:r>
          </w:p>
          <w:p w14:paraId="16DFBBCD" w14:textId="77777777" w:rsidR="00EF3A68" w:rsidRPr="00EF3A68" w:rsidRDefault="00EF3A68" w:rsidP="00EF3A68">
            <w:pPr>
              <w:rPr>
                <w:bCs/>
                <w:sz w:val="22"/>
                <w:szCs w:val="22"/>
                <w:lang w:val="de-DE"/>
              </w:rPr>
            </w:pPr>
          </w:p>
        </w:tc>
      </w:tr>
      <w:tr w:rsidR="00EF3A68" w:rsidRPr="00EF3A68" w14:paraId="069E2E75" w14:textId="77777777" w:rsidTr="00AD6D66">
        <w:trPr>
          <w:gridBefore w:val="1"/>
          <w:wBefore w:w="34" w:type="dxa"/>
        </w:trPr>
        <w:tc>
          <w:tcPr>
            <w:tcW w:w="4644" w:type="dxa"/>
          </w:tcPr>
          <w:p w14:paraId="1427673A" w14:textId="77777777" w:rsidR="00EF3A68" w:rsidRPr="00EF3A68" w:rsidRDefault="00EF3A68" w:rsidP="00EF3A68">
            <w:pPr>
              <w:rPr>
                <w:b/>
                <w:bCs/>
                <w:sz w:val="22"/>
                <w:szCs w:val="22"/>
                <w:lang w:val="et-EE"/>
              </w:rPr>
            </w:pPr>
            <w:r w:rsidRPr="00EF3A68">
              <w:rPr>
                <w:b/>
                <w:bCs/>
                <w:sz w:val="22"/>
                <w:szCs w:val="22"/>
                <w:lang w:val="et-EE"/>
              </w:rPr>
              <w:t>Eesti</w:t>
            </w:r>
          </w:p>
          <w:p w14:paraId="46AFDEFB" w14:textId="2B92DD45" w:rsidR="00EF3A68" w:rsidRPr="00EF3A68" w:rsidRDefault="00EF3A68" w:rsidP="00EF3A68">
            <w:pPr>
              <w:rPr>
                <w:bCs/>
                <w:sz w:val="22"/>
                <w:szCs w:val="22"/>
                <w:lang w:val="et-EE"/>
              </w:rPr>
            </w:pPr>
            <w:r w:rsidRPr="00EF3A68">
              <w:rPr>
                <w:bCs/>
                <w:sz w:val="22"/>
                <w:szCs w:val="22"/>
                <w:lang w:val="et-EE"/>
              </w:rPr>
              <w:t xml:space="preserve">AbbVie </w:t>
            </w:r>
            <w:r w:rsidR="00AF25FB" w:rsidRPr="00AB24DD">
              <w:rPr>
                <w:bCs/>
                <w:sz w:val="22"/>
                <w:szCs w:val="22"/>
                <w:lang w:val="et-EE"/>
              </w:rPr>
              <w:t>OÜ</w:t>
            </w:r>
            <w:r w:rsidRPr="00EF3A68">
              <w:rPr>
                <w:bCs/>
                <w:sz w:val="22"/>
                <w:szCs w:val="22"/>
                <w:lang w:val="et-EE"/>
              </w:rPr>
              <w:t xml:space="preserve"> </w:t>
            </w:r>
          </w:p>
          <w:p w14:paraId="640A24E3" w14:textId="77777777" w:rsidR="00EF3A68" w:rsidRPr="00EF3A68" w:rsidRDefault="00EF3A68" w:rsidP="00EF3A68">
            <w:pPr>
              <w:rPr>
                <w:bCs/>
                <w:sz w:val="22"/>
                <w:szCs w:val="22"/>
                <w:lang w:val="lv-LV"/>
              </w:rPr>
            </w:pPr>
            <w:r w:rsidRPr="00EF3A68">
              <w:rPr>
                <w:bCs/>
                <w:sz w:val="22"/>
                <w:szCs w:val="22"/>
                <w:lang w:val="et-EE"/>
              </w:rPr>
              <w:t xml:space="preserve">Tel: +372 </w:t>
            </w:r>
            <w:r w:rsidR="006A1C1B" w:rsidRPr="00340821">
              <w:rPr>
                <w:sz w:val="22"/>
                <w:szCs w:val="22"/>
              </w:rPr>
              <w:t>623 1011</w:t>
            </w:r>
          </w:p>
          <w:p w14:paraId="74361345" w14:textId="77777777" w:rsidR="00EF3A68" w:rsidRPr="00EF3A68" w:rsidRDefault="00EF3A68" w:rsidP="00EF3A68">
            <w:pPr>
              <w:rPr>
                <w:bCs/>
                <w:sz w:val="22"/>
                <w:szCs w:val="22"/>
                <w:lang w:val="el-GR"/>
              </w:rPr>
            </w:pPr>
          </w:p>
        </w:tc>
        <w:tc>
          <w:tcPr>
            <w:tcW w:w="4678" w:type="dxa"/>
          </w:tcPr>
          <w:p w14:paraId="598E331A" w14:textId="77777777" w:rsidR="00EF3A68" w:rsidRPr="00EF3A68" w:rsidRDefault="00EF3A68" w:rsidP="00EF3A68">
            <w:pPr>
              <w:rPr>
                <w:b/>
                <w:bCs/>
                <w:sz w:val="22"/>
                <w:szCs w:val="22"/>
                <w:lang w:val="nb-NO"/>
              </w:rPr>
            </w:pPr>
            <w:r w:rsidRPr="00EF3A68">
              <w:rPr>
                <w:b/>
                <w:bCs/>
                <w:sz w:val="22"/>
                <w:szCs w:val="22"/>
                <w:lang w:val="nb-NO"/>
              </w:rPr>
              <w:t>Norge</w:t>
            </w:r>
          </w:p>
          <w:p w14:paraId="3F4B6228" w14:textId="77777777" w:rsidR="00EF3A68" w:rsidRPr="00EF3A68" w:rsidRDefault="00EF3A68" w:rsidP="00EF3A68">
            <w:pPr>
              <w:rPr>
                <w:bCs/>
                <w:sz w:val="22"/>
                <w:szCs w:val="22"/>
              </w:rPr>
            </w:pPr>
            <w:r w:rsidRPr="00EF3A68">
              <w:rPr>
                <w:bCs/>
                <w:sz w:val="22"/>
                <w:szCs w:val="22"/>
              </w:rPr>
              <w:t>AbbVie AS</w:t>
            </w:r>
          </w:p>
          <w:p w14:paraId="4A018015" w14:textId="77777777" w:rsidR="00EF3A68" w:rsidRPr="00EF3A68" w:rsidRDefault="00EF3A68" w:rsidP="00EF3A68">
            <w:pPr>
              <w:rPr>
                <w:bCs/>
                <w:sz w:val="22"/>
                <w:szCs w:val="22"/>
              </w:rPr>
            </w:pPr>
            <w:r w:rsidRPr="00EF3A68">
              <w:rPr>
                <w:bCs/>
                <w:sz w:val="22"/>
                <w:szCs w:val="22"/>
              </w:rPr>
              <w:t>Tlf: +47 67 81 80 00</w:t>
            </w:r>
          </w:p>
          <w:p w14:paraId="369B8085" w14:textId="77777777" w:rsidR="00EF3A68" w:rsidRPr="00EF3A68" w:rsidRDefault="00EF3A68" w:rsidP="00EF3A68">
            <w:pPr>
              <w:rPr>
                <w:bCs/>
                <w:sz w:val="22"/>
                <w:szCs w:val="22"/>
                <w:lang w:val="el-GR"/>
              </w:rPr>
            </w:pPr>
          </w:p>
        </w:tc>
      </w:tr>
      <w:tr w:rsidR="00EF3A68" w:rsidRPr="00EF3A68" w14:paraId="6EA1D973" w14:textId="77777777" w:rsidTr="004B37FD">
        <w:trPr>
          <w:gridBefore w:val="1"/>
          <w:wBefore w:w="34" w:type="dxa"/>
        </w:trPr>
        <w:tc>
          <w:tcPr>
            <w:tcW w:w="4644" w:type="dxa"/>
          </w:tcPr>
          <w:p w14:paraId="7D69048F" w14:textId="77777777" w:rsidR="00EF3A68" w:rsidRPr="00EF3A68" w:rsidRDefault="00EF3A68" w:rsidP="00EF3A68">
            <w:pPr>
              <w:rPr>
                <w:b/>
                <w:bCs/>
                <w:sz w:val="22"/>
                <w:szCs w:val="22"/>
                <w:lang w:val="el-GR"/>
              </w:rPr>
            </w:pPr>
            <w:r w:rsidRPr="00EF3A68">
              <w:rPr>
                <w:b/>
                <w:bCs/>
                <w:sz w:val="22"/>
                <w:szCs w:val="22"/>
                <w:lang w:val="el-GR"/>
              </w:rPr>
              <w:t>Ελλάδα</w:t>
            </w:r>
          </w:p>
          <w:p w14:paraId="40E0DBC8" w14:textId="77777777" w:rsidR="00EF3A68" w:rsidRPr="00EF3A68" w:rsidRDefault="00EF3A68" w:rsidP="00EF3A68">
            <w:pPr>
              <w:rPr>
                <w:bCs/>
                <w:sz w:val="22"/>
                <w:szCs w:val="22"/>
                <w:lang w:val="el-GR"/>
              </w:rPr>
            </w:pPr>
            <w:r w:rsidRPr="00EF3A68">
              <w:rPr>
                <w:bCs/>
                <w:sz w:val="22"/>
                <w:szCs w:val="22"/>
                <w:lang w:val="et-EE"/>
              </w:rPr>
              <w:t xml:space="preserve">AbbVie </w:t>
            </w:r>
            <w:r w:rsidRPr="00EF3A68">
              <w:rPr>
                <w:sz w:val="22"/>
                <w:szCs w:val="22"/>
                <w:lang w:val="el-GR"/>
              </w:rPr>
              <w:t>ΦΑΡΜΑΚΕΥΤΙΚΗ Α.Ε.</w:t>
            </w:r>
          </w:p>
          <w:p w14:paraId="0D5C6EFC" w14:textId="77777777" w:rsidR="00EF3A68" w:rsidRPr="00EF3A68" w:rsidRDefault="00EF3A68" w:rsidP="00EF3A68">
            <w:pPr>
              <w:rPr>
                <w:bCs/>
                <w:sz w:val="22"/>
                <w:szCs w:val="22"/>
              </w:rPr>
            </w:pPr>
            <w:r w:rsidRPr="00EF3A68">
              <w:rPr>
                <w:bCs/>
                <w:sz w:val="22"/>
                <w:szCs w:val="22"/>
                <w:lang w:val="el-GR"/>
              </w:rPr>
              <w:t xml:space="preserve">Τηλ: +30 </w:t>
            </w:r>
            <w:r w:rsidRPr="00EF3A68">
              <w:rPr>
                <w:bCs/>
                <w:sz w:val="22"/>
                <w:szCs w:val="22"/>
              </w:rPr>
              <w:t>214 4165 555</w:t>
            </w:r>
          </w:p>
          <w:p w14:paraId="2E1A7F88" w14:textId="77777777" w:rsidR="00EF3A68" w:rsidRPr="00EF3A68" w:rsidRDefault="00EF3A68" w:rsidP="00EF3A68">
            <w:pPr>
              <w:rPr>
                <w:bCs/>
                <w:sz w:val="22"/>
                <w:szCs w:val="22"/>
                <w:lang w:val="es-ES"/>
              </w:rPr>
            </w:pPr>
          </w:p>
        </w:tc>
        <w:tc>
          <w:tcPr>
            <w:tcW w:w="4678" w:type="dxa"/>
          </w:tcPr>
          <w:p w14:paraId="499B50E8" w14:textId="77777777" w:rsidR="00EF3A68" w:rsidRPr="00EF3A68" w:rsidRDefault="00EF3A68" w:rsidP="00EF3A68">
            <w:pPr>
              <w:rPr>
                <w:b/>
                <w:bCs/>
                <w:sz w:val="22"/>
                <w:szCs w:val="22"/>
                <w:lang w:val="de-DE"/>
              </w:rPr>
            </w:pPr>
            <w:r w:rsidRPr="00EF3A68">
              <w:rPr>
                <w:b/>
                <w:bCs/>
                <w:sz w:val="22"/>
                <w:szCs w:val="22"/>
                <w:lang w:val="de-DE"/>
              </w:rPr>
              <w:t>Österreich</w:t>
            </w:r>
          </w:p>
          <w:p w14:paraId="667BBF94" w14:textId="77777777" w:rsidR="00EF3A68" w:rsidRPr="00EF3A68" w:rsidRDefault="00EF3A68" w:rsidP="00EF3A68">
            <w:pPr>
              <w:rPr>
                <w:bCs/>
                <w:sz w:val="22"/>
                <w:szCs w:val="22"/>
                <w:lang w:val="de-DE"/>
              </w:rPr>
            </w:pPr>
            <w:r w:rsidRPr="00EF3A68">
              <w:rPr>
                <w:bCs/>
                <w:sz w:val="22"/>
                <w:szCs w:val="22"/>
                <w:lang w:val="de-DE"/>
              </w:rPr>
              <w:t xml:space="preserve">AbbVie GmbH </w:t>
            </w:r>
          </w:p>
          <w:p w14:paraId="34716ECD" w14:textId="77777777" w:rsidR="00EF3A68" w:rsidRPr="00EF3A68" w:rsidRDefault="00EF3A68" w:rsidP="00EF3A68">
            <w:pPr>
              <w:rPr>
                <w:bCs/>
                <w:sz w:val="22"/>
                <w:szCs w:val="22"/>
                <w:lang w:val="de-DE"/>
              </w:rPr>
            </w:pPr>
            <w:r w:rsidRPr="00EF3A68">
              <w:rPr>
                <w:bCs/>
                <w:sz w:val="22"/>
                <w:szCs w:val="22"/>
                <w:lang w:val="de-DE"/>
              </w:rPr>
              <w:t>Tel: +43 1 20589-0</w:t>
            </w:r>
          </w:p>
          <w:p w14:paraId="7EB486BC" w14:textId="77777777" w:rsidR="00EF3A68" w:rsidRPr="00EF3A68" w:rsidRDefault="00EF3A68" w:rsidP="00EF3A68">
            <w:pPr>
              <w:rPr>
                <w:bCs/>
                <w:sz w:val="22"/>
                <w:szCs w:val="22"/>
                <w:lang w:val="pl-PL"/>
              </w:rPr>
            </w:pPr>
          </w:p>
        </w:tc>
      </w:tr>
      <w:tr w:rsidR="00EF3A68" w:rsidRPr="00EF3A68" w14:paraId="79C10AD4" w14:textId="77777777" w:rsidTr="00AD6D66">
        <w:trPr>
          <w:gridBefore w:val="1"/>
          <w:wBefore w:w="34" w:type="dxa"/>
        </w:trPr>
        <w:tc>
          <w:tcPr>
            <w:tcW w:w="4644" w:type="dxa"/>
          </w:tcPr>
          <w:p w14:paraId="521FF40E" w14:textId="77777777" w:rsidR="00EF3A68" w:rsidRPr="00EF3A68" w:rsidRDefault="00EF3A68" w:rsidP="00EF3A68">
            <w:pPr>
              <w:rPr>
                <w:b/>
                <w:bCs/>
                <w:sz w:val="22"/>
                <w:szCs w:val="22"/>
                <w:lang w:val="es-ES"/>
              </w:rPr>
            </w:pPr>
            <w:r w:rsidRPr="00EF3A68">
              <w:rPr>
                <w:b/>
                <w:bCs/>
                <w:sz w:val="22"/>
                <w:szCs w:val="22"/>
                <w:lang w:val="es-ES"/>
              </w:rPr>
              <w:t>España</w:t>
            </w:r>
          </w:p>
          <w:p w14:paraId="2EE2B0DA" w14:textId="77777777" w:rsidR="00EF3A68" w:rsidRPr="00EF3A68" w:rsidRDefault="00EF3A68" w:rsidP="00EF3A68">
            <w:pPr>
              <w:rPr>
                <w:bCs/>
                <w:sz w:val="22"/>
                <w:szCs w:val="22"/>
                <w:lang w:val="pt-PT"/>
              </w:rPr>
            </w:pPr>
            <w:r w:rsidRPr="00EF3A68">
              <w:rPr>
                <w:bCs/>
                <w:sz w:val="22"/>
                <w:szCs w:val="22"/>
                <w:lang w:val="pt-PT"/>
              </w:rPr>
              <w:t xml:space="preserve">AbbVie </w:t>
            </w:r>
            <w:r w:rsidR="00B7410C">
              <w:rPr>
                <w:bCs/>
                <w:sz w:val="22"/>
                <w:szCs w:val="22"/>
                <w:lang w:val="pt-PT"/>
              </w:rPr>
              <w:t>Spain</w:t>
            </w:r>
            <w:r w:rsidRPr="00EF3A68">
              <w:rPr>
                <w:bCs/>
                <w:sz w:val="22"/>
                <w:szCs w:val="22"/>
                <w:lang w:val="pt-PT"/>
              </w:rPr>
              <w:t xml:space="preserve">, S.L.U. </w:t>
            </w:r>
          </w:p>
          <w:p w14:paraId="49A76706" w14:textId="77777777" w:rsidR="00EF3A68" w:rsidRPr="00EF3A68" w:rsidRDefault="00EF3A68" w:rsidP="00EF3A68">
            <w:pPr>
              <w:rPr>
                <w:bCs/>
                <w:sz w:val="22"/>
                <w:szCs w:val="22"/>
                <w:lang w:val="pl-PL"/>
              </w:rPr>
            </w:pPr>
            <w:r w:rsidRPr="00EF3A68">
              <w:rPr>
                <w:bCs/>
                <w:sz w:val="22"/>
                <w:szCs w:val="22"/>
                <w:lang w:val="pt-PT"/>
              </w:rPr>
              <w:t xml:space="preserve">Tel: +34 9 1 </w:t>
            </w:r>
            <w:r w:rsidR="002B37EB">
              <w:rPr>
                <w:bCs/>
                <w:sz w:val="22"/>
                <w:szCs w:val="22"/>
                <w:lang w:val="pt-PT"/>
              </w:rPr>
              <w:t>384 910</w:t>
            </w:r>
          </w:p>
        </w:tc>
        <w:tc>
          <w:tcPr>
            <w:tcW w:w="4678" w:type="dxa"/>
          </w:tcPr>
          <w:p w14:paraId="36282420" w14:textId="77777777" w:rsidR="00EF3A68" w:rsidRPr="00EF3A68" w:rsidRDefault="00EF3A68" w:rsidP="00EF3A68">
            <w:pPr>
              <w:rPr>
                <w:b/>
                <w:bCs/>
                <w:iCs/>
                <w:sz w:val="22"/>
                <w:szCs w:val="22"/>
                <w:lang w:val="pl-PL"/>
              </w:rPr>
            </w:pPr>
            <w:r w:rsidRPr="00EF3A68">
              <w:rPr>
                <w:b/>
                <w:bCs/>
                <w:iCs/>
                <w:sz w:val="22"/>
                <w:szCs w:val="22"/>
                <w:lang w:val="pl-PL"/>
              </w:rPr>
              <w:t>Polska</w:t>
            </w:r>
          </w:p>
          <w:p w14:paraId="3CFEBC63" w14:textId="77777777" w:rsidR="00EF3A68" w:rsidRPr="00EF3A68" w:rsidRDefault="00EF3A68" w:rsidP="00EF3A68">
            <w:pPr>
              <w:rPr>
                <w:bCs/>
                <w:sz w:val="22"/>
                <w:szCs w:val="22"/>
                <w:lang w:val="pl-PL"/>
              </w:rPr>
            </w:pPr>
            <w:r w:rsidRPr="00EF3A68">
              <w:rPr>
                <w:bCs/>
                <w:sz w:val="22"/>
                <w:szCs w:val="22"/>
                <w:lang w:val="pl-PL"/>
              </w:rPr>
              <w:t>AbbVie Polska Sp. z o.o.</w:t>
            </w:r>
          </w:p>
          <w:p w14:paraId="138DF6DD" w14:textId="77777777" w:rsidR="00EF3A68" w:rsidRPr="00EF3A68" w:rsidRDefault="00EF3A68" w:rsidP="00EF3A68">
            <w:pPr>
              <w:rPr>
                <w:bCs/>
                <w:sz w:val="22"/>
                <w:szCs w:val="22"/>
                <w:lang w:val="pl-PL"/>
              </w:rPr>
            </w:pPr>
            <w:r w:rsidRPr="00EF3A68">
              <w:rPr>
                <w:sz w:val="22"/>
                <w:szCs w:val="22"/>
                <w:lang w:val="es-ES"/>
              </w:rPr>
              <w:t xml:space="preserve">Tel.: +48 22 </w:t>
            </w:r>
            <w:r w:rsidRPr="00EF3A68">
              <w:rPr>
                <w:bCs/>
                <w:sz w:val="22"/>
                <w:szCs w:val="22"/>
                <w:lang w:val="pl-PL"/>
              </w:rPr>
              <w:t>3</w:t>
            </w:r>
            <w:r w:rsidR="00695478">
              <w:rPr>
                <w:bCs/>
                <w:sz w:val="22"/>
                <w:szCs w:val="22"/>
                <w:lang w:val="pl-PL"/>
              </w:rPr>
              <w:t>72</w:t>
            </w:r>
            <w:r w:rsidRPr="00EF3A68">
              <w:rPr>
                <w:bCs/>
                <w:sz w:val="22"/>
                <w:szCs w:val="22"/>
                <w:lang w:val="pl-PL"/>
              </w:rPr>
              <w:t xml:space="preserve"> </w:t>
            </w:r>
            <w:r w:rsidR="00695478">
              <w:rPr>
                <w:bCs/>
                <w:sz w:val="22"/>
                <w:szCs w:val="22"/>
                <w:lang w:val="pl-PL"/>
              </w:rPr>
              <w:t>78</w:t>
            </w:r>
            <w:r w:rsidRPr="00EF3A68">
              <w:rPr>
                <w:bCs/>
                <w:sz w:val="22"/>
                <w:szCs w:val="22"/>
                <w:lang w:val="pl-PL"/>
              </w:rPr>
              <w:t xml:space="preserve"> 00 </w:t>
            </w:r>
          </w:p>
          <w:p w14:paraId="4844280B" w14:textId="77777777" w:rsidR="00EF3A68" w:rsidRPr="00EF3A68" w:rsidRDefault="00EF3A68" w:rsidP="00EF3A68">
            <w:pPr>
              <w:rPr>
                <w:sz w:val="22"/>
                <w:szCs w:val="22"/>
                <w:lang w:val="pl-PL"/>
              </w:rPr>
            </w:pPr>
          </w:p>
        </w:tc>
      </w:tr>
      <w:tr w:rsidR="00EF3A68" w:rsidRPr="00EF3A68" w14:paraId="46444556" w14:textId="77777777" w:rsidTr="00AD6D66">
        <w:trPr>
          <w:trHeight w:val="989"/>
        </w:trPr>
        <w:tc>
          <w:tcPr>
            <w:tcW w:w="4678" w:type="dxa"/>
            <w:gridSpan w:val="2"/>
          </w:tcPr>
          <w:p w14:paraId="7DC9693D" w14:textId="77777777" w:rsidR="00EF3A68" w:rsidRPr="00EF3A68" w:rsidRDefault="00EF3A68" w:rsidP="00EF3A68">
            <w:pPr>
              <w:rPr>
                <w:b/>
                <w:bCs/>
                <w:sz w:val="22"/>
                <w:szCs w:val="22"/>
                <w:lang w:val="fr-FR"/>
              </w:rPr>
            </w:pPr>
            <w:r w:rsidRPr="00EF3A68">
              <w:rPr>
                <w:b/>
                <w:bCs/>
                <w:sz w:val="22"/>
                <w:szCs w:val="22"/>
                <w:lang w:val="fr-FR"/>
              </w:rPr>
              <w:t>France</w:t>
            </w:r>
          </w:p>
          <w:p w14:paraId="32D73DAD" w14:textId="77777777" w:rsidR="00EF3A68" w:rsidRPr="00EF3A68" w:rsidRDefault="00EF3A68" w:rsidP="00EF3A68">
            <w:pPr>
              <w:rPr>
                <w:bCs/>
                <w:sz w:val="22"/>
                <w:szCs w:val="22"/>
                <w:lang w:val="fr-FR"/>
              </w:rPr>
            </w:pPr>
            <w:r w:rsidRPr="00EF3A68">
              <w:rPr>
                <w:bCs/>
                <w:sz w:val="22"/>
                <w:szCs w:val="22"/>
                <w:lang w:val="fr-FR"/>
              </w:rPr>
              <w:t>AbbVie</w:t>
            </w:r>
          </w:p>
          <w:p w14:paraId="0665DAB6" w14:textId="77777777" w:rsidR="00EF3A68" w:rsidRPr="00EF3A68" w:rsidRDefault="00EF3A68" w:rsidP="00EF3A68">
            <w:pPr>
              <w:rPr>
                <w:bCs/>
                <w:sz w:val="22"/>
                <w:szCs w:val="22"/>
                <w:lang w:val="fr-FR"/>
              </w:rPr>
            </w:pPr>
            <w:r w:rsidRPr="00EF3A68">
              <w:rPr>
                <w:bCs/>
                <w:sz w:val="22"/>
                <w:szCs w:val="22"/>
                <w:lang w:val="fr-FR"/>
              </w:rPr>
              <w:t>Tél: +33 (0)1 45 60 13 00</w:t>
            </w:r>
          </w:p>
          <w:p w14:paraId="0C8428D3" w14:textId="77777777" w:rsidR="00EF3A68" w:rsidRPr="00EF3A68" w:rsidRDefault="00EF3A68" w:rsidP="00EF3A68">
            <w:pPr>
              <w:rPr>
                <w:bCs/>
                <w:sz w:val="22"/>
                <w:szCs w:val="22"/>
                <w:lang w:val="pt-PT"/>
              </w:rPr>
            </w:pPr>
          </w:p>
        </w:tc>
        <w:tc>
          <w:tcPr>
            <w:tcW w:w="4678" w:type="dxa"/>
          </w:tcPr>
          <w:p w14:paraId="451EDCAD" w14:textId="77777777" w:rsidR="00EF3A68" w:rsidRPr="00EF3A68" w:rsidRDefault="00EF3A68" w:rsidP="00EF3A68">
            <w:pPr>
              <w:rPr>
                <w:b/>
                <w:bCs/>
                <w:sz w:val="22"/>
                <w:szCs w:val="22"/>
                <w:lang w:val="pt-PT"/>
              </w:rPr>
            </w:pPr>
            <w:r w:rsidRPr="00EF3A68">
              <w:rPr>
                <w:b/>
                <w:bCs/>
                <w:sz w:val="22"/>
                <w:szCs w:val="22"/>
                <w:lang w:val="pt-PT"/>
              </w:rPr>
              <w:t>Portugal</w:t>
            </w:r>
          </w:p>
          <w:p w14:paraId="4C04B143" w14:textId="77777777" w:rsidR="00EF3A68" w:rsidRPr="00EF3A68" w:rsidRDefault="00EF3A68" w:rsidP="00EF3A68">
            <w:pPr>
              <w:rPr>
                <w:bCs/>
                <w:sz w:val="22"/>
                <w:szCs w:val="22"/>
                <w:lang w:val="fr-FR"/>
              </w:rPr>
            </w:pPr>
            <w:r w:rsidRPr="00EF3A68">
              <w:rPr>
                <w:bCs/>
                <w:sz w:val="22"/>
                <w:szCs w:val="22"/>
                <w:lang w:val="fr-FR"/>
              </w:rPr>
              <w:t xml:space="preserve">AbbVie, Lda. </w:t>
            </w:r>
          </w:p>
          <w:p w14:paraId="6B113E10" w14:textId="77777777" w:rsidR="00EF3A68" w:rsidRPr="00EF3A68" w:rsidRDefault="00EF3A68" w:rsidP="00EF3A68">
            <w:pPr>
              <w:rPr>
                <w:sz w:val="22"/>
                <w:szCs w:val="22"/>
                <w:lang w:val="fr-FR"/>
              </w:rPr>
            </w:pPr>
            <w:r w:rsidRPr="00EF3A68">
              <w:rPr>
                <w:sz w:val="22"/>
                <w:szCs w:val="22"/>
                <w:lang w:val="fr-FR"/>
              </w:rPr>
              <w:t>Tel: +351 (0)21 1908400</w:t>
            </w:r>
          </w:p>
          <w:p w14:paraId="0F86ED24" w14:textId="77777777" w:rsidR="00EF3A68" w:rsidRPr="00EF3A68" w:rsidRDefault="00EF3A68" w:rsidP="00EF3A68">
            <w:pPr>
              <w:rPr>
                <w:sz w:val="22"/>
                <w:szCs w:val="22"/>
                <w:lang w:val="pl-PL"/>
              </w:rPr>
            </w:pPr>
          </w:p>
        </w:tc>
      </w:tr>
      <w:tr w:rsidR="00EF3A68" w:rsidRPr="00EF3A68" w14:paraId="34E8B95B" w14:textId="77777777" w:rsidTr="00AD6D66">
        <w:trPr>
          <w:trHeight w:val="989"/>
        </w:trPr>
        <w:tc>
          <w:tcPr>
            <w:tcW w:w="4678" w:type="dxa"/>
            <w:gridSpan w:val="2"/>
          </w:tcPr>
          <w:p w14:paraId="4424C41E" w14:textId="77777777" w:rsidR="00EF3A68" w:rsidRPr="00EF3A68" w:rsidRDefault="00EF3A68" w:rsidP="00EF3A68">
            <w:pPr>
              <w:autoSpaceDE w:val="0"/>
              <w:autoSpaceDN w:val="0"/>
              <w:adjustRightInd w:val="0"/>
              <w:rPr>
                <w:sz w:val="22"/>
                <w:szCs w:val="22"/>
                <w:lang w:val="pt-PT" w:eastAsia="en-GB"/>
              </w:rPr>
            </w:pPr>
            <w:r w:rsidRPr="00EF3A68">
              <w:rPr>
                <w:b/>
                <w:bCs/>
                <w:sz w:val="22"/>
                <w:szCs w:val="22"/>
                <w:lang w:val="pt-PT" w:eastAsia="en-GB"/>
              </w:rPr>
              <w:t xml:space="preserve">Hrvatska </w:t>
            </w:r>
          </w:p>
          <w:p w14:paraId="51847E80" w14:textId="77777777" w:rsidR="00EF3A68" w:rsidRPr="00EF3A68" w:rsidRDefault="00EF3A68" w:rsidP="00EF3A68">
            <w:pPr>
              <w:rPr>
                <w:sz w:val="22"/>
                <w:szCs w:val="22"/>
                <w:lang w:val="hr-HR"/>
              </w:rPr>
            </w:pPr>
            <w:r w:rsidRPr="00EF3A68">
              <w:rPr>
                <w:sz w:val="22"/>
                <w:szCs w:val="22"/>
                <w:lang w:val="hr-HR"/>
              </w:rPr>
              <w:t>AbbVie d.o.o.</w:t>
            </w:r>
          </w:p>
          <w:p w14:paraId="62F5D8E7" w14:textId="77777777" w:rsidR="00EF3A68" w:rsidRPr="00EF3A68" w:rsidRDefault="00EF3A68" w:rsidP="00EF3A68">
            <w:pPr>
              <w:rPr>
                <w:color w:val="1F497D"/>
                <w:sz w:val="22"/>
                <w:szCs w:val="22"/>
                <w:lang w:val="en-US"/>
              </w:rPr>
            </w:pPr>
            <w:r w:rsidRPr="00EF3A68">
              <w:rPr>
                <w:sz w:val="22"/>
                <w:szCs w:val="22"/>
                <w:lang w:val="hr-HR"/>
              </w:rPr>
              <w:t xml:space="preserve">Tel: +385 (0)1 </w:t>
            </w:r>
            <w:r w:rsidRPr="00EF3A68">
              <w:rPr>
                <w:sz w:val="22"/>
                <w:szCs w:val="22"/>
                <w:lang w:val="en-US"/>
              </w:rPr>
              <w:t>5625 501</w:t>
            </w:r>
          </w:p>
        </w:tc>
        <w:tc>
          <w:tcPr>
            <w:tcW w:w="4678" w:type="dxa"/>
          </w:tcPr>
          <w:p w14:paraId="0C8EFF0C" w14:textId="77777777" w:rsidR="00EF3A68" w:rsidRPr="00EF3A68" w:rsidRDefault="00EF3A68" w:rsidP="00EF3A68">
            <w:pPr>
              <w:tabs>
                <w:tab w:val="left" w:pos="562"/>
              </w:tabs>
              <w:suppressAutoHyphens/>
              <w:rPr>
                <w:b/>
                <w:bCs/>
                <w:sz w:val="22"/>
                <w:szCs w:val="22"/>
                <w:lang w:val="en-US"/>
              </w:rPr>
            </w:pPr>
            <w:r w:rsidRPr="00EF3A68">
              <w:rPr>
                <w:b/>
                <w:bCs/>
                <w:sz w:val="22"/>
                <w:szCs w:val="22"/>
                <w:lang w:val="en-US"/>
              </w:rPr>
              <w:t>România</w:t>
            </w:r>
          </w:p>
          <w:p w14:paraId="64DB1CC4" w14:textId="77777777" w:rsidR="00EF3A68" w:rsidRPr="00EF3A68" w:rsidRDefault="00EF3A68" w:rsidP="00EF3A68">
            <w:pPr>
              <w:rPr>
                <w:rFonts w:eastAsia="MS Mincho"/>
                <w:color w:val="000000"/>
                <w:sz w:val="22"/>
                <w:szCs w:val="22"/>
                <w:lang w:eastAsia="ja-JP"/>
              </w:rPr>
            </w:pPr>
            <w:r w:rsidRPr="00EF3A68">
              <w:rPr>
                <w:rFonts w:eastAsia="MS Mincho"/>
                <w:color w:val="000000"/>
                <w:sz w:val="22"/>
                <w:szCs w:val="22"/>
                <w:lang w:eastAsia="ja-JP"/>
              </w:rPr>
              <w:t>AbbVie S.R.L.</w:t>
            </w:r>
          </w:p>
          <w:p w14:paraId="44EB67E4" w14:textId="77777777" w:rsidR="00EF3A68" w:rsidRPr="00EF3A68" w:rsidRDefault="00EF3A68" w:rsidP="00EF3A68">
            <w:pPr>
              <w:rPr>
                <w:sz w:val="22"/>
                <w:szCs w:val="22"/>
                <w:lang w:val="pl-PL"/>
              </w:rPr>
            </w:pPr>
            <w:r w:rsidRPr="00EF3A68">
              <w:rPr>
                <w:sz w:val="22"/>
                <w:szCs w:val="22"/>
                <w:lang w:val="pl-PL"/>
              </w:rPr>
              <w:t>Tel: +40 21 529 30 35</w:t>
            </w:r>
          </w:p>
          <w:p w14:paraId="15FD63C2" w14:textId="77777777" w:rsidR="00EF3A68" w:rsidRPr="00EF3A68" w:rsidRDefault="00EF3A68" w:rsidP="00EF3A68">
            <w:pPr>
              <w:tabs>
                <w:tab w:val="left" w:pos="562"/>
              </w:tabs>
              <w:suppressAutoHyphens/>
              <w:rPr>
                <w:b/>
                <w:bCs/>
                <w:sz w:val="22"/>
                <w:szCs w:val="22"/>
                <w:lang w:val="en-US"/>
              </w:rPr>
            </w:pPr>
          </w:p>
        </w:tc>
      </w:tr>
      <w:tr w:rsidR="00EF3A68" w:rsidRPr="00EF3A68" w14:paraId="3F406395" w14:textId="77777777" w:rsidTr="00AD6D66">
        <w:trPr>
          <w:gridBefore w:val="1"/>
          <w:wBefore w:w="34" w:type="dxa"/>
        </w:trPr>
        <w:tc>
          <w:tcPr>
            <w:tcW w:w="4644" w:type="dxa"/>
          </w:tcPr>
          <w:p w14:paraId="5F1BB485" w14:textId="77777777" w:rsidR="00EF3A68" w:rsidRPr="00EF3A68" w:rsidRDefault="00EF3A68" w:rsidP="00EF3A68">
            <w:pPr>
              <w:rPr>
                <w:b/>
                <w:bCs/>
                <w:sz w:val="22"/>
                <w:szCs w:val="22"/>
              </w:rPr>
            </w:pPr>
            <w:r w:rsidRPr="00EF3A68">
              <w:rPr>
                <w:b/>
                <w:bCs/>
                <w:sz w:val="22"/>
                <w:szCs w:val="22"/>
              </w:rPr>
              <w:t>Ireland</w:t>
            </w:r>
          </w:p>
          <w:p w14:paraId="44E931B3" w14:textId="77777777" w:rsidR="00EF3A68" w:rsidRPr="00EF3A68" w:rsidRDefault="00EF3A68" w:rsidP="00EF3A68">
            <w:pPr>
              <w:rPr>
                <w:bCs/>
                <w:sz w:val="22"/>
                <w:szCs w:val="22"/>
              </w:rPr>
            </w:pPr>
            <w:r w:rsidRPr="00EF3A68">
              <w:rPr>
                <w:bCs/>
                <w:sz w:val="22"/>
                <w:szCs w:val="22"/>
              </w:rPr>
              <w:t xml:space="preserve">AbbVie Limited </w:t>
            </w:r>
          </w:p>
          <w:p w14:paraId="412482A2" w14:textId="77777777" w:rsidR="00EF3A68" w:rsidRPr="00EF3A68" w:rsidRDefault="00EF3A68" w:rsidP="00EF3A68">
            <w:pPr>
              <w:rPr>
                <w:bCs/>
                <w:sz w:val="22"/>
                <w:szCs w:val="22"/>
                <w:lang w:val="it-IT"/>
              </w:rPr>
            </w:pPr>
            <w:r w:rsidRPr="00EF3A68">
              <w:rPr>
                <w:bCs/>
                <w:sz w:val="22"/>
                <w:szCs w:val="22"/>
                <w:lang w:val="pt-PT"/>
              </w:rPr>
              <w:t>Tel: +353 (0)1 4287900</w:t>
            </w:r>
          </w:p>
        </w:tc>
        <w:tc>
          <w:tcPr>
            <w:tcW w:w="4678" w:type="dxa"/>
          </w:tcPr>
          <w:p w14:paraId="30B45C31" w14:textId="77777777" w:rsidR="00EF3A68" w:rsidRPr="00EF3A68" w:rsidRDefault="00EF3A68" w:rsidP="00EF3A68">
            <w:pPr>
              <w:rPr>
                <w:b/>
                <w:bCs/>
                <w:sz w:val="22"/>
                <w:szCs w:val="22"/>
                <w:lang w:val="sl-SI"/>
              </w:rPr>
            </w:pPr>
            <w:r w:rsidRPr="00EF3A68">
              <w:rPr>
                <w:b/>
                <w:bCs/>
                <w:sz w:val="22"/>
                <w:szCs w:val="22"/>
                <w:lang w:val="sl-SI"/>
              </w:rPr>
              <w:t>Slovenija</w:t>
            </w:r>
          </w:p>
          <w:p w14:paraId="12418764" w14:textId="77777777" w:rsidR="00EF3A68" w:rsidRPr="00EF3A68" w:rsidRDefault="00EF3A68" w:rsidP="00EF3A68">
            <w:pPr>
              <w:rPr>
                <w:bCs/>
                <w:sz w:val="22"/>
                <w:szCs w:val="22"/>
                <w:lang w:val="sl-SI"/>
              </w:rPr>
            </w:pPr>
            <w:r w:rsidRPr="00EF3A68">
              <w:rPr>
                <w:bCs/>
                <w:sz w:val="22"/>
                <w:szCs w:val="22"/>
                <w:lang w:val="sl-SI"/>
              </w:rPr>
              <w:t>AbbVie Biofarmacevtska družba d.o.o.</w:t>
            </w:r>
          </w:p>
          <w:p w14:paraId="76F3B4A8" w14:textId="77777777" w:rsidR="00EF3A68" w:rsidRPr="00EF3A68" w:rsidRDefault="00EF3A68" w:rsidP="00EF3A68">
            <w:pPr>
              <w:rPr>
                <w:bCs/>
                <w:sz w:val="22"/>
                <w:szCs w:val="22"/>
                <w:lang w:val="sl-SI"/>
              </w:rPr>
            </w:pPr>
            <w:r w:rsidRPr="00EF3A68">
              <w:rPr>
                <w:bCs/>
                <w:sz w:val="22"/>
                <w:szCs w:val="22"/>
                <w:lang w:val="sl-SI"/>
              </w:rPr>
              <w:t>Tel: +386 (1)32 08 060</w:t>
            </w:r>
          </w:p>
          <w:p w14:paraId="7E668D1C" w14:textId="77777777" w:rsidR="00EF3A68" w:rsidRPr="00EF3A68" w:rsidRDefault="00EF3A68" w:rsidP="00EF3A68">
            <w:pPr>
              <w:rPr>
                <w:bCs/>
                <w:sz w:val="22"/>
                <w:szCs w:val="22"/>
                <w:lang w:val="sk-SK"/>
              </w:rPr>
            </w:pPr>
          </w:p>
        </w:tc>
      </w:tr>
      <w:tr w:rsidR="00EF3A68" w:rsidRPr="00EF3A68" w14:paraId="5C8596E8" w14:textId="77777777" w:rsidTr="00AD6D66">
        <w:trPr>
          <w:gridBefore w:val="1"/>
          <w:wBefore w:w="34" w:type="dxa"/>
        </w:trPr>
        <w:tc>
          <w:tcPr>
            <w:tcW w:w="4644" w:type="dxa"/>
          </w:tcPr>
          <w:p w14:paraId="24392113" w14:textId="77777777" w:rsidR="00EF3A68" w:rsidRPr="00EF3A68" w:rsidRDefault="00EF3A68" w:rsidP="00EF3A68">
            <w:pPr>
              <w:rPr>
                <w:b/>
                <w:bCs/>
                <w:sz w:val="22"/>
                <w:szCs w:val="22"/>
                <w:lang w:val="is-IS"/>
              </w:rPr>
            </w:pPr>
            <w:r w:rsidRPr="00EF3A68">
              <w:rPr>
                <w:b/>
                <w:bCs/>
                <w:sz w:val="22"/>
                <w:szCs w:val="22"/>
                <w:lang w:val="is-IS"/>
              </w:rPr>
              <w:t>Ísland</w:t>
            </w:r>
          </w:p>
          <w:p w14:paraId="3EB6967E" w14:textId="77777777" w:rsidR="00EF3A68" w:rsidRPr="00EF3A68" w:rsidRDefault="00EF3A68" w:rsidP="00EF3A68">
            <w:pPr>
              <w:rPr>
                <w:bCs/>
                <w:sz w:val="22"/>
                <w:szCs w:val="22"/>
              </w:rPr>
            </w:pPr>
            <w:r w:rsidRPr="00EF3A68">
              <w:rPr>
                <w:bCs/>
                <w:sz w:val="22"/>
                <w:szCs w:val="22"/>
              </w:rPr>
              <w:t>Vistor hf.</w:t>
            </w:r>
          </w:p>
          <w:p w14:paraId="7DB82946" w14:textId="77777777" w:rsidR="00EF3A68" w:rsidRPr="00EF3A68" w:rsidRDefault="00EF3A68" w:rsidP="00EF3A68">
            <w:pPr>
              <w:rPr>
                <w:bCs/>
                <w:sz w:val="22"/>
                <w:szCs w:val="22"/>
              </w:rPr>
            </w:pPr>
            <w:r w:rsidRPr="00EF3A68">
              <w:rPr>
                <w:bCs/>
                <w:sz w:val="22"/>
                <w:szCs w:val="22"/>
              </w:rPr>
              <w:t>Tel: +354 535 7000</w:t>
            </w:r>
          </w:p>
          <w:p w14:paraId="1D1469E7" w14:textId="77777777" w:rsidR="00EF3A68" w:rsidRPr="00EF3A68" w:rsidRDefault="00EF3A68" w:rsidP="00EF3A68">
            <w:pPr>
              <w:rPr>
                <w:bCs/>
                <w:sz w:val="22"/>
                <w:szCs w:val="22"/>
              </w:rPr>
            </w:pPr>
          </w:p>
        </w:tc>
        <w:tc>
          <w:tcPr>
            <w:tcW w:w="4678" w:type="dxa"/>
          </w:tcPr>
          <w:p w14:paraId="332F85FB" w14:textId="77777777" w:rsidR="00EF3A68" w:rsidRPr="00EF3A68" w:rsidRDefault="00EF3A68" w:rsidP="00EF3A68">
            <w:pPr>
              <w:rPr>
                <w:b/>
                <w:bCs/>
                <w:sz w:val="22"/>
                <w:szCs w:val="22"/>
                <w:lang w:val="sk-SK"/>
              </w:rPr>
            </w:pPr>
            <w:r w:rsidRPr="00EF3A68">
              <w:rPr>
                <w:b/>
                <w:bCs/>
                <w:sz w:val="22"/>
                <w:szCs w:val="22"/>
                <w:lang w:val="sk-SK"/>
              </w:rPr>
              <w:t>Slovenská republika</w:t>
            </w:r>
          </w:p>
          <w:p w14:paraId="4133B777" w14:textId="77777777" w:rsidR="00EF3A68" w:rsidRPr="00EF3A68" w:rsidRDefault="00EF3A68" w:rsidP="00EF3A68">
            <w:pPr>
              <w:rPr>
                <w:bCs/>
                <w:sz w:val="22"/>
                <w:szCs w:val="22"/>
                <w:lang w:val="sk-SK"/>
              </w:rPr>
            </w:pPr>
            <w:r w:rsidRPr="00EF3A68">
              <w:rPr>
                <w:bCs/>
                <w:sz w:val="22"/>
                <w:szCs w:val="22"/>
                <w:lang w:val="sk-SK"/>
              </w:rPr>
              <w:t>AbbVie s.r.o.</w:t>
            </w:r>
          </w:p>
          <w:p w14:paraId="78121C6E" w14:textId="77777777" w:rsidR="00EF3A68" w:rsidRPr="00EF3A68" w:rsidRDefault="00EF3A68" w:rsidP="00EF3A68">
            <w:pPr>
              <w:rPr>
                <w:bCs/>
                <w:sz w:val="22"/>
                <w:szCs w:val="22"/>
                <w:lang w:val="sk-SK"/>
              </w:rPr>
            </w:pPr>
            <w:r w:rsidRPr="00EF3A68">
              <w:rPr>
                <w:bCs/>
                <w:sz w:val="22"/>
                <w:szCs w:val="22"/>
                <w:lang w:val="sk-SK"/>
              </w:rPr>
              <w:t>Tel: +421 2 5050 0777</w:t>
            </w:r>
          </w:p>
          <w:p w14:paraId="69D99DBF" w14:textId="77777777" w:rsidR="00EF3A68" w:rsidRPr="00EF3A68" w:rsidRDefault="00EF3A68" w:rsidP="00EF3A68">
            <w:pPr>
              <w:rPr>
                <w:bCs/>
                <w:sz w:val="22"/>
                <w:szCs w:val="22"/>
                <w:lang w:val="it-IT"/>
              </w:rPr>
            </w:pPr>
          </w:p>
        </w:tc>
      </w:tr>
      <w:tr w:rsidR="00EF3A68" w:rsidRPr="00EF3A68" w14:paraId="54345B1A" w14:textId="77777777" w:rsidTr="00AD6D66">
        <w:trPr>
          <w:gridBefore w:val="1"/>
          <w:wBefore w:w="34" w:type="dxa"/>
        </w:trPr>
        <w:tc>
          <w:tcPr>
            <w:tcW w:w="4644" w:type="dxa"/>
          </w:tcPr>
          <w:p w14:paraId="0BFB190D" w14:textId="77777777" w:rsidR="00EF3A68" w:rsidRPr="00EF3A68" w:rsidRDefault="00EF3A68" w:rsidP="00EF3A68">
            <w:pPr>
              <w:rPr>
                <w:b/>
                <w:bCs/>
                <w:sz w:val="22"/>
                <w:szCs w:val="22"/>
                <w:lang w:val="it-IT"/>
              </w:rPr>
            </w:pPr>
            <w:r w:rsidRPr="00EF3A68">
              <w:rPr>
                <w:b/>
                <w:bCs/>
                <w:sz w:val="22"/>
                <w:szCs w:val="22"/>
                <w:lang w:val="it-IT"/>
              </w:rPr>
              <w:t>Italia</w:t>
            </w:r>
          </w:p>
          <w:p w14:paraId="3AFCC83D" w14:textId="77777777" w:rsidR="00EF3A68" w:rsidRPr="00EF3A68" w:rsidRDefault="00EF3A68" w:rsidP="00EF3A68">
            <w:pPr>
              <w:tabs>
                <w:tab w:val="left" w:pos="562"/>
              </w:tabs>
              <w:spacing w:line="260" w:lineRule="exact"/>
              <w:rPr>
                <w:bCs/>
                <w:sz w:val="22"/>
                <w:szCs w:val="22"/>
                <w:lang w:val="pt-PT"/>
              </w:rPr>
            </w:pPr>
            <w:r w:rsidRPr="00EF3A68">
              <w:rPr>
                <w:bCs/>
                <w:sz w:val="22"/>
                <w:szCs w:val="22"/>
                <w:lang w:val="pt-PT"/>
              </w:rPr>
              <w:t xml:space="preserve">AbbVie S.r.l. </w:t>
            </w:r>
          </w:p>
          <w:p w14:paraId="0E9A8EB3" w14:textId="77777777" w:rsidR="00EF3A68" w:rsidRPr="00EF3A68" w:rsidRDefault="00EF3A68" w:rsidP="00EF3A68">
            <w:pPr>
              <w:tabs>
                <w:tab w:val="left" w:pos="562"/>
              </w:tabs>
              <w:spacing w:line="260" w:lineRule="exact"/>
              <w:rPr>
                <w:bCs/>
                <w:sz w:val="22"/>
                <w:szCs w:val="22"/>
                <w:lang w:val="en-US"/>
              </w:rPr>
            </w:pPr>
            <w:r w:rsidRPr="00EF3A68">
              <w:rPr>
                <w:bCs/>
                <w:sz w:val="22"/>
                <w:szCs w:val="22"/>
                <w:lang w:val="fr-FR"/>
              </w:rPr>
              <w:t>Tel: +39 06 928921</w:t>
            </w:r>
          </w:p>
        </w:tc>
        <w:tc>
          <w:tcPr>
            <w:tcW w:w="4678" w:type="dxa"/>
          </w:tcPr>
          <w:p w14:paraId="5A6127E4" w14:textId="77777777" w:rsidR="00EF3A68" w:rsidRPr="00922746" w:rsidRDefault="00EF3A68" w:rsidP="00EF3A68">
            <w:pPr>
              <w:rPr>
                <w:b/>
                <w:bCs/>
                <w:sz w:val="22"/>
                <w:szCs w:val="22"/>
                <w:lang w:val="en-US"/>
              </w:rPr>
            </w:pPr>
            <w:r w:rsidRPr="00922746">
              <w:rPr>
                <w:b/>
                <w:bCs/>
                <w:sz w:val="22"/>
                <w:szCs w:val="22"/>
                <w:lang w:val="en-US"/>
              </w:rPr>
              <w:t>Suomi/Finland</w:t>
            </w:r>
          </w:p>
          <w:p w14:paraId="5C443EE0" w14:textId="77777777" w:rsidR="00EF3A68" w:rsidRPr="00EF3A68" w:rsidRDefault="00EF3A68" w:rsidP="00EF3A68">
            <w:pPr>
              <w:rPr>
                <w:bCs/>
                <w:sz w:val="22"/>
                <w:szCs w:val="22"/>
                <w:lang w:val="en-US"/>
              </w:rPr>
            </w:pPr>
            <w:r w:rsidRPr="00EF3A68">
              <w:rPr>
                <w:bCs/>
                <w:sz w:val="22"/>
                <w:szCs w:val="22"/>
              </w:rPr>
              <w:t>AbbVie</w:t>
            </w:r>
            <w:r w:rsidRPr="00EF3A68">
              <w:rPr>
                <w:bCs/>
                <w:sz w:val="22"/>
                <w:szCs w:val="22"/>
                <w:lang w:val="en-US"/>
              </w:rPr>
              <w:t xml:space="preserve"> </w:t>
            </w:r>
            <w:r w:rsidRPr="00EF3A68">
              <w:rPr>
                <w:bCs/>
                <w:sz w:val="22"/>
                <w:szCs w:val="22"/>
              </w:rPr>
              <w:t>Oy</w:t>
            </w:r>
            <w:r w:rsidRPr="00EF3A68">
              <w:rPr>
                <w:bCs/>
                <w:sz w:val="22"/>
                <w:szCs w:val="22"/>
                <w:lang w:val="en-US"/>
              </w:rPr>
              <w:t xml:space="preserve"> </w:t>
            </w:r>
          </w:p>
          <w:p w14:paraId="412D0A8A" w14:textId="77777777" w:rsidR="00EF3A68" w:rsidRPr="004E4B46" w:rsidRDefault="00EF3A68" w:rsidP="004E4B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 w:val="22"/>
                <w:szCs w:val="22"/>
                <w:lang w:eastAsia="en-GB"/>
              </w:rPr>
            </w:pPr>
            <w:r w:rsidRPr="00EF3A68">
              <w:rPr>
                <w:bCs/>
                <w:sz w:val="22"/>
                <w:szCs w:val="22"/>
              </w:rPr>
              <w:t>Puh/Tel: +358 (0)</w:t>
            </w:r>
            <w:r w:rsidR="006A1C1B">
              <w:rPr>
                <w:sz w:val="22"/>
                <w:szCs w:val="22"/>
                <w:lang w:eastAsia="en-GB"/>
              </w:rPr>
              <w:t xml:space="preserve"> 10 2411 200</w:t>
            </w:r>
          </w:p>
          <w:p w14:paraId="77FA30F0" w14:textId="77777777" w:rsidR="00EF3A68" w:rsidRPr="00EF3A68" w:rsidRDefault="00EF3A68" w:rsidP="00EF3A68">
            <w:pPr>
              <w:rPr>
                <w:bCs/>
                <w:sz w:val="22"/>
                <w:szCs w:val="22"/>
                <w:lang w:val="it-IT"/>
              </w:rPr>
            </w:pPr>
          </w:p>
        </w:tc>
      </w:tr>
      <w:tr w:rsidR="00EF3A68" w:rsidRPr="00EF3A68" w14:paraId="68592634" w14:textId="77777777" w:rsidTr="00AD6D66">
        <w:trPr>
          <w:gridBefore w:val="1"/>
          <w:wBefore w:w="34" w:type="dxa"/>
        </w:trPr>
        <w:tc>
          <w:tcPr>
            <w:tcW w:w="4644" w:type="dxa"/>
          </w:tcPr>
          <w:p w14:paraId="7797CE48" w14:textId="77777777" w:rsidR="00EF3A68" w:rsidRPr="00EF3A68" w:rsidRDefault="00EF3A68" w:rsidP="004E4B46">
            <w:pPr>
              <w:keepNext/>
              <w:rPr>
                <w:b/>
                <w:bCs/>
                <w:sz w:val="22"/>
                <w:szCs w:val="22"/>
                <w:lang w:val="el-GR"/>
              </w:rPr>
            </w:pPr>
            <w:r w:rsidRPr="00EF3A68">
              <w:rPr>
                <w:b/>
                <w:bCs/>
                <w:sz w:val="22"/>
                <w:szCs w:val="22"/>
                <w:lang w:val="el-GR"/>
              </w:rPr>
              <w:t>Κύπρος</w:t>
            </w:r>
          </w:p>
          <w:p w14:paraId="15D19832" w14:textId="77777777" w:rsidR="00EF3A68" w:rsidRPr="00EF3A68" w:rsidRDefault="00EF3A68" w:rsidP="004E4B46">
            <w:pPr>
              <w:keepNext/>
              <w:rPr>
                <w:bCs/>
                <w:sz w:val="22"/>
                <w:szCs w:val="22"/>
                <w:lang w:val="el-GR"/>
              </w:rPr>
            </w:pPr>
            <w:r w:rsidRPr="00EF3A68">
              <w:rPr>
                <w:bCs/>
                <w:sz w:val="22"/>
                <w:szCs w:val="22"/>
                <w:lang w:val="it-IT"/>
              </w:rPr>
              <w:t>Lifepharma (Z.A.M.) Ltd</w:t>
            </w:r>
          </w:p>
          <w:p w14:paraId="24C86958" w14:textId="77777777" w:rsidR="00EF3A68" w:rsidRPr="00EF3A68" w:rsidRDefault="00EF3A68" w:rsidP="004E4B46">
            <w:pPr>
              <w:keepNext/>
              <w:rPr>
                <w:bCs/>
                <w:sz w:val="22"/>
                <w:szCs w:val="22"/>
                <w:lang w:val="fi-FI"/>
              </w:rPr>
            </w:pPr>
            <w:r w:rsidRPr="00EF3A68">
              <w:rPr>
                <w:bCs/>
                <w:sz w:val="22"/>
                <w:szCs w:val="22"/>
                <w:lang w:val="el-GR"/>
              </w:rPr>
              <w:t>Τηλ: +357 22 34 74 40</w:t>
            </w:r>
          </w:p>
        </w:tc>
        <w:tc>
          <w:tcPr>
            <w:tcW w:w="4678" w:type="dxa"/>
          </w:tcPr>
          <w:p w14:paraId="377E0AC5" w14:textId="77777777" w:rsidR="00EF3A68" w:rsidRPr="00EF3A68" w:rsidRDefault="00EF3A68" w:rsidP="004E4B46">
            <w:pPr>
              <w:keepNext/>
              <w:rPr>
                <w:b/>
                <w:bCs/>
                <w:sz w:val="22"/>
                <w:szCs w:val="22"/>
                <w:lang w:val="sv-SE"/>
              </w:rPr>
            </w:pPr>
            <w:r w:rsidRPr="00EF3A68">
              <w:rPr>
                <w:b/>
                <w:bCs/>
                <w:sz w:val="22"/>
                <w:szCs w:val="22"/>
                <w:lang w:val="sv-SE"/>
              </w:rPr>
              <w:t>Sverige</w:t>
            </w:r>
          </w:p>
          <w:p w14:paraId="796FEB13" w14:textId="77777777" w:rsidR="00EF3A68" w:rsidRPr="00EF3A68" w:rsidRDefault="00EF3A68" w:rsidP="004E4B46">
            <w:pPr>
              <w:keepNext/>
              <w:rPr>
                <w:bCs/>
                <w:sz w:val="22"/>
                <w:szCs w:val="22"/>
                <w:lang w:val="pt-PT"/>
              </w:rPr>
            </w:pPr>
            <w:r w:rsidRPr="00EF3A68">
              <w:rPr>
                <w:bCs/>
                <w:sz w:val="22"/>
                <w:szCs w:val="22"/>
                <w:lang w:val="pt-PT"/>
              </w:rPr>
              <w:t>AbbVie AB</w:t>
            </w:r>
          </w:p>
          <w:p w14:paraId="559A2AFE" w14:textId="77777777" w:rsidR="00EF3A68" w:rsidRPr="00EF3A68" w:rsidRDefault="00EF3A68" w:rsidP="004E4B46">
            <w:pPr>
              <w:keepNext/>
              <w:rPr>
                <w:bCs/>
                <w:sz w:val="22"/>
                <w:szCs w:val="22"/>
                <w:lang w:val="sv-SE"/>
              </w:rPr>
            </w:pPr>
            <w:r w:rsidRPr="00EF3A68">
              <w:rPr>
                <w:bCs/>
                <w:sz w:val="22"/>
                <w:szCs w:val="22"/>
                <w:lang w:val="da-DK"/>
              </w:rPr>
              <w:t>Tel: +46 (0)8 684 44 600</w:t>
            </w:r>
          </w:p>
          <w:p w14:paraId="16702C1E" w14:textId="77777777" w:rsidR="00EF3A68" w:rsidRPr="00EF3A68" w:rsidRDefault="00EF3A68" w:rsidP="004E4B46">
            <w:pPr>
              <w:keepNext/>
              <w:rPr>
                <w:bCs/>
                <w:sz w:val="22"/>
                <w:szCs w:val="22"/>
                <w:lang w:val="sv-SE"/>
              </w:rPr>
            </w:pPr>
          </w:p>
        </w:tc>
      </w:tr>
      <w:tr w:rsidR="00EF3A68" w:rsidRPr="00EF3A68" w14:paraId="2D1416D7" w14:textId="77777777" w:rsidTr="00AD6D66">
        <w:trPr>
          <w:gridBefore w:val="1"/>
          <w:wBefore w:w="34" w:type="dxa"/>
          <w:cantSplit/>
          <w:trHeight w:val="887"/>
        </w:trPr>
        <w:tc>
          <w:tcPr>
            <w:tcW w:w="4644" w:type="dxa"/>
          </w:tcPr>
          <w:p w14:paraId="3F1B98A5" w14:textId="77777777" w:rsidR="00EF3A68" w:rsidRPr="00EF3A68" w:rsidRDefault="00EF3A68" w:rsidP="00EF3A68">
            <w:pPr>
              <w:rPr>
                <w:b/>
                <w:bCs/>
                <w:sz w:val="22"/>
                <w:szCs w:val="22"/>
                <w:lang w:val="lv-LV"/>
              </w:rPr>
            </w:pPr>
            <w:r w:rsidRPr="00EF3A68">
              <w:rPr>
                <w:b/>
                <w:bCs/>
                <w:sz w:val="22"/>
                <w:szCs w:val="22"/>
                <w:lang w:val="lv-LV"/>
              </w:rPr>
              <w:t>Latvija</w:t>
            </w:r>
          </w:p>
          <w:p w14:paraId="20BBC02B" w14:textId="77777777" w:rsidR="00EF3A68" w:rsidRPr="00EF3A68" w:rsidRDefault="00EF3A68" w:rsidP="00EF3A68">
            <w:pPr>
              <w:rPr>
                <w:bCs/>
                <w:sz w:val="22"/>
                <w:szCs w:val="22"/>
                <w:lang w:val="lv-LV"/>
              </w:rPr>
            </w:pPr>
            <w:r w:rsidRPr="00EF3A68">
              <w:rPr>
                <w:bCs/>
                <w:sz w:val="22"/>
                <w:szCs w:val="22"/>
                <w:lang w:val="lv-LV"/>
              </w:rPr>
              <w:t xml:space="preserve">AbbVie SIA </w:t>
            </w:r>
          </w:p>
          <w:p w14:paraId="5DC7FD5F" w14:textId="77777777" w:rsidR="00EF3A68" w:rsidRPr="00EF3A68" w:rsidRDefault="00EF3A68" w:rsidP="00EF3A68">
            <w:pPr>
              <w:rPr>
                <w:bCs/>
                <w:sz w:val="22"/>
                <w:szCs w:val="22"/>
                <w:lang w:val="lv-LV"/>
              </w:rPr>
            </w:pPr>
            <w:r w:rsidRPr="00EF3A68">
              <w:rPr>
                <w:bCs/>
                <w:sz w:val="22"/>
                <w:szCs w:val="22"/>
                <w:lang w:val="lv-LV"/>
              </w:rPr>
              <w:t>Tel: +371 67605000</w:t>
            </w:r>
          </w:p>
          <w:p w14:paraId="5C5017DA" w14:textId="77777777" w:rsidR="00EF3A68" w:rsidRPr="00EF3A68" w:rsidRDefault="00EF3A68" w:rsidP="00EF3A68">
            <w:pPr>
              <w:rPr>
                <w:bCs/>
                <w:sz w:val="22"/>
                <w:szCs w:val="22"/>
                <w:lang w:val="lv-LV"/>
              </w:rPr>
            </w:pPr>
          </w:p>
        </w:tc>
        <w:tc>
          <w:tcPr>
            <w:tcW w:w="4678" w:type="dxa"/>
          </w:tcPr>
          <w:p w14:paraId="07AFE715" w14:textId="3DD1A48F" w:rsidR="00EF3A68" w:rsidRPr="00EF3A68" w:rsidRDefault="00EF3A68" w:rsidP="00EF3A68">
            <w:pPr>
              <w:rPr>
                <w:b/>
                <w:bCs/>
                <w:sz w:val="22"/>
                <w:szCs w:val="22"/>
              </w:rPr>
            </w:pPr>
            <w:r w:rsidRPr="00EF3A68">
              <w:rPr>
                <w:b/>
                <w:bCs/>
                <w:sz w:val="22"/>
                <w:szCs w:val="22"/>
              </w:rPr>
              <w:t>United Kingdom</w:t>
            </w:r>
            <w:r w:rsidR="009F0A5D" w:rsidRPr="00062463">
              <w:rPr>
                <w:b/>
                <w:bCs/>
                <w:sz w:val="22"/>
                <w:szCs w:val="22"/>
              </w:rPr>
              <w:t xml:space="preserve"> (Northern Ireland)</w:t>
            </w:r>
          </w:p>
          <w:p w14:paraId="0240BECA" w14:textId="3C3F5D0F" w:rsidR="00EF3A68" w:rsidRPr="00EF3A68" w:rsidRDefault="001A02FD" w:rsidP="00EF3A68">
            <w:pPr>
              <w:rPr>
                <w:bCs/>
                <w:sz w:val="22"/>
                <w:szCs w:val="22"/>
              </w:rPr>
            </w:pPr>
            <w:r w:rsidRPr="004443D2">
              <w:rPr>
                <w:bCs/>
                <w:sz w:val="22"/>
                <w:szCs w:val="22"/>
              </w:rPr>
              <w:t>AbbVie Deutschland GmbH &amp; Co. KG</w:t>
            </w:r>
          </w:p>
          <w:p w14:paraId="08E3FAAB" w14:textId="77777777" w:rsidR="00EF3A68" w:rsidRPr="00EF3A68" w:rsidRDefault="00EF3A68" w:rsidP="00EF3A68">
            <w:pPr>
              <w:rPr>
                <w:bCs/>
                <w:sz w:val="22"/>
                <w:szCs w:val="22"/>
                <w:lang w:val="lv-LV"/>
              </w:rPr>
            </w:pPr>
            <w:r w:rsidRPr="00EF3A68">
              <w:rPr>
                <w:bCs/>
                <w:sz w:val="22"/>
                <w:szCs w:val="22"/>
              </w:rPr>
              <w:t>Tel: +44 (0)1628 561090</w:t>
            </w:r>
          </w:p>
        </w:tc>
      </w:tr>
    </w:tbl>
    <w:p w14:paraId="76BD00B9" w14:textId="77777777" w:rsidR="00277ECB" w:rsidRPr="00342F7C" w:rsidRDefault="00277ECB">
      <w:pPr>
        <w:pStyle w:val="EMEANormal"/>
        <w:rPr>
          <w:lang w:val="en-GB"/>
        </w:rPr>
      </w:pPr>
    </w:p>
    <w:p w14:paraId="4BD1A6DD" w14:textId="77777777" w:rsidR="00277ECB" w:rsidRDefault="00277ECB">
      <w:pPr>
        <w:pStyle w:val="EMEANormal"/>
        <w:rPr>
          <w:b/>
          <w:bCs/>
          <w:iCs/>
          <w:lang w:val="en-GB"/>
        </w:rPr>
      </w:pPr>
      <w:r w:rsidRPr="00CB3C33">
        <w:rPr>
          <w:b/>
          <w:bCs/>
          <w:iCs/>
          <w:lang w:val="en-GB"/>
        </w:rPr>
        <w:t xml:space="preserve">This leaflet was last </w:t>
      </w:r>
      <w:r w:rsidR="00097EED">
        <w:rPr>
          <w:b/>
          <w:bCs/>
          <w:iCs/>
          <w:lang w:val="en-GB"/>
        </w:rPr>
        <w:t>revised</w:t>
      </w:r>
      <w:r w:rsidR="00097EED" w:rsidRPr="00CB3C33">
        <w:rPr>
          <w:b/>
          <w:bCs/>
          <w:iCs/>
          <w:lang w:val="en-GB"/>
        </w:rPr>
        <w:t xml:space="preserve"> </w:t>
      </w:r>
      <w:r w:rsidR="00097EED">
        <w:rPr>
          <w:b/>
          <w:bCs/>
          <w:iCs/>
          <w:lang w:val="en-GB"/>
        </w:rPr>
        <w:t>i</w:t>
      </w:r>
      <w:r w:rsidRPr="00CB3C33">
        <w:rPr>
          <w:b/>
          <w:bCs/>
          <w:iCs/>
          <w:lang w:val="en-GB"/>
        </w:rPr>
        <w:t>n:  {MM/YYYY}</w:t>
      </w:r>
    </w:p>
    <w:p w14:paraId="44FB52DD" w14:textId="77777777" w:rsidR="002F0947" w:rsidRDefault="002F0947">
      <w:pPr>
        <w:pStyle w:val="EMEANormal"/>
        <w:rPr>
          <w:b/>
          <w:bCs/>
          <w:iCs/>
          <w:lang w:val="en-GB"/>
        </w:rPr>
      </w:pPr>
    </w:p>
    <w:p w14:paraId="78A6B54F" w14:textId="77777777" w:rsidR="002F0947" w:rsidRPr="00342F7C" w:rsidRDefault="002F0947" w:rsidP="002F0947">
      <w:pPr>
        <w:pStyle w:val="EMEANormal"/>
        <w:rPr>
          <w:lang w:val="en-GB"/>
        </w:rPr>
      </w:pPr>
      <w:r>
        <w:rPr>
          <w:lang w:val="en-GB"/>
        </w:rPr>
        <w:t>Detailed information on this medicine is available on the European Medicines Agency web site: http://www.ema.europa.eu.</w:t>
      </w:r>
    </w:p>
    <w:p w14:paraId="2E868D6A" w14:textId="77777777" w:rsidR="00277ECB" w:rsidRPr="00342F7C" w:rsidRDefault="00277ECB">
      <w:pPr>
        <w:pStyle w:val="EMEANormal"/>
        <w:tabs>
          <w:tab w:val="left" w:pos="6780"/>
        </w:tabs>
        <w:jc w:val="center"/>
        <w:rPr>
          <w:b/>
          <w:bCs/>
          <w:lang w:val="en-GB"/>
        </w:rPr>
      </w:pPr>
    </w:p>
    <w:p w14:paraId="7AEBDCC4" w14:textId="77777777" w:rsidR="00277ECB" w:rsidRDefault="00277ECB" w:rsidP="004B37FD">
      <w:pPr>
        <w:pStyle w:val="EMEAHeadingLeaflet"/>
        <w:tabs>
          <w:tab w:val="clear" w:pos="562"/>
        </w:tabs>
        <w:spacing w:beforeLines="0" w:before="0" w:afterLines="0" w:after="0"/>
        <w:jc w:val="center"/>
        <w:rPr>
          <w:rFonts w:ascii="Times New Roman" w:hAnsi="Times New Roman"/>
          <w:lang w:val="en-GB"/>
        </w:rPr>
      </w:pPr>
      <w:r w:rsidRPr="00342F7C">
        <w:rPr>
          <w:rFonts w:ascii="Times New Roman" w:hAnsi="Times New Roman"/>
          <w:lang w:val="en-GB"/>
        </w:rPr>
        <w:br w:type="page"/>
      </w:r>
      <w:r w:rsidR="00097EED">
        <w:rPr>
          <w:rFonts w:ascii="Times New Roman" w:hAnsi="Times New Roman"/>
          <w:lang w:val="en-GB"/>
        </w:rPr>
        <w:t xml:space="preserve">Package </w:t>
      </w:r>
      <w:r w:rsidR="0075514E">
        <w:rPr>
          <w:rFonts w:ascii="Times New Roman" w:hAnsi="Times New Roman"/>
          <w:lang w:val="en-GB"/>
        </w:rPr>
        <w:t>l</w:t>
      </w:r>
      <w:r w:rsidR="00097EED">
        <w:rPr>
          <w:rFonts w:ascii="Times New Roman" w:hAnsi="Times New Roman"/>
          <w:lang w:val="en-GB"/>
        </w:rPr>
        <w:t>eaflet</w:t>
      </w:r>
      <w:r w:rsidR="0075514E">
        <w:rPr>
          <w:rFonts w:ascii="Times New Roman" w:hAnsi="Times New Roman"/>
          <w:lang w:val="en-GB"/>
        </w:rPr>
        <w:t>:</w:t>
      </w:r>
      <w:r w:rsidR="00097EED">
        <w:rPr>
          <w:rFonts w:ascii="Times New Roman" w:hAnsi="Times New Roman"/>
          <w:lang w:val="en-GB"/>
        </w:rPr>
        <w:t xml:space="preserve"> Information </w:t>
      </w:r>
      <w:r w:rsidR="0075514E">
        <w:rPr>
          <w:rFonts w:ascii="Times New Roman" w:hAnsi="Times New Roman"/>
          <w:lang w:val="en-GB"/>
        </w:rPr>
        <w:t>for the u</w:t>
      </w:r>
      <w:r w:rsidR="00097EED">
        <w:rPr>
          <w:rFonts w:ascii="Times New Roman" w:hAnsi="Times New Roman"/>
          <w:lang w:val="en-GB"/>
        </w:rPr>
        <w:t>ser</w:t>
      </w:r>
    </w:p>
    <w:p w14:paraId="4581536C" w14:textId="77777777" w:rsidR="004B37FD" w:rsidRPr="004B37FD" w:rsidRDefault="004B37FD" w:rsidP="004B37FD">
      <w:pPr>
        <w:pStyle w:val="EMEANormal"/>
        <w:rPr>
          <w:lang w:val="en-GB"/>
        </w:rPr>
      </w:pPr>
    </w:p>
    <w:p w14:paraId="0D6A38C5" w14:textId="77777777" w:rsidR="00277ECB" w:rsidRPr="00342F7C" w:rsidRDefault="006D283F">
      <w:pPr>
        <w:pStyle w:val="EMEANormal"/>
        <w:jc w:val="center"/>
        <w:rPr>
          <w:b/>
          <w:bCs/>
          <w:lang w:val="en-GB"/>
        </w:rPr>
      </w:pPr>
      <w:r>
        <w:rPr>
          <w:b/>
          <w:bCs/>
          <w:lang w:val="en-GB"/>
        </w:rPr>
        <w:t>Kaletra 100 mg/25 </w:t>
      </w:r>
      <w:r w:rsidR="00277ECB" w:rsidRPr="00342F7C">
        <w:rPr>
          <w:b/>
          <w:bCs/>
          <w:lang w:val="en-GB"/>
        </w:rPr>
        <w:t>mg film</w:t>
      </w:r>
      <w:r w:rsidR="00277ECB" w:rsidRPr="00342F7C">
        <w:rPr>
          <w:b/>
          <w:bCs/>
          <w:lang w:val="en-GB"/>
        </w:rPr>
        <w:noBreakHyphen/>
        <w:t>coated tablets</w:t>
      </w:r>
    </w:p>
    <w:p w14:paraId="3F108B93" w14:textId="77777777" w:rsidR="00277ECB" w:rsidRPr="00342F7C" w:rsidRDefault="00277ECB">
      <w:pPr>
        <w:pStyle w:val="EMEANormal"/>
        <w:jc w:val="center"/>
        <w:rPr>
          <w:lang w:val="en-GB"/>
        </w:rPr>
      </w:pPr>
      <w:r w:rsidRPr="00342F7C">
        <w:rPr>
          <w:lang w:val="en-GB"/>
        </w:rPr>
        <w:t>lopinavir/ritonavir</w:t>
      </w:r>
    </w:p>
    <w:p w14:paraId="78C74E1B" w14:textId="77777777" w:rsidR="00277ECB" w:rsidRPr="00342F7C" w:rsidRDefault="00277ECB">
      <w:pPr>
        <w:pStyle w:val="EMEANormal"/>
        <w:rPr>
          <w:lang w:val="en-GB"/>
        </w:rPr>
      </w:pPr>
    </w:p>
    <w:p w14:paraId="110C5B7F" w14:textId="77777777" w:rsidR="00277ECB" w:rsidRPr="00342F7C" w:rsidRDefault="00277ECB">
      <w:pPr>
        <w:pStyle w:val="EMEANormal"/>
        <w:rPr>
          <w:b/>
          <w:bCs/>
          <w:lang w:val="en-GB"/>
        </w:rPr>
      </w:pPr>
      <w:r w:rsidRPr="00342F7C">
        <w:rPr>
          <w:b/>
          <w:bCs/>
          <w:lang w:val="en-GB"/>
        </w:rPr>
        <w:t>Read all of this leaflet carefully before you start taking this medicine</w:t>
      </w:r>
      <w:r w:rsidR="00EB3C76">
        <w:rPr>
          <w:b/>
          <w:bCs/>
          <w:lang w:val="en-GB"/>
        </w:rPr>
        <w:t xml:space="preserve"> because it contains important information for you</w:t>
      </w:r>
      <w:r w:rsidR="002E6065">
        <w:rPr>
          <w:b/>
          <w:bCs/>
          <w:lang w:val="en-GB"/>
        </w:rPr>
        <w:t xml:space="preserve"> or your child</w:t>
      </w:r>
      <w:r w:rsidRPr="00342F7C">
        <w:rPr>
          <w:b/>
          <w:bCs/>
          <w:lang w:val="en-GB"/>
        </w:rPr>
        <w:t>.</w:t>
      </w:r>
    </w:p>
    <w:p w14:paraId="221ECA04" w14:textId="77777777" w:rsidR="00277ECB" w:rsidRPr="00342F7C" w:rsidRDefault="00277ECB" w:rsidP="00F80B3D">
      <w:pPr>
        <w:pStyle w:val="EMEABullet"/>
        <w:tabs>
          <w:tab w:val="clear" w:pos="709"/>
          <w:tab w:val="num" w:pos="567"/>
        </w:tabs>
        <w:ind w:left="567"/>
        <w:rPr>
          <w:lang w:val="en-GB"/>
        </w:rPr>
      </w:pPr>
      <w:r w:rsidRPr="00342F7C">
        <w:rPr>
          <w:lang w:val="en-GB"/>
        </w:rPr>
        <w:t xml:space="preserve">Keep this leaflet. </w:t>
      </w:r>
      <w:r w:rsidR="001B0216" w:rsidRPr="00342F7C">
        <w:rPr>
          <w:lang w:val="en-GB"/>
        </w:rPr>
        <w:t xml:space="preserve"> </w:t>
      </w:r>
      <w:r w:rsidRPr="00342F7C">
        <w:rPr>
          <w:lang w:val="en-GB"/>
        </w:rPr>
        <w:t>You may need to read it again.</w:t>
      </w:r>
    </w:p>
    <w:p w14:paraId="1238BBBF" w14:textId="77777777" w:rsidR="00277ECB" w:rsidRPr="00342F7C" w:rsidRDefault="00277ECB" w:rsidP="00F80B3D">
      <w:pPr>
        <w:pStyle w:val="EMEABullet"/>
        <w:tabs>
          <w:tab w:val="clear" w:pos="709"/>
          <w:tab w:val="num" w:pos="567"/>
        </w:tabs>
        <w:ind w:left="567"/>
        <w:rPr>
          <w:lang w:val="en-GB"/>
        </w:rPr>
      </w:pPr>
      <w:r w:rsidRPr="00342F7C">
        <w:rPr>
          <w:lang w:val="en-GB"/>
        </w:rPr>
        <w:t>If you have any further questions, ask your doctor or pharmacist</w:t>
      </w:r>
      <w:r w:rsidR="00232FA6">
        <w:rPr>
          <w:lang w:val="en-GB"/>
        </w:rPr>
        <w:t>.</w:t>
      </w:r>
    </w:p>
    <w:p w14:paraId="25873C05" w14:textId="77777777" w:rsidR="00277ECB" w:rsidRPr="00342F7C" w:rsidRDefault="00277ECB" w:rsidP="00F80B3D">
      <w:pPr>
        <w:pStyle w:val="EMEABullet"/>
        <w:tabs>
          <w:tab w:val="clear" w:pos="709"/>
          <w:tab w:val="num" w:pos="567"/>
        </w:tabs>
        <w:ind w:left="567"/>
        <w:rPr>
          <w:lang w:val="en-GB"/>
        </w:rPr>
      </w:pPr>
      <w:r w:rsidRPr="00342F7C">
        <w:rPr>
          <w:lang w:val="en-GB"/>
        </w:rPr>
        <w:t>This medicine has been prescribed for you</w:t>
      </w:r>
      <w:r w:rsidR="00EB3C76">
        <w:rPr>
          <w:lang w:val="en-GB"/>
        </w:rPr>
        <w:t xml:space="preserve"> </w:t>
      </w:r>
      <w:r w:rsidR="001E3098">
        <w:rPr>
          <w:lang w:val="en-GB"/>
        </w:rPr>
        <w:t xml:space="preserve">or your child </w:t>
      </w:r>
      <w:r w:rsidR="00EB3C76">
        <w:rPr>
          <w:lang w:val="en-GB"/>
        </w:rPr>
        <w:t>only</w:t>
      </w:r>
      <w:r w:rsidRPr="00342F7C">
        <w:rPr>
          <w:lang w:val="en-GB"/>
        </w:rPr>
        <w:t xml:space="preserve">. </w:t>
      </w:r>
      <w:r w:rsidR="001B0216" w:rsidRPr="00342F7C">
        <w:rPr>
          <w:lang w:val="en-GB"/>
        </w:rPr>
        <w:t xml:space="preserve"> </w:t>
      </w:r>
      <w:r w:rsidRPr="00342F7C">
        <w:rPr>
          <w:lang w:val="en-GB"/>
        </w:rPr>
        <w:t>Do not pass it on</w:t>
      </w:r>
      <w:r w:rsidR="00EB3C76">
        <w:rPr>
          <w:lang w:val="en-GB"/>
        </w:rPr>
        <w:t xml:space="preserve"> </w:t>
      </w:r>
      <w:r w:rsidRPr="00342F7C">
        <w:rPr>
          <w:lang w:val="en-GB"/>
        </w:rPr>
        <w:t xml:space="preserve">to others. </w:t>
      </w:r>
      <w:r w:rsidR="001B0216" w:rsidRPr="00342F7C">
        <w:rPr>
          <w:lang w:val="en-GB"/>
        </w:rPr>
        <w:t xml:space="preserve"> </w:t>
      </w:r>
      <w:r w:rsidRPr="00342F7C">
        <w:rPr>
          <w:lang w:val="en-GB"/>
        </w:rPr>
        <w:t xml:space="preserve">It may harm them, even if their </w:t>
      </w:r>
      <w:r w:rsidR="00EB3C76">
        <w:rPr>
          <w:lang w:val="en-GB"/>
        </w:rPr>
        <w:t>signs of illness</w:t>
      </w:r>
      <w:r w:rsidR="00EB3C76" w:rsidRPr="00342F7C">
        <w:rPr>
          <w:lang w:val="en-GB"/>
        </w:rPr>
        <w:t xml:space="preserve"> </w:t>
      </w:r>
      <w:r w:rsidRPr="00342F7C">
        <w:rPr>
          <w:lang w:val="en-GB"/>
        </w:rPr>
        <w:t>are the same as yours.</w:t>
      </w:r>
    </w:p>
    <w:p w14:paraId="5016570B" w14:textId="77777777" w:rsidR="00277ECB" w:rsidRPr="00342F7C" w:rsidRDefault="00277ECB" w:rsidP="00F80B3D">
      <w:pPr>
        <w:pStyle w:val="EMEABullet"/>
        <w:tabs>
          <w:tab w:val="clear" w:pos="709"/>
          <w:tab w:val="num" w:pos="567"/>
        </w:tabs>
        <w:ind w:left="567"/>
        <w:rPr>
          <w:lang w:val="en-GB"/>
        </w:rPr>
      </w:pPr>
      <w:r w:rsidRPr="00342F7C">
        <w:rPr>
          <w:lang w:val="en-GB"/>
        </w:rPr>
        <w:t xml:space="preserve">If </w:t>
      </w:r>
      <w:r w:rsidR="00EB3C76">
        <w:rPr>
          <w:lang w:val="en-GB"/>
        </w:rPr>
        <w:t>you get any</w:t>
      </w:r>
      <w:r w:rsidRPr="00342F7C">
        <w:rPr>
          <w:lang w:val="en-GB"/>
        </w:rPr>
        <w:t xml:space="preserve"> side effects</w:t>
      </w:r>
      <w:r w:rsidR="00EB3C76">
        <w:rPr>
          <w:lang w:val="en-GB"/>
        </w:rPr>
        <w:t>, talk to your doctor or pharmacist.  This includes any possible side effects not listed in this leaflet.  See section 4</w:t>
      </w:r>
      <w:r w:rsidRPr="00342F7C">
        <w:rPr>
          <w:lang w:val="en-GB"/>
        </w:rPr>
        <w:t>.</w:t>
      </w:r>
    </w:p>
    <w:p w14:paraId="041628ED" w14:textId="77777777" w:rsidR="00277ECB" w:rsidRPr="00342F7C" w:rsidRDefault="00277ECB">
      <w:pPr>
        <w:pStyle w:val="EMEANormal"/>
        <w:rPr>
          <w:lang w:val="en-GB"/>
        </w:rPr>
      </w:pPr>
    </w:p>
    <w:p w14:paraId="612CBD19" w14:textId="77777777" w:rsidR="00277ECB" w:rsidRPr="00342F7C" w:rsidRDefault="00A00DAF">
      <w:pPr>
        <w:pStyle w:val="EMEANormal"/>
        <w:rPr>
          <w:b/>
          <w:bCs/>
          <w:lang w:val="en-GB"/>
        </w:rPr>
      </w:pPr>
      <w:r>
        <w:rPr>
          <w:b/>
          <w:bCs/>
          <w:lang w:val="en-GB"/>
        </w:rPr>
        <w:t>What is i</w:t>
      </w:r>
      <w:r w:rsidR="00277ECB" w:rsidRPr="00342F7C">
        <w:rPr>
          <w:b/>
          <w:bCs/>
          <w:lang w:val="en-GB"/>
        </w:rPr>
        <w:t>n this leaflet:</w:t>
      </w:r>
    </w:p>
    <w:p w14:paraId="0C5F6058" w14:textId="77777777" w:rsidR="00277ECB" w:rsidRPr="00342F7C" w:rsidRDefault="00277ECB">
      <w:pPr>
        <w:pStyle w:val="EMEANormal"/>
        <w:rPr>
          <w:lang w:val="en-GB"/>
        </w:rPr>
      </w:pPr>
      <w:r w:rsidRPr="00342F7C">
        <w:rPr>
          <w:lang w:val="en-GB"/>
        </w:rPr>
        <w:t>1.</w:t>
      </w:r>
      <w:r w:rsidRPr="00342F7C">
        <w:rPr>
          <w:lang w:val="en-GB"/>
        </w:rPr>
        <w:tab/>
        <w:t>What Kaletra is and what it is used for</w:t>
      </w:r>
    </w:p>
    <w:p w14:paraId="41FFD7E6" w14:textId="77777777" w:rsidR="00277ECB" w:rsidRPr="00342F7C" w:rsidRDefault="00277ECB">
      <w:pPr>
        <w:pStyle w:val="EMEANormal"/>
        <w:rPr>
          <w:lang w:val="en-GB"/>
        </w:rPr>
      </w:pPr>
      <w:r w:rsidRPr="00342F7C">
        <w:rPr>
          <w:lang w:val="en-GB"/>
        </w:rPr>
        <w:t>2.</w:t>
      </w:r>
      <w:r w:rsidRPr="00342F7C">
        <w:rPr>
          <w:lang w:val="en-GB"/>
        </w:rPr>
        <w:tab/>
      </w:r>
      <w:r w:rsidR="00EB3C76">
        <w:rPr>
          <w:lang w:val="en-GB"/>
        </w:rPr>
        <w:t>What you need to know b</w:t>
      </w:r>
      <w:r w:rsidRPr="00342F7C">
        <w:rPr>
          <w:lang w:val="en-GB"/>
        </w:rPr>
        <w:t xml:space="preserve">efore you </w:t>
      </w:r>
      <w:r w:rsidR="002E6065">
        <w:rPr>
          <w:lang w:val="en-GB"/>
        </w:rPr>
        <w:t xml:space="preserve">or your child </w:t>
      </w:r>
      <w:r w:rsidRPr="00342F7C">
        <w:rPr>
          <w:lang w:val="en-GB"/>
        </w:rPr>
        <w:t>take</w:t>
      </w:r>
      <w:r w:rsidR="00BD5486">
        <w:rPr>
          <w:lang w:val="en-GB"/>
        </w:rPr>
        <w:t>s</w:t>
      </w:r>
      <w:r w:rsidRPr="00342F7C">
        <w:rPr>
          <w:lang w:val="en-GB"/>
        </w:rPr>
        <w:t xml:space="preserve"> Kaletra</w:t>
      </w:r>
    </w:p>
    <w:p w14:paraId="0F0A7AC9" w14:textId="77777777" w:rsidR="00277ECB" w:rsidRPr="00342F7C" w:rsidRDefault="00277ECB">
      <w:pPr>
        <w:pStyle w:val="EMEANormal"/>
        <w:rPr>
          <w:lang w:val="en-GB"/>
        </w:rPr>
      </w:pPr>
      <w:r w:rsidRPr="00342F7C">
        <w:rPr>
          <w:lang w:val="en-GB"/>
        </w:rPr>
        <w:t>3.</w:t>
      </w:r>
      <w:r w:rsidRPr="00342F7C">
        <w:rPr>
          <w:lang w:val="en-GB"/>
        </w:rPr>
        <w:tab/>
        <w:t>How to take Kaletra</w:t>
      </w:r>
    </w:p>
    <w:p w14:paraId="20151789" w14:textId="77777777" w:rsidR="00277ECB" w:rsidRPr="00342F7C" w:rsidRDefault="00277ECB">
      <w:pPr>
        <w:pStyle w:val="EMEANormal"/>
        <w:rPr>
          <w:lang w:val="en-GB"/>
        </w:rPr>
      </w:pPr>
      <w:r w:rsidRPr="00342F7C">
        <w:rPr>
          <w:lang w:val="en-GB"/>
        </w:rPr>
        <w:t>4.</w:t>
      </w:r>
      <w:r w:rsidRPr="00342F7C">
        <w:rPr>
          <w:lang w:val="en-GB"/>
        </w:rPr>
        <w:tab/>
        <w:t>Possible side effects</w:t>
      </w:r>
    </w:p>
    <w:p w14:paraId="6434A42E" w14:textId="77777777" w:rsidR="00277ECB" w:rsidRPr="00342F7C" w:rsidRDefault="00277ECB">
      <w:pPr>
        <w:pStyle w:val="EMEANormal"/>
        <w:rPr>
          <w:lang w:val="en-GB"/>
        </w:rPr>
      </w:pPr>
      <w:r w:rsidRPr="00342F7C">
        <w:rPr>
          <w:lang w:val="en-GB"/>
        </w:rPr>
        <w:t>5.</w:t>
      </w:r>
      <w:r w:rsidRPr="00342F7C">
        <w:rPr>
          <w:lang w:val="en-GB"/>
        </w:rPr>
        <w:tab/>
        <w:t>How to store Kaletra</w:t>
      </w:r>
    </w:p>
    <w:p w14:paraId="528B6881" w14:textId="77777777" w:rsidR="00277ECB" w:rsidRDefault="00277ECB">
      <w:pPr>
        <w:pStyle w:val="EMEANormal"/>
        <w:rPr>
          <w:lang w:val="en-GB"/>
        </w:rPr>
      </w:pPr>
      <w:r w:rsidRPr="00342F7C">
        <w:rPr>
          <w:lang w:val="en-GB"/>
        </w:rPr>
        <w:t>6.</w:t>
      </w:r>
      <w:r w:rsidRPr="00342F7C">
        <w:rPr>
          <w:lang w:val="en-GB"/>
        </w:rPr>
        <w:tab/>
      </w:r>
      <w:r w:rsidR="00EB3C76">
        <w:rPr>
          <w:lang w:val="en-GB"/>
        </w:rPr>
        <w:t>Contents of the pack and other</w:t>
      </w:r>
      <w:r w:rsidR="00EB3C76" w:rsidRPr="00342F7C">
        <w:rPr>
          <w:lang w:val="en-GB"/>
        </w:rPr>
        <w:t xml:space="preserve"> </w:t>
      </w:r>
      <w:r w:rsidRPr="00342F7C">
        <w:rPr>
          <w:lang w:val="en-GB"/>
        </w:rPr>
        <w:t>information</w:t>
      </w:r>
    </w:p>
    <w:p w14:paraId="4934F700" w14:textId="77777777" w:rsidR="00A30306" w:rsidRDefault="00A30306">
      <w:pPr>
        <w:pStyle w:val="EMEANormal"/>
        <w:rPr>
          <w:lang w:val="en-GB"/>
        </w:rPr>
      </w:pPr>
    </w:p>
    <w:p w14:paraId="0FF4A88C" w14:textId="77777777" w:rsidR="00A30306" w:rsidRPr="00342F7C" w:rsidRDefault="00A30306">
      <w:pPr>
        <w:pStyle w:val="EMEANormal"/>
        <w:rPr>
          <w:lang w:val="en-GB"/>
        </w:rPr>
      </w:pPr>
    </w:p>
    <w:p w14:paraId="37F2CBC4" w14:textId="77777777" w:rsidR="00277ECB" w:rsidRPr="00282043" w:rsidRDefault="00277ECB" w:rsidP="00A30306">
      <w:pPr>
        <w:rPr>
          <w:b/>
          <w:sz w:val="22"/>
          <w:szCs w:val="22"/>
        </w:rPr>
      </w:pPr>
      <w:r w:rsidRPr="00282043">
        <w:rPr>
          <w:b/>
          <w:sz w:val="22"/>
          <w:szCs w:val="22"/>
        </w:rPr>
        <w:t>1.</w:t>
      </w:r>
      <w:r w:rsidRPr="00282043">
        <w:rPr>
          <w:b/>
          <w:sz w:val="22"/>
          <w:szCs w:val="22"/>
        </w:rPr>
        <w:tab/>
        <w:t>W</w:t>
      </w:r>
      <w:r w:rsidR="00A30306" w:rsidRPr="00282043">
        <w:rPr>
          <w:b/>
          <w:sz w:val="22"/>
          <w:szCs w:val="22"/>
        </w:rPr>
        <w:t>hat Kaletra is and what it is used for</w:t>
      </w:r>
    </w:p>
    <w:p w14:paraId="787FEDEC" w14:textId="77777777" w:rsidR="00A30306" w:rsidRPr="00A30306" w:rsidRDefault="00A30306" w:rsidP="00A30306">
      <w:pPr>
        <w:rPr>
          <w:b/>
        </w:rPr>
      </w:pPr>
    </w:p>
    <w:p w14:paraId="5ED78120" w14:textId="77777777" w:rsidR="00277ECB" w:rsidRDefault="00277ECB" w:rsidP="00F80B3D">
      <w:pPr>
        <w:pStyle w:val="EMEABullet"/>
        <w:tabs>
          <w:tab w:val="clear" w:pos="709"/>
          <w:tab w:val="num" w:pos="567"/>
        </w:tabs>
        <w:ind w:left="567"/>
        <w:rPr>
          <w:lang w:val="en-GB"/>
        </w:rPr>
      </w:pPr>
      <w:r w:rsidRPr="00342F7C">
        <w:rPr>
          <w:lang w:val="en-GB"/>
        </w:rPr>
        <w:t>Your doctor has prescribed Kaletra to help to control your Human Immunodeficiency Virus (HIV) infection.  Kaletra does this by slowing down the spread of the infection in your body.</w:t>
      </w:r>
    </w:p>
    <w:p w14:paraId="0C819559" w14:textId="77777777" w:rsidR="001E3098" w:rsidRPr="00342F7C" w:rsidRDefault="001E3098" w:rsidP="00F80B3D">
      <w:pPr>
        <w:pStyle w:val="EMEABullet"/>
        <w:tabs>
          <w:tab w:val="clear" w:pos="709"/>
          <w:tab w:val="num" w:pos="567"/>
        </w:tabs>
        <w:ind w:left="567"/>
        <w:rPr>
          <w:lang w:val="en-GB"/>
        </w:rPr>
      </w:pPr>
      <w:r>
        <w:rPr>
          <w:lang w:val="en-GB"/>
        </w:rPr>
        <w:t>Kaletra is not a cure for HIV infection or AIDS.</w:t>
      </w:r>
    </w:p>
    <w:p w14:paraId="624B404F" w14:textId="77777777" w:rsidR="00277ECB" w:rsidRPr="00342F7C" w:rsidRDefault="00277ECB" w:rsidP="00F80B3D">
      <w:pPr>
        <w:pStyle w:val="EMEABullet"/>
        <w:tabs>
          <w:tab w:val="clear" w:pos="709"/>
          <w:tab w:val="num" w:pos="567"/>
        </w:tabs>
        <w:ind w:left="567"/>
        <w:rPr>
          <w:lang w:val="en-GB"/>
        </w:rPr>
      </w:pPr>
      <w:r w:rsidRPr="00342F7C">
        <w:rPr>
          <w:lang w:val="en-GB"/>
        </w:rPr>
        <w:t>Kaletra is used by children 2 years of age or older</w:t>
      </w:r>
      <w:r w:rsidR="00EB3C76">
        <w:rPr>
          <w:lang w:val="en-GB"/>
        </w:rPr>
        <w:t>, adolescents</w:t>
      </w:r>
      <w:r w:rsidRPr="00342F7C">
        <w:rPr>
          <w:lang w:val="en-GB"/>
        </w:rPr>
        <w:t xml:space="preserve"> and adults who are infected with HIV, the virus which causes AIDS.  </w:t>
      </w:r>
    </w:p>
    <w:p w14:paraId="7BEF13C0" w14:textId="77777777" w:rsidR="00277ECB" w:rsidRPr="00342F7C" w:rsidRDefault="00EB3C76" w:rsidP="00F80B3D">
      <w:pPr>
        <w:pStyle w:val="EMEABullet"/>
        <w:tabs>
          <w:tab w:val="clear" w:pos="709"/>
          <w:tab w:val="num" w:pos="567"/>
        </w:tabs>
        <w:ind w:left="567"/>
        <w:rPr>
          <w:lang w:val="en-GB"/>
        </w:rPr>
      </w:pPr>
      <w:r>
        <w:rPr>
          <w:lang w:val="en-GB"/>
        </w:rPr>
        <w:t>Kaletra contain</w:t>
      </w:r>
      <w:r w:rsidR="00A85D34">
        <w:rPr>
          <w:lang w:val="en-GB"/>
        </w:rPr>
        <w:t>s</w:t>
      </w:r>
      <w:r>
        <w:rPr>
          <w:lang w:val="en-GB"/>
        </w:rPr>
        <w:t xml:space="preserve"> the active substances lopinavir and ritonavir.  </w:t>
      </w:r>
      <w:r w:rsidR="00277ECB" w:rsidRPr="00342F7C">
        <w:rPr>
          <w:lang w:val="en-GB"/>
        </w:rPr>
        <w:t>Kaletra is an antiretroviral medicine.  It belongs to a group of medicines called protease inhibitors.</w:t>
      </w:r>
    </w:p>
    <w:p w14:paraId="1DD5B306" w14:textId="77777777" w:rsidR="00277ECB" w:rsidRDefault="00277ECB" w:rsidP="00F80B3D">
      <w:pPr>
        <w:pStyle w:val="EMEABullet"/>
        <w:tabs>
          <w:tab w:val="clear" w:pos="709"/>
          <w:tab w:val="num" w:pos="567"/>
        </w:tabs>
        <w:ind w:left="567"/>
        <w:rPr>
          <w:lang w:val="en-GB"/>
        </w:rPr>
      </w:pPr>
      <w:r w:rsidRPr="00342F7C">
        <w:rPr>
          <w:lang w:val="en-GB"/>
        </w:rPr>
        <w:t xml:space="preserve">Kaletra is prescribed for use in combination with other antiviral medicines.  Your doctor will </w:t>
      </w:r>
      <w:r w:rsidR="003D1B4E" w:rsidRPr="00342F7C">
        <w:rPr>
          <w:lang w:val="en-GB"/>
        </w:rPr>
        <w:t xml:space="preserve">discuss with you and </w:t>
      </w:r>
      <w:r w:rsidRPr="00342F7C">
        <w:rPr>
          <w:lang w:val="en-GB"/>
        </w:rPr>
        <w:t>determine which medicines are best for you.</w:t>
      </w:r>
    </w:p>
    <w:p w14:paraId="2A41B3D7" w14:textId="77777777" w:rsidR="00A30306" w:rsidRDefault="00A30306" w:rsidP="00A30306">
      <w:pPr>
        <w:pStyle w:val="EMEABullet"/>
        <w:numPr>
          <w:ilvl w:val="0"/>
          <w:numId w:val="0"/>
        </w:numPr>
        <w:ind w:left="567" w:hanging="567"/>
        <w:rPr>
          <w:lang w:val="en-GB"/>
        </w:rPr>
      </w:pPr>
    </w:p>
    <w:p w14:paraId="359CFD99" w14:textId="77777777" w:rsidR="00A30306" w:rsidRPr="00342F7C" w:rsidRDefault="00A30306" w:rsidP="00A30306">
      <w:pPr>
        <w:pStyle w:val="EMEABullet"/>
        <w:numPr>
          <w:ilvl w:val="0"/>
          <w:numId w:val="0"/>
        </w:numPr>
        <w:ind w:left="567" w:hanging="567"/>
        <w:rPr>
          <w:lang w:val="en-GB"/>
        </w:rPr>
      </w:pPr>
    </w:p>
    <w:p w14:paraId="62B99CCA" w14:textId="77777777" w:rsidR="00277ECB" w:rsidRPr="00282043" w:rsidRDefault="00277ECB" w:rsidP="00A30306">
      <w:pPr>
        <w:rPr>
          <w:b/>
          <w:sz w:val="22"/>
          <w:szCs w:val="22"/>
        </w:rPr>
      </w:pPr>
      <w:r w:rsidRPr="00282043">
        <w:rPr>
          <w:b/>
          <w:sz w:val="22"/>
          <w:szCs w:val="22"/>
        </w:rPr>
        <w:t>2.</w:t>
      </w:r>
      <w:r w:rsidRPr="00282043">
        <w:rPr>
          <w:b/>
          <w:sz w:val="22"/>
          <w:szCs w:val="22"/>
        </w:rPr>
        <w:tab/>
      </w:r>
      <w:r w:rsidR="00EB3C76" w:rsidRPr="00282043">
        <w:rPr>
          <w:b/>
          <w:sz w:val="22"/>
          <w:szCs w:val="22"/>
        </w:rPr>
        <w:t>W</w:t>
      </w:r>
      <w:r w:rsidR="00A30306" w:rsidRPr="00282043">
        <w:rPr>
          <w:b/>
          <w:sz w:val="22"/>
          <w:szCs w:val="22"/>
        </w:rPr>
        <w:t>hat you need to know before you</w:t>
      </w:r>
      <w:r w:rsidR="002E6065" w:rsidRPr="00282043">
        <w:rPr>
          <w:b/>
          <w:sz w:val="22"/>
          <w:szCs w:val="22"/>
        </w:rPr>
        <w:t xml:space="preserve"> or your child</w:t>
      </w:r>
      <w:r w:rsidR="00A30306" w:rsidRPr="00282043">
        <w:rPr>
          <w:b/>
          <w:sz w:val="22"/>
          <w:szCs w:val="22"/>
        </w:rPr>
        <w:t xml:space="preserve"> take</w:t>
      </w:r>
      <w:r w:rsidR="00BD5486" w:rsidRPr="00282043">
        <w:rPr>
          <w:b/>
          <w:sz w:val="22"/>
          <w:szCs w:val="22"/>
        </w:rPr>
        <w:t>s</w:t>
      </w:r>
      <w:r w:rsidR="00A30306" w:rsidRPr="00282043">
        <w:rPr>
          <w:b/>
          <w:sz w:val="22"/>
          <w:szCs w:val="22"/>
        </w:rPr>
        <w:t xml:space="preserve"> Kaletra</w:t>
      </w:r>
    </w:p>
    <w:p w14:paraId="05C0D2CB" w14:textId="77777777" w:rsidR="004B37FD" w:rsidRDefault="004B37FD" w:rsidP="004B37FD">
      <w:pPr>
        <w:pStyle w:val="EMEAHeadingLeaflet"/>
        <w:spacing w:beforeLines="0" w:before="0" w:afterLines="0" w:after="0"/>
        <w:rPr>
          <w:rFonts w:ascii="Times New Roman" w:hAnsi="Times New Roman"/>
          <w:lang w:val="en-GB"/>
        </w:rPr>
      </w:pPr>
    </w:p>
    <w:p w14:paraId="51636E51" w14:textId="77777777" w:rsidR="00277ECB" w:rsidRPr="00342F7C" w:rsidRDefault="00277ECB" w:rsidP="004B37FD">
      <w:pPr>
        <w:pStyle w:val="EMEAHeadingLeaflet"/>
        <w:spacing w:beforeLines="0" w:before="0" w:afterLines="0" w:after="0"/>
        <w:rPr>
          <w:rFonts w:ascii="Times New Roman" w:hAnsi="Times New Roman"/>
          <w:lang w:val="en-GB"/>
        </w:rPr>
      </w:pPr>
      <w:r w:rsidRPr="00342F7C">
        <w:rPr>
          <w:rFonts w:ascii="Times New Roman" w:hAnsi="Times New Roman"/>
          <w:lang w:val="en-GB"/>
        </w:rPr>
        <w:t>Do not take Kaletra</w:t>
      </w:r>
    </w:p>
    <w:p w14:paraId="6E8BF895" w14:textId="77777777" w:rsidR="00277ECB" w:rsidRPr="00342F7C" w:rsidRDefault="00147237" w:rsidP="00F80B3D">
      <w:pPr>
        <w:pStyle w:val="EMEABullet"/>
        <w:tabs>
          <w:tab w:val="clear" w:pos="709"/>
          <w:tab w:val="num" w:pos="567"/>
        </w:tabs>
        <w:ind w:left="567"/>
        <w:rPr>
          <w:lang w:val="en-GB"/>
        </w:rPr>
      </w:pPr>
      <w:r>
        <w:rPr>
          <w:lang w:val="en-GB"/>
        </w:rPr>
        <w:t xml:space="preserve">if </w:t>
      </w:r>
      <w:r w:rsidR="00277ECB" w:rsidRPr="00342F7C">
        <w:rPr>
          <w:lang w:val="en-GB"/>
        </w:rPr>
        <w:t>you are allergic</w:t>
      </w:r>
      <w:r w:rsidR="00B00279">
        <w:rPr>
          <w:lang w:val="en-GB"/>
        </w:rPr>
        <w:t xml:space="preserve"> </w:t>
      </w:r>
      <w:r w:rsidR="00277ECB" w:rsidRPr="00342F7C">
        <w:rPr>
          <w:lang w:val="en-GB"/>
        </w:rPr>
        <w:t>to lopinavir, ritonavir or any of the other ingredients of Kaletra</w:t>
      </w:r>
      <w:r w:rsidR="002E6065">
        <w:rPr>
          <w:lang w:val="en-GB"/>
        </w:rPr>
        <w:t xml:space="preserve"> (see section 6)</w:t>
      </w:r>
      <w:r w:rsidR="00615939">
        <w:rPr>
          <w:lang w:val="en-GB"/>
        </w:rPr>
        <w:t>;</w:t>
      </w:r>
      <w:r w:rsidR="00277ECB" w:rsidRPr="00342F7C">
        <w:rPr>
          <w:lang w:val="en-GB"/>
        </w:rPr>
        <w:t xml:space="preserve"> </w:t>
      </w:r>
    </w:p>
    <w:p w14:paraId="0ACC6032" w14:textId="77777777" w:rsidR="00277ECB" w:rsidRPr="00342F7C" w:rsidRDefault="00147237" w:rsidP="00F80B3D">
      <w:pPr>
        <w:pStyle w:val="EMEABullet"/>
        <w:tabs>
          <w:tab w:val="clear" w:pos="709"/>
          <w:tab w:val="num" w:pos="567"/>
        </w:tabs>
        <w:ind w:left="567"/>
        <w:rPr>
          <w:lang w:val="en-GB"/>
        </w:rPr>
      </w:pPr>
      <w:r>
        <w:rPr>
          <w:lang w:val="en-GB"/>
        </w:rPr>
        <w:t xml:space="preserve">if </w:t>
      </w:r>
      <w:r w:rsidR="00277ECB" w:rsidRPr="00342F7C">
        <w:rPr>
          <w:lang w:val="en-GB"/>
        </w:rPr>
        <w:t>you have severe liver problems.</w:t>
      </w:r>
    </w:p>
    <w:p w14:paraId="5D931F93" w14:textId="77777777" w:rsidR="00277ECB" w:rsidRPr="00342F7C" w:rsidRDefault="00277ECB">
      <w:pPr>
        <w:pStyle w:val="EMEANormal"/>
        <w:rPr>
          <w:lang w:val="en-GB"/>
        </w:rPr>
      </w:pPr>
    </w:p>
    <w:p w14:paraId="702F3A31" w14:textId="77777777" w:rsidR="00277ECB" w:rsidRPr="00342F7C" w:rsidRDefault="00277ECB">
      <w:pPr>
        <w:pStyle w:val="EMEABullet"/>
        <w:numPr>
          <w:ilvl w:val="0"/>
          <w:numId w:val="0"/>
        </w:numPr>
        <w:rPr>
          <w:lang w:val="en-GB"/>
        </w:rPr>
      </w:pPr>
      <w:r w:rsidRPr="00342F7C">
        <w:rPr>
          <w:b/>
          <w:bCs/>
          <w:lang w:val="en-GB"/>
        </w:rPr>
        <w:t>Do not take Kaletra with any of the following medicines:</w:t>
      </w:r>
    </w:p>
    <w:p w14:paraId="5ED86A4D" w14:textId="77777777" w:rsidR="00277ECB" w:rsidRPr="00342F7C" w:rsidRDefault="002E6065" w:rsidP="0052761E">
      <w:pPr>
        <w:pStyle w:val="EMEABullet"/>
        <w:numPr>
          <w:ilvl w:val="1"/>
          <w:numId w:val="55"/>
        </w:numPr>
        <w:tabs>
          <w:tab w:val="clear" w:pos="1134"/>
          <w:tab w:val="left" w:pos="567"/>
        </w:tabs>
        <w:ind w:left="567"/>
        <w:rPr>
          <w:lang w:val="en-GB"/>
        </w:rPr>
      </w:pPr>
      <w:r>
        <w:rPr>
          <w:lang w:val="en-GB"/>
        </w:rPr>
        <w:t>a</w:t>
      </w:r>
      <w:r w:rsidR="00277ECB" w:rsidRPr="00342F7C">
        <w:rPr>
          <w:lang w:val="en-GB"/>
        </w:rPr>
        <w:t>stemizole or terfenadine (commonly used to treat allergy symptoms – these medicines may be available without prescription);</w:t>
      </w:r>
    </w:p>
    <w:p w14:paraId="2F72F998" w14:textId="77777777" w:rsidR="00277ECB" w:rsidRPr="00342F7C" w:rsidRDefault="002E6065" w:rsidP="0052761E">
      <w:pPr>
        <w:pStyle w:val="EMEABullet"/>
        <w:numPr>
          <w:ilvl w:val="1"/>
          <w:numId w:val="55"/>
        </w:numPr>
        <w:tabs>
          <w:tab w:val="clear" w:pos="1134"/>
          <w:tab w:val="left" w:pos="567"/>
        </w:tabs>
        <w:ind w:left="567"/>
        <w:rPr>
          <w:lang w:val="en-GB"/>
        </w:rPr>
      </w:pPr>
      <w:r>
        <w:rPr>
          <w:lang w:val="en-GB"/>
        </w:rPr>
        <w:t>m</w:t>
      </w:r>
      <w:r w:rsidR="00277ECB" w:rsidRPr="00342F7C">
        <w:rPr>
          <w:lang w:val="en-GB"/>
        </w:rPr>
        <w:t>idazolam taken orally (taken by mouth), triazolam (used to relieve anxiety and/or trouble sleeping);</w:t>
      </w:r>
    </w:p>
    <w:p w14:paraId="68DE0C17" w14:textId="77777777" w:rsidR="00277ECB" w:rsidRDefault="002E6065" w:rsidP="0052761E">
      <w:pPr>
        <w:pStyle w:val="EMEABullet"/>
        <w:numPr>
          <w:ilvl w:val="1"/>
          <w:numId w:val="55"/>
        </w:numPr>
        <w:tabs>
          <w:tab w:val="clear" w:pos="1134"/>
          <w:tab w:val="left" w:pos="567"/>
        </w:tabs>
        <w:ind w:left="567"/>
        <w:rPr>
          <w:lang w:val="en-GB"/>
        </w:rPr>
      </w:pPr>
      <w:r>
        <w:rPr>
          <w:lang w:val="en-GB"/>
        </w:rPr>
        <w:t>p</w:t>
      </w:r>
      <w:r w:rsidR="00277ECB" w:rsidRPr="00342F7C">
        <w:rPr>
          <w:lang w:val="en-GB"/>
        </w:rPr>
        <w:t>imozide (used to treat schizophrenia);</w:t>
      </w:r>
    </w:p>
    <w:p w14:paraId="2982C053" w14:textId="77777777" w:rsidR="00EA2A31" w:rsidRDefault="002E6065" w:rsidP="0052761E">
      <w:pPr>
        <w:pStyle w:val="EMEABullet"/>
        <w:numPr>
          <w:ilvl w:val="1"/>
          <w:numId w:val="55"/>
        </w:numPr>
        <w:tabs>
          <w:tab w:val="clear" w:pos="1134"/>
          <w:tab w:val="left" w:pos="567"/>
        </w:tabs>
        <w:ind w:left="567"/>
        <w:rPr>
          <w:lang w:val="en-GB"/>
        </w:rPr>
      </w:pPr>
      <w:r>
        <w:rPr>
          <w:lang w:val="en-GB"/>
        </w:rPr>
        <w:t>q</w:t>
      </w:r>
      <w:r w:rsidR="00EA2A31" w:rsidRPr="00B8664C">
        <w:rPr>
          <w:lang w:val="en-GB"/>
        </w:rPr>
        <w:t>uetiapine (used to treat schizophrenia, bipolar disorder and major depressive disorder);</w:t>
      </w:r>
    </w:p>
    <w:p w14:paraId="1818EE32" w14:textId="77777777" w:rsidR="00F072F6" w:rsidRDefault="00F072F6" w:rsidP="0052761E">
      <w:pPr>
        <w:pStyle w:val="EMEABullet"/>
        <w:numPr>
          <w:ilvl w:val="1"/>
          <w:numId w:val="55"/>
        </w:numPr>
        <w:tabs>
          <w:tab w:val="clear" w:pos="1134"/>
          <w:tab w:val="left" w:pos="567"/>
        </w:tabs>
        <w:ind w:left="567"/>
        <w:rPr>
          <w:lang w:val="en-GB"/>
        </w:rPr>
      </w:pPr>
      <w:r w:rsidRPr="00F072F6">
        <w:rPr>
          <w:lang w:val="en-GB"/>
        </w:rPr>
        <w:t>l</w:t>
      </w:r>
      <w:r w:rsidRPr="00C40BDF">
        <w:rPr>
          <w:lang w:val="en-GB"/>
        </w:rPr>
        <w:t>urasidone (used to treat depression);</w:t>
      </w:r>
    </w:p>
    <w:p w14:paraId="0F76B6EE" w14:textId="77777777" w:rsidR="00C40BDF" w:rsidRPr="00C40BDF" w:rsidRDefault="00C40BDF" w:rsidP="0052761E">
      <w:pPr>
        <w:pStyle w:val="EMEABullet"/>
        <w:numPr>
          <w:ilvl w:val="1"/>
          <w:numId w:val="55"/>
        </w:numPr>
        <w:tabs>
          <w:tab w:val="clear" w:pos="1134"/>
          <w:tab w:val="left" w:pos="567"/>
        </w:tabs>
        <w:ind w:left="567"/>
        <w:rPr>
          <w:lang w:val="en-GB"/>
        </w:rPr>
      </w:pPr>
      <w:r>
        <w:rPr>
          <w:lang w:val="en-GB"/>
        </w:rPr>
        <w:t>ranolazine (used to treat chronic chest pain [angina]);</w:t>
      </w:r>
    </w:p>
    <w:p w14:paraId="585475DE" w14:textId="77777777" w:rsidR="00277ECB" w:rsidRPr="00342F7C" w:rsidRDefault="002E6065" w:rsidP="0052761E">
      <w:pPr>
        <w:pStyle w:val="EMEABullet"/>
        <w:numPr>
          <w:ilvl w:val="1"/>
          <w:numId w:val="55"/>
        </w:numPr>
        <w:tabs>
          <w:tab w:val="clear" w:pos="1134"/>
          <w:tab w:val="left" w:pos="567"/>
        </w:tabs>
        <w:ind w:left="567"/>
        <w:rPr>
          <w:lang w:val="en-GB"/>
        </w:rPr>
      </w:pPr>
      <w:r>
        <w:rPr>
          <w:lang w:val="en-GB"/>
        </w:rPr>
        <w:t>c</w:t>
      </w:r>
      <w:r w:rsidR="00277ECB" w:rsidRPr="00342F7C">
        <w:rPr>
          <w:lang w:val="en-GB"/>
        </w:rPr>
        <w:t>isapride (used to relieve certain stomach problems);</w:t>
      </w:r>
    </w:p>
    <w:p w14:paraId="3B3AA256" w14:textId="77777777" w:rsidR="00277ECB" w:rsidRPr="00342F7C" w:rsidRDefault="002E6065" w:rsidP="0052761E">
      <w:pPr>
        <w:pStyle w:val="EMEABullet"/>
        <w:numPr>
          <w:ilvl w:val="1"/>
          <w:numId w:val="55"/>
        </w:numPr>
        <w:tabs>
          <w:tab w:val="clear" w:pos="1134"/>
          <w:tab w:val="left" w:pos="567"/>
        </w:tabs>
        <w:ind w:left="567"/>
        <w:rPr>
          <w:lang w:val="en-GB"/>
        </w:rPr>
      </w:pPr>
      <w:r>
        <w:rPr>
          <w:lang w:val="en-GB"/>
        </w:rPr>
        <w:t>e</w:t>
      </w:r>
      <w:r w:rsidR="00277ECB" w:rsidRPr="00342F7C">
        <w:rPr>
          <w:lang w:val="en-GB"/>
        </w:rPr>
        <w:t>rgotamine, dihydroergotamine, ergonovine, methylergonovine (used to treat headaches);</w:t>
      </w:r>
    </w:p>
    <w:p w14:paraId="53728B2B" w14:textId="77777777" w:rsidR="00277ECB" w:rsidRPr="00342F7C" w:rsidRDefault="002E6065" w:rsidP="0052761E">
      <w:pPr>
        <w:pStyle w:val="EMEABullet"/>
        <w:numPr>
          <w:ilvl w:val="1"/>
          <w:numId w:val="55"/>
        </w:numPr>
        <w:tabs>
          <w:tab w:val="clear" w:pos="1134"/>
          <w:tab w:val="left" w:pos="567"/>
        </w:tabs>
        <w:ind w:left="567"/>
        <w:rPr>
          <w:lang w:val="en-GB"/>
        </w:rPr>
      </w:pPr>
      <w:r>
        <w:rPr>
          <w:lang w:val="en-GB"/>
        </w:rPr>
        <w:t>a</w:t>
      </w:r>
      <w:r w:rsidR="00277ECB" w:rsidRPr="00342F7C">
        <w:rPr>
          <w:lang w:val="en-GB"/>
        </w:rPr>
        <w:t>miodarone</w:t>
      </w:r>
      <w:r w:rsidR="00531A5A">
        <w:rPr>
          <w:lang w:val="en-GB"/>
        </w:rPr>
        <w:t>, dronedarone</w:t>
      </w:r>
      <w:r w:rsidR="00277ECB" w:rsidRPr="00342F7C">
        <w:rPr>
          <w:lang w:val="en-GB"/>
        </w:rPr>
        <w:t xml:space="preserve"> (used to treat abnormal heart beat);</w:t>
      </w:r>
    </w:p>
    <w:p w14:paraId="6C51C6DC" w14:textId="77777777" w:rsidR="002153AE" w:rsidRDefault="002E6065" w:rsidP="0052761E">
      <w:pPr>
        <w:pStyle w:val="EMEABullet"/>
        <w:numPr>
          <w:ilvl w:val="1"/>
          <w:numId w:val="55"/>
        </w:numPr>
        <w:tabs>
          <w:tab w:val="clear" w:pos="1134"/>
          <w:tab w:val="left" w:pos="567"/>
        </w:tabs>
        <w:ind w:left="567"/>
        <w:rPr>
          <w:lang w:val="en-GB"/>
        </w:rPr>
      </w:pPr>
      <w:r>
        <w:rPr>
          <w:lang w:val="en-GB"/>
        </w:rPr>
        <w:t>l</w:t>
      </w:r>
      <w:r w:rsidR="002153AE" w:rsidRPr="00342F7C">
        <w:rPr>
          <w:lang w:val="en-GB"/>
        </w:rPr>
        <w:t>ovastatin, simvastatin (used to lower blood cholesterol);</w:t>
      </w:r>
    </w:p>
    <w:p w14:paraId="1846E8C0" w14:textId="77777777" w:rsidR="0038543F" w:rsidRDefault="0038543F" w:rsidP="0052761E">
      <w:pPr>
        <w:pStyle w:val="EMEABullet"/>
        <w:numPr>
          <w:ilvl w:val="1"/>
          <w:numId w:val="55"/>
        </w:numPr>
        <w:tabs>
          <w:tab w:val="clear" w:pos="1134"/>
          <w:tab w:val="left" w:pos="567"/>
        </w:tabs>
        <w:ind w:left="567"/>
        <w:rPr>
          <w:lang w:val="en-GB"/>
        </w:rPr>
      </w:pPr>
      <w:r>
        <w:rPr>
          <w:lang w:val="en-GB"/>
        </w:rPr>
        <w:t>lomitapide (used t</w:t>
      </w:r>
      <w:r w:rsidR="001425C7">
        <w:rPr>
          <w:lang w:val="en-GB"/>
        </w:rPr>
        <w:t>o</w:t>
      </w:r>
      <w:r>
        <w:rPr>
          <w:lang w:val="en-GB"/>
        </w:rPr>
        <w:t xml:space="preserve"> lower blood cholesterol);</w:t>
      </w:r>
    </w:p>
    <w:p w14:paraId="735BC6EB" w14:textId="77777777" w:rsidR="00BE1421" w:rsidRDefault="002E6065" w:rsidP="00C63A89">
      <w:pPr>
        <w:pStyle w:val="EMEABullet"/>
        <w:tabs>
          <w:tab w:val="num" w:pos="600"/>
        </w:tabs>
        <w:ind w:left="600" w:hanging="600"/>
        <w:rPr>
          <w:lang w:val="en-GB"/>
        </w:rPr>
      </w:pPr>
      <w:r>
        <w:rPr>
          <w:lang w:val="en-GB"/>
        </w:rPr>
        <w:t>a</w:t>
      </w:r>
      <w:r w:rsidR="00C63A89">
        <w:rPr>
          <w:lang w:val="en-GB"/>
        </w:rPr>
        <w:t>lfuzosin (used in men to treat symptoms of an enlarged prostate (benign prostatic hyperplasia (BPH));</w:t>
      </w:r>
    </w:p>
    <w:p w14:paraId="22EB15EA" w14:textId="77777777" w:rsidR="00C63A89" w:rsidRPr="00AC3B88" w:rsidRDefault="002E6065" w:rsidP="00C63A89">
      <w:pPr>
        <w:pStyle w:val="EMEABullet"/>
        <w:tabs>
          <w:tab w:val="num" w:pos="600"/>
        </w:tabs>
        <w:ind w:left="601" w:hanging="601"/>
        <w:rPr>
          <w:lang w:val="en-GB"/>
        </w:rPr>
      </w:pPr>
      <w:r>
        <w:rPr>
          <w:lang w:val="en-GB"/>
        </w:rPr>
        <w:t>f</w:t>
      </w:r>
      <w:r w:rsidR="00C63A89">
        <w:rPr>
          <w:lang w:val="en-GB"/>
        </w:rPr>
        <w:t xml:space="preserve">usidic acid (used to treat skin infections caused by </w:t>
      </w:r>
      <w:r w:rsidR="00C63A89" w:rsidRPr="00ED161C">
        <w:rPr>
          <w:i/>
          <w:lang w:val="en-GB"/>
        </w:rPr>
        <w:t>Staphylococcus</w:t>
      </w:r>
      <w:r w:rsidR="00C63A89">
        <w:rPr>
          <w:lang w:val="en-GB"/>
        </w:rPr>
        <w:t xml:space="preserve"> bacteria such as impetigo and infected dermatitis</w:t>
      </w:r>
      <w:r w:rsidR="006E48E5">
        <w:rPr>
          <w:lang w:val="en-GB"/>
        </w:rPr>
        <w:t>)</w:t>
      </w:r>
      <w:r w:rsidR="00C63A89">
        <w:rPr>
          <w:lang w:val="en-GB"/>
        </w:rPr>
        <w:t xml:space="preserve">.  </w:t>
      </w:r>
      <w:r w:rsidR="00C63A89" w:rsidRPr="00AC3B88">
        <w:rPr>
          <w:lang w:val="en-GB"/>
        </w:rPr>
        <w:t>Fusidic acid used to treat long-term infections of the bones and joints may be taken unde</w:t>
      </w:r>
      <w:r w:rsidR="007C4B96">
        <w:rPr>
          <w:lang w:val="en-GB"/>
        </w:rPr>
        <w:t xml:space="preserve">r doctor’s supervision (see </w:t>
      </w:r>
      <w:r w:rsidR="00273614" w:rsidRPr="00282043">
        <w:rPr>
          <w:b/>
          <w:lang w:val="en-GB"/>
        </w:rPr>
        <w:t>O</w:t>
      </w:r>
      <w:r w:rsidR="00C63A89" w:rsidRPr="00282043">
        <w:rPr>
          <w:b/>
          <w:lang w:val="en-GB"/>
        </w:rPr>
        <w:t xml:space="preserve">ther medicines </w:t>
      </w:r>
      <w:r w:rsidR="00273614" w:rsidRPr="00282043">
        <w:rPr>
          <w:b/>
          <w:lang w:val="en-GB"/>
        </w:rPr>
        <w:t>and Kaletra</w:t>
      </w:r>
      <w:r w:rsidR="00273614">
        <w:rPr>
          <w:lang w:val="en-GB"/>
        </w:rPr>
        <w:t xml:space="preserve"> </w:t>
      </w:r>
      <w:r w:rsidR="00C63A89" w:rsidRPr="00AC3B88">
        <w:rPr>
          <w:lang w:val="en-GB"/>
        </w:rPr>
        <w:t>section);</w:t>
      </w:r>
    </w:p>
    <w:p w14:paraId="2FB48541" w14:textId="77777777" w:rsidR="00C63A89" w:rsidRDefault="002E6065" w:rsidP="00C63A89">
      <w:pPr>
        <w:pStyle w:val="EMEABullet"/>
        <w:tabs>
          <w:tab w:val="num" w:pos="600"/>
        </w:tabs>
        <w:ind w:left="601" w:hanging="601"/>
        <w:rPr>
          <w:lang w:val="en-GB"/>
        </w:rPr>
      </w:pPr>
      <w:r>
        <w:rPr>
          <w:lang w:val="en-GB"/>
        </w:rPr>
        <w:t>c</w:t>
      </w:r>
      <w:r w:rsidR="00C63A89" w:rsidRPr="00AC3B88">
        <w:rPr>
          <w:lang w:val="en-GB"/>
        </w:rPr>
        <w:t>olchicine (</w:t>
      </w:r>
      <w:r w:rsidR="00391D50">
        <w:rPr>
          <w:lang w:val="en-GB"/>
        </w:rPr>
        <w:t>used to treat gout</w:t>
      </w:r>
      <w:r w:rsidR="00C63A89" w:rsidRPr="00AC3B88">
        <w:rPr>
          <w:lang w:val="en-GB"/>
        </w:rPr>
        <w:t>)</w:t>
      </w:r>
      <w:r w:rsidR="00391D50" w:rsidRPr="00AC3B88">
        <w:rPr>
          <w:lang w:val="en-GB"/>
        </w:rPr>
        <w:t xml:space="preserve"> </w:t>
      </w:r>
      <w:r w:rsidR="00391D50">
        <w:rPr>
          <w:lang w:val="en-GB"/>
        </w:rPr>
        <w:t xml:space="preserve">if you have kidney and/or liver problems (see the section on </w:t>
      </w:r>
      <w:r w:rsidR="00391D50" w:rsidRPr="00391D50">
        <w:rPr>
          <w:b/>
          <w:lang w:val="en-GB"/>
        </w:rPr>
        <w:t>Other medicines and Kaletra</w:t>
      </w:r>
      <w:r w:rsidR="00937181">
        <w:rPr>
          <w:lang w:val="en-GB"/>
        </w:rPr>
        <w:t>)</w:t>
      </w:r>
      <w:r w:rsidR="00C63A89" w:rsidRPr="00AC3B88">
        <w:rPr>
          <w:lang w:val="en-GB"/>
        </w:rPr>
        <w:t>;</w:t>
      </w:r>
    </w:p>
    <w:p w14:paraId="3B68E0E3" w14:textId="77777777" w:rsidR="00B03B0B" w:rsidRDefault="009C7FB5" w:rsidP="00C63A89">
      <w:pPr>
        <w:pStyle w:val="EMEABullet"/>
        <w:tabs>
          <w:tab w:val="num" w:pos="600"/>
        </w:tabs>
        <w:ind w:left="601" w:hanging="601"/>
        <w:rPr>
          <w:lang w:val="en-GB"/>
        </w:rPr>
      </w:pPr>
      <w:r>
        <w:rPr>
          <w:lang w:val="en-GB"/>
        </w:rPr>
        <w:t>elbasvir/grazoprevir (used t</w:t>
      </w:r>
      <w:r w:rsidR="00F3626C">
        <w:rPr>
          <w:lang w:val="en-GB"/>
        </w:rPr>
        <w:t>o</w:t>
      </w:r>
      <w:r>
        <w:rPr>
          <w:lang w:val="en-GB"/>
        </w:rPr>
        <w:t xml:space="preserve"> treat chronic hepatitis C virus [HCV]);</w:t>
      </w:r>
    </w:p>
    <w:p w14:paraId="418828E0" w14:textId="77777777" w:rsidR="009C7FB5" w:rsidRDefault="00B03B0B" w:rsidP="00C63A89">
      <w:pPr>
        <w:pStyle w:val="EMEABullet"/>
        <w:tabs>
          <w:tab w:val="num" w:pos="600"/>
        </w:tabs>
        <w:ind w:left="601" w:hanging="601"/>
        <w:rPr>
          <w:lang w:val="en-GB"/>
        </w:rPr>
      </w:pPr>
      <w:r>
        <w:rPr>
          <w:lang w:val="en-GB"/>
        </w:rPr>
        <w:t>o</w:t>
      </w:r>
      <w:r w:rsidR="0086621B" w:rsidRPr="00D273DB">
        <w:rPr>
          <w:lang w:val="en-GB"/>
        </w:rPr>
        <w:t>mbitasvir/paritaprevir/ritonavir with or without dasabuvir (used to treat chronic hepatitis C virus [HCV]);</w:t>
      </w:r>
    </w:p>
    <w:p w14:paraId="1F94ECFF" w14:textId="77777777" w:rsidR="003E51DB" w:rsidRPr="00AC3B88" w:rsidRDefault="003E51DB" w:rsidP="00C63A89">
      <w:pPr>
        <w:pStyle w:val="EMEABullet"/>
        <w:tabs>
          <w:tab w:val="num" w:pos="600"/>
        </w:tabs>
        <w:ind w:left="601" w:hanging="601"/>
        <w:rPr>
          <w:lang w:val="en-GB"/>
        </w:rPr>
      </w:pPr>
      <w:r>
        <w:rPr>
          <w:lang w:val="en-GB"/>
        </w:rPr>
        <w:t>neratinib (used to treat breast cancer);</w:t>
      </w:r>
    </w:p>
    <w:p w14:paraId="2F54C163" w14:textId="77777777" w:rsidR="00277ECB" w:rsidRDefault="002E6065" w:rsidP="0052761E">
      <w:pPr>
        <w:pStyle w:val="EMEABullet"/>
        <w:numPr>
          <w:ilvl w:val="1"/>
          <w:numId w:val="56"/>
        </w:numPr>
        <w:tabs>
          <w:tab w:val="clear" w:pos="1134"/>
          <w:tab w:val="left" w:pos="567"/>
        </w:tabs>
        <w:ind w:left="567"/>
        <w:rPr>
          <w:lang w:val="en-GB"/>
        </w:rPr>
      </w:pPr>
      <w:r>
        <w:rPr>
          <w:lang w:val="en-GB"/>
        </w:rPr>
        <w:t>a</w:t>
      </w:r>
      <w:r w:rsidR="00D40FAE">
        <w:rPr>
          <w:lang w:val="en-GB"/>
        </w:rPr>
        <w:t>vanafil</w:t>
      </w:r>
      <w:r w:rsidR="00D40FAE" w:rsidRPr="00342F7C">
        <w:rPr>
          <w:lang w:val="en-GB"/>
        </w:rPr>
        <w:t xml:space="preserve"> </w:t>
      </w:r>
      <w:r w:rsidR="00D40FAE">
        <w:rPr>
          <w:lang w:val="en-GB"/>
        </w:rPr>
        <w:t>or v</w:t>
      </w:r>
      <w:r w:rsidR="00277ECB" w:rsidRPr="00342F7C">
        <w:rPr>
          <w:lang w:val="en-GB"/>
        </w:rPr>
        <w:t>ardenafil (used to treat erectile dysfunction);</w:t>
      </w:r>
    </w:p>
    <w:p w14:paraId="618BC921" w14:textId="77777777" w:rsidR="002153AE" w:rsidRPr="00342F7C" w:rsidRDefault="002E6065" w:rsidP="0052761E">
      <w:pPr>
        <w:pStyle w:val="EMEABullet"/>
        <w:numPr>
          <w:ilvl w:val="1"/>
          <w:numId w:val="56"/>
        </w:numPr>
        <w:tabs>
          <w:tab w:val="clear" w:pos="1134"/>
          <w:tab w:val="left" w:pos="567"/>
        </w:tabs>
        <w:ind w:left="567"/>
        <w:rPr>
          <w:lang w:val="en-GB"/>
        </w:rPr>
      </w:pPr>
      <w:r>
        <w:rPr>
          <w:lang w:val="en-GB"/>
        </w:rPr>
        <w:t>s</w:t>
      </w:r>
      <w:r w:rsidR="002153AE" w:rsidRPr="00342F7C">
        <w:rPr>
          <w:lang w:val="en-GB"/>
        </w:rPr>
        <w:t>ildenafil used to treat pulmonary arterial hypertension</w:t>
      </w:r>
      <w:r w:rsidR="00C63A89">
        <w:rPr>
          <w:lang w:val="en-GB"/>
        </w:rPr>
        <w:t xml:space="preserve"> (high blood pressure in the pulmonary artery</w:t>
      </w:r>
      <w:r w:rsidR="002153AE" w:rsidRPr="00342F7C">
        <w:rPr>
          <w:lang w:val="en-GB"/>
        </w:rPr>
        <w:t xml:space="preserve">).  Sildenafil used to treat erectile dysfunction may be taken under doctor’s supervision (see </w:t>
      </w:r>
      <w:r w:rsidR="001E3098">
        <w:rPr>
          <w:b/>
          <w:lang w:val="en-GB"/>
        </w:rPr>
        <w:t>Other medicines and</w:t>
      </w:r>
      <w:r w:rsidR="002153AE" w:rsidRPr="00342F7C">
        <w:rPr>
          <w:b/>
          <w:lang w:val="en-GB"/>
        </w:rPr>
        <w:t xml:space="preserve"> Kaletra</w:t>
      </w:r>
      <w:r w:rsidR="002153AE" w:rsidRPr="00342F7C">
        <w:rPr>
          <w:lang w:val="en-GB"/>
        </w:rPr>
        <w:t xml:space="preserve"> section);</w:t>
      </w:r>
    </w:p>
    <w:p w14:paraId="4AAFF2D8" w14:textId="77777777" w:rsidR="00277ECB" w:rsidRPr="00342F7C" w:rsidRDefault="002E6065" w:rsidP="0052761E">
      <w:pPr>
        <w:pStyle w:val="EMEABullet"/>
        <w:numPr>
          <w:ilvl w:val="1"/>
          <w:numId w:val="56"/>
        </w:numPr>
        <w:tabs>
          <w:tab w:val="clear" w:pos="1134"/>
          <w:tab w:val="left" w:pos="567"/>
        </w:tabs>
        <w:ind w:left="567"/>
        <w:rPr>
          <w:lang w:val="en-GB"/>
        </w:rPr>
      </w:pPr>
      <w:r>
        <w:rPr>
          <w:lang w:val="en-GB"/>
        </w:rPr>
        <w:t>p</w:t>
      </w:r>
      <w:r w:rsidR="00277ECB" w:rsidRPr="00342F7C">
        <w:rPr>
          <w:lang w:val="en-GB"/>
        </w:rPr>
        <w:t>roducts that contain St John’s wort (</w:t>
      </w:r>
      <w:r w:rsidR="00277ECB" w:rsidRPr="00342F7C">
        <w:rPr>
          <w:i/>
          <w:iCs/>
          <w:lang w:val="en-GB"/>
        </w:rPr>
        <w:t>Hypericum perforatum</w:t>
      </w:r>
      <w:r w:rsidR="00277ECB" w:rsidRPr="00342F7C">
        <w:rPr>
          <w:lang w:val="en-GB"/>
        </w:rPr>
        <w:t>).</w:t>
      </w:r>
    </w:p>
    <w:p w14:paraId="5B042BF9" w14:textId="77777777" w:rsidR="00277ECB" w:rsidRPr="00342F7C" w:rsidRDefault="00277ECB">
      <w:pPr>
        <w:pStyle w:val="EMEANormal"/>
        <w:rPr>
          <w:lang w:val="en-GB"/>
        </w:rPr>
      </w:pPr>
    </w:p>
    <w:p w14:paraId="4A17D1B0" w14:textId="77777777" w:rsidR="00277ECB" w:rsidRPr="00342F7C" w:rsidRDefault="00277ECB">
      <w:pPr>
        <w:pStyle w:val="EMEANormal"/>
        <w:tabs>
          <w:tab w:val="clear" w:pos="562"/>
        </w:tabs>
        <w:rPr>
          <w:b/>
          <w:bCs/>
          <w:lang w:val="en-GB"/>
        </w:rPr>
      </w:pPr>
      <w:r w:rsidRPr="00342F7C">
        <w:rPr>
          <w:b/>
          <w:bCs/>
          <w:lang w:val="en-GB"/>
        </w:rPr>
        <w:t xml:space="preserve">Read the list of medicines </w:t>
      </w:r>
      <w:r w:rsidR="001E3098">
        <w:rPr>
          <w:b/>
          <w:bCs/>
          <w:lang w:val="en-GB"/>
        </w:rPr>
        <w:t xml:space="preserve">below </w:t>
      </w:r>
      <w:r w:rsidRPr="00342F7C">
        <w:rPr>
          <w:b/>
          <w:bCs/>
          <w:lang w:val="en-GB"/>
        </w:rPr>
        <w:t>under ‘</w:t>
      </w:r>
      <w:r w:rsidR="00EB3C76">
        <w:rPr>
          <w:b/>
          <w:bCs/>
          <w:lang w:val="en-GB"/>
        </w:rPr>
        <w:t>O</w:t>
      </w:r>
      <w:r w:rsidRPr="00342F7C">
        <w:rPr>
          <w:b/>
          <w:bCs/>
          <w:lang w:val="en-GB"/>
        </w:rPr>
        <w:t>ther medicines</w:t>
      </w:r>
      <w:r w:rsidR="00EB3C76">
        <w:rPr>
          <w:b/>
          <w:bCs/>
          <w:lang w:val="en-GB"/>
        </w:rPr>
        <w:t xml:space="preserve"> and Kaletra</w:t>
      </w:r>
      <w:r w:rsidRPr="00342F7C">
        <w:rPr>
          <w:b/>
          <w:bCs/>
          <w:lang w:val="en-GB"/>
        </w:rPr>
        <w:t xml:space="preserve">’ </w:t>
      </w:r>
      <w:r w:rsidRPr="00342F7C">
        <w:rPr>
          <w:lang w:val="en-GB"/>
        </w:rPr>
        <w:t>for information on certain other medicines which require special care.</w:t>
      </w:r>
    </w:p>
    <w:p w14:paraId="0ED42BCD" w14:textId="77777777" w:rsidR="00277ECB" w:rsidRPr="00342F7C" w:rsidRDefault="00277ECB">
      <w:pPr>
        <w:pStyle w:val="EMEANormal"/>
        <w:ind w:left="600" w:hanging="600"/>
        <w:rPr>
          <w:b/>
          <w:bCs/>
          <w:lang w:val="en-GB"/>
        </w:rPr>
      </w:pPr>
    </w:p>
    <w:p w14:paraId="7CA1094C" w14:textId="77777777" w:rsidR="00277ECB" w:rsidRPr="00342F7C" w:rsidRDefault="00277ECB">
      <w:pPr>
        <w:pStyle w:val="EMEANormal"/>
        <w:rPr>
          <w:lang w:val="en-GB"/>
        </w:rPr>
      </w:pPr>
      <w:r w:rsidRPr="00342F7C">
        <w:rPr>
          <w:lang w:val="en-GB"/>
        </w:rPr>
        <w:t>If you are currently taking any of these medicines, ask your doctor about</w:t>
      </w:r>
      <w:r w:rsidR="003D1B4E" w:rsidRPr="00342F7C">
        <w:rPr>
          <w:lang w:val="en-GB"/>
        </w:rPr>
        <w:t xml:space="preserve"> </w:t>
      </w:r>
      <w:r w:rsidR="00FC7283" w:rsidRPr="00342F7C">
        <w:rPr>
          <w:lang w:val="en-GB"/>
        </w:rPr>
        <w:t>making necessary changes either in the treatment for your other condition(s) or in your antiretroviral treatment</w:t>
      </w:r>
      <w:r w:rsidR="003D1B4E" w:rsidRPr="00342F7C">
        <w:rPr>
          <w:lang w:val="en-GB"/>
        </w:rPr>
        <w:t>.</w:t>
      </w:r>
      <w:r w:rsidRPr="00342F7C">
        <w:rPr>
          <w:lang w:val="en-GB"/>
        </w:rPr>
        <w:t xml:space="preserve"> </w:t>
      </w:r>
    </w:p>
    <w:p w14:paraId="48EEA0CB" w14:textId="77777777" w:rsidR="004B37FD" w:rsidRDefault="004B37FD" w:rsidP="004B37FD">
      <w:pPr>
        <w:pStyle w:val="EMEAHeadingLeaflet"/>
        <w:spacing w:beforeLines="0" w:before="0" w:afterLines="0" w:after="0"/>
        <w:rPr>
          <w:rFonts w:ascii="Times New Roman" w:hAnsi="Times New Roman"/>
          <w:lang w:val="en-GB"/>
        </w:rPr>
      </w:pPr>
    </w:p>
    <w:p w14:paraId="059B7313" w14:textId="77777777" w:rsidR="004B37FD" w:rsidRDefault="002E6065">
      <w:pPr>
        <w:pStyle w:val="EMEANormal"/>
        <w:rPr>
          <w:b/>
          <w:lang w:val="en-GB"/>
        </w:rPr>
      </w:pPr>
      <w:r w:rsidRPr="007D3EEB">
        <w:rPr>
          <w:b/>
          <w:lang w:val="en-GB"/>
        </w:rPr>
        <w:t>Warnings and precautions</w:t>
      </w:r>
    </w:p>
    <w:p w14:paraId="379A65E3" w14:textId="77777777" w:rsidR="003036A6" w:rsidRPr="00205577" w:rsidRDefault="003036A6">
      <w:pPr>
        <w:pStyle w:val="EMEANormal"/>
        <w:rPr>
          <w:b/>
          <w:u w:val="single"/>
          <w:lang w:val="en-GB"/>
        </w:rPr>
      </w:pPr>
    </w:p>
    <w:p w14:paraId="394381F8" w14:textId="77777777" w:rsidR="002E6065" w:rsidRPr="00711D9E" w:rsidRDefault="002E6065" w:rsidP="002E6065">
      <w:pPr>
        <w:pStyle w:val="EMEANormal"/>
        <w:rPr>
          <w:lang w:val="en-GB"/>
        </w:rPr>
      </w:pPr>
      <w:r>
        <w:rPr>
          <w:lang w:val="en-GB"/>
        </w:rPr>
        <w:t xml:space="preserve">Talk to your doctor </w:t>
      </w:r>
      <w:r w:rsidR="001E3098">
        <w:rPr>
          <w:lang w:val="en-GB"/>
        </w:rPr>
        <w:t xml:space="preserve">or pharmacist </w:t>
      </w:r>
      <w:r>
        <w:rPr>
          <w:lang w:val="en-GB"/>
        </w:rPr>
        <w:t>before taking Kaletra.</w:t>
      </w:r>
    </w:p>
    <w:p w14:paraId="6DDDCC06" w14:textId="77777777" w:rsidR="002E6065" w:rsidRDefault="002E6065">
      <w:pPr>
        <w:pStyle w:val="EMEANormal"/>
        <w:rPr>
          <w:u w:val="single"/>
          <w:lang w:val="en-GB"/>
        </w:rPr>
      </w:pPr>
    </w:p>
    <w:p w14:paraId="70E90693" w14:textId="77777777" w:rsidR="00277ECB" w:rsidRDefault="00277ECB">
      <w:pPr>
        <w:pStyle w:val="EMEANormal"/>
        <w:rPr>
          <w:b/>
          <w:lang w:val="en-GB"/>
        </w:rPr>
      </w:pPr>
      <w:r w:rsidRPr="0017061C">
        <w:rPr>
          <w:b/>
          <w:lang w:val="en-GB"/>
        </w:rPr>
        <w:t>Important information</w:t>
      </w:r>
    </w:p>
    <w:p w14:paraId="36AE341B" w14:textId="77777777" w:rsidR="002E6065" w:rsidRPr="003808AC" w:rsidRDefault="002E6065">
      <w:pPr>
        <w:pStyle w:val="EMEANormal"/>
        <w:rPr>
          <w:b/>
          <w:lang w:val="en-GB"/>
        </w:rPr>
      </w:pPr>
    </w:p>
    <w:p w14:paraId="5411CFA4" w14:textId="77777777" w:rsidR="00277ECB" w:rsidRPr="00342F7C" w:rsidRDefault="00277ECB" w:rsidP="00F80B3D">
      <w:pPr>
        <w:pStyle w:val="EMEABullet"/>
        <w:tabs>
          <w:tab w:val="clear" w:pos="709"/>
          <w:tab w:val="num" w:pos="567"/>
        </w:tabs>
        <w:ind w:left="567"/>
        <w:rPr>
          <w:b/>
          <w:bCs/>
          <w:lang w:val="en-GB"/>
        </w:rPr>
      </w:pPr>
      <w:r w:rsidRPr="00342F7C">
        <w:rPr>
          <w:lang w:val="en-GB"/>
        </w:rPr>
        <w:t xml:space="preserve">People taking Kaletra may still develop infections or other illnesses associated with HIV disease and AIDS.  It is therefore important that you remain under the supervision of your doctor while taking Kaletra.  </w:t>
      </w:r>
    </w:p>
    <w:p w14:paraId="4A57ACA1" w14:textId="77777777" w:rsidR="00277ECB" w:rsidRPr="00342F7C" w:rsidRDefault="000C6F32" w:rsidP="00F80B3D">
      <w:pPr>
        <w:pStyle w:val="EMEABullet"/>
        <w:tabs>
          <w:tab w:val="clear" w:pos="709"/>
          <w:tab w:val="num" w:pos="567"/>
        </w:tabs>
        <w:ind w:left="567"/>
        <w:rPr>
          <w:b/>
          <w:bCs/>
          <w:lang w:val="en-GB"/>
        </w:rPr>
      </w:pPr>
      <w:r w:rsidRPr="00206ABB">
        <w:rPr>
          <w:b/>
          <w:lang w:val="en-GB"/>
        </w:rPr>
        <w:t>You can still pass on HIV when taking this medicine</w:t>
      </w:r>
      <w:r>
        <w:rPr>
          <w:lang w:val="en-GB"/>
        </w:rPr>
        <w:t xml:space="preserve">, although the risk is lowered by effective antiretroviral therapy.  Discuss with your </w:t>
      </w:r>
      <w:r w:rsidR="001E3098">
        <w:rPr>
          <w:lang w:val="en-GB"/>
        </w:rPr>
        <w:t xml:space="preserve">doctor </w:t>
      </w:r>
      <w:r>
        <w:rPr>
          <w:lang w:val="en-GB"/>
        </w:rPr>
        <w:t>the precautions needed to avoid infecting other people</w:t>
      </w:r>
      <w:r w:rsidR="00277ECB" w:rsidRPr="00342F7C">
        <w:rPr>
          <w:lang w:val="en-GB"/>
        </w:rPr>
        <w:t>.</w:t>
      </w:r>
    </w:p>
    <w:p w14:paraId="20868577" w14:textId="77777777" w:rsidR="004B37FD" w:rsidRDefault="004B37FD" w:rsidP="004B37FD">
      <w:pPr>
        <w:pStyle w:val="EMEAHeadingLeaflet"/>
        <w:spacing w:beforeLines="0" w:before="0" w:afterLines="0" w:after="0"/>
        <w:rPr>
          <w:rFonts w:ascii="Times New Roman" w:hAnsi="Times New Roman"/>
          <w:b w:val="0"/>
          <w:bCs/>
          <w:u w:val="single"/>
          <w:lang w:val="en-GB"/>
        </w:rPr>
      </w:pPr>
    </w:p>
    <w:p w14:paraId="63BAEC10" w14:textId="77777777" w:rsidR="00277ECB" w:rsidRDefault="00277ECB" w:rsidP="004B37FD">
      <w:pPr>
        <w:pStyle w:val="EMEAHeadingLeaflet"/>
        <w:spacing w:beforeLines="0" w:before="0" w:afterLines="0" w:after="0"/>
        <w:rPr>
          <w:rFonts w:ascii="Times New Roman" w:hAnsi="Times New Roman"/>
          <w:b w:val="0"/>
          <w:bCs/>
          <w:u w:val="single"/>
          <w:lang w:val="en-GB"/>
        </w:rPr>
      </w:pPr>
      <w:r w:rsidRPr="0017061C">
        <w:rPr>
          <w:rFonts w:ascii="Times New Roman" w:hAnsi="Times New Roman"/>
          <w:bCs/>
          <w:lang w:val="en-GB"/>
        </w:rPr>
        <w:t xml:space="preserve">Tell your doctor if you </w:t>
      </w:r>
      <w:r w:rsidR="001E3098">
        <w:rPr>
          <w:rFonts w:ascii="Times New Roman" w:hAnsi="Times New Roman"/>
          <w:bCs/>
          <w:lang w:val="en-GB"/>
        </w:rPr>
        <w:t xml:space="preserve">or your child </w:t>
      </w:r>
      <w:r w:rsidRPr="0017061C">
        <w:rPr>
          <w:rFonts w:ascii="Times New Roman" w:hAnsi="Times New Roman"/>
          <w:bCs/>
          <w:lang w:val="en-GB"/>
        </w:rPr>
        <w:t>have/had</w:t>
      </w:r>
    </w:p>
    <w:p w14:paraId="14FF06BE" w14:textId="77777777" w:rsidR="002E6065" w:rsidRPr="003808AC" w:rsidRDefault="002E6065" w:rsidP="00F80B3D">
      <w:pPr>
        <w:pStyle w:val="EMEANormal"/>
        <w:rPr>
          <w:lang w:val="en-GB"/>
        </w:rPr>
      </w:pPr>
    </w:p>
    <w:p w14:paraId="16B27434" w14:textId="77777777" w:rsidR="00277ECB" w:rsidRPr="00342F7C" w:rsidRDefault="00277ECB" w:rsidP="00F80B3D">
      <w:pPr>
        <w:pStyle w:val="EMEABullet"/>
        <w:tabs>
          <w:tab w:val="clear" w:pos="709"/>
          <w:tab w:val="num" w:pos="567"/>
        </w:tabs>
        <w:ind w:left="567"/>
        <w:rPr>
          <w:lang w:val="en-GB"/>
        </w:rPr>
      </w:pPr>
      <w:r w:rsidRPr="00342F7C">
        <w:rPr>
          <w:b/>
          <w:bCs/>
          <w:lang w:val="en-GB"/>
        </w:rPr>
        <w:t>Haemophilia</w:t>
      </w:r>
      <w:r w:rsidRPr="00342F7C">
        <w:rPr>
          <w:lang w:val="en-GB"/>
        </w:rPr>
        <w:t xml:space="preserve"> type A and B as Kaletra might increase the risk of bleeding.</w:t>
      </w:r>
    </w:p>
    <w:p w14:paraId="5720A5D0" w14:textId="77777777" w:rsidR="00277ECB" w:rsidRPr="00342F7C" w:rsidRDefault="00277ECB" w:rsidP="00F80B3D">
      <w:pPr>
        <w:pStyle w:val="EMEABullet"/>
        <w:tabs>
          <w:tab w:val="clear" w:pos="709"/>
          <w:tab w:val="num" w:pos="567"/>
        </w:tabs>
        <w:ind w:left="567"/>
        <w:rPr>
          <w:lang w:val="en-GB"/>
        </w:rPr>
      </w:pPr>
      <w:r w:rsidRPr="00342F7C">
        <w:rPr>
          <w:b/>
          <w:bCs/>
          <w:lang w:val="en-GB"/>
        </w:rPr>
        <w:t>Diabetes</w:t>
      </w:r>
      <w:r w:rsidRPr="00342F7C">
        <w:rPr>
          <w:lang w:val="en-GB"/>
        </w:rPr>
        <w:t xml:space="preserve"> as increased blood sugars ha</w:t>
      </w:r>
      <w:r w:rsidR="00755871" w:rsidRPr="00342F7C">
        <w:rPr>
          <w:lang w:val="en-GB"/>
        </w:rPr>
        <w:t>s</w:t>
      </w:r>
      <w:r w:rsidRPr="00342F7C">
        <w:rPr>
          <w:lang w:val="en-GB"/>
        </w:rPr>
        <w:t xml:space="preserve"> been reported in patients receiving Kaletra.</w:t>
      </w:r>
    </w:p>
    <w:p w14:paraId="1A85FBE0" w14:textId="77777777" w:rsidR="00277ECB" w:rsidRPr="00342F7C" w:rsidRDefault="00277ECB" w:rsidP="00F80B3D">
      <w:pPr>
        <w:pStyle w:val="EMEABullet"/>
        <w:tabs>
          <w:tab w:val="clear" w:pos="709"/>
          <w:tab w:val="num" w:pos="567"/>
        </w:tabs>
        <w:ind w:left="567"/>
        <w:rPr>
          <w:lang w:val="en-GB"/>
        </w:rPr>
      </w:pPr>
      <w:r w:rsidRPr="00342F7C">
        <w:rPr>
          <w:lang w:val="en-GB"/>
        </w:rPr>
        <w:t xml:space="preserve">A history of </w:t>
      </w:r>
      <w:r w:rsidRPr="00342F7C">
        <w:rPr>
          <w:b/>
          <w:bCs/>
          <w:lang w:val="en-GB"/>
        </w:rPr>
        <w:t>liver problems</w:t>
      </w:r>
      <w:r w:rsidRPr="00342F7C">
        <w:rPr>
          <w:lang w:val="en-GB"/>
        </w:rPr>
        <w:t xml:space="preserve"> as patients with a history of liver disease, including chronic hepatitis B or C are at increased risk of severe and potentially fatal liver side effects.</w:t>
      </w:r>
    </w:p>
    <w:p w14:paraId="211C75A7" w14:textId="77777777" w:rsidR="004B37FD" w:rsidRDefault="004B37FD" w:rsidP="004B37FD">
      <w:pPr>
        <w:pStyle w:val="EMEAHeadingLeaflet"/>
        <w:spacing w:beforeLines="0" w:before="0" w:afterLines="0" w:after="0"/>
        <w:rPr>
          <w:rFonts w:ascii="Times New Roman" w:hAnsi="Times New Roman"/>
          <w:b w:val="0"/>
          <w:bCs/>
          <w:u w:val="single"/>
          <w:lang w:val="en-GB"/>
        </w:rPr>
      </w:pPr>
    </w:p>
    <w:p w14:paraId="5BDA40C3" w14:textId="77777777" w:rsidR="00277ECB" w:rsidRPr="00282043" w:rsidRDefault="00277ECB" w:rsidP="004B37FD">
      <w:pPr>
        <w:pStyle w:val="EMEAHeadingLeaflet"/>
        <w:spacing w:beforeLines="0" w:before="0" w:afterLines="0" w:after="0"/>
        <w:rPr>
          <w:rFonts w:ascii="Times New Roman" w:hAnsi="Times New Roman"/>
          <w:b w:val="0"/>
          <w:bCs/>
          <w:lang w:val="en-GB"/>
        </w:rPr>
      </w:pPr>
      <w:r w:rsidRPr="00282043">
        <w:rPr>
          <w:rFonts w:ascii="Times New Roman" w:hAnsi="Times New Roman"/>
          <w:bCs/>
          <w:lang w:val="en-GB"/>
        </w:rPr>
        <w:t xml:space="preserve">Tell your doctor if you </w:t>
      </w:r>
      <w:r w:rsidR="001E3098">
        <w:rPr>
          <w:rFonts w:ascii="Times New Roman" w:hAnsi="Times New Roman"/>
          <w:bCs/>
          <w:lang w:val="en-GB"/>
        </w:rPr>
        <w:t xml:space="preserve">or your child </w:t>
      </w:r>
      <w:r w:rsidRPr="00282043">
        <w:rPr>
          <w:rFonts w:ascii="Times New Roman" w:hAnsi="Times New Roman"/>
          <w:bCs/>
          <w:lang w:val="en-GB"/>
        </w:rPr>
        <w:t>experience</w:t>
      </w:r>
    </w:p>
    <w:p w14:paraId="5EF3626A" w14:textId="77777777" w:rsidR="002E6065" w:rsidRPr="003808AC" w:rsidRDefault="002E6065" w:rsidP="00F80B3D">
      <w:pPr>
        <w:pStyle w:val="EMEANormal"/>
        <w:rPr>
          <w:lang w:val="en-GB"/>
        </w:rPr>
      </w:pPr>
    </w:p>
    <w:p w14:paraId="3A1353BA" w14:textId="77777777" w:rsidR="00277ECB" w:rsidRPr="00342F7C" w:rsidRDefault="00277ECB" w:rsidP="00F80B3D">
      <w:pPr>
        <w:pStyle w:val="EMEABullet"/>
        <w:tabs>
          <w:tab w:val="clear" w:pos="709"/>
          <w:tab w:val="num" w:pos="567"/>
        </w:tabs>
        <w:ind w:left="567"/>
        <w:rPr>
          <w:lang w:val="en-GB"/>
        </w:rPr>
      </w:pPr>
      <w:r w:rsidRPr="00342F7C">
        <w:rPr>
          <w:lang w:val="en-GB"/>
        </w:rPr>
        <w:t>Nausea, vomiting, abdominal pain, difficulty breathing and severe weakness of the muscles in the legs and arms as these symptoms may indicate raised lactic acid levels.</w:t>
      </w:r>
    </w:p>
    <w:p w14:paraId="127FCA89" w14:textId="77777777" w:rsidR="00277ECB" w:rsidRPr="00342F7C" w:rsidRDefault="00277ECB" w:rsidP="00F80B3D">
      <w:pPr>
        <w:pStyle w:val="EMEABullet"/>
        <w:tabs>
          <w:tab w:val="clear" w:pos="709"/>
          <w:tab w:val="num" w:pos="567"/>
        </w:tabs>
        <w:ind w:left="567"/>
        <w:rPr>
          <w:lang w:val="en-GB"/>
        </w:rPr>
      </w:pPr>
      <w:r w:rsidRPr="00342F7C">
        <w:rPr>
          <w:lang w:val="en-GB"/>
        </w:rPr>
        <w:t>Thirst, frequent urination, blurred vision or weight loss as this may indicate raised sugar levels in the blood.</w:t>
      </w:r>
    </w:p>
    <w:p w14:paraId="4B899394" w14:textId="77777777" w:rsidR="00277ECB" w:rsidRPr="00342F7C" w:rsidRDefault="00277ECB" w:rsidP="00F80B3D">
      <w:pPr>
        <w:pStyle w:val="EMEABullet"/>
        <w:tabs>
          <w:tab w:val="clear" w:pos="709"/>
          <w:tab w:val="num" w:pos="567"/>
        </w:tabs>
        <w:ind w:left="567"/>
        <w:rPr>
          <w:lang w:val="en-GB"/>
        </w:rPr>
      </w:pPr>
      <w:r w:rsidRPr="00342F7C">
        <w:rPr>
          <w:lang w:val="en-GB"/>
        </w:rPr>
        <w:t>Nausea, vomiting, abdominal pain as large increases in the amount of triglycerides (fats in the blood) have been considered a risk factor for pancreatitis (inflammation of the pancreas) and these symptoms may suggest this condition.</w:t>
      </w:r>
    </w:p>
    <w:p w14:paraId="77EF7C3D" w14:textId="77777777" w:rsidR="00EF6E3A" w:rsidRDefault="00E3514B" w:rsidP="00F80B3D">
      <w:pPr>
        <w:pStyle w:val="EMEABullet"/>
        <w:tabs>
          <w:tab w:val="clear" w:pos="709"/>
          <w:tab w:val="num" w:pos="567"/>
        </w:tabs>
        <w:ind w:left="567"/>
        <w:rPr>
          <w:lang w:val="en-GB"/>
        </w:rPr>
      </w:pPr>
      <w:r w:rsidRPr="00342F7C">
        <w:rPr>
          <w:lang w:val="en-GB" w:eastAsia="en-GB"/>
        </w:rPr>
        <w:t>In some patients with advanced HIV infection and a history of opportunistic infection, signs and symptoms of inflammation from previous infections may occur soon after anti-HIV treatment is started.  It is believed that these symptoms are due to an improvement in the body’s immune response, enabling the body to fight infections that may have been pr</w:t>
      </w:r>
      <w:r w:rsidR="00EF6E3A">
        <w:rPr>
          <w:lang w:val="en-GB" w:eastAsia="en-GB"/>
        </w:rPr>
        <w:t xml:space="preserve">esent with no obvious symptoms. </w:t>
      </w:r>
    </w:p>
    <w:p w14:paraId="397E2A72" w14:textId="77777777" w:rsidR="00277ECB" w:rsidRPr="00342F7C" w:rsidRDefault="00EF6E3A" w:rsidP="003036A6">
      <w:pPr>
        <w:pStyle w:val="EMEABullet"/>
        <w:tabs>
          <w:tab w:val="clear" w:pos="709"/>
          <w:tab w:val="num" w:pos="567"/>
        </w:tabs>
        <w:ind w:left="567"/>
        <w:rPr>
          <w:lang w:val="en-GB" w:eastAsia="en-GB"/>
        </w:rPr>
      </w:pPr>
      <w:r w:rsidRPr="007E5CAB">
        <w:rPr>
          <w:lang w:val="en-GB" w:eastAsia="en-GB"/>
        </w:rPr>
        <w:t>In addition to the opportunistic infections, autoimmune disorders (a condition that occurs when the immune system attacks healthy body tissue) may also occur after you start taking medicines for the t</w:t>
      </w:r>
      <w:r>
        <w:rPr>
          <w:lang w:val="en-GB" w:eastAsia="en-GB"/>
        </w:rPr>
        <w:t>reatment of your HIV infection.</w:t>
      </w:r>
      <w:r w:rsidRPr="007E5CAB">
        <w:rPr>
          <w:lang w:val="en-GB" w:eastAsia="en-GB"/>
        </w:rPr>
        <w:t xml:space="preserve"> Autoimmune disorders may occur many months after the start of treatment.</w:t>
      </w:r>
      <w:r w:rsidR="00E3514B" w:rsidRPr="00342F7C">
        <w:rPr>
          <w:lang w:val="en-GB" w:eastAsia="en-GB"/>
        </w:rPr>
        <w:t xml:space="preserve"> </w:t>
      </w:r>
      <w:r w:rsidR="00BA65D0">
        <w:rPr>
          <w:lang w:val="en-GB" w:eastAsia="en-GB"/>
        </w:rPr>
        <w:t xml:space="preserve"> </w:t>
      </w:r>
      <w:r w:rsidR="00E3514B" w:rsidRPr="00342F7C">
        <w:rPr>
          <w:lang w:val="en-GB" w:eastAsia="en-GB"/>
        </w:rPr>
        <w:t>If you notice any symptoms of infection</w:t>
      </w:r>
      <w:r>
        <w:rPr>
          <w:lang w:val="en-GB" w:eastAsia="en-GB"/>
        </w:rPr>
        <w:t xml:space="preserve"> </w:t>
      </w:r>
      <w:r w:rsidRPr="007E5CAB">
        <w:rPr>
          <w:lang w:val="en-GB" w:eastAsia="en-GB"/>
        </w:rPr>
        <w:t>or other symptoms such as muscle weakness, weakness beginning in the hands and feet and moving up towards the trunk of the body, palpitations, tremor or hyperactivity</w:t>
      </w:r>
      <w:r w:rsidR="00E3514B" w:rsidRPr="00342F7C">
        <w:rPr>
          <w:lang w:val="en-GB" w:eastAsia="en-GB"/>
        </w:rPr>
        <w:t>, please inform your doctor immediately to seek necessary treatment.</w:t>
      </w:r>
    </w:p>
    <w:p w14:paraId="382F1BAD" w14:textId="77777777" w:rsidR="00277ECB" w:rsidRPr="00342F7C" w:rsidRDefault="00277ECB" w:rsidP="008E0314">
      <w:pPr>
        <w:pStyle w:val="EMEABullet"/>
        <w:tabs>
          <w:tab w:val="clear" w:pos="709"/>
          <w:tab w:val="num" w:pos="567"/>
        </w:tabs>
        <w:ind w:left="567"/>
        <w:rPr>
          <w:lang w:val="en-GB"/>
        </w:rPr>
      </w:pPr>
      <w:r w:rsidRPr="00342F7C">
        <w:rPr>
          <w:b/>
          <w:bCs/>
          <w:lang w:val="en-GB"/>
        </w:rPr>
        <w:t xml:space="preserve">Joint stiffness, aches and pains </w:t>
      </w:r>
      <w:r w:rsidRPr="00342F7C">
        <w:rPr>
          <w:lang w:val="en-GB"/>
        </w:rPr>
        <w:t>(especially of the hip, knee and shoulder) and difficulty in movement</w:t>
      </w:r>
      <w:r w:rsidRPr="00342F7C">
        <w:rPr>
          <w:b/>
          <w:bCs/>
          <w:lang w:val="en-GB"/>
        </w:rPr>
        <w:t xml:space="preserve"> </w:t>
      </w:r>
      <w:r w:rsidRPr="00342F7C">
        <w:rPr>
          <w:lang w:val="en-GB"/>
        </w:rPr>
        <w:t>as some patients taking these medicines may develop a bone disease called osteonecrosis (death of bone tissue caused by loss of blood supply to the bone).  The length of combination</w:t>
      </w:r>
      <w:r w:rsidRPr="00342F7C">
        <w:rPr>
          <w:szCs w:val="22"/>
          <w:lang w:val="en-GB"/>
        </w:rPr>
        <w:t xml:space="preserve"> antiretroviral therapy, corticosteroid use, alcohol consumption, severe immunosuppression (reduction in the activity of the immune system), higher body mass index, among others, may be some of the many risk factors for developing this disease.  </w:t>
      </w:r>
    </w:p>
    <w:p w14:paraId="02458189" w14:textId="77777777" w:rsidR="00E3514B" w:rsidRPr="00342F7C" w:rsidRDefault="00277ECB" w:rsidP="008E0314">
      <w:pPr>
        <w:pStyle w:val="EMEABullet"/>
        <w:tabs>
          <w:tab w:val="clear" w:pos="709"/>
          <w:tab w:val="num" w:pos="567"/>
        </w:tabs>
        <w:ind w:left="567"/>
        <w:rPr>
          <w:lang w:val="en-GB"/>
        </w:rPr>
      </w:pPr>
      <w:r w:rsidRPr="00342F7C">
        <w:rPr>
          <w:b/>
          <w:bCs/>
          <w:lang w:val="en-GB"/>
        </w:rPr>
        <w:t xml:space="preserve">Muscle pain, </w:t>
      </w:r>
      <w:r w:rsidRPr="00342F7C">
        <w:rPr>
          <w:lang w:val="en-GB"/>
        </w:rPr>
        <w:t>tenderness or weakness, particularly in combination with these medicines.  On rare occasions these muscle disorders have been serious.</w:t>
      </w:r>
      <w:r w:rsidR="00E3514B" w:rsidRPr="00342F7C">
        <w:rPr>
          <w:lang w:val="en-GB"/>
        </w:rPr>
        <w:t xml:space="preserve"> </w:t>
      </w:r>
    </w:p>
    <w:p w14:paraId="3F871566" w14:textId="77777777" w:rsidR="00277ECB" w:rsidRPr="00342F7C" w:rsidRDefault="00F75414" w:rsidP="008E0314">
      <w:pPr>
        <w:pStyle w:val="EMEABullet"/>
        <w:tabs>
          <w:tab w:val="clear" w:pos="709"/>
          <w:tab w:val="num" w:pos="567"/>
        </w:tabs>
        <w:ind w:left="567"/>
        <w:rPr>
          <w:lang w:val="en-GB"/>
        </w:rPr>
      </w:pPr>
      <w:r w:rsidRPr="00342F7C">
        <w:rPr>
          <w:lang w:val="en-GB" w:eastAsia="en-GB"/>
        </w:rPr>
        <w:t xml:space="preserve">Symptoms of dizziness, lightheadedness, fainting or sensation of abnormal heartbeats. </w:t>
      </w:r>
      <w:r w:rsidR="001B0216" w:rsidRPr="00342F7C">
        <w:rPr>
          <w:lang w:val="en-GB" w:eastAsia="en-GB"/>
        </w:rPr>
        <w:t xml:space="preserve"> </w:t>
      </w:r>
      <w:r w:rsidRPr="00342F7C">
        <w:rPr>
          <w:lang w:val="en-GB" w:eastAsia="en-GB"/>
        </w:rPr>
        <w:t>Kaletra may cause changes in your heart rhythm and the electrical activity of your heart.  Th</w:t>
      </w:r>
      <w:r w:rsidR="00054BE3" w:rsidRPr="00342F7C">
        <w:rPr>
          <w:lang w:val="en-GB" w:eastAsia="en-GB"/>
        </w:rPr>
        <w:t>ese changes may be seen on an EC</w:t>
      </w:r>
      <w:r w:rsidRPr="00342F7C">
        <w:rPr>
          <w:lang w:val="en-GB" w:eastAsia="en-GB"/>
        </w:rPr>
        <w:t>G (electrocardiogram).</w:t>
      </w:r>
    </w:p>
    <w:p w14:paraId="3C4CBF7A" w14:textId="77777777" w:rsidR="004B37FD" w:rsidRDefault="004B37FD" w:rsidP="004B37FD">
      <w:pPr>
        <w:pStyle w:val="EMEAHeadingLeaflet"/>
        <w:spacing w:beforeLines="0" w:before="0" w:afterLines="0" w:after="0"/>
        <w:rPr>
          <w:rFonts w:ascii="Times New Roman" w:hAnsi="Times New Roman"/>
          <w:lang w:val="en-GB"/>
        </w:rPr>
      </w:pPr>
    </w:p>
    <w:p w14:paraId="675A787F" w14:textId="77777777" w:rsidR="00277ECB" w:rsidRPr="00342F7C" w:rsidRDefault="00EB3C76" w:rsidP="004B37FD">
      <w:pPr>
        <w:pStyle w:val="EMEAHeadingLeaflet"/>
        <w:spacing w:beforeLines="0" w:before="0" w:afterLines="0" w:after="0"/>
        <w:rPr>
          <w:rFonts w:ascii="Times New Roman" w:hAnsi="Times New Roman"/>
          <w:lang w:val="en-GB"/>
        </w:rPr>
      </w:pPr>
      <w:r>
        <w:rPr>
          <w:rFonts w:ascii="Times New Roman" w:hAnsi="Times New Roman"/>
          <w:lang w:val="en-GB"/>
        </w:rPr>
        <w:t>O</w:t>
      </w:r>
      <w:r w:rsidR="00277ECB" w:rsidRPr="00342F7C">
        <w:rPr>
          <w:rFonts w:ascii="Times New Roman" w:hAnsi="Times New Roman"/>
          <w:lang w:val="en-GB"/>
        </w:rPr>
        <w:t>ther medicines</w:t>
      </w:r>
      <w:r>
        <w:rPr>
          <w:rFonts w:ascii="Times New Roman" w:hAnsi="Times New Roman"/>
          <w:lang w:val="en-GB"/>
        </w:rPr>
        <w:t xml:space="preserve"> and Kaletra</w:t>
      </w:r>
    </w:p>
    <w:p w14:paraId="14CD7D6D" w14:textId="77777777" w:rsidR="004B37FD" w:rsidRDefault="004B37FD">
      <w:pPr>
        <w:pStyle w:val="EMEANormal"/>
        <w:rPr>
          <w:b/>
          <w:bCs/>
          <w:u w:val="single"/>
          <w:lang w:val="en-GB"/>
        </w:rPr>
      </w:pPr>
    </w:p>
    <w:p w14:paraId="2A51778B" w14:textId="77777777" w:rsidR="00277ECB" w:rsidRPr="00342F7C" w:rsidRDefault="00277ECB">
      <w:pPr>
        <w:pStyle w:val="EMEANormal"/>
        <w:rPr>
          <w:b/>
          <w:bCs/>
          <w:lang w:val="en-GB"/>
        </w:rPr>
      </w:pPr>
      <w:r w:rsidRPr="00282043">
        <w:rPr>
          <w:b/>
          <w:bCs/>
          <w:lang w:val="en-GB"/>
        </w:rPr>
        <w:t>Tell your doctor</w:t>
      </w:r>
      <w:r w:rsidR="0097773A" w:rsidRPr="00282043">
        <w:rPr>
          <w:b/>
          <w:bCs/>
          <w:lang w:val="en-GB"/>
        </w:rPr>
        <w:t xml:space="preserve"> or pharmacist</w:t>
      </w:r>
      <w:r w:rsidRPr="00342F7C">
        <w:rPr>
          <w:b/>
          <w:bCs/>
          <w:lang w:val="en-GB"/>
        </w:rPr>
        <w:t xml:space="preserve"> if you </w:t>
      </w:r>
      <w:r w:rsidR="003C1501">
        <w:rPr>
          <w:b/>
          <w:bCs/>
          <w:lang w:val="en-GB"/>
        </w:rPr>
        <w:t xml:space="preserve">or your child </w:t>
      </w:r>
      <w:r w:rsidRPr="00342F7C">
        <w:rPr>
          <w:b/>
          <w:bCs/>
          <w:lang w:val="en-GB"/>
        </w:rPr>
        <w:t>are taking</w:t>
      </w:r>
      <w:r w:rsidR="0097773A">
        <w:rPr>
          <w:b/>
          <w:bCs/>
          <w:lang w:val="en-GB"/>
        </w:rPr>
        <w:t>, have recently taken or might take any other</w:t>
      </w:r>
      <w:r w:rsidRPr="00342F7C">
        <w:rPr>
          <w:b/>
          <w:bCs/>
          <w:lang w:val="en-GB"/>
        </w:rPr>
        <w:t xml:space="preserve"> medicines</w:t>
      </w:r>
      <w:r w:rsidR="0097773A">
        <w:rPr>
          <w:b/>
          <w:bCs/>
          <w:lang w:val="en-GB"/>
        </w:rPr>
        <w:t>.</w:t>
      </w:r>
      <w:r w:rsidRPr="00342F7C">
        <w:rPr>
          <w:b/>
          <w:bCs/>
          <w:lang w:val="en-GB"/>
        </w:rPr>
        <w:t xml:space="preserve"> </w:t>
      </w:r>
    </w:p>
    <w:p w14:paraId="1263EB23" w14:textId="77777777" w:rsidR="00277ECB" w:rsidRPr="00342F7C" w:rsidRDefault="002E6065" w:rsidP="008E0314">
      <w:pPr>
        <w:pStyle w:val="EMEABullet"/>
        <w:tabs>
          <w:tab w:val="clear" w:pos="709"/>
          <w:tab w:val="num" w:pos="567"/>
        </w:tabs>
        <w:ind w:left="567"/>
        <w:rPr>
          <w:lang w:val="en-GB"/>
        </w:rPr>
      </w:pPr>
      <w:r>
        <w:rPr>
          <w:lang w:val="en-GB"/>
        </w:rPr>
        <w:t>a</w:t>
      </w:r>
      <w:r w:rsidR="00277ECB" w:rsidRPr="00342F7C">
        <w:rPr>
          <w:lang w:val="en-GB"/>
        </w:rPr>
        <w:t>ntibiotics (e.g. rifabutin, rifampicin, clarithromycin);</w:t>
      </w:r>
    </w:p>
    <w:p w14:paraId="1E4056D0" w14:textId="77777777" w:rsidR="00277ECB" w:rsidRDefault="002E6065" w:rsidP="008E0314">
      <w:pPr>
        <w:pStyle w:val="EMEABullet"/>
        <w:tabs>
          <w:tab w:val="clear" w:pos="709"/>
          <w:tab w:val="num" w:pos="567"/>
        </w:tabs>
        <w:ind w:left="567"/>
        <w:rPr>
          <w:lang w:val="en-GB"/>
        </w:rPr>
      </w:pPr>
      <w:r>
        <w:rPr>
          <w:lang w:val="en-GB"/>
        </w:rPr>
        <w:t>a</w:t>
      </w:r>
      <w:r w:rsidR="00277ECB" w:rsidRPr="00342F7C">
        <w:rPr>
          <w:lang w:val="en-GB"/>
        </w:rPr>
        <w:t xml:space="preserve">nticancer medicines (e.g. </w:t>
      </w:r>
      <w:r w:rsidR="003E51DB">
        <w:rPr>
          <w:lang w:val="en-GB"/>
        </w:rPr>
        <w:t xml:space="preserve">abemaciclib, </w:t>
      </w:r>
      <w:r w:rsidR="00A72707">
        <w:rPr>
          <w:lang w:val="en-GB"/>
        </w:rPr>
        <w:t xml:space="preserve">afatinib, </w:t>
      </w:r>
      <w:r w:rsidR="00034DEB">
        <w:rPr>
          <w:lang w:val="en-GB"/>
        </w:rPr>
        <w:t xml:space="preserve">apalutamide, </w:t>
      </w:r>
      <w:r w:rsidR="00A72707">
        <w:t>ceritinib</w:t>
      </w:r>
      <w:r w:rsidR="001C55CF">
        <w:rPr>
          <w:lang w:val="en-GB"/>
        </w:rPr>
        <w:t xml:space="preserve">, </w:t>
      </w:r>
      <w:r w:rsidR="0025520A">
        <w:rPr>
          <w:lang w:val="en-GB"/>
        </w:rPr>
        <w:t xml:space="preserve">encorafenib, </w:t>
      </w:r>
      <w:r w:rsidR="00A209AA">
        <w:rPr>
          <w:lang w:val="en-GB"/>
        </w:rPr>
        <w:t xml:space="preserve">ibrutinib, </w:t>
      </w:r>
      <w:r w:rsidR="005D447D">
        <w:rPr>
          <w:lang w:val="en-GB"/>
        </w:rPr>
        <w:t xml:space="preserve">venetoclax, </w:t>
      </w:r>
      <w:r w:rsidR="00403F0E" w:rsidRPr="00342F7C">
        <w:rPr>
          <w:lang w:val="en-GB"/>
        </w:rPr>
        <w:t>most tyrosine kinases inhibitors such as dasatinib and nilotinib, also vincristine and vinblastine</w:t>
      </w:r>
      <w:r w:rsidR="00277ECB" w:rsidRPr="00342F7C">
        <w:rPr>
          <w:lang w:val="en-GB"/>
        </w:rPr>
        <w:t>);</w:t>
      </w:r>
    </w:p>
    <w:p w14:paraId="254F2CC6" w14:textId="77777777" w:rsidR="00285B05" w:rsidRPr="00342F7C" w:rsidRDefault="002E6065" w:rsidP="008E0314">
      <w:pPr>
        <w:pStyle w:val="EMEABullet"/>
        <w:tabs>
          <w:tab w:val="clear" w:pos="709"/>
          <w:tab w:val="num" w:pos="567"/>
        </w:tabs>
        <w:ind w:left="567"/>
        <w:rPr>
          <w:lang w:val="en-GB"/>
        </w:rPr>
      </w:pPr>
      <w:r>
        <w:rPr>
          <w:lang w:val="en-GB"/>
        </w:rPr>
        <w:t>a</w:t>
      </w:r>
      <w:r w:rsidR="00285B05">
        <w:rPr>
          <w:lang w:val="en-GB"/>
        </w:rPr>
        <w:t>nticoagulants (e.g. warfarin, rivaroxaban</w:t>
      </w:r>
      <w:r w:rsidR="001C55CF">
        <w:rPr>
          <w:lang w:val="en-GB"/>
        </w:rPr>
        <w:t>, vorapaxar</w:t>
      </w:r>
      <w:r w:rsidR="00285B05">
        <w:rPr>
          <w:lang w:val="en-GB"/>
        </w:rPr>
        <w:t>);</w:t>
      </w:r>
    </w:p>
    <w:p w14:paraId="69757F25" w14:textId="77777777" w:rsidR="00277ECB" w:rsidRPr="00342F7C" w:rsidRDefault="002E6065" w:rsidP="008E0314">
      <w:pPr>
        <w:pStyle w:val="EMEABullet"/>
        <w:tabs>
          <w:tab w:val="clear" w:pos="709"/>
          <w:tab w:val="num" w:pos="567"/>
        </w:tabs>
        <w:ind w:left="567"/>
        <w:rPr>
          <w:lang w:val="en-GB"/>
        </w:rPr>
      </w:pPr>
      <w:r>
        <w:rPr>
          <w:lang w:val="en-GB"/>
        </w:rPr>
        <w:t>a</w:t>
      </w:r>
      <w:r w:rsidR="00277ECB" w:rsidRPr="00342F7C">
        <w:rPr>
          <w:lang w:val="en-GB"/>
        </w:rPr>
        <w:t>ntidepressants (e.g. trazodone, bupropion);</w:t>
      </w:r>
    </w:p>
    <w:p w14:paraId="5B9B98C3" w14:textId="77777777" w:rsidR="00277ECB" w:rsidRPr="00342F7C" w:rsidRDefault="002E6065" w:rsidP="008E0314">
      <w:pPr>
        <w:pStyle w:val="EMEABullet"/>
        <w:tabs>
          <w:tab w:val="clear" w:pos="709"/>
          <w:tab w:val="num" w:pos="567"/>
        </w:tabs>
        <w:ind w:left="567"/>
        <w:rPr>
          <w:lang w:val="en-GB"/>
        </w:rPr>
      </w:pPr>
      <w:r>
        <w:rPr>
          <w:lang w:val="en-GB"/>
        </w:rPr>
        <w:t>a</w:t>
      </w:r>
      <w:r w:rsidR="00277ECB" w:rsidRPr="00342F7C">
        <w:rPr>
          <w:lang w:val="en-GB"/>
        </w:rPr>
        <w:t>nti-epilepsy medicines (e.g. carbamazepine, phenytoin, phenobarbital</w:t>
      </w:r>
      <w:r w:rsidR="00285B05">
        <w:rPr>
          <w:lang w:val="en-GB"/>
        </w:rPr>
        <w:t>, lamotrigine and valproate</w:t>
      </w:r>
      <w:r w:rsidR="00277ECB" w:rsidRPr="00342F7C">
        <w:rPr>
          <w:lang w:val="en-GB"/>
        </w:rPr>
        <w:t>);</w:t>
      </w:r>
    </w:p>
    <w:p w14:paraId="7B406760" w14:textId="77777777" w:rsidR="00277ECB" w:rsidRPr="007E1E2E" w:rsidRDefault="002E6065" w:rsidP="008E0314">
      <w:pPr>
        <w:pStyle w:val="EMEABullet"/>
        <w:tabs>
          <w:tab w:val="clear" w:pos="709"/>
          <w:tab w:val="num" w:pos="567"/>
        </w:tabs>
        <w:ind w:left="567"/>
        <w:rPr>
          <w:lang w:val="fr-FR"/>
        </w:rPr>
      </w:pPr>
      <w:r>
        <w:rPr>
          <w:lang w:val="fr-FR"/>
        </w:rPr>
        <w:t>a</w:t>
      </w:r>
      <w:r w:rsidR="00277ECB" w:rsidRPr="007E1E2E">
        <w:rPr>
          <w:lang w:val="fr-FR"/>
        </w:rPr>
        <w:t>ntifungals (e.g. ketoconazole, itraconazole, voriconazole);</w:t>
      </w:r>
    </w:p>
    <w:p w14:paraId="70CAB559" w14:textId="77777777" w:rsidR="00BF75CD" w:rsidRDefault="002E6065" w:rsidP="008E0314">
      <w:pPr>
        <w:pStyle w:val="EMEABullet"/>
        <w:tabs>
          <w:tab w:val="clear" w:pos="709"/>
          <w:tab w:val="num" w:pos="567"/>
        </w:tabs>
        <w:ind w:left="567"/>
        <w:rPr>
          <w:lang w:val="en-GB"/>
        </w:rPr>
      </w:pPr>
      <w:r>
        <w:rPr>
          <w:lang w:val="en-GB"/>
        </w:rPr>
        <w:t>a</w:t>
      </w:r>
      <w:r w:rsidR="00BF75CD">
        <w:rPr>
          <w:lang w:val="en-GB"/>
        </w:rPr>
        <w:t>nti</w:t>
      </w:r>
      <w:r w:rsidR="00C269D3">
        <w:rPr>
          <w:lang w:val="en-GB"/>
        </w:rPr>
        <w:noBreakHyphen/>
      </w:r>
      <w:r w:rsidR="00BF75CD">
        <w:rPr>
          <w:lang w:val="en-GB"/>
        </w:rPr>
        <w:t>gout medicines (e.g. colchicine)</w:t>
      </w:r>
      <w:r w:rsidR="00531A5A">
        <w:rPr>
          <w:lang w:val="en-GB"/>
        </w:rPr>
        <w:t>.  You must not take Kaletra with colchicine if you have kidney and/or liver problems (see also ‘</w:t>
      </w:r>
      <w:r w:rsidR="00531A5A" w:rsidRPr="00531A5A">
        <w:rPr>
          <w:b/>
          <w:lang w:val="en-GB"/>
        </w:rPr>
        <w:t>Do not take Kaletra</w:t>
      </w:r>
      <w:r w:rsidR="00531A5A">
        <w:rPr>
          <w:lang w:val="en-GB"/>
        </w:rPr>
        <w:t>’ above)</w:t>
      </w:r>
      <w:r w:rsidR="00BF75CD">
        <w:rPr>
          <w:lang w:val="en-GB"/>
        </w:rPr>
        <w:t>;</w:t>
      </w:r>
    </w:p>
    <w:p w14:paraId="2B9C11B1" w14:textId="77777777" w:rsidR="00CA5F26" w:rsidRPr="00CA5F26" w:rsidRDefault="002E6065" w:rsidP="008E0314">
      <w:pPr>
        <w:pStyle w:val="EMEABullet"/>
        <w:tabs>
          <w:tab w:val="clear" w:pos="709"/>
          <w:tab w:val="num" w:pos="567"/>
        </w:tabs>
        <w:ind w:left="567"/>
        <w:rPr>
          <w:lang w:val="en-GB"/>
        </w:rPr>
      </w:pPr>
      <w:r>
        <w:rPr>
          <w:lang w:val="en-GB"/>
        </w:rPr>
        <w:t>a</w:t>
      </w:r>
      <w:r w:rsidR="00CA5F26">
        <w:rPr>
          <w:lang w:val="en-GB"/>
        </w:rPr>
        <w:t>nti</w:t>
      </w:r>
      <w:r w:rsidR="00CA5F26">
        <w:rPr>
          <w:lang w:val="en-GB"/>
        </w:rPr>
        <w:noBreakHyphen/>
        <w:t>tuberculosis medicine (bedaquiline</w:t>
      </w:r>
      <w:r w:rsidR="006D4547">
        <w:rPr>
          <w:lang w:val="en-GB"/>
        </w:rPr>
        <w:t>, delamanid</w:t>
      </w:r>
      <w:r w:rsidR="00CA5F26">
        <w:rPr>
          <w:lang w:val="en-GB"/>
        </w:rPr>
        <w:t>);</w:t>
      </w:r>
    </w:p>
    <w:p w14:paraId="1D5F7E9B" w14:textId="77777777" w:rsidR="00285B05" w:rsidRPr="00342F7C" w:rsidRDefault="002E6065" w:rsidP="008E0314">
      <w:pPr>
        <w:pStyle w:val="EMEABullet"/>
        <w:tabs>
          <w:tab w:val="clear" w:pos="709"/>
          <w:tab w:val="num" w:pos="567"/>
        </w:tabs>
        <w:ind w:left="567"/>
        <w:rPr>
          <w:lang w:val="en-GB"/>
        </w:rPr>
      </w:pPr>
      <w:r>
        <w:rPr>
          <w:lang w:val="en-GB"/>
        </w:rPr>
        <w:t>a</w:t>
      </w:r>
      <w:r w:rsidR="00F46A84">
        <w:rPr>
          <w:lang w:val="en-GB"/>
        </w:rPr>
        <w:t>ntiviral</w:t>
      </w:r>
      <w:r w:rsidR="00285B05">
        <w:rPr>
          <w:lang w:val="en-GB"/>
        </w:rPr>
        <w:t xml:space="preserve"> medicine used to treat chronic hepatitis C </w:t>
      </w:r>
      <w:r w:rsidR="00F46A84">
        <w:rPr>
          <w:lang w:val="en-GB"/>
        </w:rPr>
        <w:t xml:space="preserve">virus (HCV) infection </w:t>
      </w:r>
      <w:r w:rsidR="00285B05">
        <w:rPr>
          <w:lang w:val="en-GB"/>
        </w:rPr>
        <w:t>in adults (e.g.</w:t>
      </w:r>
      <w:r w:rsidR="000F6FCC">
        <w:rPr>
          <w:lang w:val="en-GB"/>
        </w:rPr>
        <w:t xml:space="preserve"> </w:t>
      </w:r>
      <w:r w:rsidR="003E51DB">
        <w:rPr>
          <w:lang w:val="en-GB"/>
        </w:rPr>
        <w:t xml:space="preserve">glecaprevir/pibrentasvir, </w:t>
      </w:r>
      <w:r w:rsidR="000F6FCC">
        <w:rPr>
          <w:lang w:val="en-GB"/>
        </w:rPr>
        <w:t>simeprevir</w:t>
      </w:r>
      <w:r w:rsidR="00463201">
        <w:rPr>
          <w:lang w:val="en-GB"/>
        </w:rPr>
        <w:t xml:space="preserve"> and</w:t>
      </w:r>
      <w:r w:rsidR="00285B05">
        <w:rPr>
          <w:lang w:val="en-GB"/>
        </w:rPr>
        <w:t xml:space="preserve"> </w:t>
      </w:r>
      <w:r w:rsidR="00A81370">
        <w:rPr>
          <w:lang w:val="en-GB"/>
        </w:rPr>
        <w:t>sofosbu</w:t>
      </w:r>
      <w:r w:rsidR="003E51DB">
        <w:rPr>
          <w:lang w:val="en-GB"/>
        </w:rPr>
        <w:t>vir/velpatasvir/voxilaprevir</w:t>
      </w:r>
      <w:r w:rsidR="00285B05">
        <w:rPr>
          <w:lang w:val="en-GB"/>
        </w:rPr>
        <w:t>);</w:t>
      </w:r>
    </w:p>
    <w:p w14:paraId="7388C8D6" w14:textId="77777777" w:rsidR="00277ECB" w:rsidRDefault="002E6065" w:rsidP="008E0314">
      <w:pPr>
        <w:pStyle w:val="EMEABullet"/>
        <w:tabs>
          <w:tab w:val="clear" w:pos="709"/>
          <w:tab w:val="num" w:pos="567"/>
        </w:tabs>
        <w:ind w:left="567"/>
        <w:rPr>
          <w:lang w:val="en-GB"/>
        </w:rPr>
      </w:pPr>
      <w:r>
        <w:rPr>
          <w:lang w:val="en-GB"/>
        </w:rPr>
        <w:t>e</w:t>
      </w:r>
      <w:r w:rsidR="00277ECB" w:rsidRPr="00342F7C">
        <w:rPr>
          <w:lang w:val="en-GB"/>
        </w:rPr>
        <w:t>rectile dysfunction medicines (e.g. sildenafil and tadalafil</w:t>
      </w:r>
      <w:r w:rsidR="009F5E22" w:rsidRPr="00342F7C">
        <w:rPr>
          <w:lang w:val="en-GB"/>
        </w:rPr>
        <w:t>)</w:t>
      </w:r>
      <w:r w:rsidR="00277ECB" w:rsidRPr="00342F7C">
        <w:rPr>
          <w:lang w:val="en-GB"/>
        </w:rPr>
        <w:t>;</w:t>
      </w:r>
    </w:p>
    <w:p w14:paraId="618DB359" w14:textId="77777777" w:rsidR="00C63A89" w:rsidRPr="00342F7C" w:rsidRDefault="002E6065" w:rsidP="008E0314">
      <w:pPr>
        <w:pStyle w:val="EMEABullet"/>
        <w:tabs>
          <w:tab w:val="clear" w:pos="709"/>
          <w:tab w:val="num" w:pos="567"/>
        </w:tabs>
        <w:ind w:left="567"/>
        <w:rPr>
          <w:lang w:val="en-GB"/>
        </w:rPr>
      </w:pPr>
      <w:r>
        <w:rPr>
          <w:lang w:val="en-GB"/>
        </w:rPr>
        <w:t>f</w:t>
      </w:r>
      <w:r w:rsidR="00C63A89" w:rsidRPr="00C63A89">
        <w:rPr>
          <w:lang w:val="en-GB"/>
        </w:rPr>
        <w:t>usidic acid used to treat long-term infections of the bones and joints (e.g. osteomyelitis);</w:t>
      </w:r>
    </w:p>
    <w:p w14:paraId="1426560B" w14:textId="77777777" w:rsidR="00277ECB" w:rsidRPr="00342F7C" w:rsidRDefault="002E6065" w:rsidP="008E0314">
      <w:pPr>
        <w:pStyle w:val="EMEABullet"/>
        <w:tabs>
          <w:tab w:val="clear" w:pos="709"/>
          <w:tab w:val="num" w:pos="567"/>
        </w:tabs>
        <w:ind w:left="567"/>
        <w:rPr>
          <w:lang w:val="en-GB"/>
        </w:rPr>
      </w:pPr>
      <w:r>
        <w:rPr>
          <w:lang w:val="en-GB"/>
        </w:rPr>
        <w:t>h</w:t>
      </w:r>
      <w:r w:rsidR="00277ECB" w:rsidRPr="00342F7C">
        <w:rPr>
          <w:lang w:val="en-GB"/>
        </w:rPr>
        <w:t>eart medicines including:</w:t>
      </w:r>
    </w:p>
    <w:p w14:paraId="1DBFAF60" w14:textId="77777777" w:rsidR="00277ECB" w:rsidRPr="00342F7C" w:rsidRDefault="002E6065">
      <w:pPr>
        <w:pStyle w:val="EMEABullet"/>
        <w:numPr>
          <w:ilvl w:val="1"/>
          <w:numId w:val="1"/>
        </w:numPr>
        <w:rPr>
          <w:lang w:val="en-GB"/>
        </w:rPr>
      </w:pPr>
      <w:r>
        <w:rPr>
          <w:lang w:val="en-GB"/>
        </w:rPr>
        <w:t>d</w:t>
      </w:r>
      <w:r w:rsidR="00277ECB" w:rsidRPr="00342F7C">
        <w:rPr>
          <w:lang w:val="en-GB"/>
        </w:rPr>
        <w:t>igoxin;</w:t>
      </w:r>
    </w:p>
    <w:p w14:paraId="5DB7C55F" w14:textId="77777777" w:rsidR="00277ECB" w:rsidRPr="00342F7C" w:rsidRDefault="002E6065">
      <w:pPr>
        <w:pStyle w:val="EMEABullet"/>
        <w:numPr>
          <w:ilvl w:val="1"/>
          <w:numId w:val="1"/>
        </w:numPr>
        <w:rPr>
          <w:lang w:val="en-GB"/>
        </w:rPr>
      </w:pPr>
      <w:r>
        <w:rPr>
          <w:lang w:val="en-GB"/>
        </w:rPr>
        <w:t>c</w:t>
      </w:r>
      <w:r w:rsidR="00277ECB" w:rsidRPr="00342F7C">
        <w:rPr>
          <w:lang w:val="en-GB"/>
        </w:rPr>
        <w:t>alcium channel antagonists (e.g. felodipine, nifedipine, nicardipine);</w:t>
      </w:r>
    </w:p>
    <w:p w14:paraId="6E1BC2FF" w14:textId="77777777" w:rsidR="00277ECB" w:rsidRPr="00342F7C" w:rsidRDefault="002E6065">
      <w:pPr>
        <w:pStyle w:val="EMEABullet"/>
        <w:numPr>
          <w:ilvl w:val="1"/>
          <w:numId w:val="1"/>
        </w:numPr>
        <w:rPr>
          <w:lang w:val="en-GB"/>
        </w:rPr>
      </w:pPr>
      <w:r>
        <w:rPr>
          <w:lang w:val="en-GB"/>
        </w:rPr>
        <w:t>m</w:t>
      </w:r>
      <w:r w:rsidR="00277ECB" w:rsidRPr="00342F7C">
        <w:rPr>
          <w:lang w:val="en-GB"/>
        </w:rPr>
        <w:t>edicines used to correct heart rhythm (e.g. bepridil, systemic lidocaine, quinidine);</w:t>
      </w:r>
    </w:p>
    <w:p w14:paraId="3A14A9A6" w14:textId="77777777" w:rsidR="00285B05" w:rsidRPr="007E1E2E" w:rsidRDefault="00FA615C" w:rsidP="008E0314">
      <w:pPr>
        <w:pStyle w:val="EMEABullet"/>
        <w:tabs>
          <w:tab w:val="clear" w:pos="709"/>
          <w:tab w:val="num" w:pos="567"/>
        </w:tabs>
        <w:ind w:left="567"/>
        <w:rPr>
          <w:lang w:val="fr-FR"/>
        </w:rPr>
      </w:pPr>
      <w:r w:rsidRPr="007E1E2E">
        <w:rPr>
          <w:lang w:val="fr-FR"/>
        </w:rPr>
        <w:t>HIV CCR5-anta</w:t>
      </w:r>
      <w:r w:rsidR="00285B05" w:rsidRPr="007E1E2E">
        <w:rPr>
          <w:lang w:val="fr-FR"/>
        </w:rPr>
        <w:t>gonist (e.g. maraviroc);</w:t>
      </w:r>
    </w:p>
    <w:p w14:paraId="45BD0644" w14:textId="6F7DE39E" w:rsidR="00285B05" w:rsidRPr="008915C6" w:rsidRDefault="00285B05" w:rsidP="008E0314">
      <w:pPr>
        <w:pStyle w:val="EMEABullet"/>
        <w:tabs>
          <w:tab w:val="clear" w:pos="709"/>
          <w:tab w:val="num" w:pos="567"/>
        </w:tabs>
        <w:ind w:left="567"/>
        <w:rPr>
          <w:lang w:val="en-GB"/>
        </w:rPr>
      </w:pPr>
      <w:r>
        <w:rPr>
          <w:lang w:val="pt-BR"/>
        </w:rPr>
        <w:t>HIV-1 integrase inhibitor (e.g. raltegravir);</w:t>
      </w:r>
    </w:p>
    <w:p w14:paraId="4B920C53" w14:textId="3CEFA398" w:rsidR="008915C6" w:rsidRPr="00A209AA" w:rsidRDefault="008915C6" w:rsidP="008E0314">
      <w:pPr>
        <w:pStyle w:val="EMEABullet"/>
        <w:tabs>
          <w:tab w:val="clear" w:pos="709"/>
          <w:tab w:val="num" w:pos="567"/>
        </w:tabs>
        <w:ind w:left="567"/>
        <w:rPr>
          <w:lang w:val="en-GB"/>
        </w:rPr>
      </w:pPr>
      <w:r>
        <w:rPr>
          <w:lang w:val="pt-BR"/>
        </w:rPr>
        <w:t>medicines used to treat low blood platelet count (e.g. fostamatinib);</w:t>
      </w:r>
    </w:p>
    <w:p w14:paraId="7FA64B0C" w14:textId="77777777" w:rsidR="00A209AA" w:rsidRPr="00A209AA" w:rsidRDefault="00A209AA" w:rsidP="00A209AA">
      <w:pPr>
        <w:pStyle w:val="EMEABullet"/>
        <w:tabs>
          <w:tab w:val="clear" w:pos="709"/>
          <w:tab w:val="num" w:pos="567"/>
        </w:tabs>
        <w:ind w:left="567"/>
        <w:rPr>
          <w:lang w:val="en-GB"/>
        </w:rPr>
      </w:pPr>
      <w:r w:rsidRPr="00A209AA">
        <w:rPr>
          <w:lang w:val="en-GB"/>
        </w:rPr>
        <w:t>levothyroxine (used to treat thyroid problems);</w:t>
      </w:r>
    </w:p>
    <w:p w14:paraId="2999FE3A" w14:textId="77777777" w:rsidR="00A209AA" w:rsidRDefault="00105500" w:rsidP="008E0314">
      <w:pPr>
        <w:pStyle w:val="EMEABullet"/>
        <w:tabs>
          <w:tab w:val="clear" w:pos="709"/>
          <w:tab w:val="num" w:pos="567"/>
        </w:tabs>
        <w:ind w:left="567"/>
        <w:rPr>
          <w:lang w:val="en-GB"/>
        </w:rPr>
      </w:pPr>
      <w:r>
        <w:rPr>
          <w:lang w:val="en-GB"/>
        </w:rPr>
        <w:t>m</w:t>
      </w:r>
      <w:r w:rsidR="00277ECB" w:rsidRPr="00342F7C">
        <w:rPr>
          <w:lang w:val="en-GB"/>
        </w:rPr>
        <w:t>edicines used to lower blood cholesterol (e.g. atorvastatin, lovastatin, rosuvastatin or simvastatin);</w:t>
      </w:r>
      <w:r w:rsidR="00C71BC5" w:rsidRPr="00C71BC5">
        <w:rPr>
          <w:lang w:val="en-GB"/>
        </w:rPr>
        <w:t xml:space="preserve"> </w:t>
      </w:r>
    </w:p>
    <w:p w14:paraId="13BABC15" w14:textId="77777777" w:rsidR="00D129BC" w:rsidRDefault="002E6065" w:rsidP="008E0314">
      <w:pPr>
        <w:pStyle w:val="EMEABullet"/>
        <w:tabs>
          <w:tab w:val="clear" w:pos="709"/>
          <w:tab w:val="num" w:pos="567"/>
        </w:tabs>
        <w:ind w:left="567"/>
        <w:rPr>
          <w:lang w:val="en-GB"/>
        </w:rPr>
      </w:pPr>
      <w:r>
        <w:rPr>
          <w:lang w:val="en-GB"/>
        </w:rPr>
        <w:t>m</w:t>
      </w:r>
      <w:r w:rsidR="00D129BC">
        <w:rPr>
          <w:lang w:val="en-GB"/>
        </w:rPr>
        <w:t>edicines use</w:t>
      </w:r>
      <w:r w:rsidR="00843753">
        <w:rPr>
          <w:lang w:val="en-GB"/>
        </w:rPr>
        <w:t>d</w:t>
      </w:r>
      <w:r w:rsidR="00D129BC">
        <w:rPr>
          <w:lang w:val="en-GB"/>
        </w:rPr>
        <w:t xml:space="preserve"> to treat asthma and other lung-related problems such as chronic obstructive pulmonary disease (COPD) (e.g. salmeterol);</w:t>
      </w:r>
    </w:p>
    <w:p w14:paraId="7DCE3044" w14:textId="77777777" w:rsidR="00277ECB" w:rsidRPr="00342F7C" w:rsidRDefault="002E6065" w:rsidP="008E0314">
      <w:pPr>
        <w:pStyle w:val="EMEABullet"/>
        <w:tabs>
          <w:tab w:val="clear" w:pos="709"/>
          <w:tab w:val="num" w:pos="567"/>
        </w:tabs>
        <w:ind w:left="567"/>
        <w:rPr>
          <w:lang w:val="en-GB"/>
        </w:rPr>
      </w:pPr>
      <w:r>
        <w:rPr>
          <w:lang w:val="en-GB"/>
        </w:rPr>
        <w:t>m</w:t>
      </w:r>
      <w:r w:rsidR="00F33343">
        <w:rPr>
          <w:lang w:val="en-GB"/>
        </w:rPr>
        <w:t>edicines used to treat pulmona</w:t>
      </w:r>
      <w:r w:rsidR="00F33343" w:rsidRPr="00C71BC5">
        <w:rPr>
          <w:lang w:val="en-GB"/>
        </w:rPr>
        <w:t xml:space="preserve">ry </w:t>
      </w:r>
      <w:r w:rsidR="00F33343" w:rsidRPr="00C71BC5">
        <w:t>arterial hypertension</w:t>
      </w:r>
      <w:r w:rsidR="00F33343" w:rsidRPr="00C71BC5">
        <w:rPr>
          <w:szCs w:val="22"/>
          <w:lang w:val="en-GB"/>
        </w:rPr>
        <w:t xml:space="preserve"> </w:t>
      </w:r>
      <w:r w:rsidR="00F33343" w:rsidRPr="00C71BC5">
        <w:rPr>
          <w:szCs w:val="22"/>
        </w:rPr>
        <w:t>(high blood pressure in the pulmonary artery)</w:t>
      </w:r>
      <w:r w:rsidR="00F33343" w:rsidRPr="00C71BC5">
        <w:rPr>
          <w:szCs w:val="22"/>
          <w:lang w:val="en-GB"/>
        </w:rPr>
        <w:t xml:space="preserve"> </w:t>
      </w:r>
      <w:r w:rsidR="00F33343" w:rsidRPr="00C71BC5">
        <w:rPr>
          <w:lang w:val="en-GB"/>
        </w:rPr>
        <w:t>(e</w:t>
      </w:r>
      <w:r w:rsidR="00F33343">
        <w:rPr>
          <w:lang w:val="en-GB"/>
        </w:rPr>
        <w:t xml:space="preserve">.g. bosentan, </w:t>
      </w:r>
      <w:r w:rsidR="001C55CF">
        <w:rPr>
          <w:lang w:val="en-GB"/>
        </w:rPr>
        <w:t xml:space="preserve">riociguat, </w:t>
      </w:r>
      <w:r w:rsidR="00C63A89">
        <w:rPr>
          <w:lang w:val="en-GB"/>
        </w:rPr>
        <w:t xml:space="preserve">sildenafil, </w:t>
      </w:r>
      <w:r w:rsidR="00F33343">
        <w:rPr>
          <w:lang w:val="en-GB"/>
        </w:rPr>
        <w:t>tadalafil);</w:t>
      </w:r>
    </w:p>
    <w:p w14:paraId="6A1E9B35" w14:textId="77777777" w:rsidR="00277ECB" w:rsidRPr="00342F7C" w:rsidRDefault="002E6065" w:rsidP="008E0314">
      <w:pPr>
        <w:pStyle w:val="EMEABullet"/>
        <w:tabs>
          <w:tab w:val="clear" w:pos="709"/>
          <w:tab w:val="num" w:pos="567"/>
        </w:tabs>
        <w:ind w:left="567"/>
        <w:rPr>
          <w:lang w:val="en-GB"/>
        </w:rPr>
      </w:pPr>
      <w:r>
        <w:rPr>
          <w:lang w:val="en-GB"/>
        </w:rPr>
        <w:t>m</w:t>
      </w:r>
      <w:r w:rsidR="00277ECB" w:rsidRPr="00342F7C">
        <w:rPr>
          <w:lang w:val="en-GB"/>
        </w:rPr>
        <w:t>edicines affecting the immune system (e.g. cyclosporin, sirolimus (rapamycin), tacrolimus);</w:t>
      </w:r>
    </w:p>
    <w:p w14:paraId="33353FDC" w14:textId="77777777" w:rsidR="00277ECB" w:rsidRPr="00342F7C" w:rsidRDefault="002E6065" w:rsidP="008E0314">
      <w:pPr>
        <w:pStyle w:val="EMEABullet"/>
        <w:tabs>
          <w:tab w:val="clear" w:pos="709"/>
          <w:tab w:val="num" w:pos="567"/>
        </w:tabs>
        <w:ind w:left="567"/>
        <w:rPr>
          <w:lang w:val="en-GB"/>
        </w:rPr>
      </w:pPr>
      <w:r>
        <w:rPr>
          <w:lang w:val="en-GB"/>
        </w:rPr>
        <w:t>m</w:t>
      </w:r>
      <w:r w:rsidR="00277ECB" w:rsidRPr="00342F7C">
        <w:rPr>
          <w:lang w:val="en-GB"/>
        </w:rPr>
        <w:t>edicines used for smoking cessation (e.g. bupropion);</w:t>
      </w:r>
    </w:p>
    <w:p w14:paraId="1CDF9B36" w14:textId="77777777" w:rsidR="00403F0E" w:rsidRPr="00342F7C" w:rsidRDefault="002E6065" w:rsidP="008E0314">
      <w:pPr>
        <w:pStyle w:val="EMEABullet"/>
        <w:tabs>
          <w:tab w:val="clear" w:pos="709"/>
          <w:tab w:val="num" w:pos="567"/>
        </w:tabs>
        <w:ind w:left="567"/>
        <w:rPr>
          <w:lang w:val="en-GB"/>
        </w:rPr>
      </w:pPr>
      <w:r>
        <w:rPr>
          <w:lang w:val="en-GB"/>
        </w:rPr>
        <w:t>p</w:t>
      </w:r>
      <w:r w:rsidR="00403F0E" w:rsidRPr="00342F7C">
        <w:rPr>
          <w:lang w:val="en-GB"/>
        </w:rPr>
        <w:t>ain-relieving medicines (e.g. fentanyl);</w:t>
      </w:r>
    </w:p>
    <w:p w14:paraId="49523A9D" w14:textId="77777777" w:rsidR="00277ECB" w:rsidRPr="00342F7C" w:rsidRDefault="002E6065" w:rsidP="008E0314">
      <w:pPr>
        <w:pStyle w:val="EMEABullet"/>
        <w:tabs>
          <w:tab w:val="clear" w:pos="709"/>
          <w:tab w:val="num" w:pos="567"/>
        </w:tabs>
        <w:ind w:left="567"/>
        <w:rPr>
          <w:lang w:val="en-GB"/>
        </w:rPr>
      </w:pPr>
      <w:r>
        <w:rPr>
          <w:lang w:val="en-GB"/>
        </w:rPr>
        <w:t>m</w:t>
      </w:r>
      <w:r w:rsidR="00277ECB" w:rsidRPr="00342F7C">
        <w:rPr>
          <w:lang w:val="en-GB"/>
        </w:rPr>
        <w:t>orphine-like medicines (e.g. methadone);</w:t>
      </w:r>
    </w:p>
    <w:p w14:paraId="729F6443" w14:textId="77777777" w:rsidR="00277ECB" w:rsidRPr="00342F7C" w:rsidRDefault="002E6065" w:rsidP="008E0314">
      <w:pPr>
        <w:pStyle w:val="EMEABullet"/>
        <w:tabs>
          <w:tab w:val="clear" w:pos="709"/>
          <w:tab w:val="num" w:pos="567"/>
        </w:tabs>
        <w:ind w:left="567"/>
        <w:rPr>
          <w:lang w:val="en-GB"/>
        </w:rPr>
      </w:pPr>
      <w:r>
        <w:rPr>
          <w:lang w:val="en-GB"/>
        </w:rPr>
        <w:t>n</w:t>
      </w:r>
      <w:r w:rsidR="00277ECB" w:rsidRPr="00342F7C">
        <w:rPr>
          <w:lang w:val="en-GB"/>
        </w:rPr>
        <w:t>on-nucleoside reverse transcriptase inhibitors (NNRTIs) (e.g. efavirenz, nevirapine);</w:t>
      </w:r>
    </w:p>
    <w:p w14:paraId="67D64643" w14:textId="77777777" w:rsidR="00277ECB" w:rsidRPr="00342F7C" w:rsidRDefault="002E6065" w:rsidP="008E0314">
      <w:pPr>
        <w:pStyle w:val="EMEABullet"/>
        <w:tabs>
          <w:tab w:val="clear" w:pos="709"/>
          <w:tab w:val="num" w:pos="567"/>
        </w:tabs>
        <w:ind w:left="567"/>
        <w:rPr>
          <w:lang w:val="en-GB"/>
        </w:rPr>
      </w:pPr>
      <w:r>
        <w:rPr>
          <w:lang w:val="en-GB"/>
        </w:rPr>
        <w:t>o</w:t>
      </w:r>
      <w:r w:rsidR="00277ECB" w:rsidRPr="00342F7C">
        <w:rPr>
          <w:lang w:val="en-GB"/>
        </w:rPr>
        <w:t xml:space="preserve">ral contraceptive or using a patch contraceptive to prevent pregnancy (see section below titled </w:t>
      </w:r>
      <w:r w:rsidR="00277ECB" w:rsidRPr="00342F7C">
        <w:rPr>
          <w:b/>
          <w:bCs/>
          <w:lang w:val="en-GB"/>
        </w:rPr>
        <w:t>Contraceptives</w:t>
      </w:r>
      <w:r w:rsidR="00277ECB" w:rsidRPr="00342F7C">
        <w:rPr>
          <w:lang w:val="en-GB"/>
        </w:rPr>
        <w:t>);</w:t>
      </w:r>
    </w:p>
    <w:p w14:paraId="22527626" w14:textId="77777777" w:rsidR="00277ECB" w:rsidRPr="007E1E2E" w:rsidRDefault="002E6065" w:rsidP="008E0314">
      <w:pPr>
        <w:pStyle w:val="EMEABullet"/>
        <w:tabs>
          <w:tab w:val="clear" w:pos="709"/>
          <w:tab w:val="num" w:pos="567"/>
        </w:tabs>
        <w:ind w:left="567"/>
        <w:rPr>
          <w:lang w:val="fr-FR"/>
        </w:rPr>
      </w:pPr>
      <w:r>
        <w:rPr>
          <w:lang w:val="fr-FR"/>
        </w:rPr>
        <w:t>p</w:t>
      </w:r>
      <w:r w:rsidR="00277ECB" w:rsidRPr="007E1E2E">
        <w:rPr>
          <w:lang w:val="fr-FR"/>
        </w:rPr>
        <w:t>rotease inhibitors (e.g. fosamprenavir, indinavir, ritonavir, saquinavir</w:t>
      </w:r>
      <w:r w:rsidR="009C11D6" w:rsidRPr="007E1E2E">
        <w:rPr>
          <w:lang w:val="fr-FR"/>
        </w:rPr>
        <w:t>, tipranavir</w:t>
      </w:r>
      <w:r w:rsidR="00277ECB" w:rsidRPr="007E1E2E">
        <w:rPr>
          <w:lang w:val="fr-FR"/>
        </w:rPr>
        <w:t>);</w:t>
      </w:r>
    </w:p>
    <w:p w14:paraId="508B424E" w14:textId="77777777" w:rsidR="00277ECB" w:rsidRPr="00342F7C" w:rsidRDefault="002E6065" w:rsidP="008E0314">
      <w:pPr>
        <w:pStyle w:val="EMEABullet"/>
        <w:tabs>
          <w:tab w:val="clear" w:pos="709"/>
          <w:tab w:val="num" w:pos="567"/>
        </w:tabs>
        <w:ind w:left="567"/>
        <w:rPr>
          <w:lang w:val="en-GB"/>
        </w:rPr>
      </w:pPr>
      <w:r>
        <w:rPr>
          <w:lang w:val="en-GB"/>
        </w:rPr>
        <w:t>s</w:t>
      </w:r>
      <w:r w:rsidR="00277ECB" w:rsidRPr="00342F7C">
        <w:rPr>
          <w:lang w:val="en-GB"/>
        </w:rPr>
        <w:t>edatives (e.g. midazolam administered by injection);</w:t>
      </w:r>
    </w:p>
    <w:p w14:paraId="097B9483" w14:textId="77777777" w:rsidR="00277ECB" w:rsidRDefault="002E6065" w:rsidP="008E0314">
      <w:pPr>
        <w:pStyle w:val="EMEABullet"/>
        <w:tabs>
          <w:tab w:val="clear" w:pos="709"/>
          <w:tab w:val="num" w:pos="567"/>
        </w:tabs>
        <w:ind w:left="567"/>
        <w:rPr>
          <w:lang w:val="en-GB"/>
        </w:rPr>
      </w:pPr>
      <w:r>
        <w:rPr>
          <w:lang w:val="en-GB"/>
        </w:rPr>
        <w:t>s</w:t>
      </w:r>
      <w:r w:rsidR="00277ECB" w:rsidRPr="00342F7C">
        <w:rPr>
          <w:lang w:val="en-GB"/>
        </w:rPr>
        <w:t>teroids (e.g. </w:t>
      </w:r>
      <w:r w:rsidR="00285B05">
        <w:rPr>
          <w:lang w:val="en-GB"/>
        </w:rPr>
        <w:t xml:space="preserve">budesonide, </w:t>
      </w:r>
      <w:r w:rsidR="00277ECB" w:rsidRPr="00342F7C">
        <w:rPr>
          <w:lang w:val="en-GB"/>
        </w:rPr>
        <w:t>dexamethasone, fluticasone propionate, ethinyl oestradiol</w:t>
      </w:r>
      <w:r w:rsidR="00E011E0">
        <w:rPr>
          <w:lang w:val="en-GB"/>
        </w:rPr>
        <w:t xml:space="preserve">, </w:t>
      </w:r>
      <w:r w:rsidR="00E011E0">
        <w:rPr>
          <w:iCs/>
          <w:lang w:val="en-GB"/>
        </w:rPr>
        <w:t>triamcinolone</w:t>
      </w:r>
      <w:r w:rsidR="00277ECB" w:rsidRPr="00342F7C">
        <w:rPr>
          <w:lang w:val="en-GB"/>
        </w:rPr>
        <w:t>)</w:t>
      </w:r>
      <w:r w:rsidR="00F67405">
        <w:rPr>
          <w:lang w:val="en-GB"/>
        </w:rPr>
        <w:t>.</w:t>
      </w:r>
    </w:p>
    <w:p w14:paraId="64FD27D3" w14:textId="77777777" w:rsidR="00277ECB" w:rsidRPr="00342F7C" w:rsidRDefault="00277ECB">
      <w:pPr>
        <w:pStyle w:val="EMEABullet"/>
        <w:numPr>
          <w:ilvl w:val="0"/>
          <w:numId w:val="0"/>
        </w:numPr>
        <w:rPr>
          <w:lang w:val="en-GB"/>
        </w:rPr>
      </w:pPr>
    </w:p>
    <w:p w14:paraId="5EEDB95E" w14:textId="77777777" w:rsidR="00277ECB" w:rsidRPr="00342F7C" w:rsidRDefault="00277ECB">
      <w:pPr>
        <w:pStyle w:val="EMEABullet"/>
        <w:numPr>
          <w:ilvl w:val="0"/>
          <w:numId w:val="0"/>
        </w:numPr>
        <w:rPr>
          <w:lang w:val="en-GB"/>
        </w:rPr>
      </w:pPr>
      <w:r w:rsidRPr="00342F7C">
        <w:rPr>
          <w:b/>
          <w:bCs/>
          <w:lang w:val="en-GB"/>
        </w:rPr>
        <w:t xml:space="preserve">Read the list of medicines </w:t>
      </w:r>
      <w:r w:rsidR="003C1501">
        <w:rPr>
          <w:b/>
          <w:bCs/>
          <w:lang w:val="en-GB"/>
        </w:rPr>
        <w:t>above</w:t>
      </w:r>
      <w:r w:rsidR="003C1501" w:rsidRPr="00342F7C">
        <w:rPr>
          <w:b/>
          <w:bCs/>
          <w:lang w:val="en-GB"/>
        </w:rPr>
        <w:t xml:space="preserve"> </w:t>
      </w:r>
      <w:r w:rsidRPr="00342F7C">
        <w:rPr>
          <w:b/>
          <w:bCs/>
          <w:lang w:val="en-GB"/>
        </w:rPr>
        <w:t>‘Do not take Kaletra with any of the following medicines</w:t>
      </w:r>
      <w:r w:rsidRPr="00342F7C">
        <w:rPr>
          <w:lang w:val="en-GB"/>
        </w:rPr>
        <w:t>’ for information on medicines that you must not take with Kaletra.</w:t>
      </w:r>
    </w:p>
    <w:p w14:paraId="60ED44AE" w14:textId="77777777" w:rsidR="00277ECB" w:rsidRPr="00342F7C" w:rsidRDefault="00277ECB">
      <w:pPr>
        <w:pStyle w:val="EMEABullet"/>
        <w:numPr>
          <w:ilvl w:val="0"/>
          <w:numId w:val="0"/>
        </w:numPr>
        <w:rPr>
          <w:lang w:val="en-GB"/>
        </w:rPr>
      </w:pPr>
    </w:p>
    <w:p w14:paraId="0970B8E1" w14:textId="77777777" w:rsidR="00277ECB" w:rsidRPr="00342F7C" w:rsidRDefault="004714CA">
      <w:pPr>
        <w:pStyle w:val="EMEANormal"/>
        <w:rPr>
          <w:lang w:val="en-GB"/>
        </w:rPr>
      </w:pPr>
      <w:r>
        <w:rPr>
          <w:lang w:val="en-GB"/>
        </w:rPr>
        <w:t>T</w:t>
      </w:r>
      <w:r w:rsidR="00277ECB" w:rsidRPr="00342F7C">
        <w:rPr>
          <w:lang w:val="en-GB"/>
        </w:rPr>
        <w:t xml:space="preserve">ell your doctor or pharmacist if you </w:t>
      </w:r>
      <w:r w:rsidR="003C1501">
        <w:rPr>
          <w:lang w:val="en-GB"/>
        </w:rPr>
        <w:t xml:space="preserve">or your child </w:t>
      </w:r>
      <w:r w:rsidR="00277ECB" w:rsidRPr="00342F7C">
        <w:rPr>
          <w:lang w:val="en-GB"/>
        </w:rPr>
        <w:t>are taking</w:t>
      </w:r>
      <w:r>
        <w:rPr>
          <w:lang w:val="en-GB"/>
        </w:rPr>
        <w:t>,</w:t>
      </w:r>
      <w:r w:rsidR="00277ECB" w:rsidRPr="00342F7C">
        <w:rPr>
          <w:lang w:val="en-GB"/>
        </w:rPr>
        <w:t xml:space="preserve"> have recently taken </w:t>
      </w:r>
      <w:r>
        <w:rPr>
          <w:lang w:val="en-GB"/>
        </w:rPr>
        <w:t xml:space="preserve">or might take </w:t>
      </w:r>
      <w:r w:rsidR="00277ECB" w:rsidRPr="00342F7C">
        <w:rPr>
          <w:lang w:val="en-GB"/>
        </w:rPr>
        <w:t>any other medicines, including medicines obtained without prescription.</w:t>
      </w:r>
    </w:p>
    <w:p w14:paraId="44715845" w14:textId="77777777" w:rsidR="00277ECB" w:rsidRPr="00342F7C" w:rsidRDefault="00277ECB">
      <w:pPr>
        <w:pStyle w:val="EMEABullet"/>
        <w:numPr>
          <w:ilvl w:val="0"/>
          <w:numId w:val="0"/>
        </w:numPr>
        <w:rPr>
          <w:lang w:val="en-GB"/>
        </w:rPr>
      </w:pPr>
    </w:p>
    <w:p w14:paraId="4B542250" w14:textId="77777777" w:rsidR="00277ECB" w:rsidRDefault="00277ECB">
      <w:pPr>
        <w:pStyle w:val="EMEABullet"/>
        <w:numPr>
          <w:ilvl w:val="0"/>
          <w:numId w:val="0"/>
        </w:numPr>
        <w:rPr>
          <w:b/>
          <w:bCs/>
          <w:lang w:val="en-GB"/>
        </w:rPr>
      </w:pPr>
      <w:r w:rsidRPr="00342F7C">
        <w:rPr>
          <w:b/>
          <w:bCs/>
          <w:lang w:val="en-GB"/>
        </w:rPr>
        <w:t>Erectile dysfunction medicines (</w:t>
      </w:r>
      <w:r w:rsidR="00D40FAE" w:rsidRPr="006D283F">
        <w:rPr>
          <w:b/>
          <w:lang w:val="en-GB"/>
        </w:rPr>
        <w:t>avanafil</w:t>
      </w:r>
      <w:r w:rsidR="00D40FAE">
        <w:rPr>
          <w:lang w:val="en-GB"/>
        </w:rPr>
        <w:t>,</w:t>
      </w:r>
      <w:r w:rsidR="00D40FAE" w:rsidRPr="00342F7C">
        <w:rPr>
          <w:b/>
          <w:bCs/>
          <w:lang w:val="en-GB"/>
        </w:rPr>
        <w:t xml:space="preserve"> </w:t>
      </w:r>
      <w:r w:rsidRPr="00342F7C">
        <w:rPr>
          <w:b/>
          <w:bCs/>
          <w:lang w:val="en-GB"/>
        </w:rPr>
        <w:t>vardenafil, sildenafil, tadalafil)</w:t>
      </w:r>
    </w:p>
    <w:p w14:paraId="75B52955" w14:textId="77777777" w:rsidR="00A7637E" w:rsidRPr="00342F7C" w:rsidRDefault="00A7637E">
      <w:pPr>
        <w:pStyle w:val="EMEABullet"/>
        <w:numPr>
          <w:ilvl w:val="0"/>
          <w:numId w:val="0"/>
        </w:numPr>
        <w:rPr>
          <w:b/>
          <w:bCs/>
          <w:lang w:val="en-GB"/>
        </w:rPr>
      </w:pPr>
    </w:p>
    <w:p w14:paraId="41FF8CA7" w14:textId="77777777" w:rsidR="00277ECB" w:rsidRPr="00342F7C" w:rsidRDefault="00277ECB" w:rsidP="008E0314">
      <w:pPr>
        <w:pStyle w:val="EMEABullet"/>
        <w:tabs>
          <w:tab w:val="clear" w:pos="709"/>
          <w:tab w:val="num" w:pos="567"/>
        </w:tabs>
        <w:ind w:left="567"/>
        <w:rPr>
          <w:lang w:val="en-GB"/>
        </w:rPr>
      </w:pPr>
      <w:r w:rsidRPr="00342F7C">
        <w:rPr>
          <w:b/>
          <w:bCs/>
          <w:lang w:val="en-GB"/>
        </w:rPr>
        <w:t>Do not take Kaletra</w:t>
      </w:r>
      <w:r w:rsidRPr="00342F7C">
        <w:rPr>
          <w:lang w:val="en-GB"/>
        </w:rPr>
        <w:t xml:space="preserve"> if you are currently taking </w:t>
      </w:r>
      <w:r w:rsidR="00D40FAE">
        <w:rPr>
          <w:lang w:val="en-GB"/>
        </w:rPr>
        <w:t>avanafil</w:t>
      </w:r>
      <w:r w:rsidR="00D40FAE" w:rsidRPr="00342F7C">
        <w:rPr>
          <w:lang w:val="en-GB"/>
        </w:rPr>
        <w:t xml:space="preserve"> </w:t>
      </w:r>
      <w:r w:rsidR="00D40FAE">
        <w:rPr>
          <w:lang w:val="en-GB"/>
        </w:rPr>
        <w:t xml:space="preserve">or </w:t>
      </w:r>
      <w:r w:rsidRPr="00342F7C">
        <w:rPr>
          <w:lang w:val="en-GB"/>
        </w:rPr>
        <w:t>vardenafil.</w:t>
      </w:r>
    </w:p>
    <w:p w14:paraId="03C3B65E" w14:textId="77777777" w:rsidR="009F5E22" w:rsidRPr="00342F7C" w:rsidRDefault="009F5E22" w:rsidP="008E0314">
      <w:pPr>
        <w:pStyle w:val="EMEABullet"/>
        <w:tabs>
          <w:tab w:val="clear" w:pos="709"/>
          <w:tab w:val="num" w:pos="567"/>
        </w:tabs>
        <w:ind w:left="567"/>
        <w:rPr>
          <w:lang w:val="en-GB"/>
        </w:rPr>
      </w:pPr>
      <w:r w:rsidRPr="00342F7C">
        <w:rPr>
          <w:lang w:val="en-GB"/>
        </w:rPr>
        <w:t xml:space="preserve">You must not take Kaletra with sildenafil used to treat pulmonary arterial hypertension </w:t>
      </w:r>
      <w:r w:rsidR="00C63A89" w:rsidRPr="00C71BC5">
        <w:rPr>
          <w:szCs w:val="22"/>
        </w:rPr>
        <w:t>(high blood pressure in the pulmonary artery)</w:t>
      </w:r>
      <w:r w:rsidR="00C63A89" w:rsidRPr="00342F7C">
        <w:rPr>
          <w:lang w:val="en-GB"/>
        </w:rPr>
        <w:t xml:space="preserve"> </w:t>
      </w:r>
      <w:r w:rsidRPr="00342F7C">
        <w:rPr>
          <w:lang w:val="en-GB"/>
        </w:rPr>
        <w:t xml:space="preserve">(see also </w:t>
      </w:r>
      <w:r w:rsidRPr="00342F7C">
        <w:rPr>
          <w:b/>
          <w:lang w:val="en-GB"/>
        </w:rPr>
        <w:t>Do not take Kaletra</w:t>
      </w:r>
      <w:r w:rsidRPr="00342F7C">
        <w:rPr>
          <w:lang w:val="en-GB"/>
        </w:rPr>
        <w:t xml:space="preserve"> section</w:t>
      </w:r>
      <w:r w:rsidR="003C1501">
        <w:rPr>
          <w:lang w:val="en-GB"/>
        </w:rPr>
        <w:t xml:space="preserve"> above</w:t>
      </w:r>
      <w:r w:rsidRPr="00342F7C">
        <w:rPr>
          <w:lang w:val="en-GB"/>
        </w:rPr>
        <w:t>)</w:t>
      </w:r>
      <w:r w:rsidR="00B65B9A" w:rsidRPr="00342F7C">
        <w:rPr>
          <w:lang w:val="en-GB"/>
        </w:rPr>
        <w:t>.</w:t>
      </w:r>
    </w:p>
    <w:p w14:paraId="0637E382" w14:textId="77777777" w:rsidR="00277ECB" w:rsidRPr="00342F7C" w:rsidRDefault="00277ECB" w:rsidP="008E0314">
      <w:pPr>
        <w:pStyle w:val="EMEABullet"/>
        <w:tabs>
          <w:tab w:val="clear" w:pos="709"/>
          <w:tab w:val="num" w:pos="567"/>
        </w:tabs>
        <w:ind w:left="567"/>
        <w:rPr>
          <w:lang w:val="en-GB"/>
        </w:rPr>
      </w:pPr>
      <w:r w:rsidRPr="00342F7C">
        <w:rPr>
          <w:lang w:val="en-GB"/>
        </w:rPr>
        <w:t xml:space="preserve">If you take sildenafil or tadalafil and Kaletra together, you may be at risk of side effects such as low blood pressure, passing out, visual changes and penile erection lasting more than 4 hours.  If an erection lasts longer than 4 hours, you should get medical help </w:t>
      </w:r>
      <w:r w:rsidRPr="00342F7C">
        <w:rPr>
          <w:b/>
          <w:bCs/>
          <w:lang w:val="en-GB"/>
        </w:rPr>
        <w:t>immediately</w:t>
      </w:r>
      <w:r w:rsidRPr="00342F7C">
        <w:rPr>
          <w:lang w:val="en-GB"/>
        </w:rPr>
        <w:t xml:space="preserve"> to avoid permanent damage to your penis.  Your doctor can explain these symptoms to you.</w:t>
      </w:r>
    </w:p>
    <w:p w14:paraId="291F9DE9" w14:textId="77777777" w:rsidR="00277ECB" w:rsidRPr="00342F7C" w:rsidRDefault="00277ECB">
      <w:pPr>
        <w:pStyle w:val="EMEANormal"/>
        <w:rPr>
          <w:lang w:val="en-GB"/>
        </w:rPr>
      </w:pPr>
    </w:p>
    <w:p w14:paraId="3CF9C983" w14:textId="77777777" w:rsidR="00277ECB" w:rsidRPr="00342F7C" w:rsidRDefault="00277ECB">
      <w:pPr>
        <w:pStyle w:val="EMEABullet"/>
        <w:numPr>
          <w:ilvl w:val="0"/>
          <w:numId w:val="0"/>
        </w:numPr>
        <w:rPr>
          <w:b/>
          <w:bCs/>
          <w:lang w:val="en-GB"/>
        </w:rPr>
      </w:pPr>
      <w:r w:rsidRPr="00342F7C">
        <w:rPr>
          <w:b/>
          <w:bCs/>
          <w:lang w:val="en-GB"/>
        </w:rPr>
        <w:t>Contraceptives</w:t>
      </w:r>
    </w:p>
    <w:p w14:paraId="55B48692" w14:textId="77777777" w:rsidR="00277ECB" w:rsidRPr="00342F7C" w:rsidRDefault="00277ECB">
      <w:pPr>
        <w:pStyle w:val="EMEABullet"/>
        <w:numPr>
          <w:ilvl w:val="0"/>
          <w:numId w:val="0"/>
        </w:numPr>
        <w:rPr>
          <w:b/>
          <w:bCs/>
          <w:lang w:val="en-GB"/>
        </w:rPr>
      </w:pPr>
    </w:p>
    <w:p w14:paraId="099B8308" w14:textId="77777777" w:rsidR="00277ECB" w:rsidRPr="00342F7C" w:rsidRDefault="00277ECB" w:rsidP="008E0314">
      <w:pPr>
        <w:pStyle w:val="EMEABullet"/>
        <w:tabs>
          <w:tab w:val="clear" w:pos="709"/>
          <w:tab w:val="num" w:pos="567"/>
        </w:tabs>
        <w:ind w:left="567"/>
        <w:rPr>
          <w:lang w:val="en-GB"/>
        </w:rPr>
      </w:pPr>
      <w:r w:rsidRPr="00342F7C">
        <w:rPr>
          <w:lang w:val="en-GB"/>
        </w:rPr>
        <w:t>If you are currently using an oral contraceptive or using a patch contraceptive to prevent pregnancy, you should use an additional or different type of contraception (e.g. condom) as Kaletra may reduce the effectiveness of oral and patch contraceptives.</w:t>
      </w:r>
    </w:p>
    <w:p w14:paraId="2DFE8447" w14:textId="77777777" w:rsidR="00277ECB" w:rsidRPr="00342F7C" w:rsidRDefault="00277ECB" w:rsidP="008E0314">
      <w:pPr>
        <w:pStyle w:val="EMEABullet"/>
        <w:tabs>
          <w:tab w:val="clear" w:pos="709"/>
          <w:tab w:val="num" w:pos="567"/>
        </w:tabs>
        <w:ind w:left="567"/>
        <w:rPr>
          <w:lang w:val="en-GB"/>
        </w:rPr>
      </w:pPr>
      <w:r w:rsidRPr="00342F7C">
        <w:rPr>
          <w:lang w:val="en-GB"/>
        </w:rPr>
        <w:t>Kaletra does not reduce the risk of passing HIV to others.  Appropriate precautions (e.g. use of a condom) should be taken to prevent passing on the disease through sexual contact.</w:t>
      </w:r>
    </w:p>
    <w:p w14:paraId="18255E61" w14:textId="77777777" w:rsidR="004B37FD" w:rsidRDefault="004B37FD" w:rsidP="004B37FD">
      <w:pPr>
        <w:pStyle w:val="EMEAHeadingLeaflet"/>
        <w:spacing w:beforeLines="0" w:before="0" w:afterLines="0" w:after="0"/>
        <w:rPr>
          <w:rFonts w:ascii="Times New Roman" w:hAnsi="Times New Roman"/>
          <w:lang w:val="en-GB"/>
        </w:rPr>
      </w:pPr>
    </w:p>
    <w:p w14:paraId="6CA266C2" w14:textId="77777777" w:rsidR="00277ECB" w:rsidRPr="00342F7C" w:rsidRDefault="00277ECB" w:rsidP="004B37FD">
      <w:pPr>
        <w:pStyle w:val="EMEAHeadingLeaflet"/>
        <w:spacing w:beforeLines="0" w:before="0" w:afterLines="0" w:after="0"/>
        <w:rPr>
          <w:rFonts w:ascii="Times New Roman" w:hAnsi="Times New Roman"/>
          <w:lang w:val="en-GB"/>
        </w:rPr>
      </w:pPr>
      <w:r w:rsidRPr="00342F7C">
        <w:rPr>
          <w:rFonts w:ascii="Times New Roman" w:hAnsi="Times New Roman"/>
          <w:lang w:val="en-GB"/>
        </w:rPr>
        <w:t>Pregnancy and breast-feeding</w:t>
      </w:r>
    </w:p>
    <w:p w14:paraId="2D4D112C" w14:textId="77777777" w:rsidR="00277ECB" w:rsidRPr="00342F7C" w:rsidRDefault="00277ECB">
      <w:pPr>
        <w:pStyle w:val="EMEANormal"/>
        <w:rPr>
          <w:lang w:val="en-GB"/>
        </w:rPr>
      </w:pPr>
    </w:p>
    <w:p w14:paraId="00987FA8" w14:textId="77777777" w:rsidR="00277ECB" w:rsidRPr="00342F7C" w:rsidRDefault="00277ECB" w:rsidP="008E0314">
      <w:pPr>
        <w:pStyle w:val="EMEABullet"/>
        <w:tabs>
          <w:tab w:val="clear" w:pos="709"/>
          <w:tab w:val="num" w:pos="567"/>
        </w:tabs>
        <w:ind w:left="567"/>
        <w:rPr>
          <w:lang w:val="en-GB"/>
        </w:rPr>
      </w:pPr>
      <w:r w:rsidRPr="00342F7C">
        <w:rPr>
          <w:lang w:val="en-GB"/>
        </w:rPr>
        <w:t>Tell you</w:t>
      </w:r>
      <w:r w:rsidR="00B341CE">
        <w:rPr>
          <w:lang w:val="en-GB"/>
        </w:rPr>
        <w:t>r</w:t>
      </w:r>
      <w:r w:rsidRPr="00342F7C">
        <w:rPr>
          <w:lang w:val="en-GB"/>
        </w:rPr>
        <w:t xml:space="preserve"> doctor </w:t>
      </w:r>
      <w:r w:rsidRPr="00342F7C">
        <w:rPr>
          <w:b/>
          <w:bCs/>
          <w:lang w:val="en-GB"/>
        </w:rPr>
        <w:t>immediately</w:t>
      </w:r>
      <w:r w:rsidRPr="00342F7C">
        <w:rPr>
          <w:lang w:val="en-GB"/>
        </w:rPr>
        <w:t xml:space="preserve"> if </w:t>
      </w:r>
      <w:r w:rsidR="00562D03">
        <w:rPr>
          <w:lang w:val="en-GB"/>
        </w:rPr>
        <w:t xml:space="preserve">you are planning to have a baby, </w:t>
      </w:r>
      <w:r w:rsidRPr="00342F7C">
        <w:rPr>
          <w:lang w:val="en-GB"/>
        </w:rPr>
        <w:t xml:space="preserve">you are pregnant, think you may be pregnant or if you are breast-feeding.  </w:t>
      </w:r>
    </w:p>
    <w:p w14:paraId="75660C1F" w14:textId="77777777" w:rsidR="00277ECB" w:rsidRPr="00342F7C" w:rsidRDefault="00562D03" w:rsidP="008E0314">
      <w:pPr>
        <w:pStyle w:val="EMEABullet"/>
        <w:tabs>
          <w:tab w:val="clear" w:pos="709"/>
          <w:tab w:val="num" w:pos="567"/>
        </w:tabs>
        <w:ind w:left="567"/>
        <w:rPr>
          <w:lang w:val="en-GB"/>
        </w:rPr>
      </w:pPr>
      <w:r>
        <w:rPr>
          <w:lang w:val="en-GB"/>
        </w:rPr>
        <w:t>B</w:t>
      </w:r>
      <w:r w:rsidR="00277ECB" w:rsidRPr="00342F7C">
        <w:rPr>
          <w:lang w:val="en-GB"/>
        </w:rPr>
        <w:t xml:space="preserve">reast-feeding mothers should not take Kaletra unless specifically directed by the doctor.  </w:t>
      </w:r>
    </w:p>
    <w:p w14:paraId="66EBF506" w14:textId="77777777" w:rsidR="00277ECB" w:rsidRPr="00342F7C" w:rsidRDefault="00277ECB" w:rsidP="008E0314">
      <w:pPr>
        <w:pStyle w:val="EMEABullet"/>
        <w:tabs>
          <w:tab w:val="clear" w:pos="709"/>
          <w:tab w:val="num" w:pos="567"/>
        </w:tabs>
        <w:ind w:left="567"/>
        <w:rPr>
          <w:lang w:val="en-GB"/>
        </w:rPr>
      </w:pPr>
      <w:r w:rsidRPr="00342F7C">
        <w:rPr>
          <w:lang w:val="en-GB"/>
        </w:rPr>
        <w:t>It is recommended that HIV-infected women do not breast-feed their infants because there is a possibility that the baby can be infected with HIV through your breast milk.</w:t>
      </w:r>
    </w:p>
    <w:p w14:paraId="0523E4FD" w14:textId="77777777" w:rsidR="004B37FD" w:rsidRDefault="004B37FD" w:rsidP="004B37FD">
      <w:pPr>
        <w:pStyle w:val="EMEAHeadingLeaflet"/>
        <w:spacing w:beforeLines="0" w:before="0" w:afterLines="0" w:after="0"/>
        <w:rPr>
          <w:rFonts w:ascii="Times New Roman" w:hAnsi="Times New Roman"/>
          <w:lang w:val="en-GB"/>
        </w:rPr>
      </w:pPr>
    </w:p>
    <w:p w14:paraId="4D147069" w14:textId="77777777" w:rsidR="00277ECB" w:rsidRPr="00342F7C" w:rsidRDefault="00277ECB" w:rsidP="004B37FD">
      <w:pPr>
        <w:pStyle w:val="EMEAHeadingLeaflet"/>
        <w:spacing w:beforeLines="0" w:before="0" w:afterLines="0" w:after="0"/>
        <w:rPr>
          <w:rFonts w:ascii="Times New Roman" w:hAnsi="Times New Roman"/>
          <w:lang w:val="en-GB"/>
        </w:rPr>
      </w:pPr>
      <w:r w:rsidRPr="00342F7C">
        <w:rPr>
          <w:rFonts w:ascii="Times New Roman" w:hAnsi="Times New Roman"/>
          <w:lang w:val="en-GB"/>
        </w:rPr>
        <w:t>Driving or using machines</w:t>
      </w:r>
    </w:p>
    <w:p w14:paraId="24295652" w14:textId="77777777" w:rsidR="00277ECB" w:rsidRPr="00342F7C" w:rsidRDefault="00277ECB">
      <w:pPr>
        <w:pStyle w:val="EMEANormal"/>
        <w:rPr>
          <w:lang w:val="en-GB"/>
        </w:rPr>
      </w:pPr>
    </w:p>
    <w:p w14:paraId="60E14A06" w14:textId="77777777" w:rsidR="00277ECB" w:rsidRDefault="00277ECB">
      <w:pPr>
        <w:pStyle w:val="EMEABullet"/>
        <w:numPr>
          <w:ilvl w:val="0"/>
          <w:numId w:val="0"/>
        </w:numPr>
        <w:rPr>
          <w:lang w:val="en-GB"/>
        </w:rPr>
      </w:pPr>
      <w:r w:rsidRPr="00342F7C">
        <w:rPr>
          <w:lang w:val="en-GB"/>
        </w:rPr>
        <w:t>Kaletra has not specifically been tested for its possible effects on the ability to drive a car or operate machines.  Do not drive a car or operate machinery if you experience any side effects (e.g. nausea) that impact your ability to do so safe</w:t>
      </w:r>
      <w:r w:rsidR="007E63B2" w:rsidRPr="00342F7C">
        <w:rPr>
          <w:lang w:val="en-GB"/>
        </w:rPr>
        <w:t>l</w:t>
      </w:r>
      <w:r w:rsidRPr="00342F7C">
        <w:rPr>
          <w:lang w:val="en-GB"/>
        </w:rPr>
        <w:t>y.  Instead, contact your doctor.</w:t>
      </w:r>
    </w:p>
    <w:p w14:paraId="3DE1B7E6" w14:textId="77777777" w:rsidR="00A30306" w:rsidRDefault="00A30306">
      <w:pPr>
        <w:pStyle w:val="EMEABullet"/>
        <w:numPr>
          <w:ilvl w:val="0"/>
          <w:numId w:val="0"/>
        </w:numPr>
        <w:rPr>
          <w:lang w:val="en-GB"/>
        </w:rPr>
      </w:pPr>
    </w:p>
    <w:p w14:paraId="1758C5BA" w14:textId="77777777" w:rsidR="00A30306" w:rsidRPr="00342F7C" w:rsidRDefault="00A30306">
      <w:pPr>
        <w:pStyle w:val="EMEABullet"/>
        <w:numPr>
          <w:ilvl w:val="0"/>
          <w:numId w:val="0"/>
        </w:numPr>
        <w:rPr>
          <w:lang w:val="en-GB"/>
        </w:rPr>
      </w:pPr>
    </w:p>
    <w:p w14:paraId="43A63BE0" w14:textId="77777777" w:rsidR="00277ECB" w:rsidRPr="00282043" w:rsidRDefault="00277ECB" w:rsidP="00DE10C4">
      <w:pPr>
        <w:keepNext/>
        <w:rPr>
          <w:b/>
          <w:sz w:val="22"/>
          <w:szCs w:val="22"/>
        </w:rPr>
      </w:pPr>
      <w:r w:rsidRPr="00282043">
        <w:rPr>
          <w:b/>
          <w:sz w:val="22"/>
          <w:szCs w:val="22"/>
        </w:rPr>
        <w:t>3.</w:t>
      </w:r>
      <w:r w:rsidRPr="00282043">
        <w:rPr>
          <w:b/>
          <w:sz w:val="22"/>
          <w:szCs w:val="22"/>
        </w:rPr>
        <w:tab/>
        <w:t>H</w:t>
      </w:r>
      <w:r w:rsidR="00A30306" w:rsidRPr="00282043">
        <w:rPr>
          <w:b/>
          <w:sz w:val="22"/>
          <w:szCs w:val="22"/>
        </w:rPr>
        <w:t>ow to take Kaletra</w:t>
      </w:r>
    </w:p>
    <w:p w14:paraId="5B53C8E7" w14:textId="77777777" w:rsidR="00277ECB" w:rsidRPr="00342F7C" w:rsidRDefault="00277ECB" w:rsidP="00DE10C4">
      <w:pPr>
        <w:pStyle w:val="EMEANormal"/>
        <w:keepNext/>
        <w:rPr>
          <w:b/>
          <w:bCs/>
          <w:lang w:val="en-GB"/>
        </w:rPr>
      </w:pPr>
    </w:p>
    <w:p w14:paraId="384F3F87" w14:textId="77777777" w:rsidR="00277ECB" w:rsidRPr="00342F7C" w:rsidRDefault="00277ECB" w:rsidP="00DE10C4">
      <w:pPr>
        <w:pStyle w:val="EMEABullet"/>
        <w:keepNext/>
        <w:numPr>
          <w:ilvl w:val="0"/>
          <w:numId w:val="0"/>
        </w:numPr>
        <w:pBdr>
          <w:top w:val="single" w:sz="4" w:space="1" w:color="auto"/>
          <w:left w:val="single" w:sz="4" w:space="4" w:color="auto"/>
          <w:bottom w:val="single" w:sz="4" w:space="1" w:color="auto"/>
          <w:right w:val="single" w:sz="4" w:space="4" w:color="auto"/>
        </w:pBdr>
        <w:shd w:val="clear" w:color="auto" w:fill="D9D9D9"/>
        <w:jc w:val="center"/>
        <w:rPr>
          <w:lang w:val="en-GB"/>
        </w:rPr>
      </w:pPr>
      <w:r w:rsidRPr="00342F7C">
        <w:rPr>
          <w:lang w:val="en-GB"/>
        </w:rPr>
        <w:t>It is important that Kaletra tablets are swallowed whole and not chewed, broken or crushed.</w:t>
      </w:r>
    </w:p>
    <w:p w14:paraId="5344F050" w14:textId="77777777" w:rsidR="00277ECB" w:rsidRPr="00342F7C" w:rsidRDefault="00277ECB" w:rsidP="00DE10C4">
      <w:pPr>
        <w:pStyle w:val="EMEABullet"/>
        <w:keepNext/>
        <w:numPr>
          <w:ilvl w:val="0"/>
          <w:numId w:val="0"/>
        </w:numPr>
        <w:rPr>
          <w:lang w:val="en-GB"/>
        </w:rPr>
      </w:pPr>
    </w:p>
    <w:p w14:paraId="16C417D7" w14:textId="77777777" w:rsidR="00277ECB" w:rsidRPr="00342F7C" w:rsidRDefault="00277ECB" w:rsidP="0017061C">
      <w:pPr>
        <w:pStyle w:val="EMEABullet"/>
        <w:numPr>
          <w:ilvl w:val="0"/>
          <w:numId w:val="0"/>
        </w:numPr>
        <w:rPr>
          <w:lang w:val="en-GB"/>
        </w:rPr>
      </w:pPr>
      <w:r w:rsidRPr="00342F7C">
        <w:rPr>
          <w:lang w:val="en-GB"/>
        </w:rPr>
        <w:t xml:space="preserve">Always take </w:t>
      </w:r>
      <w:r w:rsidR="0022181E">
        <w:rPr>
          <w:lang w:val="en-GB"/>
        </w:rPr>
        <w:t>this medicine</w:t>
      </w:r>
      <w:r w:rsidR="0022181E" w:rsidRPr="00342F7C">
        <w:rPr>
          <w:lang w:val="en-GB"/>
        </w:rPr>
        <w:t xml:space="preserve"> </w:t>
      </w:r>
      <w:r w:rsidRPr="00342F7C">
        <w:rPr>
          <w:lang w:val="en-GB"/>
        </w:rPr>
        <w:t>exactly as your doctor has told you.</w:t>
      </w:r>
      <w:r w:rsidR="0022181E">
        <w:rPr>
          <w:lang w:val="en-GB"/>
        </w:rPr>
        <w:t xml:space="preserve"> C</w:t>
      </w:r>
      <w:r w:rsidRPr="00342F7C">
        <w:rPr>
          <w:lang w:val="en-GB"/>
        </w:rPr>
        <w:t>heck with your doctor or pharmacist if you are not sure how you should take your medicine.</w:t>
      </w:r>
    </w:p>
    <w:p w14:paraId="7BD3405C" w14:textId="77777777" w:rsidR="004B37FD" w:rsidRDefault="004B37FD" w:rsidP="004B37FD">
      <w:pPr>
        <w:pStyle w:val="EMEAHeadingLeaflet"/>
        <w:spacing w:beforeLines="0" w:before="0" w:afterLines="0" w:after="0"/>
        <w:rPr>
          <w:rFonts w:ascii="Times New Roman" w:hAnsi="Times New Roman"/>
          <w:lang w:val="en-GB"/>
        </w:rPr>
      </w:pPr>
    </w:p>
    <w:p w14:paraId="7258FE88" w14:textId="77777777" w:rsidR="00277ECB" w:rsidRPr="00342F7C" w:rsidRDefault="00277ECB" w:rsidP="004E4B46">
      <w:pPr>
        <w:pStyle w:val="EMEAHeadingLeaflet"/>
        <w:keepNext/>
        <w:keepLines/>
        <w:spacing w:beforeLines="0" w:before="0" w:afterLines="0" w:after="0"/>
        <w:rPr>
          <w:rFonts w:ascii="Times New Roman" w:hAnsi="Times New Roman"/>
          <w:lang w:val="en-GB"/>
        </w:rPr>
      </w:pPr>
      <w:r w:rsidRPr="00342F7C">
        <w:rPr>
          <w:rFonts w:ascii="Times New Roman" w:hAnsi="Times New Roman"/>
          <w:lang w:val="en-GB"/>
        </w:rPr>
        <w:t>How much Kaletra should be taken and when?</w:t>
      </w:r>
    </w:p>
    <w:p w14:paraId="5B29A403" w14:textId="77777777" w:rsidR="004B37FD" w:rsidRDefault="004B37FD" w:rsidP="004E4B46">
      <w:pPr>
        <w:pStyle w:val="EMEANormal"/>
        <w:keepNext/>
        <w:keepLines/>
        <w:rPr>
          <w:b/>
          <w:lang w:val="en-GB"/>
        </w:rPr>
      </w:pPr>
    </w:p>
    <w:p w14:paraId="6785E3A0" w14:textId="77777777" w:rsidR="003D1B4E" w:rsidRPr="00342F7C" w:rsidRDefault="003D1B4E" w:rsidP="004E4B46">
      <w:pPr>
        <w:pStyle w:val="EMEANormal"/>
        <w:keepNext/>
        <w:keepLines/>
        <w:rPr>
          <w:b/>
          <w:lang w:val="en-GB"/>
        </w:rPr>
      </w:pPr>
      <w:r w:rsidRPr="00342F7C">
        <w:rPr>
          <w:b/>
          <w:lang w:val="en-GB"/>
        </w:rPr>
        <w:t>Use in adults</w:t>
      </w:r>
    </w:p>
    <w:p w14:paraId="167A577B" w14:textId="77777777" w:rsidR="003D1B4E" w:rsidRPr="00342F7C" w:rsidRDefault="003D1B4E" w:rsidP="004E4B46">
      <w:pPr>
        <w:pStyle w:val="EMEANormal"/>
        <w:keepNext/>
        <w:keepLines/>
        <w:rPr>
          <w:lang w:val="en-GB"/>
        </w:rPr>
      </w:pPr>
    </w:p>
    <w:p w14:paraId="6E7AC1CD" w14:textId="77777777" w:rsidR="00277ECB" w:rsidRPr="00342F7C" w:rsidRDefault="00277ECB" w:rsidP="004E4B46">
      <w:pPr>
        <w:pStyle w:val="EMEABullet"/>
        <w:keepNext/>
        <w:keepLines/>
        <w:tabs>
          <w:tab w:val="clear" w:pos="709"/>
          <w:tab w:val="num" w:pos="567"/>
        </w:tabs>
        <w:ind w:left="567"/>
        <w:rPr>
          <w:lang w:val="en-GB"/>
        </w:rPr>
      </w:pPr>
      <w:r w:rsidRPr="00342F7C">
        <w:rPr>
          <w:lang w:val="en-GB"/>
        </w:rPr>
        <w:t xml:space="preserve">The usual adult dose is 400 mg/100 mg twice a day i.e. every 12 hours, in combination with other anti-HIV medicines.  </w:t>
      </w:r>
      <w:r w:rsidR="00656FB3" w:rsidRPr="00342F7C">
        <w:rPr>
          <w:lang w:val="en-GB"/>
        </w:rPr>
        <w:t xml:space="preserve">Adult patients who have not previously taken other antiviral medicines can also take Kaletra tablets once daily as an 800 mg/200 mg dose.  </w:t>
      </w:r>
      <w:r w:rsidRPr="00342F7C">
        <w:rPr>
          <w:lang w:val="en-GB"/>
        </w:rPr>
        <w:t>Your doctor will advise on the number of tablets to be taken.</w:t>
      </w:r>
      <w:r w:rsidR="00CF4401" w:rsidRPr="00342F7C">
        <w:rPr>
          <w:lang w:val="en-GB"/>
        </w:rPr>
        <w:t xml:space="preserve">  Adult patients who have previously taken other antiviral medicines can take Kalet</w:t>
      </w:r>
      <w:r w:rsidR="003F3D02" w:rsidRPr="00342F7C">
        <w:rPr>
          <w:lang w:val="en-GB"/>
        </w:rPr>
        <w:t>ra tablets once daily as an 800 mg/200 </w:t>
      </w:r>
      <w:r w:rsidR="00CF4401" w:rsidRPr="00342F7C">
        <w:rPr>
          <w:lang w:val="en-GB"/>
        </w:rPr>
        <w:t xml:space="preserve">mg dose if their doctor decides it is appropriate.  </w:t>
      </w:r>
    </w:p>
    <w:p w14:paraId="7669D78C" w14:textId="77777777" w:rsidR="00656FB3" w:rsidRPr="00342F7C" w:rsidRDefault="00656FB3" w:rsidP="008E0314">
      <w:pPr>
        <w:pStyle w:val="EMEABullet"/>
        <w:tabs>
          <w:tab w:val="clear" w:pos="709"/>
          <w:tab w:val="num" w:pos="567"/>
        </w:tabs>
        <w:ind w:left="567"/>
        <w:rPr>
          <w:lang w:val="en-GB"/>
        </w:rPr>
      </w:pPr>
      <w:r w:rsidRPr="00342F7C">
        <w:rPr>
          <w:lang w:val="en-GB"/>
        </w:rPr>
        <w:t>Kaletra must not be taken once daily with efavirenz, nevirapine, carbamazepine, phenobarbital and phenytoin.</w:t>
      </w:r>
    </w:p>
    <w:p w14:paraId="557EFC49" w14:textId="77777777" w:rsidR="003D1B4E" w:rsidRPr="00342F7C" w:rsidRDefault="003D1B4E" w:rsidP="008E0314">
      <w:pPr>
        <w:pStyle w:val="EMEABullet"/>
        <w:tabs>
          <w:tab w:val="clear" w:pos="709"/>
          <w:tab w:val="num" w:pos="567"/>
        </w:tabs>
        <w:ind w:left="567"/>
        <w:rPr>
          <w:lang w:val="en-GB"/>
        </w:rPr>
      </w:pPr>
      <w:r w:rsidRPr="00342F7C">
        <w:rPr>
          <w:lang w:val="en-GB"/>
        </w:rPr>
        <w:t>Kaletra tablets can be taken with or without food.</w:t>
      </w:r>
    </w:p>
    <w:p w14:paraId="03A1620D" w14:textId="77777777" w:rsidR="003D1B4E" w:rsidRPr="00342F7C" w:rsidRDefault="003D1B4E" w:rsidP="003D1B4E">
      <w:pPr>
        <w:pStyle w:val="EMEABullet"/>
        <w:numPr>
          <w:ilvl w:val="0"/>
          <w:numId w:val="0"/>
        </w:numPr>
        <w:rPr>
          <w:lang w:val="en-GB"/>
        </w:rPr>
      </w:pPr>
    </w:p>
    <w:p w14:paraId="613B44EB" w14:textId="77777777" w:rsidR="003D1B4E" w:rsidRPr="00342F7C" w:rsidRDefault="003D1B4E" w:rsidP="003D1B4E">
      <w:pPr>
        <w:pStyle w:val="EMEABullet"/>
        <w:numPr>
          <w:ilvl w:val="0"/>
          <w:numId w:val="0"/>
        </w:numPr>
        <w:rPr>
          <w:b/>
          <w:lang w:val="en-GB"/>
        </w:rPr>
      </w:pPr>
      <w:r w:rsidRPr="00342F7C">
        <w:rPr>
          <w:b/>
          <w:lang w:val="en-GB"/>
        </w:rPr>
        <w:t>Use in children of 2 years of age and above</w:t>
      </w:r>
    </w:p>
    <w:p w14:paraId="39CFCE0D" w14:textId="77777777" w:rsidR="003D1B4E" w:rsidRPr="00342F7C" w:rsidRDefault="003D1B4E" w:rsidP="003D1B4E">
      <w:pPr>
        <w:pStyle w:val="EMEABullet"/>
        <w:numPr>
          <w:ilvl w:val="0"/>
          <w:numId w:val="0"/>
        </w:numPr>
        <w:rPr>
          <w:lang w:val="en-GB"/>
        </w:rPr>
      </w:pPr>
    </w:p>
    <w:p w14:paraId="7420AB07" w14:textId="77777777" w:rsidR="00277ECB" w:rsidRPr="00342F7C" w:rsidRDefault="00277ECB" w:rsidP="008E0314">
      <w:pPr>
        <w:pStyle w:val="EMEABullet"/>
        <w:tabs>
          <w:tab w:val="clear" w:pos="709"/>
          <w:tab w:val="num" w:pos="567"/>
        </w:tabs>
        <w:ind w:left="567"/>
        <w:rPr>
          <w:lang w:val="en-GB"/>
        </w:rPr>
      </w:pPr>
      <w:r w:rsidRPr="00342F7C">
        <w:rPr>
          <w:lang w:val="en-GB"/>
        </w:rPr>
        <w:t xml:space="preserve">For children, your doctor will decide the right dose (number of tablets) based on the child’s height and weight.  </w:t>
      </w:r>
    </w:p>
    <w:p w14:paraId="244E115F" w14:textId="77777777" w:rsidR="003D1B4E" w:rsidRPr="00342F7C" w:rsidRDefault="003D1B4E" w:rsidP="008E0314">
      <w:pPr>
        <w:pStyle w:val="EMEABullet"/>
        <w:tabs>
          <w:tab w:val="clear" w:pos="709"/>
          <w:tab w:val="num" w:pos="567"/>
        </w:tabs>
        <w:ind w:left="567"/>
        <w:rPr>
          <w:lang w:val="en-GB"/>
        </w:rPr>
      </w:pPr>
      <w:r w:rsidRPr="00342F7C">
        <w:rPr>
          <w:lang w:val="en-GB"/>
        </w:rPr>
        <w:t>Kaletra tablets can be taken with or without food.</w:t>
      </w:r>
    </w:p>
    <w:p w14:paraId="61FD3DA8" w14:textId="77777777" w:rsidR="003D1B4E" w:rsidRPr="00342F7C" w:rsidRDefault="003D1B4E" w:rsidP="003D1B4E">
      <w:pPr>
        <w:pStyle w:val="EMEABullet"/>
        <w:numPr>
          <w:ilvl w:val="0"/>
          <w:numId w:val="0"/>
        </w:numPr>
        <w:rPr>
          <w:lang w:val="en-GB"/>
        </w:rPr>
      </w:pPr>
    </w:p>
    <w:p w14:paraId="4B332F32" w14:textId="77777777" w:rsidR="00277ECB" w:rsidRPr="00342F7C" w:rsidRDefault="00277ECB" w:rsidP="0079020E">
      <w:pPr>
        <w:pStyle w:val="EMEABullet"/>
        <w:numPr>
          <w:ilvl w:val="0"/>
          <w:numId w:val="0"/>
        </w:numPr>
        <w:rPr>
          <w:lang w:val="en-GB"/>
        </w:rPr>
      </w:pPr>
      <w:r w:rsidRPr="00342F7C">
        <w:rPr>
          <w:lang w:val="en-GB"/>
        </w:rPr>
        <w:t xml:space="preserve">Kaletra is also supplied as </w:t>
      </w:r>
      <w:r w:rsidR="00656FB3" w:rsidRPr="00342F7C">
        <w:rPr>
          <w:lang w:val="en-GB"/>
        </w:rPr>
        <w:t xml:space="preserve">200 mg/50 mg film-coated tablets.  Kaletra </w:t>
      </w:r>
      <w:r w:rsidRPr="00342F7C">
        <w:rPr>
          <w:lang w:val="en-GB"/>
        </w:rPr>
        <w:t xml:space="preserve">oral solution </w:t>
      </w:r>
      <w:r w:rsidR="00656FB3" w:rsidRPr="00342F7C">
        <w:rPr>
          <w:lang w:val="en-GB"/>
        </w:rPr>
        <w:t xml:space="preserve">is available </w:t>
      </w:r>
      <w:r w:rsidRPr="00342F7C">
        <w:rPr>
          <w:lang w:val="en-GB"/>
        </w:rPr>
        <w:t>for patients who cannot take tablets.</w:t>
      </w:r>
    </w:p>
    <w:p w14:paraId="05A670DA" w14:textId="77777777" w:rsidR="004B37FD" w:rsidRDefault="004B37FD" w:rsidP="004B37FD">
      <w:pPr>
        <w:pStyle w:val="EMEAHeadingLeaflet"/>
        <w:spacing w:beforeLines="0" w:before="0" w:afterLines="0" w:after="0"/>
        <w:rPr>
          <w:rFonts w:ascii="Times New Roman" w:hAnsi="Times New Roman"/>
          <w:lang w:val="en-GB"/>
        </w:rPr>
      </w:pPr>
    </w:p>
    <w:p w14:paraId="5D440CF2" w14:textId="77777777" w:rsidR="00277ECB" w:rsidRPr="00342F7C" w:rsidRDefault="00277ECB" w:rsidP="004B37FD">
      <w:pPr>
        <w:pStyle w:val="EMEAHeadingLeaflet"/>
        <w:spacing w:beforeLines="0" w:before="0" w:afterLines="0" w:after="0"/>
        <w:rPr>
          <w:rFonts w:ascii="Times New Roman" w:hAnsi="Times New Roman"/>
          <w:lang w:val="en-GB"/>
        </w:rPr>
      </w:pPr>
      <w:r w:rsidRPr="00342F7C">
        <w:rPr>
          <w:rFonts w:ascii="Times New Roman" w:hAnsi="Times New Roman"/>
          <w:lang w:val="en-GB"/>
        </w:rPr>
        <w:t>If you</w:t>
      </w:r>
      <w:r w:rsidR="003C1501">
        <w:rPr>
          <w:rFonts w:ascii="Times New Roman" w:hAnsi="Times New Roman"/>
          <w:lang w:val="en-GB"/>
        </w:rPr>
        <w:t xml:space="preserve"> or your child</w:t>
      </w:r>
      <w:r w:rsidRPr="00342F7C">
        <w:rPr>
          <w:rFonts w:ascii="Times New Roman" w:hAnsi="Times New Roman"/>
          <w:lang w:val="en-GB"/>
        </w:rPr>
        <w:t xml:space="preserve"> take more Kaletra than you should</w:t>
      </w:r>
    </w:p>
    <w:p w14:paraId="16B19122" w14:textId="77777777" w:rsidR="00277ECB" w:rsidRPr="00342F7C" w:rsidRDefault="00277ECB">
      <w:pPr>
        <w:pStyle w:val="EMEANormal"/>
        <w:rPr>
          <w:lang w:val="en-GB"/>
        </w:rPr>
      </w:pPr>
    </w:p>
    <w:p w14:paraId="35198A70" w14:textId="77777777" w:rsidR="00277ECB" w:rsidRPr="00342F7C" w:rsidRDefault="00277ECB" w:rsidP="008E0314">
      <w:pPr>
        <w:pStyle w:val="EMEABullet"/>
        <w:tabs>
          <w:tab w:val="clear" w:pos="709"/>
          <w:tab w:val="num" w:pos="567"/>
        </w:tabs>
        <w:ind w:left="567"/>
        <w:rPr>
          <w:lang w:val="en-GB"/>
        </w:rPr>
      </w:pPr>
      <w:r w:rsidRPr="00342F7C">
        <w:rPr>
          <w:lang w:val="en-GB"/>
        </w:rPr>
        <w:t>If you realise you have taken more Kaletra than you were supposed to, contact you</w:t>
      </w:r>
      <w:r w:rsidR="003A5D18">
        <w:rPr>
          <w:lang w:val="en-GB"/>
        </w:rPr>
        <w:t>r</w:t>
      </w:r>
      <w:r w:rsidRPr="00342F7C">
        <w:rPr>
          <w:lang w:val="en-GB"/>
        </w:rPr>
        <w:t xml:space="preserve"> doctor right away.  </w:t>
      </w:r>
    </w:p>
    <w:p w14:paraId="2FE0B04C" w14:textId="77777777" w:rsidR="00277ECB" w:rsidRPr="00342F7C" w:rsidRDefault="00277ECB" w:rsidP="008E0314">
      <w:pPr>
        <w:pStyle w:val="EMEABullet"/>
        <w:tabs>
          <w:tab w:val="clear" w:pos="709"/>
          <w:tab w:val="num" w:pos="567"/>
        </w:tabs>
        <w:ind w:left="567"/>
        <w:rPr>
          <w:lang w:val="en-GB"/>
        </w:rPr>
      </w:pPr>
      <w:r w:rsidRPr="00342F7C">
        <w:rPr>
          <w:lang w:val="en-GB"/>
        </w:rPr>
        <w:t>If you cannot contact your doctor, go to the hospital.</w:t>
      </w:r>
    </w:p>
    <w:p w14:paraId="59D823A2" w14:textId="77777777" w:rsidR="004B37FD" w:rsidRDefault="004B37FD" w:rsidP="004B37FD">
      <w:pPr>
        <w:pStyle w:val="EMEAHeadingLeaflet"/>
        <w:spacing w:beforeLines="0" w:before="0" w:afterLines="0" w:after="0"/>
        <w:rPr>
          <w:rFonts w:ascii="Times New Roman" w:hAnsi="Times New Roman"/>
          <w:lang w:val="en-GB"/>
        </w:rPr>
      </w:pPr>
    </w:p>
    <w:p w14:paraId="53DBD764" w14:textId="77777777" w:rsidR="00277ECB" w:rsidRPr="00342F7C" w:rsidRDefault="00277ECB" w:rsidP="004B37FD">
      <w:pPr>
        <w:pStyle w:val="EMEAHeadingLeaflet"/>
        <w:spacing w:beforeLines="0" w:before="0" w:afterLines="0" w:after="0"/>
        <w:rPr>
          <w:rFonts w:ascii="Times New Roman" w:hAnsi="Times New Roman"/>
          <w:lang w:val="en-GB"/>
        </w:rPr>
      </w:pPr>
      <w:r w:rsidRPr="00342F7C">
        <w:rPr>
          <w:rFonts w:ascii="Times New Roman" w:hAnsi="Times New Roman"/>
          <w:lang w:val="en-GB"/>
        </w:rPr>
        <w:t xml:space="preserve">If you </w:t>
      </w:r>
      <w:r w:rsidR="003C1501">
        <w:rPr>
          <w:rFonts w:ascii="Times New Roman" w:hAnsi="Times New Roman"/>
          <w:lang w:val="en-GB"/>
        </w:rPr>
        <w:t xml:space="preserve">or your child </w:t>
      </w:r>
      <w:r w:rsidRPr="00342F7C">
        <w:rPr>
          <w:rFonts w:ascii="Times New Roman" w:hAnsi="Times New Roman"/>
          <w:lang w:val="en-GB"/>
        </w:rPr>
        <w:t>forget to take Kaletra</w:t>
      </w:r>
    </w:p>
    <w:p w14:paraId="33E2F37E" w14:textId="77777777" w:rsidR="00277ECB" w:rsidRPr="00342F7C" w:rsidRDefault="00277ECB">
      <w:pPr>
        <w:pStyle w:val="EMEANormal"/>
        <w:rPr>
          <w:lang w:val="en-GB"/>
        </w:rPr>
      </w:pPr>
    </w:p>
    <w:p w14:paraId="24A3EC49" w14:textId="77777777" w:rsidR="003B5E4E" w:rsidRPr="0017061C" w:rsidRDefault="003B5E4E" w:rsidP="003B5E4E">
      <w:pPr>
        <w:pStyle w:val="EMEABullet"/>
        <w:numPr>
          <w:ilvl w:val="0"/>
          <w:numId w:val="0"/>
        </w:numPr>
        <w:rPr>
          <w:i/>
          <w:u w:val="single"/>
        </w:rPr>
      </w:pPr>
      <w:r w:rsidRPr="0017061C">
        <w:rPr>
          <w:i/>
          <w:u w:val="single"/>
        </w:rPr>
        <w:t>If you are taking Ka</w:t>
      </w:r>
      <w:r w:rsidR="006876D1" w:rsidRPr="0017061C">
        <w:rPr>
          <w:i/>
          <w:u w:val="single"/>
        </w:rPr>
        <w:t>l</w:t>
      </w:r>
      <w:r w:rsidRPr="0017061C">
        <w:rPr>
          <w:i/>
          <w:u w:val="single"/>
        </w:rPr>
        <w:t>etra twice a day</w:t>
      </w:r>
    </w:p>
    <w:p w14:paraId="3FAC793F" w14:textId="77777777" w:rsidR="003B5E4E" w:rsidRDefault="003B5E4E" w:rsidP="0052761E">
      <w:pPr>
        <w:pStyle w:val="EMEABullet"/>
        <w:numPr>
          <w:ilvl w:val="0"/>
          <w:numId w:val="21"/>
        </w:numPr>
        <w:tabs>
          <w:tab w:val="left" w:pos="567"/>
        </w:tabs>
        <w:ind w:left="567" w:hanging="567"/>
      </w:pPr>
      <w:r>
        <w:t>If you notice you miss a dose within 6 hours of your normal dosing time, take your missed dose as soon as possible, and then continue with your normal dose at the regular time as prescribed by your doctor.</w:t>
      </w:r>
    </w:p>
    <w:p w14:paraId="56B43FBA" w14:textId="77777777" w:rsidR="003B5E4E" w:rsidRDefault="003B5E4E" w:rsidP="009A397F">
      <w:pPr>
        <w:pStyle w:val="EMEABullet"/>
        <w:numPr>
          <w:ilvl w:val="0"/>
          <w:numId w:val="0"/>
        </w:numPr>
        <w:tabs>
          <w:tab w:val="left" w:pos="567"/>
        </w:tabs>
        <w:ind w:left="567" w:hanging="567"/>
      </w:pPr>
    </w:p>
    <w:p w14:paraId="5BFD943E" w14:textId="77777777" w:rsidR="003B5E4E" w:rsidRDefault="003B5E4E" w:rsidP="0052761E">
      <w:pPr>
        <w:pStyle w:val="EMEABullet"/>
        <w:numPr>
          <w:ilvl w:val="0"/>
          <w:numId w:val="21"/>
        </w:numPr>
        <w:tabs>
          <w:tab w:val="left" w:pos="567"/>
        </w:tabs>
        <w:ind w:left="567" w:hanging="567"/>
      </w:pPr>
      <w:r>
        <w:t>If you notice you miss a dose by more than 6 hours after your normal dosing time, do not take the missed dose.  Take the next dose as usual.  Do not take a double dose to make up for a forgotten dose.</w:t>
      </w:r>
    </w:p>
    <w:p w14:paraId="2A2CE7EA" w14:textId="77777777" w:rsidR="003B5E4E" w:rsidRDefault="003B5E4E" w:rsidP="003B5E4E">
      <w:pPr>
        <w:pStyle w:val="EMEABullet"/>
        <w:numPr>
          <w:ilvl w:val="0"/>
          <w:numId w:val="0"/>
        </w:numPr>
      </w:pPr>
    </w:p>
    <w:p w14:paraId="17C9CA3C" w14:textId="77777777" w:rsidR="003B5E4E" w:rsidRPr="0017061C" w:rsidRDefault="003B5E4E" w:rsidP="003B5E4E">
      <w:pPr>
        <w:pStyle w:val="EMEABullet"/>
        <w:numPr>
          <w:ilvl w:val="0"/>
          <w:numId w:val="0"/>
        </w:numPr>
        <w:rPr>
          <w:i/>
          <w:u w:val="single"/>
        </w:rPr>
      </w:pPr>
      <w:r w:rsidRPr="0017061C">
        <w:rPr>
          <w:i/>
          <w:u w:val="single"/>
        </w:rPr>
        <w:t>If you are taking Kaletra once a day</w:t>
      </w:r>
    </w:p>
    <w:p w14:paraId="33602B8D" w14:textId="77777777" w:rsidR="003B5E4E" w:rsidRDefault="003B5E4E" w:rsidP="0052761E">
      <w:pPr>
        <w:pStyle w:val="EMEABullet"/>
        <w:numPr>
          <w:ilvl w:val="0"/>
          <w:numId w:val="22"/>
        </w:numPr>
        <w:ind w:left="567" w:hanging="567"/>
      </w:pPr>
      <w:r>
        <w:t>If you notice you miss a dose within 12 hours of your normal dosing time, take your missed dose as soon as possible, and then continue with your normal dose at the regular time as prescribed by your doctor.</w:t>
      </w:r>
    </w:p>
    <w:p w14:paraId="0B738C34" w14:textId="77777777" w:rsidR="003B5E4E" w:rsidRDefault="003B5E4E" w:rsidP="009A397F">
      <w:pPr>
        <w:pStyle w:val="EMEABullet"/>
        <w:numPr>
          <w:ilvl w:val="0"/>
          <w:numId w:val="0"/>
        </w:numPr>
        <w:ind w:left="567" w:hanging="567"/>
      </w:pPr>
    </w:p>
    <w:p w14:paraId="6AD66168" w14:textId="77777777" w:rsidR="003B5E4E" w:rsidRDefault="003B5E4E" w:rsidP="0052761E">
      <w:pPr>
        <w:pStyle w:val="EMEABullet"/>
        <w:numPr>
          <w:ilvl w:val="0"/>
          <w:numId w:val="22"/>
        </w:numPr>
        <w:ind w:left="567" w:hanging="567"/>
      </w:pPr>
      <w:r>
        <w:t>If you notice you miss a dose by more than 12 hours after your normal dosing time, do not take the missed dose.  Take the next dose as usual.  Do not take a double dose to make up for a forgotten dose.</w:t>
      </w:r>
    </w:p>
    <w:p w14:paraId="3D63CDAA" w14:textId="77777777" w:rsidR="00277ECB" w:rsidRPr="00342F7C" w:rsidRDefault="00277ECB" w:rsidP="004B37FD">
      <w:pPr>
        <w:pStyle w:val="EMEABullet"/>
        <w:numPr>
          <w:ilvl w:val="0"/>
          <w:numId w:val="0"/>
        </w:numPr>
        <w:ind w:left="567" w:hanging="567"/>
        <w:rPr>
          <w:lang w:val="en-GB"/>
        </w:rPr>
      </w:pPr>
    </w:p>
    <w:p w14:paraId="38D5C867" w14:textId="77777777" w:rsidR="0079020E" w:rsidRPr="00342F7C" w:rsidRDefault="0079020E" w:rsidP="004B37FD">
      <w:pPr>
        <w:pStyle w:val="EMEAHeadingLeaflet"/>
        <w:spacing w:beforeLines="0" w:before="0" w:afterLines="0" w:after="0"/>
        <w:rPr>
          <w:rFonts w:ascii="Times New Roman" w:hAnsi="Times New Roman"/>
          <w:lang w:val="en-GB"/>
        </w:rPr>
      </w:pPr>
      <w:r w:rsidRPr="00342F7C">
        <w:rPr>
          <w:rFonts w:ascii="Times New Roman" w:hAnsi="Times New Roman"/>
          <w:lang w:val="en-GB"/>
        </w:rPr>
        <w:t xml:space="preserve">If you </w:t>
      </w:r>
      <w:r w:rsidR="003C1501">
        <w:rPr>
          <w:rFonts w:ascii="Times New Roman" w:hAnsi="Times New Roman"/>
          <w:lang w:val="en-GB"/>
        </w:rPr>
        <w:t xml:space="preserve">or your child </w:t>
      </w:r>
      <w:r w:rsidRPr="00342F7C">
        <w:rPr>
          <w:rFonts w:ascii="Times New Roman" w:hAnsi="Times New Roman"/>
          <w:lang w:val="en-GB"/>
        </w:rPr>
        <w:t>stop taking Kaletra</w:t>
      </w:r>
    </w:p>
    <w:p w14:paraId="7C75E27E" w14:textId="77777777" w:rsidR="0079020E" w:rsidRPr="00342F7C" w:rsidRDefault="0079020E" w:rsidP="0079020E">
      <w:pPr>
        <w:pStyle w:val="EMEANormal"/>
        <w:rPr>
          <w:lang w:val="en-GB"/>
        </w:rPr>
      </w:pPr>
    </w:p>
    <w:p w14:paraId="517EFC20" w14:textId="77777777" w:rsidR="0079020E" w:rsidRPr="00342F7C" w:rsidRDefault="0079020E" w:rsidP="008E0314">
      <w:pPr>
        <w:pStyle w:val="EMEABullet"/>
        <w:tabs>
          <w:tab w:val="clear" w:pos="709"/>
          <w:tab w:val="num" w:pos="567"/>
        </w:tabs>
        <w:ind w:left="567"/>
        <w:rPr>
          <w:lang w:val="en-GB"/>
        </w:rPr>
      </w:pPr>
      <w:r w:rsidRPr="00342F7C">
        <w:rPr>
          <w:lang w:val="en-GB"/>
        </w:rPr>
        <w:t>Do not stop or change the daily dose of Kaletra without first consulting with your doctor.</w:t>
      </w:r>
    </w:p>
    <w:p w14:paraId="0F9B3750" w14:textId="77777777" w:rsidR="0079020E" w:rsidRPr="00342F7C" w:rsidRDefault="0079020E" w:rsidP="008E0314">
      <w:pPr>
        <w:pStyle w:val="EMEABullet"/>
        <w:tabs>
          <w:tab w:val="clear" w:pos="709"/>
          <w:tab w:val="num" w:pos="567"/>
        </w:tabs>
        <w:ind w:left="567"/>
        <w:rPr>
          <w:lang w:val="en-GB"/>
        </w:rPr>
      </w:pPr>
      <w:r w:rsidRPr="00342F7C">
        <w:rPr>
          <w:lang w:val="en-GB"/>
        </w:rPr>
        <w:t xml:space="preserve">Kaletra should always be taken every day to help control your HIV infection, no matter how much better you feel.  </w:t>
      </w:r>
    </w:p>
    <w:p w14:paraId="50A5A9D0" w14:textId="77777777" w:rsidR="0079020E" w:rsidRPr="00342F7C" w:rsidRDefault="003C1501" w:rsidP="008E0314">
      <w:pPr>
        <w:pStyle w:val="EMEABullet"/>
        <w:tabs>
          <w:tab w:val="clear" w:pos="709"/>
          <w:tab w:val="num" w:pos="567"/>
        </w:tabs>
        <w:ind w:left="567"/>
        <w:rPr>
          <w:lang w:val="en-GB"/>
        </w:rPr>
      </w:pPr>
      <w:r>
        <w:rPr>
          <w:lang w:val="en-GB"/>
        </w:rPr>
        <w:t>Taking</w:t>
      </w:r>
      <w:r w:rsidRPr="00342F7C">
        <w:rPr>
          <w:lang w:val="en-GB"/>
        </w:rPr>
        <w:t xml:space="preserve"> </w:t>
      </w:r>
      <w:r w:rsidR="0079020E" w:rsidRPr="00342F7C">
        <w:rPr>
          <w:lang w:val="en-GB"/>
        </w:rPr>
        <w:t>Kaletra as recommended should give you the best chance of delaying the development of resistance to the product.</w:t>
      </w:r>
    </w:p>
    <w:p w14:paraId="7E7081C7" w14:textId="77777777" w:rsidR="0079020E" w:rsidRPr="00342F7C" w:rsidRDefault="0079020E" w:rsidP="008E0314">
      <w:pPr>
        <w:pStyle w:val="EMEABullet"/>
        <w:tabs>
          <w:tab w:val="clear" w:pos="709"/>
          <w:tab w:val="num" w:pos="567"/>
        </w:tabs>
        <w:ind w:left="567"/>
        <w:rPr>
          <w:lang w:val="en-GB"/>
        </w:rPr>
      </w:pPr>
      <w:r w:rsidRPr="00342F7C">
        <w:rPr>
          <w:lang w:val="en-GB"/>
        </w:rPr>
        <w:t xml:space="preserve">If a side effect is preventing you from taking Kaletra as directed tell your doctor right away. </w:t>
      </w:r>
    </w:p>
    <w:p w14:paraId="3D2F9ABE" w14:textId="77777777" w:rsidR="0079020E" w:rsidRPr="00342F7C" w:rsidRDefault="0079020E" w:rsidP="008E0314">
      <w:pPr>
        <w:pStyle w:val="EMEABullet"/>
        <w:tabs>
          <w:tab w:val="clear" w:pos="709"/>
          <w:tab w:val="num" w:pos="567"/>
        </w:tabs>
        <w:ind w:left="567"/>
        <w:rPr>
          <w:lang w:val="en-GB"/>
        </w:rPr>
      </w:pPr>
      <w:r w:rsidRPr="00342F7C">
        <w:rPr>
          <w:lang w:val="en-GB"/>
        </w:rPr>
        <w:t>Always keep enough Kaletra on hand so you don’t run out.  When you travel or need to stay in the hospital make sure you will have enough Kaletra to last until you can get a new supply.</w:t>
      </w:r>
    </w:p>
    <w:p w14:paraId="665030C8" w14:textId="77777777" w:rsidR="0079020E" w:rsidRDefault="0079020E" w:rsidP="008E0314">
      <w:pPr>
        <w:pStyle w:val="EMEABullet"/>
        <w:tabs>
          <w:tab w:val="clear" w:pos="709"/>
          <w:tab w:val="num" w:pos="567"/>
        </w:tabs>
        <w:ind w:left="567"/>
        <w:rPr>
          <w:lang w:val="en-GB"/>
        </w:rPr>
      </w:pPr>
      <w:r w:rsidRPr="00342F7C">
        <w:rPr>
          <w:lang w:val="en-GB"/>
        </w:rPr>
        <w:t>Continue to take this medicine until your doctor tells you otherwise.</w:t>
      </w:r>
    </w:p>
    <w:p w14:paraId="2D6C469E" w14:textId="77777777" w:rsidR="00A30306" w:rsidRDefault="00A30306" w:rsidP="00A30306">
      <w:pPr>
        <w:pStyle w:val="EMEABullet"/>
        <w:numPr>
          <w:ilvl w:val="0"/>
          <w:numId w:val="0"/>
        </w:numPr>
        <w:ind w:left="567" w:hanging="567"/>
        <w:rPr>
          <w:lang w:val="en-GB"/>
        </w:rPr>
      </w:pPr>
    </w:p>
    <w:p w14:paraId="2DDDECB2" w14:textId="77777777" w:rsidR="00A30306" w:rsidRPr="00342F7C" w:rsidRDefault="00A30306" w:rsidP="00A30306">
      <w:pPr>
        <w:pStyle w:val="EMEABullet"/>
        <w:numPr>
          <w:ilvl w:val="0"/>
          <w:numId w:val="0"/>
        </w:numPr>
        <w:ind w:left="567" w:hanging="567"/>
        <w:rPr>
          <w:lang w:val="en-GB"/>
        </w:rPr>
      </w:pPr>
    </w:p>
    <w:p w14:paraId="35CE4593" w14:textId="77777777" w:rsidR="00277ECB" w:rsidRPr="00282043" w:rsidRDefault="00277ECB" w:rsidP="005260F8">
      <w:pPr>
        <w:keepNext/>
        <w:rPr>
          <w:b/>
          <w:sz w:val="22"/>
          <w:szCs w:val="22"/>
        </w:rPr>
      </w:pPr>
      <w:r w:rsidRPr="00282043">
        <w:rPr>
          <w:b/>
          <w:sz w:val="22"/>
          <w:szCs w:val="22"/>
        </w:rPr>
        <w:t>4.</w:t>
      </w:r>
      <w:r w:rsidRPr="00282043">
        <w:rPr>
          <w:b/>
          <w:sz w:val="22"/>
          <w:szCs w:val="22"/>
        </w:rPr>
        <w:tab/>
        <w:t>P</w:t>
      </w:r>
      <w:r w:rsidR="00A30306" w:rsidRPr="00282043">
        <w:rPr>
          <w:b/>
          <w:sz w:val="22"/>
          <w:szCs w:val="22"/>
        </w:rPr>
        <w:t>ossible side effects</w:t>
      </w:r>
    </w:p>
    <w:p w14:paraId="454FFB3C" w14:textId="77777777" w:rsidR="00A30306" w:rsidRPr="00A30306" w:rsidRDefault="00A30306" w:rsidP="005260F8">
      <w:pPr>
        <w:keepNext/>
        <w:rPr>
          <w:b/>
        </w:rPr>
      </w:pPr>
    </w:p>
    <w:p w14:paraId="2865F6AE" w14:textId="77777777" w:rsidR="00277ECB" w:rsidRDefault="00277ECB" w:rsidP="005260F8">
      <w:pPr>
        <w:pStyle w:val="EMEANormal"/>
        <w:keepNext/>
        <w:rPr>
          <w:lang w:val="en-GB"/>
        </w:rPr>
      </w:pPr>
      <w:r w:rsidRPr="00342F7C">
        <w:rPr>
          <w:lang w:val="en-GB"/>
        </w:rPr>
        <w:t xml:space="preserve">Like all medicines, Kaletra can cause side effects, although not everybody gets them.  It may be difficult to tell which side effects have been caused by Kaletra and which may occur due to other medicines you take at the same time or by the complications of the HIV infection.  </w:t>
      </w:r>
    </w:p>
    <w:p w14:paraId="6AB5286E" w14:textId="77777777" w:rsidR="00CA7C65" w:rsidRPr="00342F7C" w:rsidRDefault="00CA7C65" w:rsidP="005260F8">
      <w:pPr>
        <w:pStyle w:val="EMEANormal"/>
        <w:keepNext/>
        <w:rPr>
          <w:lang w:val="en-GB"/>
        </w:rPr>
      </w:pPr>
    </w:p>
    <w:p w14:paraId="42DCFF25" w14:textId="77777777" w:rsidR="00CA7C65" w:rsidRDefault="00CA7C65" w:rsidP="00CA7C65">
      <w:pPr>
        <w:pStyle w:val="EMEANormal"/>
        <w:rPr>
          <w:lang w:val="en-GB"/>
        </w:rPr>
      </w:pPr>
      <w:r>
        <w:rPr>
          <w:lang w:val="en-GB"/>
        </w:rPr>
        <w:t>During HIV therapy there may be an increase in weight and in levels of blood lipids and glucose.  This is partly linked to restored health and life style, and in the case of blood lipids sometimes to the HIV medicines themselves.  Your doctor will test for these changes.</w:t>
      </w:r>
    </w:p>
    <w:p w14:paraId="3334F998" w14:textId="77777777" w:rsidR="00CA7C65" w:rsidRDefault="00CA7C65" w:rsidP="00CA7C65">
      <w:pPr>
        <w:pStyle w:val="EMEANormal"/>
        <w:rPr>
          <w:lang w:val="en-GB"/>
        </w:rPr>
      </w:pPr>
    </w:p>
    <w:p w14:paraId="12581D2E" w14:textId="77777777" w:rsidR="00277ECB" w:rsidRPr="00342F7C" w:rsidRDefault="00CA7C65" w:rsidP="00CA7C65">
      <w:pPr>
        <w:pStyle w:val="EMEANormal"/>
        <w:keepNext/>
        <w:rPr>
          <w:lang w:val="en-GB"/>
        </w:rPr>
      </w:pPr>
      <w:r w:rsidRPr="00616DF6">
        <w:rPr>
          <w:b/>
          <w:lang w:val="en-GB"/>
        </w:rPr>
        <w:t>The following side effects have been reported by patients who took this medicine.</w:t>
      </w:r>
      <w:r>
        <w:rPr>
          <w:lang w:val="en-GB"/>
        </w:rPr>
        <w:t xml:space="preserve">  </w:t>
      </w:r>
      <w:r w:rsidR="00277ECB" w:rsidRPr="00342F7C">
        <w:rPr>
          <w:lang w:val="en-GB"/>
        </w:rPr>
        <w:t>You should tell your doctor promptly about these or any other symptoms.  If the condition persists or worsens, seek medical attention.</w:t>
      </w:r>
    </w:p>
    <w:p w14:paraId="596422D5" w14:textId="77777777" w:rsidR="00277ECB" w:rsidRPr="00342F7C" w:rsidRDefault="00277ECB">
      <w:pPr>
        <w:pStyle w:val="EMEANormal"/>
        <w:rPr>
          <w:lang w:val="en-GB"/>
        </w:rPr>
      </w:pPr>
    </w:p>
    <w:p w14:paraId="71993D43" w14:textId="77777777" w:rsidR="00277ECB" w:rsidRPr="00342F7C" w:rsidRDefault="001C55CF">
      <w:pPr>
        <w:pStyle w:val="EMEANormal"/>
        <w:rPr>
          <w:lang w:val="en-GB"/>
        </w:rPr>
      </w:pPr>
      <w:r>
        <w:rPr>
          <w:b/>
          <w:bCs/>
          <w:lang w:val="en-GB"/>
        </w:rPr>
        <w:t>Very common:</w:t>
      </w:r>
      <w:r w:rsidR="00277ECB" w:rsidRPr="00342F7C">
        <w:rPr>
          <w:lang w:val="en-GB"/>
        </w:rPr>
        <w:t xml:space="preserve"> </w:t>
      </w:r>
      <w:r>
        <w:rPr>
          <w:lang w:val="en-GB"/>
        </w:rPr>
        <w:t xml:space="preserve">may </w:t>
      </w:r>
      <w:r w:rsidR="00277ECB" w:rsidRPr="00342F7C">
        <w:rPr>
          <w:lang w:val="en-GB"/>
        </w:rPr>
        <w:t>affect more than 1 in 10</w:t>
      </w:r>
      <w:r>
        <w:rPr>
          <w:lang w:val="en-GB"/>
        </w:rPr>
        <w:t xml:space="preserve"> people</w:t>
      </w:r>
    </w:p>
    <w:p w14:paraId="1ED02529" w14:textId="77777777" w:rsidR="00277ECB" w:rsidRPr="00342F7C" w:rsidRDefault="00FA50C5" w:rsidP="008E0314">
      <w:pPr>
        <w:pStyle w:val="EMEABullet"/>
        <w:tabs>
          <w:tab w:val="clear" w:pos="709"/>
          <w:tab w:val="num" w:pos="567"/>
        </w:tabs>
        <w:ind w:left="567"/>
        <w:rPr>
          <w:lang w:val="en-GB"/>
        </w:rPr>
      </w:pPr>
      <w:r>
        <w:rPr>
          <w:lang w:val="en-GB"/>
        </w:rPr>
        <w:t>d</w:t>
      </w:r>
      <w:r w:rsidR="00277ECB" w:rsidRPr="00342F7C">
        <w:rPr>
          <w:lang w:val="en-GB"/>
        </w:rPr>
        <w:t xml:space="preserve">iarrhoea; </w:t>
      </w:r>
    </w:p>
    <w:p w14:paraId="322E4613" w14:textId="77777777" w:rsidR="007B6357" w:rsidRPr="00342F7C" w:rsidRDefault="00FA50C5" w:rsidP="008E0314">
      <w:pPr>
        <w:pStyle w:val="EMEABullet"/>
        <w:tabs>
          <w:tab w:val="clear" w:pos="709"/>
          <w:tab w:val="num" w:pos="567"/>
        </w:tabs>
        <w:ind w:left="567"/>
        <w:rPr>
          <w:lang w:val="en-GB"/>
        </w:rPr>
      </w:pPr>
      <w:r>
        <w:rPr>
          <w:lang w:val="en-GB"/>
        </w:rPr>
        <w:t>n</w:t>
      </w:r>
      <w:r w:rsidR="007B6357" w:rsidRPr="00342F7C">
        <w:rPr>
          <w:lang w:val="en-GB"/>
        </w:rPr>
        <w:t>ausea;</w:t>
      </w:r>
    </w:p>
    <w:p w14:paraId="344318E0" w14:textId="77777777" w:rsidR="007B6357" w:rsidRPr="00342F7C" w:rsidRDefault="00FA50C5" w:rsidP="008E0314">
      <w:pPr>
        <w:pStyle w:val="EMEABullet"/>
        <w:tabs>
          <w:tab w:val="clear" w:pos="709"/>
          <w:tab w:val="num" w:pos="567"/>
        </w:tabs>
        <w:ind w:left="567"/>
        <w:rPr>
          <w:lang w:val="en-GB"/>
        </w:rPr>
      </w:pPr>
      <w:r>
        <w:rPr>
          <w:lang w:val="en-GB"/>
        </w:rPr>
        <w:t>u</w:t>
      </w:r>
      <w:r w:rsidR="007B6357" w:rsidRPr="00342F7C">
        <w:rPr>
          <w:lang w:val="en-GB"/>
        </w:rPr>
        <w:t>pper respiratory tract infection.</w:t>
      </w:r>
    </w:p>
    <w:p w14:paraId="0D1E1847" w14:textId="77777777" w:rsidR="00277ECB" w:rsidRPr="00342F7C" w:rsidRDefault="00277ECB">
      <w:pPr>
        <w:pStyle w:val="EMEANormal"/>
        <w:rPr>
          <w:lang w:val="en-GB"/>
        </w:rPr>
      </w:pPr>
    </w:p>
    <w:p w14:paraId="56961988" w14:textId="77777777" w:rsidR="00277ECB" w:rsidRPr="00342F7C" w:rsidRDefault="001C55CF">
      <w:pPr>
        <w:pStyle w:val="EMEANormal"/>
        <w:rPr>
          <w:lang w:val="en-GB"/>
        </w:rPr>
      </w:pPr>
      <w:r>
        <w:rPr>
          <w:b/>
          <w:bCs/>
          <w:lang w:val="en-GB"/>
        </w:rPr>
        <w:t>Common:</w:t>
      </w:r>
      <w:r w:rsidRPr="00342F7C">
        <w:rPr>
          <w:lang w:val="en-GB"/>
        </w:rPr>
        <w:t xml:space="preserve"> </w:t>
      </w:r>
      <w:r>
        <w:rPr>
          <w:lang w:val="en-GB"/>
        </w:rPr>
        <w:t xml:space="preserve">may </w:t>
      </w:r>
      <w:r w:rsidR="00277ECB" w:rsidRPr="00342F7C">
        <w:rPr>
          <w:lang w:val="en-GB"/>
        </w:rPr>
        <w:t xml:space="preserve">affect </w:t>
      </w:r>
      <w:r>
        <w:rPr>
          <w:lang w:val="en-GB"/>
        </w:rPr>
        <w:t xml:space="preserve">up to </w:t>
      </w:r>
      <w:r w:rsidR="00277ECB" w:rsidRPr="00342F7C">
        <w:rPr>
          <w:lang w:val="en-GB"/>
        </w:rPr>
        <w:t xml:space="preserve">1 </w:t>
      </w:r>
      <w:r>
        <w:rPr>
          <w:lang w:val="en-GB"/>
        </w:rPr>
        <w:t>in</w:t>
      </w:r>
      <w:r w:rsidR="00277ECB" w:rsidRPr="00342F7C">
        <w:rPr>
          <w:lang w:val="en-GB"/>
        </w:rPr>
        <w:t xml:space="preserve"> 10 </w:t>
      </w:r>
      <w:r>
        <w:rPr>
          <w:lang w:val="en-GB"/>
        </w:rPr>
        <w:t>people</w:t>
      </w:r>
    </w:p>
    <w:p w14:paraId="575E6A05" w14:textId="77777777" w:rsidR="007B6357" w:rsidRPr="00342F7C" w:rsidRDefault="00FA50C5" w:rsidP="008E0314">
      <w:pPr>
        <w:pStyle w:val="EMEABullet"/>
        <w:tabs>
          <w:tab w:val="clear" w:pos="709"/>
          <w:tab w:val="num" w:pos="567"/>
        </w:tabs>
        <w:ind w:left="567"/>
        <w:rPr>
          <w:lang w:val="en-GB"/>
        </w:rPr>
      </w:pPr>
      <w:r>
        <w:rPr>
          <w:lang w:val="en-GB"/>
        </w:rPr>
        <w:t>i</w:t>
      </w:r>
      <w:r w:rsidR="007B6357" w:rsidRPr="00342F7C">
        <w:rPr>
          <w:lang w:val="en-GB"/>
        </w:rPr>
        <w:t>nflammation of the pancreas;</w:t>
      </w:r>
    </w:p>
    <w:p w14:paraId="5C162612" w14:textId="77777777" w:rsidR="003C1501" w:rsidRDefault="00FA50C5" w:rsidP="003C1501">
      <w:pPr>
        <w:pStyle w:val="EMEABullet"/>
        <w:tabs>
          <w:tab w:val="clear" w:pos="709"/>
          <w:tab w:val="num" w:pos="567"/>
        </w:tabs>
        <w:ind w:left="567"/>
      </w:pPr>
      <w:r>
        <w:rPr>
          <w:lang w:val="en-GB"/>
        </w:rPr>
        <w:t>v</w:t>
      </w:r>
      <w:r w:rsidR="007B6357" w:rsidRPr="00342F7C">
        <w:rPr>
          <w:lang w:val="en-GB"/>
        </w:rPr>
        <w:t>omiting, enlarged abdomen, pain in the lower and upper stomach area, passing wind, indigestion, decreased appetite, reflux from your stomach to your oesophagus which may cause pain;</w:t>
      </w:r>
      <w:r w:rsidR="003C1501" w:rsidRPr="003C1501">
        <w:t xml:space="preserve"> </w:t>
      </w:r>
    </w:p>
    <w:p w14:paraId="58BF5BBA" w14:textId="77777777" w:rsidR="007B6357" w:rsidRPr="00342F7C" w:rsidRDefault="003C1501" w:rsidP="003C1501">
      <w:pPr>
        <w:pStyle w:val="EMEABullet"/>
        <w:numPr>
          <w:ilvl w:val="1"/>
          <w:numId w:val="1"/>
        </w:numPr>
        <w:rPr>
          <w:lang w:val="en-GB"/>
        </w:rPr>
      </w:pPr>
      <w:r w:rsidRPr="000D4359">
        <w:rPr>
          <w:b/>
          <w:lang w:val="en-GB"/>
        </w:rPr>
        <w:t>Tell your doctor</w:t>
      </w:r>
      <w:r w:rsidRPr="00314F6E">
        <w:rPr>
          <w:lang w:val="en-GB"/>
        </w:rPr>
        <w:t xml:space="preserve"> if you experience nausea, vomiting or abdominal pain as these may be suggestive of pancreatitis (inflammation of the pancreas).</w:t>
      </w:r>
    </w:p>
    <w:p w14:paraId="402ECA95" w14:textId="77777777" w:rsidR="007B6357" w:rsidRPr="00342F7C" w:rsidRDefault="00FA50C5" w:rsidP="008E0314">
      <w:pPr>
        <w:pStyle w:val="EMEABullet"/>
        <w:tabs>
          <w:tab w:val="clear" w:pos="709"/>
          <w:tab w:val="num" w:pos="567"/>
        </w:tabs>
        <w:ind w:left="567"/>
        <w:rPr>
          <w:lang w:val="en-GB"/>
        </w:rPr>
      </w:pPr>
      <w:r>
        <w:rPr>
          <w:lang w:val="en-GB"/>
        </w:rPr>
        <w:t>s</w:t>
      </w:r>
      <w:r w:rsidR="007B6357" w:rsidRPr="00342F7C">
        <w:rPr>
          <w:lang w:val="en-GB"/>
        </w:rPr>
        <w:t>welling or inflammation of the stomach, intestines and colon;</w:t>
      </w:r>
    </w:p>
    <w:p w14:paraId="5E1E9210" w14:textId="77777777" w:rsidR="007B6357" w:rsidRPr="00342F7C" w:rsidRDefault="00FA50C5" w:rsidP="008E0314">
      <w:pPr>
        <w:pStyle w:val="EMEABullet"/>
        <w:tabs>
          <w:tab w:val="clear" w:pos="709"/>
          <w:tab w:val="num" w:pos="567"/>
        </w:tabs>
        <w:ind w:left="567"/>
        <w:rPr>
          <w:lang w:val="en-GB"/>
        </w:rPr>
      </w:pPr>
      <w:r>
        <w:rPr>
          <w:lang w:val="en-GB"/>
        </w:rPr>
        <w:t>i</w:t>
      </w:r>
      <w:r w:rsidR="007B6357" w:rsidRPr="00342F7C">
        <w:rPr>
          <w:lang w:val="en-GB"/>
        </w:rPr>
        <w:t>ncreased cholesterol levels in your blood, increased triglycerides (a form of fat) levels in your blood, high blood pressure;</w:t>
      </w:r>
    </w:p>
    <w:p w14:paraId="55D66B25" w14:textId="77777777" w:rsidR="007B6357" w:rsidRPr="00342F7C" w:rsidRDefault="00FA50C5" w:rsidP="008E0314">
      <w:pPr>
        <w:pStyle w:val="EMEABullet"/>
        <w:tabs>
          <w:tab w:val="clear" w:pos="709"/>
          <w:tab w:val="num" w:pos="567"/>
        </w:tabs>
        <w:ind w:left="567"/>
        <w:rPr>
          <w:lang w:val="en-GB"/>
        </w:rPr>
      </w:pPr>
      <w:r>
        <w:rPr>
          <w:lang w:val="en-GB"/>
        </w:rPr>
        <w:t>d</w:t>
      </w:r>
      <w:r w:rsidR="007B6357" w:rsidRPr="00342F7C">
        <w:rPr>
          <w:lang w:val="en-GB"/>
        </w:rPr>
        <w:t>ecreased ability of the body to handle sugar including diabetes mellitus, weight loss;</w:t>
      </w:r>
    </w:p>
    <w:p w14:paraId="1DD94389" w14:textId="77777777" w:rsidR="007B6357" w:rsidRPr="00342F7C" w:rsidRDefault="00FA50C5" w:rsidP="008E0314">
      <w:pPr>
        <w:pStyle w:val="EMEABullet"/>
        <w:tabs>
          <w:tab w:val="clear" w:pos="709"/>
          <w:tab w:val="num" w:pos="567"/>
        </w:tabs>
        <w:ind w:left="567"/>
        <w:rPr>
          <w:lang w:val="en-GB"/>
        </w:rPr>
      </w:pPr>
      <w:r>
        <w:rPr>
          <w:lang w:val="en-GB"/>
        </w:rPr>
        <w:t>l</w:t>
      </w:r>
      <w:r w:rsidR="007B6357" w:rsidRPr="00342F7C">
        <w:rPr>
          <w:lang w:val="en-GB"/>
        </w:rPr>
        <w:t>ow number of red blood cells, low number of white blood cells which are usually used to fight infection;</w:t>
      </w:r>
    </w:p>
    <w:p w14:paraId="3300911F" w14:textId="77777777" w:rsidR="007B6357" w:rsidRPr="00342F7C" w:rsidRDefault="00FA50C5" w:rsidP="008E0314">
      <w:pPr>
        <w:pStyle w:val="EMEABullet"/>
        <w:tabs>
          <w:tab w:val="clear" w:pos="709"/>
          <w:tab w:val="num" w:pos="567"/>
        </w:tabs>
        <w:ind w:left="567"/>
        <w:rPr>
          <w:lang w:val="en-GB"/>
        </w:rPr>
      </w:pPr>
      <w:r>
        <w:rPr>
          <w:lang w:val="en-GB"/>
        </w:rPr>
        <w:t>r</w:t>
      </w:r>
      <w:r w:rsidR="007B6357" w:rsidRPr="00342F7C">
        <w:rPr>
          <w:lang w:val="en-GB"/>
        </w:rPr>
        <w:t>ash, eczema, accumulation of scales of greasy skin;</w:t>
      </w:r>
    </w:p>
    <w:p w14:paraId="37CC2E80" w14:textId="77777777" w:rsidR="007B6357" w:rsidRPr="00342F7C" w:rsidRDefault="00FA50C5" w:rsidP="008E0314">
      <w:pPr>
        <w:pStyle w:val="EMEABullet"/>
        <w:tabs>
          <w:tab w:val="clear" w:pos="709"/>
          <w:tab w:val="num" w:pos="567"/>
        </w:tabs>
        <w:ind w:left="567"/>
        <w:rPr>
          <w:lang w:val="en-GB"/>
        </w:rPr>
      </w:pPr>
      <w:r>
        <w:rPr>
          <w:lang w:val="en-GB"/>
        </w:rPr>
        <w:t>d</w:t>
      </w:r>
      <w:r w:rsidR="007B6357" w:rsidRPr="00342F7C">
        <w:rPr>
          <w:lang w:val="en-GB"/>
        </w:rPr>
        <w:t>izziness, anxiety, difficulty in sleeping;</w:t>
      </w:r>
    </w:p>
    <w:p w14:paraId="2F20AEFB" w14:textId="77777777" w:rsidR="007B6357" w:rsidRPr="00342F7C" w:rsidRDefault="00FA50C5" w:rsidP="008E0314">
      <w:pPr>
        <w:pStyle w:val="EMEABullet"/>
        <w:tabs>
          <w:tab w:val="clear" w:pos="709"/>
          <w:tab w:val="num" w:pos="567"/>
        </w:tabs>
        <w:ind w:left="567"/>
        <w:rPr>
          <w:lang w:val="en-GB"/>
        </w:rPr>
      </w:pPr>
      <w:r>
        <w:rPr>
          <w:lang w:val="en-GB"/>
        </w:rPr>
        <w:t>f</w:t>
      </w:r>
      <w:r w:rsidR="007B6357" w:rsidRPr="00342F7C">
        <w:rPr>
          <w:lang w:val="en-GB"/>
        </w:rPr>
        <w:t>eeling tired, lack of strength and energy, headache including migraine;</w:t>
      </w:r>
    </w:p>
    <w:p w14:paraId="13E59BCB" w14:textId="77777777" w:rsidR="007B6357" w:rsidRPr="00342F7C" w:rsidRDefault="00FA50C5" w:rsidP="008E0314">
      <w:pPr>
        <w:pStyle w:val="EMEABullet"/>
        <w:tabs>
          <w:tab w:val="clear" w:pos="709"/>
          <w:tab w:val="num" w:pos="567"/>
        </w:tabs>
        <w:ind w:left="567"/>
        <w:rPr>
          <w:lang w:val="en-GB"/>
        </w:rPr>
      </w:pPr>
      <w:r>
        <w:rPr>
          <w:lang w:val="en-GB"/>
        </w:rPr>
        <w:t>h</w:t>
      </w:r>
      <w:r w:rsidR="007B6357" w:rsidRPr="00342F7C">
        <w:rPr>
          <w:lang w:val="en-GB"/>
        </w:rPr>
        <w:t>aemorrhoids;</w:t>
      </w:r>
    </w:p>
    <w:p w14:paraId="6A966E98" w14:textId="77777777" w:rsidR="007B6357" w:rsidRPr="00342F7C" w:rsidRDefault="00FA50C5" w:rsidP="008E0314">
      <w:pPr>
        <w:pStyle w:val="EMEABullet"/>
        <w:tabs>
          <w:tab w:val="clear" w:pos="709"/>
          <w:tab w:val="num" w:pos="567"/>
        </w:tabs>
        <w:ind w:left="567"/>
        <w:rPr>
          <w:lang w:val="en-GB"/>
        </w:rPr>
      </w:pPr>
      <w:r>
        <w:rPr>
          <w:lang w:val="en-GB"/>
        </w:rPr>
        <w:t>i</w:t>
      </w:r>
      <w:r w:rsidR="007B6357" w:rsidRPr="00342F7C">
        <w:rPr>
          <w:lang w:val="en-GB"/>
        </w:rPr>
        <w:t>nflammation of the liver including increased liver enzymes;</w:t>
      </w:r>
    </w:p>
    <w:p w14:paraId="281DB1BC" w14:textId="77777777" w:rsidR="007B6357" w:rsidRPr="00342F7C" w:rsidRDefault="00FA50C5" w:rsidP="008E0314">
      <w:pPr>
        <w:pStyle w:val="EMEABullet"/>
        <w:tabs>
          <w:tab w:val="clear" w:pos="709"/>
          <w:tab w:val="num" w:pos="567"/>
        </w:tabs>
        <w:ind w:left="567"/>
        <w:rPr>
          <w:lang w:val="en-GB"/>
        </w:rPr>
      </w:pPr>
      <w:r>
        <w:rPr>
          <w:lang w:val="en-GB"/>
        </w:rPr>
        <w:t>a</w:t>
      </w:r>
      <w:r w:rsidR="007B6357" w:rsidRPr="00342F7C">
        <w:rPr>
          <w:lang w:val="en-GB"/>
        </w:rPr>
        <w:t>llergic reactions including hives and inflammation in the mouth;</w:t>
      </w:r>
    </w:p>
    <w:p w14:paraId="16383E15" w14:textId="77777777" w:rsidR="007B6357" w:rsidRPr="00342F7C" w:rsidRDefault="00FA50C5" w:rsidP="008E0314">
      <w:pPr>
        <w:pStyle w:val="EMEABullet"/>
        <w:tabs>
          <w:tab w:val="clear" w:pos="709"/>
          <w:tab w:val="num" w:pos="567"/>
        </w:tabs>
        <w:ind w:left="567"/>
        <w:rPr>
          <w:lang w:val="en-GB"/>
        </w:rPr>
      </w:pPr>
      <w:r>
        <w:rPr>
          <w:lang w:val="en-GB"/>
        </w:rPr>
        <w:t>l</w:t>
      </w:r>
      <w:r w:rsidR="007B6357" w:rsidRPr="00342F7C">
        <w:rPr>
          <w:lang w:val="en-GB"/>
        </w:rPr>
        <w:t>ower respiratory tract infection;</w:t>
      </w:r>
    </w:p>
    <w:p w14:paraId="06B27BBB" w14:textId="77777777" w:rsidR="007B6357" w:rsidRPr="00342F7C" w:rsidRDefault="00FA50C5" w:rsidP="008E0314">
      <w:pPr>
        <w:pStyle w:val="EMEABullet"/>
        <w:tabs>
          <w:tab w:val="clear" w:pos="709"/>
          <w:tab w:val="num" w:pos="567"/>
        </w:tabs>
        <w:ind w:left="567"/>
        <w:rPr>
          <w:lang w:val="en-GB"/>
        </w:rPr>
      </w:pPr>
      <w:r>
        <w:rPr>
          <w:lang w:val="en-GB"/>
        </w:rPr>
        <w:t>e</w:t>
      </w:r>
      <w:r w:rsidR="007B6357" w:rsidRPr="00342F7C">
        <w:rPr>
          <w:lang w:val="en-GB"/>
        </w:rPr>
        <w:t>nlargement of the lymph nodes;</w:t>
      </w:r>
    </w:p>
    <w:p w14:paraId="08416F15" w14:textId="77777777" w:rsidR="007B6357" w:rsidRPr="00342F7C" w:rsidRDefault="00FA50C5" w:rsidP="008E0314">
      <w:pPr>
        <w:pStyle w:val="EMEABullet"/>
        <w:tabs>
          <w:tab w:val="clear" w:pos="709"/>
          <w:tab w:val="num" w:pos="567"/>
        </w:tabs>
        <w:ind w:left="567"/>
        <w:rPr>
          <w:lang w:val="en-GB"/>
        </w:rPr>
      </w:pPr>
      <w:r>
        <w:rPr>
          <w:lang w:val="en-GB"/>
        </w:rPr>
        <w:t>i</w:t>
      </w:r>
      <w:r w:rsidR="007B6357" w:rsidRPr="00342F7C">
        <w:rPr>
          <w:lang w:val="en-GB"/>
        </w:rPr>
        <w:t>mpotence, abnormally heavy or extended menstrual flow or a lack of menstruation;</w:t>
      </w:r>
    </w:p>
    <w:p w14:paraId="514F2A4E" w14:textId="77777777" w:rsidR="007B6357" w:rsidRPr="00342F7C" w:rsidRDefault="00FA50C5" w:rsidP="008E0314">
      <w:pPr>
        <w:pStyle w:val="EMEABullet"/>
        <w:tabs>
          <w:tab w:val="clear" w:pos="709"/>
          <w:tab w:val="num" w:pos="567"/>
        </w:tabs>
        <w:ind w:left="567"/>
        <w:rPr>
          <w:lang w:val="en-GB"/>
        </w:rPr>
      </w:pPr>
      <w:r>
        <w:rPr>
          <w:lang w:val="en-GB"/>
        </w:rPr>
        <w:t>m</w:t>
      </w:r>
      <w:r w:rsidR="007B6357" w:rsidRPr="00342F7C">
        <w:rPr>
          <w:lang w:val="en-GB"/>
        </w:rPr>
        <w:t>uscle disorders such as weakness and spasms, pain in the joints, muscles and back;</w:t>
      </w:r>
    </w:p>
    <w:p w14:paraId="6516DC95" w14:textId="77777777" w:rsidR="007B6357" w:rsidRPr="00342F7C" w:rsidRDefault="00FA50C5" w:rsidP="008E0314">
      <w:pPr>
        <w:pStyle w:val="EMEABullet"/>
        <w:tabs>
          <w:tab w:val="clear" w:pos="709"/>
          <w:tab w:val="num" w:pos="567"/>
        </w:tabs>
        <w:ind w:left="567"/>
        <w:rPr>
          <w:lang w:val="en-GB"/>
        </w:rPr>
      </w:pPr>
      <w:r>
        <w:rPr>
          <w:lang w:val="en-GB"/>
        </w:rPr>
        <w:t>d</w:t>
      </w:r>
      <w:r w:rsidR="007B6357" w:rsidRPr="00342F7C">
        <w:rPr>
          <w:lang w:val="en-GB"/>
        </w:rPr>
        <w:t>amage to nerves of the peripheral nervous system;</w:t>
      </w:r>
    </w:p>
    <w:p w14:paraId="39192FB3" w14:textId="77777777" w:rsidR="007B6357" w:rsidRPr="00342F7C" w:rsidRDefault="00FA50C5" w:rsidP="008E0314">
      <w:pPr>
        <w:pStyle w:val="EMEABullet"/>
        <w:tabs>
          <w:tab w:val="clear" w:pos="709"/>
          <w:tab w:val="num" w:pos="567"/>
        </w:tabs>
        <w:ind w:left="567"/>
        <w:rPr>
          <w:lang w:val="en-GB"/>
        </w:rPr>
      </w:pPr>
      <w:r>
        <w:rPr>
          <w:lang w:val="en-GB"/>
        </w:rPr>
        <w:t>n</w:t>
      </w:r>
      <w:r w:rsidR="007B6357" w:rsidRPr="00342F7C">
        <w:rPr>
          <w:lang w:val="en-GB"/>
        </w:rPr>
        <w:t xml:space="preserve">ight sweats, itching, rash including raised bumps on the skin, infection of the skin, inflammation of skin or hair pores, accumulation of fluid in the cells or tissues.  </w:t>
      </w:r>
    </w:p>
    <w:p w14:paraId="1647AB44" w14:textId="77777777" w:rsidR="007B6357" w:rsidRPr="00342F7C" w:rsidRDefault="007B6357">
      <w:pPr>
        <w:pStyle w:val="EMEANormal"/>
        <w:rPr>
          <w:lang w:val="en-GB"/>
        </w:rPr>
      </w:pPr>
    </w:p>
    <w:p w14:paraId="5681FCE2" w14:textId="77777777" w:rsidR="00277ECB" w:rsidRPr="00342F7C" w:rsidRDefault="001C55CF" w:rsidP="00DF668A">
      <w:pPr>
        <w:pStyle w:val="EMEANormal"/>
        <w:keepNext/>
        <w:rPr>
          <w:lang w:val="en-GB"/>
        </w:rPr>
      </w:pPr>
      <w:r>
        <w:rPr>
          <w:b/>
          <w:bCs/>
          <w:lang w:val="en-GB"/>
        </w:rPr>
        <w:t>Uncommon:</w:t>
      </w:r>
      <w:r w:rsidRPr="00342F7C">
        <w:rPr>
          <w:lang w:val="en-GB"/>
        </w:rPr>
        <w:t xml:space="preserve"> </w:t>
      </w:r>
      <w:r>
        <w:rPr>
          <w:lang w:val="en-GB"/>
        </w:rPr>
        <w:t xml:space="preserve">may </w:t>
      </w:r>
      <w:r w:rsidR="00277ECB" w:rsidRPr="00342F7C">
        <w:rPr>
          <w:lang w:val="en-GB"/>
        </w:rPr>
        <w:t xml:space="preserve">affect </w:t>
      </w:r>
      <w:r>
        <w:rPr>
          <w:lang w:val="en-GB"/>
        </w:rPr>
        <w:t xml:space="preserve">up to </w:t>
      </w:r>
      <w:r w:rsidR="00277ECB" w:rsidRPr="00342F7C">
        <w:rPr>
          <w:lang w:val="en-GB"/>
        </w:rPr>
        <w:t xml:space="preserve">1 </w:t>
      </w:r>
      <w:r>
        <w:rPr>
          <w:lang w:val="en-GB"/>
        </w:rPr>
        <w:t>in</w:t>
      </w:r>
      <w:r w:rsidR="00277ECB" w:rsidRPr="00342F7C">
        <w:rPr>
          <w:lang w:val="en-GB"/>
        </w:rPr>
        <w:t xml:space="preserve"> 10</w:t>
      </w:r>
      <w:r>
        <w:rPr>
          <w:lang w:val="en-GB"/>
        </w:rPr>
        <w:t>0 people</w:t>
      </w:r>
      <w:r w:rsidR="00277ECB" w:rsidRPr="00342F7C">
        <w:rPr>
          <w:lang w:val="en-GB"/>
        </w:rPr>
        <w:t xml:space="preserve">  </w:t>
      </w:r>
    </w:p>
    <w:p w14:paraId="53CF583F" w14:textId="77777777" w:rsidR="007B6357" w:rsidRPr="00342F7C" w:rsidRDefault="00FA50C5" w:rsidP="00DF668A">
      <w:pPr>
        <w:pStyle w:val="EMEABullet"/>
        <w:keepNext/>
        <w:tabs>
          <w:tab w:val="clear" w:pos="709"/>
          <w:tab w:val="num" w:pos="567"/>
        </w:tabs>
        <w:ind w:left="567"/>
        <w:rPr>
          <w:lang w:val="en-GB"/>
        </w:rPr>
      </w:pPr>
      <w:r>
        <w:rPr>
          <w:lang w:val="en-GB"/>
        </w:rPr>
        <w:t>a</w:t>
      </w:r>
      <w:r w:rsidR="007B6357" w:rsidRPr="00342F7C">
        <w:rPr>
          <w:lang w:val="en-GB"/>
        </w:rPr>
        <w:t>bnormal dreams;</w:t>
      </w:r>
    </w:p>
    <w:p w14:paraId="5479432D" w14:textId="77777777" w:rsidR="007B6357" w:rsidRPr="00342F7C" w:rsidRDefault="00FA50C5" w:rsidP="00DF668A">
      <w:pPr>
        <w:pStyle w:val="EMEABullet"/>
        <w:keepNext/>
        <w:tabs>
          <w:tab w:val="clear" w:pos="709"/>
          <w:tab w:val="num" w:pos="567"/>
        </w:tabs>
        <w:ind w:left="567"/>
        <w:rPr>
          <w:lang w:val="en-GB"/>
        </w:rPr>
      </w:pPr>
      <w:r>
        <w:rPr>
          <w:lang w:val="en-GB"/>
        </w:rPr>
        <w:t>l</w:t>
      </w:r>
      <w:r w:rsidR="007B6357" w:rsidRPr="00342F7C">
        <w:rPr>
          <w:lang w:val="en-GB"/>
        </w:rPr>
        <w:t>oss or changed sense of taste;</w:t>
      </w:r>
    </w:p>
    <w:p w14:paraId="4B12EA77" w14:textId="77777777" w:rsidR="007B6357" w:rsidRPr="00342F7C" w:rsidRDefault="00FA50C5" w:rsidP="008E0314">
      <w:pPr>
        <w:pStyle w:val="EMEABullet"/>
        <w:tabs>
          <w:tab w:val="clear" w:pos="709"/>
          <w:tab w:val="num" w:pos="567"/>
        </w:tabs>
        <w:ind w:left="567"/>
        <w:rPr>
          <w:lang w:val="en-GB"/>
        </w:rPr>
      </w:pPr>
      <w:r>
        <w:rPr>
          <w:lang w:val="en-GB"/>
        </w:rPr>
        <w:t>h</w:t>
      </w:r>
      <w:r w:rsidR="007B6357" w:rsidRPr="00342F7C">
        <w:rPr>
          <w:lang w:val="en-GB"/>
        </w:rPr>
        <w:t>air loss;</w:t>
      </w:r>
    </w:p>
    <w:p w14:paraId="2FB9BE42" w14:textId="77777777" w:rsidR="007B6357" w:rsidRPr="00342F7C" w:rsidRDefault="00FA50C5" w:rsidP="008E0314">
      <w:pPr>
        <w:pStyle w:val="EMEABullet"/>
        <w:tabs>
          <w:tab w:val="clear" w:pos="709"/>
          <w:tab w:val="num" w:pos="567"/>
        </w:tabs>
        <w:ind w:left="567"/>
        <w:rPr>
          <w:lang w:val="en-GB"/>
        </w:rPr>
      </w:pPr>
      <w:r>
        <w:rPr>
          <w:lang w:val="en-GB"/>
        </w:rPr>
        <w:t>a</w:t>
      </w:r>
      <w:r w:rsidR="007B6357" w:rsidRPr="00342F7C">
        <w:rPr>
          <w:lang w:val="en-GB"/>
        </w:rPr>
        <w:t xml:space="preserve">n abnormality in your electrocardiogram </w:t>
      </w:r>
      <w:r w:rsidR="003C1501">
        <w:rPr>
          <w:lang w:val="en-GB"/>
        </w:rPr>
        <w:t xml:space="preserve">(ECG) </w:t>
      </w:r>
      <w:r w:rsidR="007B6357" w:rsidRPr="00342F7C">
        <w:rPr>
          <w:lang w:val="en-GB"/>
        </w:rPr>
        <w:t>called atrioventricular block;</w:t>
      </w:r>
    </w:p>
    <w:p w14:paraId="03C4BA74" w14:textId="77777777" w:rsidR="007B6357" w:rsidRPr="00342F7C" w:rsidRDefault="00FA50C5" w:rsidP="008E0314">
      <w:pPr>
        <w:pStyle w:val="EMEABullet"/>
        <w:tabs>
          <w:tab w:val="clear" w:pos="709"/>
          <w:tab w:val="num" w:pos="567"/>
        </w:tabs>
        <w:ind w:left="567"/>
        <w:rPr>
          <w:lang w:val="en-GB"/>
        </w:rPr>
      </w:pPr>
      <w:r>
        <w:rPr>
          <w:lang w:val="en-GB"/>
        </w:rPr>
        <w:t>p</w:t>
      </w:r>
      <w:r w:rsidR="007B6357" w:rsidRPr="00342F7C">
        <w:rPr>
          <w:lang w:val="en-GB"/>
        </w:rPr>
        <w:t>laque building up inside your arteries which could lead to heart attack and stroke;</w:t>
      </w:r>
    </w:p>
    <w:p w14:paraId="2D31AAC4" w14:textId="77777777" w:rsidR="007B6357" w:rsidRPr="00342F7C" w:rsidRDefault="00FA50C5" w:rsidP="008E0314">
      <w:pPr>
        <w:pStyle w:val="EMEABullet"/>
        <w:tabs>
          <w:tab w:val="clear" w:pos="709"/>
          <w:tab w:val="num" w:pos="567"/>
        </w:tabs>
        <w:ind w:left="567"/>
        <w:rPr>
          <w:lang w:val="en-GB"/>
        </w:rPr>
      </w:pPr>
      <w:r>
        <w:rPr>
          <w:lang w:val="en-GB"/>
        </w:rPr>
        <w:t>i</w:t>
      </w:r>
      <w:r w:rsidR="007B6357" w:rsidRPr="00342F7C">
        <w:rPr>
          <w:lang w:val="en-GB"/>
        </w:rPr>
        <w:t>nflammation of blood vessels and capillaries;</w:t>
      </w:r>
    </w:p>
    <w:p w14:paraId="6570E4A3" w14:textId="77777777" w:rsidR="007B6357" w:rsidRPr="00342F7C" w:rsidRDefault="00FA50C5" w:rsidP="008E0314">
      <w:pPr>
        <w:pStyle w:val="EMEABullet"/>
        <w:tabs>
          <w:tab w:val="clear" w:pos="709"/>
          <w:tab w:val="num" w:pos="567"/>
        </w:tabs>
        <w:ind w:left="567"/>
        <w:rPr>
          <w:lang w:val="en-GB"/>
        </w:rPr>
      </w:pPr>
      <w:r>
        <w:rPr>
          <w:lang w:val="en-GB"/>
        </w:rPr>
        <w:t>i</w:t>
      </w:r>
      <w:r w:rsidR="007B6357" w:rsidRPr="00342F7C">
        <w:rPr>
          <w:lang w:val="en-GB"/>
        </w:rPr>
        <w:t>nflammation of the bile duct;</w:t>
      </w:r>
    </w:p>
    <w:p w14:paraId="37002D56" w14:textId="77777777" w:rsidR="007B6357" w:rsidRPr="00342F7C" w:rsidRDefault="00FA50C5" w:rsidP="008E0314">
      <w:pPr>
        <w:pStyle w:val="EMEABullet"/>
        <w:tabs>
          <w:tab w:val="clear" w:pos="709"/>
          <w:tab w:val="num" w:pos="567"/>
        </w:tabs>
        <w:ind w:left="567"/>
        <w:rPr>
          <w:lang w:val="en-GB"/>
        </w:rPr>
      </w:pPr>
      <w:r>
        <w:rPr>
          <w:lang w:val="en-GB"/>
        </w:rPr>
        <w:t>u</w:t>
      </w:r>
      <w:r w:rsidR="007B6357" w:rsidRPr="00342F7C">
        <w:rPr>
          <w:lang w:val="en-GB"/>
        </w:rPr>
        <w:t>ncontrolled shaking of the body;</w:t>
      </w:r>
    </w:p>
    <w:p w14:paraId="1CD81A34" w14:textId="77777777" w:rsidR="007B6357" w:rsidRPr="00342F7C" w:rsidRDefault="00FA50C5" w:rsidP="008E0314">
      <w:pPr>
        <w:pStyle w:val="EMEABullet"/>
        <w:tabs>
          <w:tab w:val="clear" w:pos="709"/>
          <w:tab w:val="num" w:pos="567"/>
        </w:tabs>
        <w:ind w:left="567"/>
        <w:rPr>
          <w:lang w:val="en-GB"/>
        </w:rPr>
      </w:pPr>
      <w:r>
        <w:rPr>
          <w:lang w:val="en-GB"/>
        </w:rPr>
        <w:t>c</w:t>
      </w:r>
      <w:r w:rsidR="007B6357" w:rsidRPr="00342F7C">
        <w:rPr>
          <w:lang w:val="en-GB"/>
        </w:rPr>
        <w:t>onstipation;</w:t>
      </w:r>
    </w:p>
    <w:p w14:paraId="29720E31" w14:textId="77777777" w:rsidR="007B6357" w:rsidRPr="00342F7C" w:rsidRDefault="00FA50C5" w:rsidP="008E0314">
      <w:pPr>
        <w:pStyle w:val="EMEABullet"/>
        <w:tabs>
          <w:tab w:val="clear" w:pos="709"/>
          <w:tab w:val="num" w:pos="567"/>
        </w:tabs>
        <w:ind w:left="567"/>
        <w:rPr>
          <w:lang w:val="en-GB"/>
        </w:rPr>
      </w:pPr>
      <w:r>
        <w:rPr>
          <w:lang w:val="en-GB"/>
        </w:rPr>
        <w:t>d</w:t>
      </w:r>
      <w:r w:rsidR="007B6357" w:rsidRPr="00342F7C">
        <w:rPr>
          <w:lang w:val="en-GB"/>
        </w:rPr>
        <w:t>eep vein inflammation related to a blood clot;</w:t>
      </w:r>
    </w:p>
    <w:p w14:paraId="1797245A" w14:textId="77777777" w:rsidR="007B6357" w:rsidRPr="00342F7C" w:rsidRDefault="00FA50C5" w:rsidP="008E0314">
      <w:pPr>
        <w:pStyle w:val="EMEABullet"/>
        <w:tabs>
          <w:tab w:val="clear" w:pos="709"/>
          <w:tab w:val="num" w:pos="567"/>
        </w:tabs>
        <w:ind w:left="567"/>
        <w:rPr>
          <w:lang w:val="en-GB"/>
        </w:rPr>
      </w:pPr>
      <w:r>
        <w:rPr>
          <w:lang w:val="en-GB"/>
        </w:rPr>
        <w:t>d</w:t>
      </w:r>
      <w:r w:rsidR="007B6357" w:rsidRPr="00342F7C">
        <w:rPr>
          <w:lang w:val="en-GB"/>
        </w:rPr>
        <w:t>ry mouth;</w:t>
      </w:r>
    </w:p>
    <w:p w14:paraId="1C5A4D2A" w14:textId="77777777" w:rsidR="007B6357" w:rsidRPr="00342F7C" w:rsidRDefault="00FA50C5" w:rsidP="008E0314">
      <w:pPr>
        <w:pStyle w:val="EMEABullet"/>
        <w:tabs>
          <w:tab w:val="clear" w:pos="709"/>
          <w:tab w:val="num" w:pos="567"/>
        </w:tabs>
        <w:ind w:left="567"/>
        <w:rPr>
          <w:lang w:val="en-GB"/>
        </w:rPr>
      </w:pPr>
      <w:r>
        <w:rPr>
          <w:lang w:val="en-GB"/>
        </w:rPr>
        <w:t>i</w:t>
      </w:r>
      <w:r w:rsidR="007B6357" w:rsidRPr="00342F7C">
        <w:rPr>
          <w:lang w:val="en-GB"/>
        </w:rPr>
        <w:t>nability to control your bowels;</w:t>
      </w:r>
    </w:p>
    <w:p w14:paraId="4F4F0E23" w14:textId="77777777" w:rsidR="007B6357" w:rsidRPr="00342F7C" w:rsidRDefault="00FA50C5" w:rsidP="008E0314">
      <w:pPr>
        <w:pStyle w:val="EMEABullet"/>
        <w:tabs>
          <w:tab w:val="clear" w:pos="709"/>
          <w:tab w:val="num" w:pos="567"/>
        </w:tabs>
        <w:ind w:left="567"/>
        <w:rPr>
          <w:lang w:val="en-GB"/>
        </w:rPr>
      </w:pPr>
      <w:r>
        <w:rPr>
          <w:lang w:val="en-GB"/>
        </w:rPr>
        <w:t>i</w:t>
      </w:r>
      <w:r w:rsidR="007B6357" w:rsidRPr="00342F7C">
        <w:rPr>
          <w:lang w:val="en-GB"/>
        </w:rPr>
        <w:t>nflammation of the first section of the small intestine just after the stomach, wound or ulcer in the digestive tract, bleeding from the intestinal tract or rectum;</w:t>
      </w:r>
    </w:p>
    <w:p w14:paraId="26DE324D" w14:textId="77777777" w:rsidR="007B6357" w:rsidRDefault="00FA50C5" w:rsidP="008E0314">
      <w:pPr>
        <w:pStyle w:val="EMEABullet"/>
        <w:tabs>
          <w:tab w:val="clear" w:pos="709"/>
          <w:tab w:val="num" w:pos="567"/>
        </w:tabs>
        <w:ind w:left="567"/>
        <w:rPr>
          <w:lang w:val="en-GB"/>
        </w:rPr>
      </w:pPr>
      <w:r>
        <w:rPr>
          <w:lang w:val="en-GB"/>
        </w:rPr>
        <w:t>r</w:t>
      </w:r>
      <w:r w:rsidR="007B6357" w:rsidRPr="00342F7C">
        <w:rPr>
          <w:lang w:val="en-GB"/>
        </w:rPr>
        <w:t>ed blood cells in the urine;</w:t>
      </w:r>
    </w:p>
    <w:p w14:paraId="353C88CB" w14:textId="77777777" w:rsidR="00514145" w:rsidRPr="00342F7C" w:rsidRDefault="00514145" w:rsidP="008E0314">
      <w:pPr>
        <w:pStyle w:val="EMEABullet"/>
        <w:tabs>
          <w:tab w:val="clear" w:pos="709"/>
          <w:tab w:val="num" w:pos="567"/>
        </w:tabs>
        <w:ind w:left="567"/>
        <w:rPr>
          <w:lang w:val="en-GB"/>
        </w:rPr>
      </w:pPr>
      <w:r>
        <w:rPr>
          <w:lang w:val="en-GB"/>
        </w:rPr>
        <w:t>yellowing of the skin or whites of eyes (jaundice);</w:t>
      </w:r>
    </w:p>
    <w:p w14:paraId="6E589EE6" w14:textId="77777777" w:rsidR="007B6357" w:rsidRPr="00342F7C" w:rsidRDefault="00FA50C5" w:rsidP="008E0314">
      <w:pPr>
        <w:pStyle w:val="EMEABullet"/>
        <w:tabs>
          <w:tab w:val="clear" w:pos="709"/>
          <w:tab w:val="num" w:pos="567"/>
        </w:tabs>
        <w:ind w:left="567"/>
        <w:rPr>
          <w:lang w:val="en-GB"/>
        </w:rPr>
      </w:pPr>
      <w:r>
        <w:rPr>
          <w:lang w:val="en-GB"/>
        </w:rPr>
        <w:t>f</w:t>
      </w:r>
      <w:r w:rsidR="007B6357" w:rsidRPr="00342F7C">
        <w:rPr>
          <w:lang w:val="en-GB"/>
        </w:rPr>
        <w:t>atty deposits in the liver, enlarged liver;</w:t>
      </w:r>
    </w:p>
    <w:p w14:paraId="58D4BE83" w14:textId="77777777" w:rsidR="007B6357" w:rsidRPr="00342F7C" w:rsidRDefault="00FA50C5" w:rsidP="008E0314">
      <w:pPr>
        <w:pStyle w:val="EMEABullet"/>
        <w:tabs>
          <w:tab w:val="clear" w:pos="709"/>
          <w:tab w:val="num" w:pos="567"/>
        </w:tabs>
        <w:ind w:left="567"/>
        <w:rPr>
          <w:lang w:val="en-GB"/>
        </w:rPr>
      </w:pPr>
      <w:r>
        <w:rPr>
          <w:lang w:val="en-GB"/>
        </w:rPr>
        <w:t>l</w:t>
      </w:r>
      <w:r w:rsidR="007B6357" w:rsidRPr="00342F7C">
        <w:rPr>
          <w:lang w:val="en-GB"/>
        </w:rPr>
        <w:t>ack of functioning of the testes;</w:t>
      </w:r>
    </w:p>
    <w:p w14:paraId="749D8339" w14:textId="77777777" w:rsidR="007B6357" w:rsidRPr="00342F7C" w:rsidRDefault="00FA50C5" w:rsidP="008E0314">
      <w:pPr>
        <w:pStyle w:val="EMEABullet"/>
        <w:tabs>
          <w:tab w:val="clear" w:pos="709"/>
          <w:tab w:val="num" w:pos="567"/>
        </w:tabs>
        <w:ind w:left="567"/>
        <w:rPr>
          <w:lang w:val="en-GB"/>
        </w:rPr>
      </w:pPr>
      <w:r>
        <w:rPr>
          <w:lang w:val="en-GB"/>
        </w:rPr>
        <w:t>a</w:t>
      </w:r>
      <w:r w:rsidR="007B6357" w:rsidRPr="00342F7C">
        <w:rPr>
          <w:lang w:val="en-GB"/>
        </w:rPr>
        <w:t xml:space="preserve"> flare-up of symptoms related to an inactive in</w:t>
      </w:r>
      <w:r w:rsidR="00EF6E3A">
        <w:rPr>
          <w:lang w:val="en-GB"/>
        </w:rPr>
        <w:t xml:space="preserve">fection in your body (immune </w:t>
      </w:r>
      <w:r w:rsidR="0076580C">
        <w:rPr>
          <w:lang w:val="en-GB"/>
        </w:rPr>
        <w:t>reconstitution</w:t>
      </w:r>
      <w:r w:rsidR="007B6357" w:rsidRPr="00342F7C">
        <w:rPr>
          <w:lang w:val="en-GB"/>
        </w:rPr>
        <w:t>);</w:t>
      </w:r>
    </w:p>
    <w:p w14:paraId="59C02787" w14:textId="77777777" w:rsidR="007B6357" w:rsidRPr="00342F7C" w:rsidRDefault="00FA50C5" w:rsidP="008E0314">
      <w:pPr>
        <w:pStyle w:val="EMEABullet"/>
        <w:tabs>
          <w:tab w:val="clear" w:pos="709"/>
          <w:tab w:val="num" w:pos="567"/>
        </w:tabs>
        <w:ind w:left="567"/>
        <w:rPr>
          <w:lang w:val="en-GB"/>
        </w:rPr>
      </w:pPr>
      <w:r>
        <w:rPr>
          <w:lang w:val="en-GB"/>
        </w:rPr>
        <w:t>i</w:t>
      </w:r>
      <w:r w:rsidR="007B6357" w:rsidRPr="00342F7C">
        <w:rPr>
          <w:lang w:val="en-GB"/>
        </w:rPr>
        <w:t>ncreased appetite;</w:t>
      </w:r>
    </w:p>
    <w:p w14:paraId="3BB94FC4" w14:textId="77777777" w:rsidR="007B6357" w:rsidRPr="00342F7C" w:rsidRDefault="00FA50C5" w:rsidP="008E0314">
      <w:pPr>
        <w:pStyle w:val="EMEABullet"/>
        <w:tabs>
          <w:tab w:val="clear" w:pos="709"/>
          <w:tab w:val="num" w:pos="567"/>
        </w:tabs>
        <w:ind w:left="567"/>
        <w:rPr>
          <w:lang w:val="en-GB"/>
        </w:rPr>
      </w:pPr>
      <w:r>
        <w:rPr>
          <w:lang w:val="en-GB"/>
        </w:rPr>
        <w:t>a</w:t>
      </w:r>
      <w:r w:rsidR="007B6357" w:rsidRPr="00342F7C">
        <w:rPr>
          <w:lang w:val="en-GB"/>
        </w:rPr>
        <w:t>bnormally high level of bilirubin (a pigment produced from the breakdown of red blood cells) in the blood</w:t>
      </w:r>
    </w:p>
    <w:p w14:paraId="4F35F75B" w14:textId="77777777" w:rsidR="007B6357" w:rsidRPr="00342F7C" w:rsidRDefault="00FA50C5" w:rsidP="008E0314">
      <w:pPr>
        <w:pStyle w:val="EMEABullet"/>
        <w:tabs>
          <w:tab w:val="clear" w:pos="709"/>
          <w:tab w:val="num" w:pos="567"/>
        </w:tabs>
        <w:ind w:left="567"/>
        <w:rPr>
          <w:lang w:val="en-GB"/>
        </w:rPr>
      </w:pPr>
      <w:r>
        <w:rPr>
          <w:lang w:val="en-GB"/>
        </w:rPr>
        <w:t>d</w:t>
      </w:r>
      <w:r w:rsidR="007B6357" w:rsidRPr="00342F7C">
        <w:rPr>
          <w:lang w:val="en-GB"/>
        </w:rPr>
        <w:t>ecreased sexual desire;</w:t>
      </w:r>
    </w:p>
    <w:p w14:paraId="645F4023" w14:textId="77777777" w:rsidR="007B6357" w:rsidRPr="00342F7C" w:rsidRDefault="00FA50C5" w:rsidP="008E0314">
      <w:pPr>
        <w:pStyle w:val="EMEABullet"/>
        <w:tabs>
          <w:tab w:val="clear" w:pos="709"/>
          <w:tab w:val="num" w:pos="567"/>
        </w:tabs>
        <w:ind w:left="567"/>
        <w:rPr>
          <w:lang w:val="en-GB"/>
        </w:rPr>
      </w:pPr>
      <w:r>
        <w:rPr>
          <w:lang w:val="en-GB"/>
        </w:rPr>
        <w:t>i</w:t>
      </w:r>
      <w:r w:rsidR="007B6357" w:rsidRPr="00342F7C">
        <w:rPr>
          <w:lang w:val="en-GB"/>
        </w:rPr>
        <w:t>nflammation of the kidney;</w:t>
      </w:r>
    </w:p>
    <w:p w14:paraId="352C7600" w14:textId="77777777" w:rsidR="007B6357" w:rsidRPr="00342F7C" w:rsidRDefault="00FA50C5" w:rsidP="008E0314">
      <w:pPr>
        <w:pStyle w:val="EMEABullet"/>
        <w:tabs>
          <w:tab w:val="clear" w:pos="709"/>
          <w:tab w:val="num" w:pos="567"/>
        </w:tabs>
        <w:ind w:left="567"/>
        <w:rPr>
          <w:lang w:val="en-GB"/>
        </w:rPr>
      </w:pPr>
      <w:r>
        <w:rPr>
          <w:lang w:val="en-GB"/>
        </w:rPr>
        <w:t>b</w:t>
      </w:r>
      <w:r w:rsidR="007B6357" w:rsidRPr="00342F7C">
        <w:rPr>
          <w:lang w:val="en-GB"/>
        </w:rPr>
        <w:t>one death caused by poor blood supply to the area;</w:t>
      </w:r>
    </w:p>
    <w:p w14:paraId="05B7BE70" w14:textId="77777777" w:rsidR="007B6357" w:rsidRPr="00342F7C" w:rsidRDefault="00FA50C5" w:rsidP="008E0314">
      <w:pPr>
        <w:pStyle w:val="EMEABullet"/>
        <w:tabs>
          <w:tab w:val="clear" w:pos="709"/>
          <w:tab w:val="num" w:pos="567"/>
        </w:tabs>
        <w:ind w:left="567"/>
        <w:rPr>
          <w:lang w:val="en-GB"/>
        </w:rPr>
      </w:pPr>
      <w:r>
        <w:rPr>
          <w:lang w:val="en-GB"/>
        </w:rPr>
        <w:t>m</w:t>
      </w:r>
      <w:r w:rsidR="007B6357" w:rsidRPr="00342F7C">
        <w:rPr>
          <w:lang w:val="en-GB"/>
        </w:rPr>
        <w:t>outh sores or ulcerations, inflammation of the stomach and intestine;</w:t>
      </w:r>
    </w:p>
    <w:p w14:paraId="75117965" w14:textId="77777777" w:rsidR="007B6357" w:rsidRPr="00342F7C" w:rsidRDefault="00FA50C5" w:rsidP="008E0314">
      <w:pPr>
        <w:pStyle w:val="EMEABullet"/>
        <w:tabs>
          <w:tab w:val="clear" w:pos="709"/>
          <w:tab w:val="num" w:pos="567"/>
        </w:tabs>
        <w:ind w:left="567"/>
        <w:rPr>
          <w:lang w:val="en-GB"/>
        </w:rPr>
      </w:pPr>
      <w:r>
        <w:rPr>
          <w:lang w:val="en-GB"/>
        </w:rPr>
        <w:t>k</w:t>
      </w:r>
      <w:r w:rsidR="007B6357" w:rsidRPr="00342F7C">
        <w:rPr>
          <w:lang w:val="en-GB"/>
        </w:rPr>
        <w:t>idney failure;</w:t>
      </w:r>
    </w:p>
    <w:p w14:paraId="3A6B0610" w14:textId="77777777" w:rsidR="007B6357" w:rsidRPr="00342F7C" w:rsidRDefault="00FA50C5" w:rsidP="008E0314">
      <w:pPr>
        <w:pStyle w:val="EMEABullet"/>
        <w:tabs>
          <w:tab w:val="clear" w:pos="709"/>
          <w:tab w:val="num" w:pos="567"/>
        </w:tabs>
        <w:ind w:left="567"/>
        <w:rPr>
          <w:lang w:val="en-GB"/>
        </w:rPr>
      </w:pPr>
      <w:r>
        <w:rPr>
          <w:lang w:val="en-GB"/>
        </w:rPr>
        <w:t>b</w:t>
      </w:r>
      <w:r w:rsidR="007B6357" w:rsidRPr="00342F7C">
        <w:rPr>
          <w:lang w:val="en-GB"/>
        </w:rPr>
        <w:t xml:space="preserve">reakdown of muscle </w:t>
      </w:r>
      <w:r w:rsidR="00CA009F" w:rsidRPr="00342F7C">
        <w:rPr>
          <w:lang w:val="en-GB"/>
        </w:rPr>
        <w:t>fibres</w:t>
      </w:r>
      <w:r w:rsidR="007B6357" w:rsidRPr="00342F7C">
        <w:rPr>
          <w:lang w:val="en-GB"/>
        </w:rPr>
        <w:t xml:space="preserve"> resulting in the release of muscle </w:t>
      </w:r>
      <w:r w:rsidR="00CA009F" w:rsidRPr="00342F7C">
        <w:rPr>
          <w:lang w:val="en-GB"/>
        </w:rPr>
        <w:t>fibre</w:t>
      </w:r>
      <w:r w:rsidR="007B6357" w:rsidRPr="00342F7C">
        <w:rPr>
          <w:lang w:val="en-GB"/>
        </w:rPr>
        <w:t xml:space="preserve"> contents (myoglobin) into the bloodstream;</w:t>
      </w:r>
    </w:p>
    <w:p w14:paraId="36D45CB8" w14:textId="77777777" w:rsidR="007B6357" w:rsidRPr="00342F7C" w:rsidRDefault="00FA50C5" w:rsidP="008E0314">
      <w:pPr>
        <w:pStyle w:val="EMEABullet"/>
        <w:tabs>
          <w:tab w:val="clear" w:pos="709"/>
          <w:tab w:val="num" w:pos="567"/>
        </w:tabs>
        <w:ind w:left="567"/>
        <w:rPr>
          <w:lang w:val="en-GB"/>
        </w:rPr>
      </w:pPr>
      <w:r>
        <w:rPr>
          <w:lang w:val="en-GB"/>
        </w:rPr>
        <w:t>a</w:t>
      </w:r>
      <w:r w:rsidR="007B6357" w:rsidRPr="00342F7C">
        <w:rPr>
          <w:lang w:val="en-GB"/>
        </w:rPr>
        <w:t xml:space="preserve"> sound in one ear or both ears, such as buzzing, ringing or whistling;</w:t>
      </w:r>
    </w:p>
    <w:p w14:paraId="0BF5CE92" w14:textId="77777777" w:rsidR="007B6357" w:rsidRPr="00342F7C" w:rsidRDefault="00FA50C5" w:rsidP="008E0314">
      <w:pPr>
        <w:pStyle w:val="EMEABullet"/>
        <w:tabs>
          <w:tab w:val="clear" w:pos="709"/>
          <w:tab w:val="num" w:pos="567"/>
        </w:tabs>
        <w:ind w:left="567"/>
        <w:rPr>
          <w:lang w:val="en-GB"/>
        </w:rPr>
      </w:pPr>
      <w:r>
        <w:rPr>
          <w:lang w:val="en-GB"/>
        </w:rPr>
        <w:t>t</w:t>
      </w:r>
      <w:r w:rsidR="007B6357" w:rsidRPr="00342F7C">
        <w:rPr>
          <w:lang w:val="en-GB"/>
        </w:rPr>
        <w:t>remor;</w:t>
      </w:r>
    </w:p>
    <w:p w14:paraId="700274B4" w14:textId="77777777" w:rsidR="007B6357" w:rsidRPr="00342F7C" w:rsidRDefault="00FA50C5" w:rsidP="008E0314">
      <w:pPr>
        <w:pStyle w:val="EMEABullet"/>
        <w:tabs>
          <w:tab w:val="clear" w:pos="709"/>
          <w:tab w:val="num" w:pos="567"/>
        </w:tabs>
        <w:ind w:left="567"/>
        <w:rPr>
          <w:lang w:val="en-GB"/>
        </w:rPr>
      </w:pPr>
      <w:r>
        <w:rPr>
          <w:lang w:val="en-GB"/>
        </w:rPr>
        <w:t>a</w:t>
      </w:r>
      <w:r w:rsidR="007B6357" w:rsidRPr="00342F7C">
        <w:rPr>
          <w:lang w:val="en-GB"/>
        </w:rPr>
        <w:t>bnormal closure of one of the valves (tricuspid valve in your heart);</w:t>
      </w:r>
    </w:p>
    <w:p w14:paraId="29440A0A" w14:textId="77777777" w:rsidR="007B6357" w:rsidRPr="00342F7C" w:rsidRDefault="00FA50C5" w:rsidP="008E0314">
      <w:pPr>
        <w:pStyle w:val="EMEABullet"/>
        <w:tabs>
          <w:tab w:val="clear" w:pos="709"/>
          <w:tab w:val="num" w:pos="567"/>
        </w:tabs>
        <w:ind w:left="567"/>
        <w:rPr>
          <w:lang w:val="en-GB"/>
        </w:rPr>
      </w:pPr>
      <w:r>
        <w:rPr>
          <w:lang w:val="en-GB"/>
        </w:rPr>
        <w:t>v</w:t>
      </w:r>
      <w:r w:rsidR="007B6357" w:rsidRPr="00342F7C">
        <w:rPr>
          <w:lang w:val="en-GB"/>
        </w:rPr>
        <w:t>ertigo (spinning feeling);</w:t>
      </w:r>
    </w:p>
    <w:p w14:paraId="3241E3CC" w14:textId="77777777" w:rsidR="007B6357" w:rsidRPr="00342F7C" w:rsidRDefault="00FA50C5" w:rsidP="008E0314">
      <w:pPr>
        <w:pStyle w:val="EMEABullet"/>
        <w:tabs>
          <w:tab w:val="clear" w:pos="709"/>
          <w:tab w:val="num" w:pos="567"/>
        </w:tabs>
        <w:ind w:left="567"/>
        <w:rPr>
          <w:lang w:val="en-GB"/>
        </w:rPr>
      </w:pPr>
      <w:r>
        <w:rPr>
          <w:lang w:val="en-GB"/>
        </w:rPr>
        <w:t>e</w:t>
      </w:r>
      <w:r w:rsidR="007B6357" w:rsidRPr="00342F7C">
        <w:rPr>
          <w:lang w:val="en-GB"/>
        </w:rPr>
        <w:t>ye disorder, abnormal vision;</w:t>
      </w:r>
    </w:p>
    <w:p w14:paraId="24CCCB7F" w14:textId="77777777" w:rsidR="00B34893" w:rsidRPr="00342F7C" w:rsidRDefault="00FA50C5" w:rsidP="008E0314">
      <w:pPr>
        <w:pStyle w:val="EMEABullet"/>
        <w:tabs>
          <w:tab w:val="clear" w:pos="709"/>
          <w:tab w:val="num" w:pos="567"/>
        </w:tabs>
        <w:ind w:left="567"/>
        <w:rPr>
          <w:lang w:val="en-GB"/>
        </w:rPr>
      </w:pPr>
      <w:r>
        <w:rPr>
          <w:lang w:val="en-GB"/>
        </w:rPr>
        <w:t>w</w:t>
      </w:r>
      <w:r w:rsidR="007B6357" w:rsidRPr="00342F7C">
        <w:rPr>
          <w:lang w:val="en-GB"/>
        </w:rPr>
        <w:t>eight gain.</w:t>
      </w:r>
    </w:p>
    <w:p w14:paraId="5FA79E6D" w14:textId="77777777" w:rsidR="00B34893" w:rsidRPr="00342F7C" w:rsidRDefault="00B34893">
      <w:pPr>
        <w:pStyle w:val="EMEABullet"/>
        <w:numPr>
          <w:ilvl w:val="0"/>
          <w:numId w:val="0"/>
        </w:numPr>
        <w:rPr>
          <w:lang w:val="en-GB"/>
        </w:rPr>
      </w:pPr>
    </w:p>
    <w:p w14:paraId="3C75ACE4" w14:textId="77777777" w:rsidR="003C1501" w:rsidRDefault="00514145" w:rsidP="007F6003">
      <w:pPr>
        <w:pStyle w:val="EMEANormal"/>
        <w:rPr>
          <w:lang w:val="en-GB" w:eastAsia="en-GB"/>
        </w:rPr>
      </w:pPr>
      <w:r w:rsidRPr="00514145">
        <w:rPr>
          <w:b/>
          <w:bCs/>
          <w:lang w:val="en-GB" w:eastAsia="en-GB"/>
        </w:rPr>
        <w:t>Rare</w:t>
      </w:r>
      <w:r>
        <w:rPr>
          <w:lang w:val="en-GB" w:eastAsia="en-GB"/>
        </w:rPr>
        <w:t>: may affect up to 1 in 1,000 people</w:t>
      </w:r>
    </w:p>
    <w:p w14:paraId="097672E2" w14:textId="77777777" w:rsidR="00DD620C" w:rsidRPr="00342F7C" w:rsidRDefault="00DD620C" w:rsidP="0052761E">
      <w:pPr>
        <w:pStyle w:val="EMEANormal"/>
        <w:numPr>
          <w:ilvl w:val="0"/>
          <w:numId w:val="54"/>
        </w:numPr>
        <w:ind w:left="567" w:hanging="567"/>
        <w:rPr>
          <w:lang w:val="en-GB" w:eastAsia="en-GB"/>
        </w:rPr>
      </w:pPr>
      <w:r w:rsidRPr="00342F7C">
        <w:rPr>
          <w:lang w:val="en-GB" w:eastAsia="en-GB"/>
        </w:rPr>
        <w:t>severe or life</w:t>
      </w:r>
      <w:r w:rsidR="00514145">
        <w:rPr>
          <w:lang w:val="en-GB" w:eastAsia="en-GB"/>
        </w:rPr>
        <w:noBreakHyphen/>
      </w:r>
      <w:r w:rsidRPr="00342F7C">
        <w:rPr>
          <w:lang w:val="en-GB" w:eastAsia="en-GB"/>
        </w:rPr>
        <w:t>threatening skin rashes and blisters (Stevens-Johnson synd</w:t>
      </w:r>
      <w:r w:rsidR="00D36207">
        <w:rPr>
          <w:lang w:val="en-GB" w:eastAsia="en-GB"/>
        </w:rPr>
        <w:t>rome and erythema multiforme).</w:t>
      </w:r>
    </w:p>
    <w:p w14:paraId="20220997" w14:textId="77777777" w:rsidR="00DD620C" w:rsidRPr="005A7D58" w:rsidRDefault="00DD620C">
      <w:pPr>
        <w:pStyle w:val="EMEANormal"/>
        <w:rPr>
          <w:szCs w:val="22"/>
          <w:lang w:val="en-GB"/>
        </w:rPr>
      </w:pPr>
    </w:p>
    <w:p w14:paraId="54D6B641" w14:textId="77777777" w:rsidR="002B6A81" w:rsidRPr="005A7D58" w:rsidRDefault="002B6A81" w:rsidP="002B6A81">
      <w:pPr>
        <w:tabs>
          <w:tab w:val="left" w:pos="567"/>
        </w:tabs>
        <w:rPr>
          <w:color w:val="000000"/>
          <w:sz w:val="22"/>
          <w:szCs w:val="22"/>
        </w:rPr>
      </w:pPr>
      <w:r w:rsidRPr="005A7D58">
        <w:rPr>
          <w:b/>
          <w:bCs/>
          <w:sz w:val="22"/>
          <w:szCs w:val="22"/>
        </w:rPr>
        <w:t xml:space="preserve">Not known: </w:t>
      </w:r>
      <w:r w:rsidRPr="005A7D58">
        <w:rPr>
          <w:sz w:val="22"/>
          <w:szCs w:val="22"/>
        </w:rPr>
        <w:t>frequency</w:t>
      </w:r>
      <w:r w:rsidRPr="005A7D58">
        <w:rPr>
          <w:b/>
          <w:bCs/>
          <w:sz w:val="22"/>
          <w:szCs w:val="22"/>
        </w:rPr>
        <w:t xml:space="preserve"> </w:t>
      </w:r>
      <w:r w:rsidRPr="005A7D58">
        <w:rPr>
          <w:color w:val="000000"/>
          <w:sz w:val="22"/>
          <w:szCs w:val="22"/>
        </w:rPr>
        <w:t>cannot be estimated from the available data</w:t>
      </w:r>
    </w:p>
    <w:p w14:paraId="4C1AB1A1" w14:textId="77777777" w:rsidR="002B6A81" w:rsidRPr="005A7D58" w:rsidRDefault="002B6A81" w:rsidP="002B6A81">
      <w:pPr>
        <w:pStyle w:val="EMEABullet"/>
        <w:tabs>
          <w:tab w:val="clear" w:pos="709"/>
          <w:tab w:val="num" w:pos="567"/>
        </w:tabs>
        <w:ind w:left="567"/>
        <w:rPr>
          <w:szCs w:val="22"/>
          <w:lang w:val="en-GB"/>
        </w:rPr>
      </w:pPr>
      <w:r w:rsidRPr="005A7D58">
        <w:rPr>
          <w:szCs w:val="22"/>
          <w:lang w:val="en-GB"/>
        </w:rPr>
        <w:t>kidney stones.</w:t>
      </w:r>
    </w:p>
    <w:p w14:paraId="371D5B69" w14:textId="77777777" w:rsidR="002B6A81" w:rsidRPr="00342F7C" w:rsidRDefault="002B6A81">
      <w:pPr>
        <w:pStyle w:val="EMEANormal"/>
        <w:rPr>
          <w:lang w:val="en-GB"/>
        </w:rPr>
      </w:pPr>
    </w:p>
    <w:p w14:paraId="7C489086" w14:textId="77777777" w:rsidR="00277ECB" w:rsidRDefault="00277ECB">
      <w:pPr>
        <w:pStyle w:val="EMEANormal"/>
        <w:rPr>
          <w:lang w:val="en-GB"/>
        </w:rPr>
      </w:pPr>
      <w:r w:rsidRPr="00342F7C">
        <w:rPr>
          <w:lang w:val="en-GB"/>
        </w:rPr>
        <w:t>If any of the side effects gets serious, or if you notice any side effects not listed in this leaflet, please inform your doctor or pharmacist.</w:t>
      </w:r>
    </w:p>
    <w:p w14:paraId="06DD6C87" w14:textId="77777777" w:rsidR="00754FAA" w:rsidRDefault="00754FAA">
      <w:pPr>
        <w:pStyle w:val="EMEANormal"/>
        <w:rPr>
          <w:lang w:val="en-GB"/>
        </w:rPr>
      </w:pPr>
    </w:p>
    <w:p w14:paraId="779936A7" w14:textId="77777777" w:rsidR="00754FAA" w:rsidRPr="0017061C" w:rsidRDefault="00754FAA" w:rsidP="00754FAA">
      <w:pPr>
        <w:pStyle w:val="EMEANormal"/>
        <w:rPr>
          <w:b/>
          <w:lang w:val="en-GB"/>
        </w:rPr>
      </w:pPr>
      <w:r w:rsidRPr="0017061C">
        <w:rPr>
          <w:b/>
          <w:lang w:val="en-GB"/>
        </w:rPr>
        <w:t>Reporting of side effects</w:t>
      </w:r>
    </w:p>
    <w:p w14:paraId="4BD2AD09" w14:textId="77777777" w:rsidR="00754FAA" w:rsidRDefault="00754FAA" w:rsidP="00754FAA">
      <w:pPr>
        <w:pStyle w:val="EMEANormal"/>
        <w:rPr>
          <w:b/>
          <w:u w:val="single"/>
          <w:lang w:val="en-GB"/>
        </w:rPr>
      </w:pPr>
    </w:p>
    <w:p w14:paraId="6C452296" w14:textId="77777777" w:rsidR="00754FAA" w:rsidRDefault="00754FAA" w:rsidP="00754FAA">
      <w:pPr>
        <w:pStyle w:val="EMEANormal"/>
        <w:rPr>
          <w:lang w:val="en-GB"/>
        </w:rPr>
      </w:pPr>
      <w:r>
        <w:rPr>
          <w:lang w:val="en-GB"/>
        </w:rPr>
        <w:t xml:space="preserve">If you get any side effects, talk to your doctor or pharmacist.  This includes any possible side effects not listed in this leaflet.  You can also report side effects directly via </w:t>
      </w:r>
      <w:r w:rsidRPr="00E4158F">
        <w:rPr>
          <w:highlight w:val="lightGray"/>
          <w:lang w:val="en-GB"/>
        </w:rPr>
        <w:t xml:space="preserve">the national reporting system listed in </w:t>
      </w:r>
      <w:hyperlink r:id="rId28" w:history="1">
        <w:r w:rsidRPr="00AC0B47">
          <w:rPr>
            <w:rStyle w:val="Hyperlink"/>
            <w:highlight w:val="lightGray"/>
            <w:lang w:val="en-GB"/>
          </w:rPr>
          <w:t>Appendix V</w:t>
        </w:r>
      </w:hyperlink>
      <w:r>
        <w:rPr>
          <w:lang w:val="en-GB"/>
        </w:rPr>
        <w:t>.  By reporting side effects you can help provide more information on the safety of this medicine.</w:t>
      </w:r>
    </w:p>
    <w:p w14:paraId="334CB90C" w14:textId="77777777" w:rsidR="00A30306" w:rsidRDefault="00A30306" w:rsidP="00754FAA">
      <w:pPr>
        <w:pStyle w:val="EMEANormal"/>
        <w:rPr>
          <w:lang w:val="en-GB"/>
        </w:rPr>
      </w:pPr>
    </w:p>
    <w:p w14:paraId="2163D236" w14:textId="77777777" w:rsidR="00A30306" w:rsidRPr="00342F7C" w:rsidRDefault="00A30306" w:rsidP="00754FAA">
      <w:pPr>
        <w:pStyle w:val="EMEANormal"/>
        <w:rPr>
          <w:lang w:val="en-GB"/>
        </w:rPr>
      </w:pPr>
    </w:p>
    <w:p w14:paraId="0D8414B9" w14:textId="77777777" w:rsidR="00A30306" w:rsidRDefault="00277ECB" w:rsidP="00DF668A">
      <w:pPr>
        <w:keepNext/>
        <w:rPr>
          <w:b/>
          <w:sz w:val="22"/>
          <w:szCs w:val="22"/>
        </w:rPr>
      </w:pPr>
      <w:r w:rsidRPr="00282043">
        <w:rPr>
          <w:b/>
          <w:sz w:val="22"/>
          <w:szCs w:val="22"/>
        </w:rPr>
        <w:t>5.</w:t>
      </w:r>
      <w:r w:rsidRPr="00282043">
        <w:rPr>
          <w:b/>
          <w:sz w:val="22"/>
          <w:szCs w:val="22"/>
        </w:rPr>
        <w:tab/>
        <w:t>H</w:t>
      </w:r>
      <w:r w:rsidR="00A30306" w:rsidRPr="00282043">
        <w:rPr>
          <w:b/>
          <w:sz w:val="22"/>
          <w:szCs w:val="22"/>
        </w:rPr>
        <w:t>ow to store Kaletra</w:t>
      </w:r>
    </w:p>
    <w:p w14:paraId="1F1BAC0A" w14:textId="77777777" w:rsidR="001C55CF" w:rsidRPr="00282043" w:rsidRDefault="001C55CF" w:rsidP="00DF668A">
      <w:pPr>
        <w:keepNext/>
        <w:rPr>
          <w:b/>
          <w:sz w:val="22"/>
          <w:szCs w:val="22"/>
        </w:rPr>
      </w:pPr>
    </w:p>
    <w:p w14:paraId="03A3C345" w14:textId="77777777" w:rsidR="00277ECB" w:rsidRPr="00342F7C" w:rsidRDefault="00277ECB" w:rsidP="00DF668A">
      <w:pPr>
        <w:pStyle w:val="EMEABullet"/>
        <w:keepNext/>
        <w:tabs>
          <w:tab w:val="clear" w:pos="709"/>
          <w:tab w:val="num" w:pos="567"/>
        </w:tabs>
        <w:ind w:left="567"/>
        <w:rPr>
          <w:lang w:val="en-GB"/>
        </w:rPr>
      </w:pPr>
      <w:r w:rsidRPr="00342F7C">
        <w:rPr>
          <w:lang w:val="en-GB"/>
        </w:rPr>
        <w:t xml:space="preserve">Keep </w:t>
      </w:r>
      <w:r w:rsidR="00754FAA">
        <w:rPr>
          <w:lang w:val="en-GB"/>
        </w:rPr>
        <w:t xml:space="preserve">this medicine </w:t>
      </w:r>
      <w:r w:rsidRPr="00342F7C">
        <w:rPr>
          <w:lang w:val="en-GB"/>
        </w:rPr>
        <w:t xml:space="preserve">out of the sight </w:t>
      </w:r>
      <w:r w:rsidR="009D5D2E">
        <w:rPr>
          <w:lang w:val="en-GB"/>
        </w:rPr>
        <w:t xml:space="preserve">and reach </w:t>
      </w:r>
      <w:r w:rsidRPr="00342F7C">
        <w:rPr>
          <w:lang w:val="en-GB"/>
        </w:rPr>
        <w:t>of children.</w:t>
      </w:r>
    </w:p>
    <w:p w14:paraId="3C86D40E" w14:textId="77777777" w:rsidR="00277ECB" w:rsidRPr="00342F7C" w:rsidRDefault="00277ECB" w:rsidP="00DF668A">
      <w:pPr>
        <w:pStyle w:val="EMEABullet"/>
        <w:keepNext/>
        <w:tabs>
          <w:tab w:val="clear" w:pos="709"/>
          <w:tab w:val="num" w:pos="567"/>
        </w:tabs>
        <w:ind w:left="567"/>
        <w:rPr>
          <w:lang w:val="en-GB"/>
        </w:rPr>
      </w:pPr>
      <w:r w:rsidRPr="00342F7C">
        <w:rPr>
          <w:lang w:val="en-GB"/>
        </w:rPr>
        <w:t>Do not use Kaletra after the expiry date which is stated on the pack.</w:t>
      </w:r>
    </w:p>
    <w:p w14:paraId="1B81FA73" w14:textId="77777777" w:rsidR="00277ECB" w:rsidRPr="00342F7C" w:rsidRDefault="00277ECB" w:rsidP="00DF668A">
      <w:pPr>
        <w:pStyle w:val="EMEABullet"/>
        <w:keepNext/>
        <w:tabs>
          <w:tab w:val="clear" w:pos="709"/>
          <w:tab w:val="num" w:pos="567"/>
        </w:tabs>
        <w:ind w:left="567"/>
        <w:rPr>
          <w:lang w:val="en-GB"/>
        </w:rPr>
      </w:pPr>
      <w:r w:rsidRPr="00342F7C">
        <w:rPr>
          <w:lang w:val="en-GB"/>
        </w:rPr>
        <w:t>This medicinal product does not require any special storage conditions.</w:t>
      </w:r>
      <w:r w:rsidRPr="00342F7C">
        <w:rPr>
          <w:b/>
          <w:bCs/>
          <w:lang w:val="en-GB"/>
        </w:rPr>
        <w:t xml:space="preserve"> </w:t>
      </w:r>
    </w:p>
    <w:p w14:paraId="6471CDB0" w14:textId="77777777" w:rsidR="00C54AD4" w:rsidRDefault="00C54AD4" w:rsidP="00EA4611">
      <w:pPr>
        <w:pStyle w:val="EMEABullet"/>
        <w:keepNext/>
        <w:tabs>
          <w:tab w:val="clear" w:pos="709"/>
          <w:tab w:val="num" w:pos="567"/>
        </w:tabs>
        <w:ind w:left="567"/>
        <w:rPr>
          <w:lang w:val="en-GB"/>
        </w:rPr>
      </w:pPr>
      <w:r>
        <w:rPr>
          <w:lang w:val="en-GB"/>
        </w:rPr>
        <w:t xml:space="preserve">Do not use this medicine if you notice any </w:t>
      </w:r>
      <w:r w:rsidR="00185668">
        <w:rPr>
          <w:lang w:val="en-GB"/>
        </w:rPr>
        <w:t>discolouration</w:t>
      </w:r>
      <w:r>
        <w:rPr>
          <w:lang w:val="en-GB"/>
        </w:rPr>
        <w:t>.</w:t>
      </w:r>
    </w:p>
    <w:p w14:paraId="7CECD6D0" w14:textId="77777777" w:rsidR="00C54AD4" w:rsidRPr="00342F7C" w:rsidRDefault="00C54AD4">
      <w:pPr>
        <w:pStyle w:val="EMEANormal"/>
        <w:rPr>
          <w:b/>
          <w:bCs/>
          <w:lang w:val="en-GB"/>
        </w:rPr>
      </w:pPr>
    </w:p>
    <w:p w14:paraId="24F9EFC3" w14:textId="77777777" w:rsidR="00277ECB" w:rsidRPr="00342F7C" w:rsidRDefault="00277ECB">
      <w:pPr>
        <w:pStyle w:val="EMEANormal"/>
        <w:rPr>
          <w:b/>
          <w:bCs/>
          <w:lang w:val="en-GB"/>
        </w:rPr>
      </w:pPr>
      <w:r w:rsidRPr="00342F7C">
        <w:rPr>
          <w:b/>
          <w:bCs/>
          <w:lang w:val="en-GB"/>
        </w:rPr>
        <w:t>How should I dispose of any unused Kaletra?</w:t>
      </w:r>
    </w:p>
    <w:p w14:paraId="236FCB9B" w14:textId="77777777" w:rsidR="00277ECB" w:rsidRPr="00342F7C" w:rsidRDefault="00277ECB">
      <w:pPr>
        <w:pStyle w:val="EMEANormal"/>
        <w:rPr>
          <w:b/>
          <w:bCs/>
          <w:lang w:val="en-GB"/>
        </w:rPr>
      </w:pPr>
    </w:p>
    <w:p w14:paraId="12E2C2E4" w14:textId="77777777" w:rsidR="00277ECB" w:rsidRDefault="00811230" w:rsidP="0017061C">
      <w:pPr>
        <w:pStyle w:val="EMEABullet"/>
        <w:numPr>
          <w:ilvl w:val="0"/>
          <w:numId w:val="0"/>
        </w:numPr>
        <w:rPr>
          <w:lang w:val="en-GB"/>
        </w:rPr>
      </w:pPr>
      <w:r>
        <w:rPr>
          <w:lang w:val="en-GB"/>
        </w:rPr>
        <w:t>Do not throw away any medicines</w:t>
      </w:r>
      <w:r w:rsidR="00277ECB" w:rsidRPr="00342F7C">
        <w:rPr>
          <w:lang w:val="en-GB"/>
        </w:rPr>
        <w:t xml:space="preserve"> via wastewater.  Ask your pharmacist how to </w:t>
      </w:r>
      <w:r>
        <w:rPr>
          <w:lang w:val="en-GB"/>
        </w:rPr>
        <w:t>throw away</w:t>
      </w:r>
      <w:r w:rsidR="00277ECB" w:rsidRPr="00342F7C">
        <w:rPr>
          <w:lang w:val="en-GB"/>
        </w:rPr>
        <w:t xml:space="preserve"> medicines </w:t>
      </w:r>
      <w:r>
        <w:rPr>
          <w:lang w:val="en-GB"/>
        </w:rPr>
        <w:t xml:space="preserve">you </w:t>
      </w:r>
      <w:r w:rsidR="00277ECB" w:rsidRPr="00342F7C">
        <w:rPr>
          <w:lang w:val="en-GB"/>
        </w:rPr>
        <w:t xml:space="preserve">no longer </w:t>
      </w:r>
      <w:r>
        <w:rPr>
          <w:lang w:val="en-GB"/>
        </w:rPr>
        <w:t>use</w:t>
      </w:r>
      <w:r w:rsidR="00277ECB" w:rsidRPr="00342F7C">
        <w:rPr>
          <w:lang w:val="en-GB"/>
        </w:rPr>
        <w:t>.</w:t>
      </w:r>
      <w:r>
        <w:rPr>
          <w:lang w:val="en-GB"/>
        </w:rPr>
        <w:t xml:space="preserve"> </w:t>
      </w:r>
      <w:r w:rsidR="00277ECB" w:rsidRPr="00342F7C">
        <w:rPr>
          <w:lang w:val="en-GB"/>
        </w:rPr>
        <w:t>These measures will help protect the environment.</w:t>
      </w:r>
    </w:p>
    <w:p w14:paraId="205B668B" w14:textId="77777777" w:rsidR="00A30306" w:rsidRDefault="00A30306">
      <w:pPr>
        <w:pStyle w:val="EMEANormal"/>
        <w:rPr>
          <w:lang w:val="en-GB"/>
        </w:rPr>
      </w:pPr>
    </w:p>
    <w:p w14:paraId="6D79A16F" w14:textId="77777777" w:rsidR="00A30306" w:rsidRPr="00342F7C" w:rsidRDefault="00A30306">
      <w:pPr>
        <w:pStyle w:val="EMEANormal"/>
        <w:rPr>
          <w:lang w:val="en-GB"/>
        </w:rPr>
      </w:pPr>
    </w:p>
    <w:p w14:paraId="6E330F57" w14:textId="77777777" w:rsidR="00A30306" w:rsidRPr="00282043" w:rsidRDefault="00277ECB" w:rsidP="00A30306">
      <w:pPr>
        <w:rPr>
          <w:b/>
          <w:sz w:val="22"/>
          <w:szCs w:val="22"/>
        </w:rPr>
      </w:pPr>
      <w:r w:rsidRPr="00282043">
        <w:rPr>
          <w:b/>
          <w:sz w:val="22"/>
          <w:szCs w:val="22"/>
        </w:rPr>
        <w:t>6.</w:t>
      </w:r>
      <w:r w:rsidRPr="00282043">
        <w:rPr>
          <w:b/>
          <w:sz w:val="22"/>
          <w:szCs w:val="22"/>
        </w:rPr>
        <w:tab/>
      </w:r>
      <w:r w:rsidR="00A30306" w:rsidRPr="00282043">
        <w:rPr>
          <w:b/>
          <w:sz w:val="22"/>
          <w:szCs w:val="22"/>
        </w:rPr>
        <w:t>Contents of the pack and other information</w:t>
      </w:r>
    </w:p>
    <w:p w14:paraId="37E06BBA" w14:textId="77777777" w:rsidR="00F803D8" w:rsidRDefault="00F803D8">
      <w:pPr>
        <w:pStyle w:val="EMEANormal"/>
        <w:rPr>
          <w:b/>
          <w:bCs/>
          <w:lang w:val="en-GB"/>
        </w:rPr>
      </w:pPr>
    </w:p>
    <w:p w14:paraId="3791806F" w14:textId="77777777" w:rsidR="00277ECB" w:rsidRPr="00342F7C" w:rsidRDefault="00277ECB">
      <w:pPr>
        <w:pStyle w:val="EMEANormal"/>
        <w:rPr>
          <w:b/>
          <w:bCs/>
          <w:lang w:val="en-GB"/>
        </w:rPr>
      </w:pPr>
      <w:r w:rsidRPr="00342F7C">
        <w:rPr>
          <w:b/>
          <w:bCs/>
          <w:lang w:val="en-GB"/>
        </w:rPr>
        <w:t>What Kaletra contains</w:t>
      </w:r>
    </w:p>
    <w:p w14:paraId="63F8EF33" w14:textId="77777777" w:rsidR="00277ECB" w:rsidRPr="00342F7C" w:rsidRDefault="00277ECB">
      <w:pPr>
        <w:pStyle w:val="EMEANormal"/>
        <w:rPr>
          <w:b/>
          <w:bCs/>
          <w:lang w:val="en-GB"/>
        </w:rPr>
      </w:pPr>
    </w:p>
    <w:p w14:paraId="5FFD5F4D" w14:textId="77777777" w:rsidR="00277ECB" w:rsidRPr="00342F7C" w:rsidRDefault="00277ECB">
      <w:pPr>
        <w:pStyle w:val="EMEANormal"/>
        <w:rPr>
          <w:lang w:val="en-GB"/>
        </w:rPr>
      </w:pPr>
      <w:r w:rsidRPr="00342F7C">
        <w:rPr>
          <w:lang w:val="en-GB"/>
        </w:rPr>
        <w:t>The active substances are lopinavir and ritonavir.</w:t>
      </w:r>
    </w:p>
    <w:p w14:paraId="163DFCC5" w14:textId="77777777" w:rsidR="00277ECB" w:rsidRPr="00342F7C" w:rsidRDefault="00277ECB">
      <w:pPr>
        <w:pStyle w:val="EMEANormal"/>
        <w:rPr>
          <w:lang w:val="en-GB"/>
        </w:rPr>
      </w:pPr>
      <w:r w:rsidRPr="00342F7C">
        <w:rPr>
          <w:lang w:val="en-GB"/>
        </w:rPr>
        <w:t>Each tablet of Kaletra contains 100 mg of lopinavir and 25 mg of ritonavir</w:t>
      </w:r>
    </w:p>
    <w:p w14:paraId="6316C557" w14:textId="77777777" w:rsidR="00277ECB" w:rsidRPr="00342F7C" w:rsidRDefault="00277ECB">
      <w:pPr>
        <w:pStyle w:val="EMEANormal"/>
        <w:rPr>
          <w:lang w:val="en-GB"/>
        </w:rPr>
      </w:pPr>
    </w:p>
    <w:p w14:paraId="7B9D8826" w14:textId="77777777" w:rsidR="00277ECB" w:rsidRPr="00342F7C" w:rsidRDefault="00277ECB">
      <w:pPr>
        <w:pStyle w:val="EMEANormal"/>
        <w:rPr>
          <w:lang w:val="en-GB"/>
        </w:rPr>
      </w:pPr>
      <w:r w:rsidRPr="00342F7C">
        <w:rPr>
          <w:lang w:val="en-GB"/>
        </w:rPr>
        <w:t xml:space="preserve">The other ingredients are: </w:t>
      </w:r>
    </w:p>
    <w:p w14:paraId="657D0912" w14:textId="77777777" w:rsidR="00277ECB" w:rsidRPr="00342F7C" w:rsidRDefault="00277ECB">
      <w:pPr>
        <w:pStyle w:val="EMEANormal"/>
        <w:rPr>
          <w:lang w:val="en-GB"/>
        </w:rPr>
      </w:pPr>
    </w:p>
    <w:p w14:paraId="08D1EDB4" w14:textId="77777777" w:rsidR="00277ECB" w:rsidRPr="00342F7C" w:rsidRDefault="00277ECB">
      <w:pPr>
        <w:pStyle w:val="EMEANormal"/>
        <w:rPr>
          <w:b/>
          <w:bCs/>
          <w:lang w:val="en-GB"/>
        </w:rPr>
      </w:pPr>
      <w:r w:rsidRPr="00342F7C">
        <w:rPr>
          <w:b/>
          <w:bCs/>
          <w:lang w:val="en-GB"/>
        </w:rPr>
        <w:t>Tablet</w:t>
      </w:r>
    </w:p>
    <w:p w14:paraId="7898D706" w14:textId="7F8F3244" w:rsidR="00277ECB" w:rsidRPr="00342F7C" w:rsidRDefault="00277ECB">
      <w:pPr>
        <w:pStyle w:val="EMEANormal"/>
        <w:rPr>
          <w:lang w:val="en-GB"/>
        </w:rPr>
      </w:pPr>
      <w:r w:rsidRPr="00342F7C">
        <w:rPr>
          <w:lang w:val="en-GB"/>
        </w:rPr>
        <w:t>Colloidal anhydrous silica, copovidone, sodium stearyl fumarate, sorbitan laurate</w:t>
      </w:r>
      <w:r w:rsidRPr="00342F7C">
        <w:rPr>
          <w:snapToGrid w:val="0"/>
          <w:lang w:val="en-GB"/>
        </w:rPr>
        <w:t xml:space="preserve">. </w:t>
      </w:r>
    </w:p>
    <w:p w14:paraId="1A7DE9B5" w14:textId="77777777" w:rsidR="00277ECB" w:rsidRPr="00342F7C" w:rsidRDefault="00277ECB">
      <w:pPr>
        <w:pStyle w:val="EMEANormal"/>
        <w:rPr>
          <w:b/>
          <w:bCs/>
          <w:snapToGrid w:val="0"/>
          <w:lang w:val="en-GB"/>
        </w:rPr>
      </w:pPr>
    </w:p>
    <w:p w14:paraId="6B7B8737" w14:textId="77777777" w:rsidR="00277ECB" w:rsidRPr="00342F7C" w:rsidRDefault="00277ECB">
      <w:pPr>
        <w:pStyle w:val="EMEANormal"/>
        <w:rPr>
          <w:snapToGrid w:val="0"/>
          <w:lang w:val="en-GB"/>
        </w:rPr>
      </w:pPr>
      <w:r w:rsidRPr="00342F7C">
        <w:rPr>
          <w:b/>
          <w:bCs/>
          <w:snapToGrid w:val="0"/>
          <w:lang w:val="en-GB"/>
        </w:rPr>
        <w:t>Tablet coating</w:t>
      </w:r>
    </w:p>
    <w:p w14:paraId="7CFF273D" w14:textId="1F7D93CA" w:rsidR="00277ECB" w:rsidRPr="00342F7C" w:rsidRDefault="00277ECB">
      <w:pPr>
        <w:pStyle w:val="EMEANormal"/>
        <w:rPr>
          <w:snapToGrid w:val="0"/>
          <w:lang w:val="en-GB"/>
        </w:rPr>
      </w:pPr>
      <w:r w:rsidRPr="00342F7C">
        <w:rPr>
          <w:snapToGrid w:val="0"/>
          <w:lang w:val="en-GB"/>
        </w:rPr>
        <w:t xml:space="preserve">Polyvinyl alcohol, talc, titanium dioxide, macrogols type 3350, </w:t>
      </w:r>
      <w:r w:rsidR="00F75737">
        <w:rPr>
          <w:snapToGrid w:val="0"/>
          <w:lang w:val="en-GB"/>
        </w:rPr>
        <w:t>r</w:t>
      </w:r>
      <w:r w:rsidR="00F75737" w:rsidRPr="00C15E8E">
        <w:rPr>
          <w:snapToGrid w:val="0"/>
          <w:lang w:val="en-GB"/>
        </w:rPr>
        <w:t xml:space="preserve">ed </w:t>
      </w:r>
      <w:r w:rsidR="00F75737">
        <w:rPr>
          <w:snapToGrid w:val="0"/>
          <w:lang w:val="en-GB"/>
        </w:rPr>
        <w:t xml:space="preserve">ferric </w:t>
      </w:r>
      <w:r w:rsidR="00F75737" w:rsidRPr="00C15E8E">
        <w:rPr>
          <w:snapToGrid w:val="0"/>
          <w:lang w:val="en-GB"/>
        </w:rPr>
        <w:t>oxide E172</w:t>
      </w:r>
      <w:r w:rsidRPr="00342F7C">
        <w:rPr>
          <w:snapToGrid w:val="0"/>
          <w:lang w:val="en-GB"/>
        </w:rPr>
        <w:t>.</w:t>
      </w:r>
    </w:p>
    <w:p w14:paraId="0EF235FB" w14:textId="77777777" w:rsidR="00D43809" w:rsidRPr="00342F7C" w:rsidRDefault="00D43809">
      <w:pPr>
        <w:pStyle w:val="EMEANormal"/>
        <w:tabs>
          <w:tab w:val="clear" w:pos="562"/>
        </w:tabs>
        <w:rPr>
          <w:snapToGrid w:val="0"/>
          <w:lang w:val="en-GB"/>
        </w:rPr>
      </w:pPr>
    </w:p>
    <w:p w14:paraId="55CA151F" w14:textId="77777777" w:rsidR="00277ECB" w:rsidRPr="00342F7C" w:rsidRDefault="00277ECB">
      <w:pPr>
        <w:pStyle w:val="EMEANormal"/>
        <w:tabs>
          <w:tab w:val="clear" w:pos="562"/>
        </w:tabs>
        <w:rPr>
          <w:b/>
          <w:bCs/>
          <w:snapToGrid w:val="0"/>
          <w:lang w:val="en-GB"/>
        </w:rPr>
      </w:pPr>
      <w:r w:rsidRPr="00342F7C">
        <w:rPr>
          <w:b/>
          <w:bCs/>
          <w:snapToGrid w:val="0"/>
          <w:lang w:val="en-GB"/>
        </w:rPr>
        <w:t>What Kaletra looks like and contents of the pack</w:t>
      </w:r>
    </w:p>
    <w:p w14:paraId="44992951" w14:textId="77777777" w:rsidR="00277ECB" w:rsidRPr="00342F7C" w:rsidRDefault="00277ECB">
      <w:pPr>
        <w:pStyle w:val="EMEANormal"/>
        <w:tabs>
          <w:tab w:val="clear" w:pos="562"/>
        </w:tabs>
        <w:rPr>
          <w:b/>
          <w:bCs/>
          <w:snapToGrid w:val="0"/>
          <w:lang w:val="en-GB"/>
        </w:rPr>
      </w:pPr>
    </w:p>
    <w:p w14:paraId="42D2E736" w14:textId="79514EB7" w:rsidR="00277ECB" w:rsidRPr="00342F7C" w:rsidRDefault="00277ECB" w:rsidP="006863EF">
      <w:pPr>
        <w:pStyle w:val="EMEABullet"/>
        <w:numPr>
          <w:ilvl w:val="0"/>
          <w:numId w:val="0"/>
        </w:numPr>
        <w:rPr>
          <w:lang w:val="en-GB"/>
        </w:rPr>
      </w:pPr>
      <w:r w:rsidRPr="00342F7C">
        <w:rPr>
          <w:lang w:val="en-GB"/>
        </w:rPr>
        <w:t xml:space="preserve">Kaletra film-coated tablets are pale </w:t>
      </w:r>
      <w:r w:rsidR="0064415F">
        <w:rPr>
          <w:lang w:val="en-GB"/>
        </w:rPr>
        <w:t xml:space="preserve">pink </w:t>
      </w:r>
      <w:r w:rsidRPr="00342F7C">
        <w:rPr>
          <w:lang w:val="en-GB"/>
        </w:rPr>
        <w:t>debossed with [Abbott logo] and “</w:t>
      </w:r>
      <w:r w:rsidR="0064415F">
        <w:rPr>
          <w:lang w:val="en-GB"/>
        </w:rPr>
        <w:t>AC</w:t>
      </w:r>
      <w:r w:rsidRPr="00342F7C">
        <w:rPr>
          <w:lang w:val="en-GB"/>
        </w:rPr>
        <w:t xml:space="preserve">”. </w:t>
      </w:r>
    </w:p>
    <w:p w14:paraId="2FFCD3D7" w14:textId="77777777" w:rsidR="006863EF" w:rsidRPr="00342F7C" w:rsidRDefault="006863EF" w:rsidP="006863EF">
      <w:pPr>
        <w:pStyle w:val="EMEABullet"/>
        <w:numPr>
          <w:ilvl w:val="0"/>
          <w:numId w:val="0"/>
        </w:numPr>
        <w:rPr>
          <w:lang w:val="en-GB"/>
        </w:rPr>
      </w:pPr>
    </w:p>
    <w:p w14:paraId="1157B50D" w14:textId="77777777" w:rsidR="00277ECB" w:rsidRPr="00342F7C" w:rsidRDefault="003F3D02" w:rsidP="006863EF">
      <w:pPr>
        <w:pStyle w:val="EMEABullet"/>
        <w:numPr>
          <w:ilvl w:val="0"/>
          <w:numId w:val="0"/>
        </w:numPr>
        <w:rPr>
          <w:lang w:val="en-GB"/>
        </w:rPr>
      </w:pPr>
      <w:r w:rsidRPr="00342F7C">
        <w:rPr>
          <w:lang w:val="en-GB"/>
        </w:rPr>
        <w:t>Kaletra 100 mg/25 </w:t>
      </w:r>
      <w:r w:rsidR="006863EF" w:rsidRPr="00342F7C">
        <w:rPr>
          <w:lang w:val="en-GB"/>
        </w:rPr>
        <w:t>mg film-coated tablets are suppl</w:t>
      </w:r>
      <w:r w:rsidR="00755871" w:rsidRPr="00342F7C">
        <w:rPr>
          <w:lang w:val="en-GB"/>
        </w:rPr>
        <w:t>i</w:t>
      </w:r>
      <w:r w:rsidR="006863EF" w:rsidRPr="00342F7C">
        <w:rPr>
          <w:lang w:val="en-GB"/>
        </w:rPr>
        <w:t xml:space="preserve">ed in plastic bottles </w:t>
      </w:r>
      <w:r w:rsidR="00754FAA">
        <w:rPr>
          <w:lang w:val="en-GB"/>
        </w:rPr>
        <w:t>containing</w:t>
      </w:r>
      <w:r w:rsidR="00754FAA" w:rsidRPr="00342F7C">
        <w:rPr>
          <w:lang w:val="en-GB"/>
        </w:rPr>
        <w:t xml:space="preserve"> </w:t>
      </w:r>
      <w:r w:rsidR="00277ECB" w:rsidRPr="00342F7C">
        <w:rPr>
          <w:lang w:val="en-GB"/>
        </w:rPr>
        <w:t xml:space="preserve">60 tablets.  </w:t>
      </w:r>
    </w:p>
    <w:p w14:paraId="6CC9744F" w14:textId="77777777" w:rsidR="002830A9" w:rsidRPr="00342F7C" w:rsidRDefault="002830A9" w:rsidP="003D773E">
      <w:pPr>
        <w:pStyle w:val="EMEAHeading2SPC"/>
        <w:tabs>
          <w:tab w:val="left" w:pos="4560"/>
        </w:tabs>
        <w:spacing w:beforeLines="0" w:before="0" w:afterLines="0" w:after="0"/>
        <w:rPr>
          <w:lang w:val="en-GB"/>
        </w:rPr>
      </w:pPr>
    </w:p>
    <w:p w14:paraId="077FEA92" w14:textId="77777777" w:rsidR="008E0314" w:rsidRDefault="00277ECB" w:rsidP="004B37FD">
      <w:pPr>
        <w:pStyle w:val="EMEAHeading2SPC"/>
        <w:tabs>
          <w:tab w:val="left" w:pos="4560"/>
        </w:tabs>
        <w:spacing w:beforeLines="0" w:before="0" w:afterLines="0" w:after="0"/>
        <w:rPr>
          <w:b w:val="0"/>
          <w:lang w:val="en-GB"/>
        </w:rPr>
      </w:pPr>
      <w:r w:rsidRPr="00342F7C">
        <w:rPr>
          <w:lang w:val="en-GB"/>
        </w:rPr>
        <w:t>Marketing Authorisation Holder</w:t>
      </w:r>
      <w:r w:rsidR="009A305D" w:rsidRPr="00342F7C">
        <w:rPr>
          <w:b w:val="0"/>
          <w:lang w:val="en-GB"/>
        </w:rPr>
        <w:t xml:space="preserve">: </w:t>
      </w:r>
      <w:r w:rsidR="00F423D9">
        <w:rPr>
          <w:b w:val="0"/>
          <w:lang w:val="en-GB"/>
        </w:rPr>
        <w:t xml:space="preserve"> </w:t>
      </w:r>
    </w:p>
    <w:p w14:paraId="51569DDB" w14:textId="77777777" w:rsidR="002830A9" w:rsidRPr="00A118F7" w:rsidRDefault="00A118F7" w:rsidP="004B37FD">
      <w:pPr>
        <w:pStyle w:val="EMEAHeading2SPC"/>
        <w:tabs>
          <w:tab w:val="left" w:pos="4560"/>
        </w:tabs>
        <w:spacing w:beforeLines="0" w:before="0" w:afterLines="0" w:after="0"/>
        <w:rPr>
          <w:rFonts w:ascii="Times New Roman" w:hAnsi="Times New Roman"/>
          <w:b w:val="0"/>
          <w:lang w:val="en-GB"/>
        </w:rPr>
      </w:pPr>
      <w:r w:rsidRPr="00A118F7">
        <w:rPr>
          <w:rFonts w:ascii="Times New Roman" w:hAnsi="Times New Roman"/>
          <w:b w:val="0"/>
          <w:szCs w:val="22"/>
          <w:lang w:eastAsia="en-GB"/>
        </w:rPr>
        <w:t>AbbVie Deutschland GmbH &amp; Co. KG, Knollstrasse, 67061 Ludwigshafen, Germany</w:t>
      </w:r>
    </w:p>
    <w:p w14:paraId="02F2CAF5" w14:textId="77777777" w:rsidR="00C97B15" w:rsidRPr="00342F7C" w:rsidRDefault="00C97B15" w:rsidP="00C97B15">
      <w:pPr>
        <w:pStyle w:val="EMEANormal"/>
        <w:rPr>
          <w:lang w:val="en-GB"/>
        </w:rPr>
      </w:pPr>
    </w:p>
    <w:p w14:paraId="3760B7CD" w14:textId="77777777" w:rsidR="00C97B15" w:rsidRPr="00342F7C" w:rsidRDefault="00C97B15" w:rsidP="00C97B15">
      <w:pPr>
        <w:pStyle w:val="EMEANormal"/>
        <w:tabs>
          <w:tab w:val="left" w:pos="1560"/>
          <w:tab w:val="left" w:pos="4560"/>
        </w:tabs>
        <w:rPr>
          <w:lang w:val="en-GB"/>
        </w:rPr>
      </w:pPr>
      <w:r w:rsidRPr="00342F7C">
        <w:rPr>
          <w:b/>
          <w:lang w:val="en-GB"/>
        </w:rPr>
        <w:t>Manufacturer</w:t>
      </w:r>
      <w:r w:rsidRPr="00342F7C">
        <w:rPr>
          <w:lang w:val="en-GB"/>
        </w:rPr>
        <w:t xml:space="preserve">: </w:t>
      </w:r>
      <w:r w:rsidRPr="00342F7C">
        <w:rPr>
          <w:lang w:val="en-GB"/>
        </w:rPr>
        <w:tab/>
      </w:r>
    </w:p>
    <w:p w14:paraId="1478000E" w14:textId="77777777" w:rsidR="00C97B15" w:rsidRPr="00342F7C" w:rsidRDefault="00C97B15" w:rsidP="00C97B15">
      <w:pPr>
        <w:tabs>
          <w:tab w:val="left" w:pos="1560"/>
        </w:tabs>
        <w:autoSpaceDE w:val="0"/>
        <w:autoSpaceDN w:val="0"/>
        <w:adjustRightInd w:val="0"/>
        <w:rPr>
          <w:sz w:val="22"/>
          <w:szCs w:val="22"/>
        </w:rPr>
      </w:pPr>
      <w:r w:rsidRPr="00342F7C">
        <w:rPr>
          <w:sz w:val="22"/>
          <w:szCs w:val="22"/>
          <w:lang w:eastAsia="en-GB"/>
        </w:rPr>
        <w:t>Abb</w:t>
      </w:r>
      <w:r w:rsidR="00CB3C33">
        <w:rPr>
          <w:sz w:val="22"/>
          <w:szCs w:val="22"/>
          <w:lang w:eastAsia="en-GB"/>
        </w:rPr>
        <w:t>Vie Deutschland</w:t>
      </w:r>
      <w:r w:rsidRPr="00342F7C">
        <w:rPr>
          <w:sz w:val="22"/>
          <w:szCs w:val="22"/>
          <w:lang w:eastAsia="en-GB"/>
        </w:rPr>
        <w:t xml:space="preserve"> GmbH &amp; Co. KG, Knollstrasse, 67061 </w:t>
      </w:r>
      <w:smartTag w:uri="urn:schemas-microsoft-com:office:smarttags" w:element="place">
        <w:smartTag w:uri="urn:schemas-microsoft-com:office:smarttags" w:element="City">
          <w:r w:rsidRPr="00342F7C">
            <w:rPr>
              <w:sz w:val="22"/>
              <w:szCs w:val="22"/>
              <w:lang w:eastAsia="en-GB"/>
            </w:rPr>
            <w:t>Ludwigshafen</w:t>
          </w:r>
        </w:smartTag>
        <w:r w:rsidRPr="00342F7C">
          <w:rPr>
            <w:sz w:val="22"/>
            <w:szCs w:val="22"/>
            <w:lang w:eastAsia="en-GB"/>
          </w:rPr>
          <w:t xml:space="preserve">, </w:t>
        </w:r>
        <w:smartTag w:uri="urn:schemas-microsoft-com:office:smarttags" w:element="country-region">
          <w:r w:rsidRPr="00342F7C">
            <w:rPr>
              <w:sz w:val="22"/>
              <w:szCs w:val="22"/>
              <w:lang w:eastAsia="en-GB"/>
            </w:rPr>
            <w:t>Germany</w:t>
          </w:r>
        </w:smartTag>
      </w:smartTag>
    </w:p>
    <w:p w14:paraId="5AA6D5A0" w14:textId="77777777" w:rsidR="00277ECB" w:rsidRPr="00342F7C" w:rsidRDefault="00277ECB">
      <w:pPr>
        <w:pStyle w:val="EMEANormal"/>
        <w:rPr>
          <w:lang w:val="en-GB"/>
        </w:rPr>
      </w:pPr>
    </w:p>
    <w:p w14:paraId="4D5E5256" w14:textId="77777777" w:rsidR="00277ECB" w:rsidRDefault="00277ECB">
      <w:pPr>
        <w:pStyle w:val="EMEANormal"/>
        <w:rPr>
          <w:lang w:val="en-GB"/>
        </w:rPr>
      </w:pPr>
      <w:r w:rsidRPr="00342F7C">
        <w:rPr>
          <w:lang w:val="en-GB"/>
        </w:rPr>
        <w:t>For any information about this medicine, please contact the local representative of the Marketing Authorisation Holder:</w:t>
      </w:r>
    </w:p>
    <w:p w14:paraId="368986B5" w14:textId="77777777" w:rsidR="00CB3C33" w:rsidRPr="00AA4AE8" w:rsidRDefault="00CB3C33"/>
    <w:tbl>
      <w:tblPr>
        <w:tblW w:w="9356" w:type="dxa"/>
        <w:tblInd w:w="-34" w:type="dxa"/>
        <w:tblLayout w:type="fixed"/>
        <w:tblLook w:val="0000" w:firstRow="0" w:lastRow="0" w:firstColumn="0" w:lastColumn="0" w:noHBand="0" w:noVBand="0"/>
      </w:tblPr>
      <w:tblGrid>
        <w:gridCol w:w="34"/>
        <w:gridCol w:w="4644"/>
        <w:gridCol w:w="4678"/>
      </w:tblGrid>
      <w:tr w:rsidR="00EF3A68" w:rsidRPr="00EF3A68" w14:paraId="4BFEF3A4" w14:textId="77777777" w:rsidTr="00AD6D66">
        <w:trPr>
          <w:gridBefore w:val="1"/>
          <w:wBefore w:w="34" w:type="dxa"/>
        </w:trPr>
        <w:tc>
          <w:tcPr>
            <w:tcW w:w="4644" w:type="dxa"/>
          </w:tcPr>
          <w:p w14:paraId="5501A2F2" w14:textId="77777777" w:rsidR="00EF3A68" w:rsidRPr="00EF3A68" w:rsidRDefault="00EF3A68" w:rsidP="00EF3A68">
            <w:pPr>
              <w:rPr>
                <w:b/>
                <w:bCs/>
                <w:sz w:val="22"/>
                <w:szCs w:val="22"/>
                <w:lang w:val="fr-BE"/>
              </w:rPr>
            </w:pPr>
            <w:r w:rsidRPr="00EF3A68">
              <w:rPr>
                <w:b/>
                <w:bCs/>
                <w:sz w:val="22"/>
                <w:szCs w:val="22"/>
                <w:lang w:val="fr-BE"/>
              </w:rPr>
              <w:t>België/Belgique/Belgien</w:t>
            </w:r>
          </w:p>
          <w:p w14:paraId="3AD50BE9" w14:textId="77777777" w:rsidR="00EF3A68" w:rsidRPr="00EF3A68" w:rsidRDefault="00EF3A68" w:rsidP="00EF3A68">
            <w:pPr>
              <w:tabs>
                <w:tab w:val="center" w:pos="2214"/>
              </w:tabs>
              <w:rPr>
                <w:bCs/>
                <w:sz w:val="22"/>
                <w:szCs w:val="22"/>
                <w:lang w:val="fr-FR"/>
              </w:rPr>
            </w:pPr>
            <w:r w:rsidRPr="00EF3A68">
              <w:rPr>
                <w:bCs/>
                <w:sz w:val="22"/>
                <w:szCs w:val="22"/>
                <w:lang w:val="fr-FR"/>
              </w:rPr>
              <w:t>AbbVie SA</w:t>
            </w:r>
          </w:p>
          <w:p w14:paraId="1A36B600" w14:textId="77777777" w:rsidR="00EF3A68" w:rsidRPr="00EF3A68" w:rsidRDefault="00EF3A68" w:rsidP="00EF3A68">
            <w:pPr>
              <w:tabs>
                <w:tab w:val="left" w:pos="562"/>
              </w:tabs>
              <w:spacing w:line="260" w:lineRule="exact"/>
              <w:rPr>
                <w:bCs/>
                <w:sz w:val="22"/>
                <w:szCs w:val="22"/>
                <w:lang w:val="fr-FR"/>
              </w:rPr>
            </w:pPr>
            <w:r w:rsidRPr="00EF3A68">
              <w:rPr>
                <w:bCs/>
                <w:sz w:val="22"/>
                <w:szCs w:val="22"/>
                <w:lang w:val="fr-FR"/>
              </w:rPr>
              <w:t xml:space="preserve">Tél/Tel: +32 10 </w:t>
            </w:r>
            <w:r w:rsidRPr="00EF3A68">
              <w:rPr>
                <w:sz w:val="22"/>
                <w:szCs w:val="22"/>
                <w:lang w:val="fr-FR"/>
              </w:rPr>
              <w:t xml:space="preserve"> 477811</w:t>
            </w:r>
          </w:p>
        </w:tc>
        <w:tc>
          <w:tcPr>
            <w:tcW w:w="4678" w:type="dxa"/>
          </w:tcPr>
          <w:p w14:paraId="3FF0D4FF" w14:textId="77777777" w:rsidR="00EF3A68" w:rsidRPr="00EF3A68" w:rsidRDefault="00EF3A68" w:rsidP="00EF3A68">
            <w:pPr>
              <w:rPr>
                <w:b/>
                <w:bCs/>
                <w:sz w:val="22"/>
                <w:szCs w:val="22"/>
                <w:lang w:val="lt-LT"/>
              </w:rPr>
            </w:pPr>
            <w:r w:rsidRPr="00EF3A68">
              <w:rPr>
                <w:b/>
                <w:bCs/>
                <w:sz w:val="22"/>
                <w:szCs w:val="22"/>
                <w:lang w:val="lt-LT"/>
              </w:rPr>
              <w:t>Lietuva</w:t>
            </w:r>
          </w:p>
          <w:p w14:paraId="152820EB" w14:textId="77777777" w:rsidR="00EF3A68" w:rsidRPr="00EF3A68" w:rsidRDefault="00EF3A68" w:rsidP="00EF3A68">
            <w:pPr>
              <w:rPr>
                <w:bCs/>
                <w:sz w:val="22"/>
                <w:szCs w:val="22"/>
                <w:lang w:val="lv-LV"/>
              </w:rPr>
            </w:pPr>
            <w:r w:rsidRPr="00EF3A68">
              <w:rPr>
                <w:bCs/>
                <w:sz w:val="22"/>
                <w:szCs w:val="22"/>
                <w:lang w:val="lv-LV"/>
              </w:rPr>
              <w:t xml:space="preserve">AbbVie UAB </w:t>
            </w:r>
          </w:p>
          <w:p w14:paraId="3F838886" w14:textId="77777777" w:rsidR="00EF3A68" w:rsidRPr="00EF3A68" w:rsidRDefault="00EF3A68" w:rsidP="00EF3A68">
            <w:pPr>
              <w:jc w:val="both"/>
              <w:rPr>
                <w:bCs/>
                <w:sz w:val="22"/>
                <w:szCs w:val="22"/>
                <w:lang w:val="lv-LV"/>
              </w:rPr>
            </w:pPr>
            <w:r w:rsidRPr="00EF3A68">
              <w:rPr>
                <w:bCs/>
                <w:sz w:val="22"/>
                <w:szCs w:val="22"/>
                <w:lang w:val="lv-LV"/>
              </w:rPr>
              <w:t>Tel: +370 5 205 3023</w:t>
            </w:r>
          </w:p>
          <w:p w14:paraId="34195C84" w14:textId="77777777" w:rsidR="00EF3A68" w:rsidRPr="00EF3A68" w:rsidRDefault="00EF3A68" w:rsidP="00EF3A68">
            <w:pPr>
              <w:rPr>
                <w:bCs/>
                <w:sz w:val="22"/>
                <w:szCs w:val="22"/>
                <w:lang w:val="fr-FR"/>
              </w:rPr>
            </w:pPr>
          </w:p>
        </w:tc>
      </w:tr>
      <w:tr w:rsidR="00EF3A68" w:rsidRPr="00EF3A68" w14:paraId="0770657E" w14:textId="77777777" w:rsidTr="00AD6D66">
        <w:trPr>
          <w:gridBefore w:val="1"/>
          <w:wBefore w:w="34" w:type="dxa"/>
        </w:trPr>
        <w:tc>
          <w:tcPr>
            <w:tcW w:w="4644" w:type="dxa"/>
          </w:tcPr>
          <w:p w14:paraId="0ED5C38E" w14:textId="77777777" w:rsidR="00EF3A68" w:rsidRPr="00EF3A68" w:rsidRDefault="00EF3A68" w:rsidP="00EF3A68">
            <w:pPr>
              <w:autoSpaceDE w:val="0"/>
              <w:autoSpaceDN w:val="0"/>
              <w:adjustRightInd w:val="0"/>
              <w:rPr>
                <w:b/>
                <w:bCs/>
                <w:sz w:val="22"/>
                <w:szCs w:val="22"/>
                <w:lang w:val="bg-BG"/>
              </w:rPr>
            </w:pPr>
            <w:r w:rsidRPr="00EF3A68">
              <w:rPr>
                <w:b/>
                <w:bCs/>
                <w:sz w:val="22"/>
                <w:szCs w:val="22"/>
                <w:lang w:val="bg-BG"/>
              </w:rPr>
              <w:t>България</w:t>
            </w:r>
          </w:p>
          <w:p w14:paraId="39BBE46B" w14:textId="77777777" w:rsidR="00EF3A68" w:rsidRPr="00EF3A68" w:rsidRDefault="00EF3A68" w:rsidP="00EF3A68">
            <w:pPr>
              <w:autoSpaceDE w:val="0"/>
              <w:autoSpaceDN w:val="0"/>
              <w:adjustRightInd w:val="0"/>
              <w:rPr>
                <w:sz w:val="22"/>
                <w:szCs w:val="22"/>
                <w:lang w:val="da-DK"/>
              </w:rPr>
            </w:pPr>
            <w:r w:rsidRPr="00EF3A68">
              <w:rPr>
                <w:bCs/>
                <w:sz w:val="22"/>
                <w:szCs w:val="22"/>
                <w:lang w:val="bg-BG"/>
              </w:rPr>
              <w:t>АбВи ЕООД</w:t>
            </w:r>
          </w:p>
          <w:p w14:paraId="7836C1CC" w14:textId="77777777" w:rsidR="00EF3A68" w:rsidRPr="00EF3A68" w:rsidRDefault="00EF3A68" w:rsidP="00EF3A68">
            <w:pPr>
              <w:tabs>
                <w:tab w:val="left" w:pos="-720"/>
              </w:tabs>
              <w:rPr>
                <w:bCs/>
                <w:sz w:val="22"/>
                <w:szCs w:val="22"/>
                <w:lang w:val="da-DK"/>
              </w:rPr>
            </w:pPr>
            <w:r w:rsidRPr="00EF3A68">
              <w:rPr>
                <w:rFonts w:eastAsia="MS Mincho"/>
                <w:color w:val="000000"/>
                <w:sz w:val="22"/>
                <w:szCs w:val="22"/>
                <w:lang w:eastAsia="ja-JP"/>
              </w:rPr>
              <w:t>Тел.</w:t>
            </w:r>
            <w:r w:rsidRPr="00EF3A68">
              <w:rPr>
                <w:rFonts w:eastAsia="MS Mincho"/>
                <w:color w:val="000000"/>
                <w:sz w:val="22"/>
                <w:szCs w:val="22"/>
                <w:lang w:val="it-IT" w:eastAsia="ja-JP"/>
              </w:rPr>
              <w:t>: +359 2 90 30 43</w:t>
            </w:r>
            <w:r w:rsidR="006248E7">
              <w:rPr>
                <w:rFonts w:eastAsia="MS Mincho"/>
                <w:color w:val="000000"/>
                <w:sz w:val="22"/>
                <w:szCs w:val="22"/>
                <w:lang w:val="it-IT" w:eastAsia="ja-JP"/>
              </w:rPr>
              <w:t>0</w:t>
            </w:r>
          </w:p>
        </w:tc>
        <w:tc>
          <w:tcPr>
            <w:tcW w:w="4678" w:type="dxa"/>
          </w:tcPr>
          <w:p w14:paraId="67B5A2A6" w14:textId="77777777" w:rsidR="00EF3A68" w:rsidRPr="00EF3A68" w:rsidRDefault="00EF3A68" w:rsidP="00EF3A68">
            <w:pPr>
              <w:rPr>
                <w:b/>
                <w:bCs/>
                <w:sz w:val="22"/>
                <w:szCs w:val="22"/>
                <w:lang w:val="de-DE"/>
              </w:rPr>
            </w:pPr>
            <w:r w:rsidRPr="00EF3A68">
              <w:rPr>
                <w:b/>
                <w:bCs/>
                <w:sz w:val="22"/>
                <w:szCs w:val="22"/>
                <w:lang w:val="de-DE"/>
              </w:rPr>
              <w:t>Luxembourg/Luxemburg</w:t>
            </w:r>
          </w:p>
          <w:p w14:paraId="3E2D97BE" w14:textId="77777777" w:rsidR="00EF3A68" w:rsidRPr="00EF3A68" w:rsidRDefault="00EF3A68" w:rsidP="00EF3A68">
            <w:pPr>
              <w:rPr>
                <w:bCs/>
                <w:sz w:val="22"/>
                <w:szCs w:val="22"/>
                <w:lang w:val="de-DE"/>
              </w:rPr>
            </w:pPr>
            <w:r w:rsidRPr="00EF3A68">
              <w:rPr>
                <w:bCs/>
                <w:sz w:val="22"/>
                <w:szCs w:val="22"/>
                <w:lang w:val="de-DE"/>
              </w:rPr>
              <w:t>AbbVie SA</w:t>
            </w:r>
          </w:p>
          <w:p w14:paraId="76231AE7" w14:textId="77777777" w:rsidR="00EF3A68" w:rsidRPr="00EF3A68" w:rsidRDefault="00EF3A68" w:rsidP="00EF3A68">
            <w:pPr>
              <w:tabs>
                <w:tab w:val="center" w:pos="2231"/>
              </w:tabs>
              <w:rPr>
                <w:bCs/>
                <w:sz w:val="22"/>
                <w:szCs w:val="22"/>
                <w:lang w:val="de-DE"/>
              </w:rPr>
            </w:pPr>
            <w:r w:rsidRPr="00EF3A68">
              <w:rPr>
                <w:bCs/>
                <w:sz w:val="22"/>
                <w:szCs w:val="22"/>
                <w:lang w:val="de-DE"/>
              </w:rPr>
              <w:t>Belgique/Belgien</w:t>
            </w:r>
          </w:p>
          <w:p w14:paraId="3BCC09AD" w14:textId="77777777" w:rsidR="00EF3A68" w:rsidRPr="00EF3A68" w:rsidRDefault="00EF3A68" w:rsidP="00EF3A68">
            <w:pPr>
              <w:rPr>
                <w:bCs/>
                <w:sz w:val="22"/>
                <w:szCs w:val="22"/>
                <w:lang w:val="fr-FR"/>
              </w:rPr>
            </w:pPr>
            <w:r w:rsidRPr="00EF3A68">
              <w:rPr>
                <w:bCs/>
                <w:sz w:val="22"/>
                <w:szCs w:val="22"/>
                <w:lang w:val="fr-FR"/>
              </w:rPr>
              <w:t>Tél/Tel: +32 10 477811</w:t>
            </w:r>
          </w:p>
          <w:p w14:paraId="1D9C1222" w14:textId="77777777" w:rsidR="00EF3A68" w:rsidRPr="00EF3A68" w:rsidRDefault="00EF3A68" w:rsidP="00EF3A68">
            <w:pPr>
              <w:tabs>
                <w:tab w:val="left" w:pos="562"/>
                <w:tab w:val="left" w:pos="2380"/>
              </w:tabs>
              <w:suppressAutoHyphens/>
              <w:rPr>
                <w:bCs/>
                <w:sz w:val="22"/>
                <w:szCs w:val="22"/>
                <w:lang w:val="hu-HU"/>
              </w:rPr>
            </w:pPr>
          </w:p>
        </w:tc>
      </w:tr>
      <w:tr w:rsidR="00EF3A68" w:rsidRPr="00EF3A68" w14:paraId="02A58CDD" w14:textId="77777777" w:rsidTr="00AD6D66">
        <w:trPr>
          <w:gridBefore w:val="1"/>
          <w:wBefore w:w="34" w:type="dxa"/>
        </w:trPr>
        <w:tc>
          <w:tcPr>
            <w:tcW w:w="4644" w:type="dxa"/>
          </w:tcPr>
          <w:p w14:paraId="7DF23CA8" w14:textId="77777777" w:rsidR="00EF3A68" w:rsidRPr="00EF3A68" w:rsidRDefault="00EF3A68" w:rsidP="007014BF">
            <w:pPr>
              <w:keepNext/>
              <w:rPr>
                <w:b/>
                <w:bCs/>
                <w:sz w:val="22"/>
                <w:szCs w:val="22"/>
                <w:lang w:val="de-DE"/>
              </w:rPr>
            </w:pPr>
            <w:r w:rsidRPr="00EF3A68">
              <w:rPr>
                <w:b/>
                <w:bCs/>
                <w:sz w:val="22"/>
                <w:szCs w:val="22"/>
                <w:lang w:val="de-DE"/>
              </w:rPr>
              <w:t>Česká republika</w:t>
            </w:r>
          </w:p>
          <w:p w14:paraId="510DE77A" w14:textId="77777777" w:rsidR="00EF3A68" w:rsidRPr="00EF3A68" w:rsidRDefault="00EF3A68" w:rsidP="007014BF">
            <w:pPr>
              <w:keepNext/>
              <w:rPr>
                <w:bCs/>
                <w:sz w:val="22"/>
                <w:szCs w:val="22"/>
                <w:lang w:val="de-DE"/>
              </w:rPr>
            </w:pPr>
            <w:r w:rsidRPr="00EF3A68">
              <w:rPr>
                <w:bCs/>
                <w:sz w:val="22"/>
                <w:szCs w:val="22"/>
                <w:lang w:val="de-DE"/>
              </w:rPr>
              <w:t xml:space="preserve">AbbVie s.r.o. </w:t>
            </w:r>
          </w:p>
          <w:p w14:paraId="1D760345" w14:textId="77777777" w:rsidR="00EF3A68" w:rsidRPr="00EF3A68" w:rsidRDefault="00EF3A68" w:rsidP="007014BF">
            <w:pPr>
              <w:keepNext/>
              <w:rPr>
                <w:bCs/>
                <w:sz w:val="22"/>
                <w:szCs w:val="22"/>
                <w:lang w:val="de-DE"/>
              </w:rPr>
            </w:pPr>
            <w:r w:rsidRPr="00EF3A68">
              <w:rPr>
                <w:bCs/>
                <w:sz w:val="22"/>
                <w:szCs w:val="22"/>
                <w:lang w:val="de-DE"/>
              </w:rPr>
              <w:t>Tel: +420 233 098 111</w:t>
            </w:r>
          </w:p>
          <w:p w14:paraId="536840A3" w14:textId="77777777" w:rsidR="00EF3A68" w:rsidRPr="00EF3A68" w:rsidRDefault="00EF3A68" w:rsidP="007014BF">
            <w:pPr>
              <w:keepNext/>
              <w:rPr>
                <w:bCs/>
                <w:sz w:val="22"/>
                <w:szCs w:val="22"/>
                <w:lang w:val="de-DE"/>
              </w:rPr>
            </w:pPr>
          </w:p>
        </w:tc>
        <w:tc>
          <w:tcPr>
            <w:tcW w:w="4678" w:type="dxa"/>
          </w:tcPr>
          <w:p w14:paraId="61848D7F" w14:textId="77777777" w:rsidR="00EF3A68" w:rsidRPr="00EF3A68" w:rsidRDefault="00EF3A68" w:rsidP="007014BF">
            <w:pPr>
              <w:keepNext/>
              <w:tabs>
                <w:tab w:val="left" w:pos="562"/>
              </w:tabs>
              <w:suppressAutoHyphens/>
              <w:rPr>
                <w:b/>
                <w:bCs/>
                <w:sz w:val="22"/>
                <w:szCs w:val="22"/>
                <w:lang w:val="hu-HU"/>
              </w:rPr>
            </w:pPr>
            <w:r w:rsidRPr="00EF3A68">
              <w:rPr>
                <w:b/>
                <w:bCs/>
                <w:sz w:val="22"/>
                <w:szCs w:val="22"/>
                <w:lang w:val="hu-HU"/>
              </w:rPr>
              <w:t>Magyarország</w:t>
            </w:r>
          </w:p>
          <w:p w14:paraId="35352AA3" w14:textId="77777777" w:rsidR="00EF3A68" w:rsidRPr="00EF3A68" w:rsidRDefault="00EF3A68" w:rsidP="007014BF">
            <w:pPr>
              <w:keepNext/>
              <w:tabs>
                <w:tab w:val="left" w:pos="562"/>
              </w:tabs>
              <w:suppressAutoHyphens/>
              <w:rPr>
                <w:bCs/>
                <w:sz w:val="22"/>
                <w:szCs w:val="22"/>
                <w:lang w:val="hu-HU"/>
              </w:rPr>
            </w:pPr>
            <w:r w:rsidRPr="00EF3A68">
              <w:rPr>
                <w:bCs/>
                <w:sz w:val="22"/>
                <w:szCs w:val="22"/>
                <w:lang w:val="hu-HU"/>
              </w:rPr>
              <w:t>AbbVie Kft.</w:t>
            </w:r>
          </w:p>
          <w:p w14:paraId="53B17F76" w14:textId="77777777" w:rsidR="00EF3A68" w:rsidRPr="00EF3A68" w:rsidRDefault="00EF3A68" w:rsidP="007014BF">
            <w:pPr>
              <w:keepNext/>
              <w:tabs>
                <w:tab w:val="left" w:pos="562"/>
                <w:tab w:val="left" w:pos="2380"/>
              </w:tabs>
              <w:suppressAutoHyphens/>
              <w:rPr>
                <w:bCs/>
                <w:sz w:val="22"/>
                <w:szCs w:val="22"/>
                <w:lang w:val="hu-HU"/>
              </w:rPr>
            </w:pPr>
            <w:r w:rsidRPr="00EF3A68">
              <w:rPr>
                <w:bCs/>
                <w:sz w:val="22"/>
                <w:szCs w:val="22"/>
                <w:lang w:val="hu-HU"/>
              </w:rPr>
              <w:t>Tel.: +36 1 455 8600</w:t>
            </w:r>
          </w:p>
          <w:p w14:paraId="5B73C04F" w14:textId="77777777" w:rsidR="00EF3A68" w:rsidRPr="00EF3A68" w:rsidRDefault="00EF3A68" w:rsidP="007014BF">
            <w:pPr>
              <w:keepNext/>
              <w:rPr>
                <w:bCs/>
                <w:sz w:val="22"/>
                <w:szCs w:val="22"/>
              </w:rPr>
            </w:pPr>
          </w:p>
        </w:tc>
      </w:tr>
      <w:tr w:rsidR="00EF3A68" w:rsidRPr="00EF3A68" w14:paraId="292A2D26" w14:textId="77777777" w:rsidTr="00AD6D66">
        <w:trPr>
          <w:gridBefore w:val="1"/>
          <w:wBefore w:w="34" w:type="dxa"/>
          <w:trHeight w:val="1015"/>
        </w:trPr>
        <w:tc>
          <w:tcPr>
            <w:tcW w:w="4644" w:type="dxa"/>
          </w:tcPr>
          <w:p w14:paraId="2419BEEC" w14:textId="77777777" w:rsidR="00EF3A68" w:rsidRPr="00EF3A68" w:rsidRDefault="00EF3A68" w:rsidP="00EF3A68">
            <w:pPr>
              <w:rPr>
                <w:b/>
                <w:bCs/>
                <w:sz w:val="22"/>
                <w:szCs w:val="22"/>
              </w:rPr>
            </w:pPr>
            <w:r w:rsidRPr="00EF3A68">
              <w:rPr>
                <w:b/>
                <w:bCs/>
                <w:sz w:val="22"/>
                <w:szCs w:val="22"/>
              </w:rPr>
              <w:t>Danmark</w:t>
            </w:r>
          </w:p>
          <w:p w14:paraId="0ABE25E7" w14:textId="77777777" w:rsidR="00EF3A68" w:rsidRPr="00EF3A68" w:rsidRDefault="00EF3A68" w:rsidP="00EF3A68">
            <w:pPr>
              <w:rPr>
                <w:bCs/>
                <w:sz w:val="22"/>
                <w:szCs w:val="22"/>
              </w:rPr>
            </w:pPr>
            <w:r w:rsidRPr="00EF3A68">
              <w:rPr>
                <w:bCs/>
                <w:sz w:val="22"/>
                <w:szCs w:val="22"/>
              </w:rPr>
              <w:t>AbbVie A/S</w:t>
            </w:r>
          </w:p>
          <w:p w14:paraId="3BC0C1F2" w14:textId="77777777" w:rsidR="00EF3A68" w:rsidRDefault="00EF3A68" w:rsidP="00EF3A68">
            <w:pPr>
              <w:rPr>
                <w:bCs/>
                <w:sz w:val="22"/>
                <w:szCs w:val="22"/>
              </w:rPr>
            </w:pPr>
            <w:r w:rsidRPr="00EF3A68">
              <w:rPr>
                <w:bCs/>
                <w:sz w:val="22"/>
                <w:szCs w:val="22"/>
              </w:rPr>
              <w:t>Tlf: +45 72 30-20-28</w:t>
            </w:r>
          </w:p>
          <w:p w14:paraId="6CDD2F23" w14:textId="77777777" w:rsidR="00DF668A" w:rsidRPr="00EF3A68" w:rsidRDefault="00DF668A" w:rsidP="00EF3A68">
            <w:pPr>
              <w:rPr>
                <w:bCs/>
                <w:sz w:val="22"/>
                <w:szCs w:val="22"/>
              </w:rPr>
            </w:pPr>
          </w:p>
        </w:tc>
        <w:tc>
          <w:tcPr>
            <w:tcW w:w="4678" w:type="dxa"/>
          </w:tcPr>
          <w:p w14:paraId="7C6643D4" w14:textId="77777777" w:rsidR="00EF3A68" w:rsidRPr="00EF3A68" w:rsidRDefault="00EF3A68" w:rsidP="00EF3A68">
            <w:pPr>
              <w:rPr>
                <w:b/>
                <w:bCs/>
                <w:sz w:val="22"/>
                <w:szCs w:val="22"/>
                <w:lang w:val="mt-MT"/>
              </w:rPr>
            </w:pPr>
            <w:r w:rsidRPr="00EF3A68">
              <w:rPr>
                <w:b/>
                <w:bCs/>
                <w:sz w:val="22"/>
                <w:szCs w:val="22"/>
                <w:lang w:val="mt-MT"/>
              </w:rPr>
              <w:t>Malta</w:t>
            </w:r>
          </w:p>
          <w:p w14:paraId="7A450E6E" w14:textId="77777777" w:rsidR="00EF3A68" w:rsidRPr="00922746" w:rsidRDefault="00EF3A68" w:rsidP="00EF3A68">
            <w:pPr>
              <w:rPr>
                <w:bCs/>
                <w:sz w:val="22"/>
                <w:szCs w:val="22"/>
                <w:lang w:val="fi-FI"/>
              </w:rPr>
            </w:pPr>
            <w:r w:rsidRPr="00922746">
              <w:rPr>
                <w:bCs/>
                <w:sz w:val="22"/>
                <w:szCs w:val="22"/>
                <w:lang w:val="fi-FI"/>
              </w:rPr>
              <w:t xml:space="preserve">V.J.Salomone Pharma Limited </w:t>
            </w:r>
          </w:p>
          <w:p w14:paraId="464779E3" w14:textId="77777777" w:rsidR="00EF3A68" w:rsidRDefault="00EF3A68" w:rsidP="00EF3A68">
            <w:pPr>
              <w:rPr>
                <w:bCs/>
                <w:sz w:val="22"/>
                <w:szCs w:val="22"/>
              </w:rPr>
            </w:pPr>
            <w:r w:rsidRPr="00EF3A68">
              <w:rPr>
                <w:bCs/>
                <w:sz w:val="22"/>
                <w:szCs w:val="22"/>
              </w:rPr>
              <w:t>Tel: +356 22983201</w:t>
            </w:r>
          </w:p>
          <w:p w14:paraId="3F1BD0E8" w14:textId="77777777" w:rsidR="00DF668A" w:rsidRPr="00EF3A68" w:rsidRDefault="00DF668A" w:rsidP="00EF3A68">
            <w:pPr>
              <w:rPr>
                <w:bCs/>
                <w:sz w:val="22"/>
                <w:szCs w:val="22"/>
              </w:rPr>
            </w:pPr>
          </w:p>
        </w:tc>
      </w:tr>
      <w:tr w:rsidR="00EF3A68" w:rsidRPr="00EF3A68" w14:paraId="5689DD49" w14:textId="77777777" w:rsidTr="00AD6D66">
        <w:trPr>
          <w:gridBefore w:val="1"/>
          <w:wBefore w:w="34" w:type="dxa"/>
        </w:trPr>
        <w:tc>
          <w:tcPr>
            <w:tcW w:w="4644" w:type="dxa"/>
          </w:tcPr>
          <w:p w14:paraId="5212CE9D" w14:textId="77777777" w:rsidR="00EF3A68" w:rsidRPr="00EF3A68" w:rsidRDefault="00EF3A68" w:rsidP="00EF3A68">
            <w:pPr>
              <w:rPr>
                <w:b/>
                <w:bCs/>
                <w:sz w:val="22"/>
                <w:szCs w:val="22"/>
                <w:lang w:val="de-DE"/>
              </w:rPr>
            </w:pPr>
            <w:r w:rsidRPr="00EF3A68">
              <w:rPr>
                <w:b/>
                <w:bCs/>
                <w:sz w:val="22"/>
                <w:szCs w:val="22"/>
                <w:lang w:val="de-DE"/>
              </w:rPr>
              <w:t>Deutschland</w:t>
            </w:r>
          </w:p>
          <w:p w14:paraId="368D45A3" w14:textId="77777777" w:rsidR="00EF3A68" w:rsidRPr="00EF3A68" w:rsidRDefault="00EF3A68" w:rsidP="00EF3A68">
            <w:pPr>
              <w:rPr>
                <w:bCs/>
                <w:sz w:val="22"/>
                <w:szCs w:val="22"/>
                <w:lang w:val="de-DE"/>
              </w:rPr>
            </w:pPr>
            <w:r w:rsidRPr="00EF3A68">
              <w:rPr>
                <w:sz w:val="22"/>
                <w:szCs w:val="22"/>
                <w:lang w:val="de-DE"/>
              </w:rPr>
              <w:t xml:space="preserve">AbbVie Deutschland </w:t>
            </w:r>
            <w:r w:rsidRPr="00EF3A68">
              <w:rPr>
                <w:bCs/>
                <w:sz w:val="22"/>
                <w:szCs w:val="22"/>
                <w:lang w:val="de-DE"/>
              </w:rPr>
              <w:t>GmbH &amp; Co. KG</w:t>
            </w:r>
          </w:p>
          <w:p w14:paraId="64B54791" w14:textId="77777777" w:rsidR="00EF3A68" w:rsidRPr="00EF3A68" w:rsidRDefault="00EF3A68" w:rsidP="00EF3A68">
            <w:pPr>
              <w:rPr>
                <w:sz w:val="22"/>
                <w:szCs w:val="22"/>
                <w:lang w:val="de-DE"/>
              </w:rPr>
            </w:pPr>
            <w:r w:rsidRPr="00EF3A68">
              <w:rPr>
                <w:sz w:val="22"/>
                <w:szCs w:val="22"/>
                <w:lang w:val="de-DE"/>
              </w:rPr>
              <w:t xml:space="preserve">Tel: </w:t>
            </w:r>
            <w:r w:rsidR="00616B54">
              <w:rPr>
                <w:sz w:val="22"/>
                <w:szCs w:val="22"/>
                <w:lang w:val="de-DE"/>
              </w:rPr>
              <w:t>00</w:t>
            </w:r>
            <w:r w:rsidRPr="00EF3A68">
              <w:rPr>
                <w:sz w:val="22"/>
                <w:szCs w:val="22"/>
                <w:lang w:val="de-DE"/>
              </w:rPr>
              <w:t>800 222843 33 (gebührenfrei)</w:t>
            </w:r>
          </w:p>
          <w:p w14:paraId="19877F36" w14:textId="77777777" w:rsidR="00EF3A68" w:rsidRPr="00EF3A68" w:rsidRDefault="00EF3A68" w:rsidP="00EF3A68">
            <w:pPr>
              <w:rPr>
                <w:sz w:val="22"/>
                <w:szCs w:val="22"/>
                <w:lang w:val="de-DE"/>
              </w:rPr>
            </w:pPr>
            <w:r w:rsidRPr="00EF3A68">
              <w:rPr>
                <w:sz w:val="22"/>
                <w:szCs w:val="22"/>
                <w:lang w:val="de-DE"/>
              </w:rPr>
              <w:t>Tel: +49 (0) 611 / 1720-0</w:t>
            </w:r>
          </w:p>
          <w:p w14:paraId="7E2805EB" w14:textId="77777777" w:rsidR="00EF3A68" w:rsidRPr="00EF3A68" w:rsidRDefault="00EF3A68" w:rsidP="00EF3A68">
            <w:pPr>
              <w:rPr>
                <w:bCs/>
                <w:sz w:val="22"/>
                <w:szCs w:val="22"/>
                <w:lang w:val="et-EE"/>
              </w:rPr>
            </w:pPr>
          </w:p>
        </w:tc>
        <w:tc>
          <w:tcPr>
            <w:tcW w:w="4678" w:type="dxa"/>
          </w:tcPr>
          <w:p w14:paraId="6077F743" w14:textId="77777777" w:rsidR="00EF3A68" w:rsidRPr="00EF3A68" w:rsidRDefault="00EF3A68" w:rsidP="00EF3A68">
            <w:pPr>
              <w:rPr>
                <w:b/>
                <w:bCs/>
                <w:sz w:val="22"/>
                <w:szCs w:val="22"/>
                <w:lang w:val="nl-NL"/>
              </w:rPr>
            </w:pPr>
            <w:r w:rsidRPr="00EF3A68">
              <w:rPr>
                <w:b/>
                <w:bCs/>
                <w:sz w:val="22"/>
                <w:szCs w:val="22"/>
                <w:lang w:val="nl-NL"/>
              </w:rPr>
              <w:t>Nederland</w:t>
            </w:r>
          </w:p>
          <w:p w14:paraId="7555BEF2" w14:textId="77777777" w:rsidR="00EF3A68" w:rsidRPr="00EF3A68" w:rsidRDefault="00EF3A68" w:rsidP="00EF3A68">
            <w:pPr>
              <w:rPr>
                <w:bCs/>
                <w:sz w:val="22"/>
                <w:szCs w:val="22"/>
                <w:lang w:val="de-DE"/>
              </w:rPr>
            </w:pPr>
            <w:r w:rsidRPr="00EF3A68">
              <w:rPr>
                <w:bCs/>
                <w:sz w:val="22"/>
                <w:szCs w:val="22"/>
                <w:lang w:val="de-DE"/>
              </w:rPr>
              <w:t>AbbVie B.V.</w:t>
            </w:r>
          </w:p>
          <w:p w14:paraId="758B428C" w14:textId="77777777" w:rsidR="00EF3A68" w:rsidRPr="00EF3A68" w:rsidRDefault="00EF3A68" w:rsidP="00EF3A68">
            <w:pPr>
              <w:rPr>
                <w:bCs/>
                <w:sz w:val="22"/>
                <w:szCs w:val="22"/>
                <w:lang w:val="de-DE"/>
              </w:rPr>
            </w:pPr>
            <w:r w:rsidRPr="00EF3A68">
              <w:rPr>
                <w:bCs/>
                <w:sz w:val="22"/>
                <w:szCs w:val="22"/>
                <w:lang w:val="de-DE"/>
              </w:rPr>
              <w:t>Tel: +31 (0)88 322 2843</w:t>
            </w:r>
          </w:p>
          <w:p w14:paraId="7A84DFC7" w14:textId="77777777" w:rsidR="00EF3A68" w:rsidRPr="00EF3A68" w:rsidRDefault="00EF3A68" w:rsidP="00EF3A68">
            <w:pPr>
              <w:rPr>
                <w:bCs/>
                <w:sz w:val="22"/>
                <w:szCs w:val="22"/>
                <w:lang w:val="de-DE"/>
              </w:rPr>
            </w:pPr>
          </w:p>
        </w:tc>
      </w:tr>
      <w:tr w:rsidR="00EF3A68" w:rsidRPr="00EF3A68" w14:paraId="2646D55C" w14:textId="77777777" w:rsidTr="00AD6D66">
        <w:trPr>
          <w:gridBefore w:val="1"/>
          <w:wBefore w:w="34" w:type="dxa"/>
        </w:trPr>
        <w:tc>
          <w:tcPr>
            <w:tcW w:w="4644" w:type="dxa"/>
          </w:tcPr>
          <w:p w14:paraId="01FB2D70" w14:textId="77777777" w:rsidR="00EF3A68" w:rsidRPr="00EF3A68" w:rsidRDefault="00EF3A68" w:rsidP="00EF3A68">
            <w:pPr>
              <w:rPr>
                <w:b/>
                <w:bCs/>
                <w:sz w:val="22"/>
                <w:szCs w:val="22"/>
                <w:lang w:val="et-EE"/>
              </w:rPr>
            </w:pPr>
            <w:r w:rsidRPr="00EF3A68">
              <w:rPr>
                <w:b/>
                <w:bCs/>
                <w:sz w:val="22"/>
                <w:szCs w:val="22"/>
                <w:lang w:val="et-EE"/>
              </w:rPr>
              <w:t>Eesti</w:t>
            </w:r>
          </w:p>
          <w:p w14:paraId="1C0AD517" w14:textId="65E1DCBE" w:rsidR="00EF3A68" w:rsidRPr="00EF3A68" w:rsidRDefault="00EF3A68" w:rsidP="00EF3A68">
            <w:pPr>
              <w:rPr>
                <w:bCs/>
                <w:sz w:val="22"/>
                <w:szCs w:val="22"/>
                <w:lang w:val="et-EE"/>
              </w:rPr>
            </w:pPr>
            <w:r w:rsidRPr="00EF3A68">
              <w:rPr>
                <w:bCs/>
                <w:sz w:val="22"/>
                <w:szCs w:val="22"/>
                <w:lang w:val="et-EE"/>
              </w:rPr>
              <w:t xml:space="preserve">AbbVie </w:t>
            </w:r>
            <w:r w:rsidR="00AF25FB" w:rsidRPr="00AB24DD">
              <w:rPr>
                <w:bCs/>
                <w:sz w:val="22"/>
                <w:szCs w:val="22"/>
                <w:lang w:val="et-EE"/>
              </w:rPr>
              <w:t>OÜ</w:t>
            </w:r>
            <w:r w:rsidRPr="00EF3A68">
              <w:rPr>
                <w:bCs/>
                <w:sz w:val="22"/>
                <w:szCs w:val="22"/>
                <w:lang w:val="et-EE"/>
              </w:rPr>
              <w:t xml:space="preserve"> </w:t>
            </w:r>
          </w:p>
          <w:p w14:paraId="669D9E0F" w14:textId="77777777" w:rsidR="006A1C1B" w:rsidRDefault="00EF3A68" w:rsidP="006A1C1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sz w:val="22"/>
                <w:szCs w:val="22"/>
                <w:lang w:val="en" w:eastAsia="en-GB"/>
              </w:rPr>
            </w:pPr>
            <w:r w:rsidRPr="00EF3A68">
              <w:rPr>
                <w:bCs/>
                <w:sz w:val="22"/>
                <w:szCs w:val="22"/>
                <w:lang w:val="et-EE"/>
              </w:rPr>
              <w:t xml:space="preserve">Tel: +372 </w:t>
            </w:r>
            <w:r w:rsidR="006A1C1B">
              <w:rPr>
                <w:sz w:val="22"/>
                <w:szCs w:val="22"/>
                <w:lang w:eastAsia="en-GB"/>
              </w:rPr>
              <w:t>623 1011</w:t>
            </w:r>
          </w:p>
          <w:p w14:paraId="02B05D85" w14:textId="77777777" w:rsidR="00EF3A68" w:rsidRPr="00EF3A68" w:rsidRDefault="00EF3A68" w:rsidP="00EF3A68">
            <w:pPr>
              <w:rPr>
                <w:bCs/>
                <w:sz w:val="22"/>
                <w:szCs w:val="22"/>
                <w:lang w:val="el-GR"/>
              </w:rPr>
            </w:pPr>
          </w:p>
        </w:tc>
        <w:tc>
          <w:tcPr>
            <w:tcW w:w="4678" w:type="dxa"/>
          </w:tcPr>
          <w:p w14:paraId="4300610D" w14:textId="77777777" w:rsidR="00EF3A68" w:rsidRPr="00EF3A68" w:rsidRDefault="00EF3A68" w:rsidP="00EF3A68">
            <w:pPr>
              <w:rPr>
                <w:b/>
                <w:bCs/>
                <w:sz w:val="22"/>
                <w:szCs w:val="22"/>
                <w:lang w:val="nb-NO"/>
              </w:rPr>
            </w:pPr>
            <w:r w:rsidRPr="00EF3A68">
              <w:rPr>
                <w:b/>
                <w:bCs/>
                <w:sz w:val="22"/>
                <w:szCs w:val="22"/>
                <w:lang w:val="nb-NO"/>
              </w:rPr>
              <w:t>Norge</w:t>
            </w:r>
          </w:p>
          <w:p w14:paraId="0098103D" w14:textId="77777777" w:rsidR="00EF3A68" w:rsidRPr="00EF3A68" w:rsidRDefault="00EF3A68" w:rsidP="00EF3A68">
            <w:pPr>
              <w:rPr>
                <w:bCs/>
                <w:sz w:val="22"/>
                <w:szCs w:val="22"/>
              </w:rPr>
            </w:pPr>
            <w:r w:rsidRPr="00EF3A68">
              <w:rPr>
                <w:bCs/>
                <w:sz w:val="22"/>
                <w:szCs w:val="22"/>
              </w:rPr>
              <w:t>AbbVie AS</w:t>
            </w:r>
          </w:p>
          <w:p w14:paraId="64B3967A" w14:textId="77777777" w:rsidR="00EF3A68" w:rsidRPr="00EF3A68" w:rsidRDefault="00EF3A68" w:rsidP="00EF3A68">
            <w:pPr>
              <w:rPr>
                <w:bCs/>
                <w:sz w:val="22"/>
                <w:szCs w:val="22"/>
              </w:rPr>
            </w:pPr>
            <w:r w:rsidRPr="00EF3A68">
              <w:rPr>
                <w:bCs/>
                <w:sz w:val="22"/>
                <w:szCs w:val="22"/>
              </w:rPr>
              <w:t>Tlf: +47 67 81 80 00</w:t>
            </w:r>
          </w:p>
          <w:p w14:paraId="58A0A781" w14:textId="77777777" w:rsidR="00EF3A68" w:rsidRPr="00EF3A68" w:rsidRDefault="00EF3A68" w:rsidP="00EF3A68">
            <w:pPr>
              <w:rPr>
                <w:bCs/>
                <w:sz w:val="22"/>
                <w:szCs w:val="22"/>
                <w:lang w:val="el-GR"/>
              </w:rPr>
            </w:pPr>
          </w:p>
        </w:tc>
      </w:tr>
      <w:tr w:rsidR="00EF3A68" w:rsidRPr="00EF3A68" w14:paraId="05E92DFF" w14:textId="77777777" w:rsidTr="004B37FD">
        <w:trPr>
          <w:gridBefore w:val="1"/>
          <w:wBefore w:w="34" w:type="dxa"/>
        </w:trPr>
        <w:tc>
          <w:tcPr>
            <w:tcW w:w="4644" w:type="dxa"/>
          </w:tcPr>
          <w:p w14:paraId="0673E791" w14:textId="77777777" w:rsidR="00EF3A68" w:rsidRPr="00EF3A68" w:rsidRDefault="00EF3A68" w:rsidP="00EF3A68">
            <w:pPr>
              <w:rPr>
                <w:b/>
                <w:bCs/>
                <w:sz w:val="22"/>
                <w:szCs w:val="22"/>
                <w:lang w:val="el-GR"/>
              </w:rPr>
            </w:pPr>
            <w:r w:rsidRPr="00EF3A68">
              <w:rPr>
                <w:b/>
                <w:bCs/>
                <w:sz w:val="22"/>
                <w:szCs w:val="22"/>
                <w:lang w:val="el-GR"/>
              </w:rPr>
              <w:t>Ελλάδα</w:t>
            </w:r>
          </w:p>
          <w:p w14:paraId="2787618C" w14:textId="77777777" w:rsidR="00EF3A68" w:rsidRPr="00EF3A68" w:rsidRDefault="00EF3A68" w:rsidP="00EF3A68">
            <w:pPr>
              <w:rPr>
                <w:bCs/>
                <w:sz w:val="22"/>
                <w:szCs w:val="22"/>
                <w:lang w:val="el-GR"/>
              </w:rPr>
            </w:pPr>
            <w:r w:rsidRPr="00EF3A68">
              <w:rPr>
                <w:bCs/>
                <w:sz w:val="22"/>
                <w:szCs w:val="22"/>
                <w:lang w:val="et-EE"/>
              </w:rPr>
              <w:t xml:space="preserve">AbbVie </w:t>
            </w:r>
            <w:r w:rsidRPr="00EF3A68">
              <w:rPr>
                <w:sz w:val="22"/>
                <w:szCs w:val="22"/>
                <w:lang w:val="el-GR"/>
              </w:rPr>
              <w:t>ΦΑΡΜΑΚΕΥΤΙΚΗ Α.Ε.</w:t>
            </w:r>
          </w:p>
          <w:p w14:paraId="0FB5F05C" w14:textId="77777777" w:rsidR="00EF3A68" w:rsidRDefault="00EF3A68" w:rsidP="00EF3A68">
            <w:pPr>
              <w:rPr>
                <w:bCs/>
                <w:sz w:val="22"/>
                <w:szCs w:val="22"/>
              </w:rPr>
            </w:pPr>
            <w:r w:rsidRPr="00EF3A68">
              <w:rPr>
                <w:bCs/>
                <w:sz w:val="22"/>
                <w:szCs w:val="22"/>
                <w:lang w:val="el-GR"/>
              </w:rPr>
              <w:t xml:space="preserve">Τηλ: +30 </w:t>
            </w:r>
            <w:r w:rsidRPr="00EF3A68">
              <w:rPr>
                <w:bCs/>
                <w:sz w:val="22"/>
                <w:szCs w:val="22"/>
              </w:rPr>
              <w:t>214 4165 555</w:t>
            </w:r>
          </w:p>
          <w:p w14:paraId="51D2AB40" w14:textId="77777777" w:rsidR="004B37FD" w:rsidRPr="00B7410C" w:rsidRDefault="004B37FD" w:rsidP="00EF3A68">
            <w:pPr>
              <w:rPr>
                <w:bCs/>
                <w:sz w:val="22"/>
                <w:szCs w:val="22"/>
              </w:rPr>
            </w:pPr>
          </w:p>
        </w:tc>
        <w:tc>
          <w:tcPr>
            <w:tcW w:w="4678" w:type="dxa"/>
          </w:tcPr>
          <w:p w14:paraId="1A008813" w14:textId="77777777" w:rsidR="00EF3A68" w:rsidRPr="00EF3A68" w:rsidRDefault="00EF3A68" w:rsidP="00EF3A68">
            <w:pPr>
              <w:rPr>
                <w:b/>
                <w:bCs/>
                <w:sz w:val="22"/>
                <w:szCs w:val="22"/>
                <w:lang w:val="de-DE"/>
              </w:rPr>
            </w:pPr>
            <w:r w:rsidRPr="00EF3A68">
              <w:rPr>
                <w:b/>
                <w:bCs/>
                <w:sz w:val="22"/>
                <w:szCs w:val="22"/>
                <w:lang w:val="de-DE"/>
              </w:rPr>
              <w:t>Österreich</w:t>
            </w:r>
          </w:p>
          <w:p w14:paraId="217101DE" w14:textId="77777777" w:rsidR="00EF3A68" w:rsidRPr="00EF3A68" w:rsidRDefault="00EF3A68" w:rsidP="00EF3A68">
            <w:pPr>
              <w:rPr>
                <w:bCs/>
                <w:sz w:val="22"/>
                <w:szCs w:val="22"/>
                <w:lang w:val="de-DE"/>
              </w:rPr>
            </w:pPr>
            <w:r w:rsidRPr="00EF3A68">
              <w:rPr>
                <w:bCs/>
                <w:sz w:val="22"/>
                <w:szCs w:val="22"/>
                <w:lang w:val="de-DE"/>
              </w:rPr>
              <w:t xml:space="preserve">AbbVie GmbH </w:t>
            </w:r>
          </w:p>
          <w:p w14:paraId="076167A3" w14:textId="77777777" w:rsidR="00EF3A68" w:rsidRDefault="00EF3A68" w:rsidP="00EF3A68">
            <w:pPr>
              <w:rPr>
                <w:bCs/>
                <w:sz w:val="22"/>
                <w:szCs w:val="22"/>
                <w:lang w:val="de-DE"/>
              </w:rPr>
            </w:pPr>
            <w:r w:rsidRPr="00EF3A68">
              <w:rPr>
                <w:bCs/>
                <w:sz w:val="22"/>
                <w:szCs w:val="22"/>
                <w:lang w:val="de-DE"/>
              </w:rPr>
              <w:t>Tel: +43 1 20589-0</w:t>
            </w:r>
          </w:p>
          <w:p w14:paraId="3ED17E5B" w14:textId="77777777" w:rsidR="004B37FD" w:rsidRPr="00B7410C" w:rsidRDefault="004B37FD" w:rsidP="00EF3A68">
            <w:pPr>
              <w:rPr>
                <w:bCs/>
                <w:sz w:val="22"/>
                <w:szCs w:val="22"/>
                <w:lang w:val="de-DE"/>
              </w:rPr>
            </w:pPr>
          </w:p>
        </w:tc>
      </w:tr>
      <w:tr w:rsidR="00EF3A68" w:rsidRPr="00EF3A68" w14:paraId="732DDF5E" w14:textId="77777777" w:rsidTr="00AD6D66">
        <w:trPr>
          <w:gridBefore w:val="1"/>
          <w:wBefore w:w="34" w:type="dxa"/>
        </w:trPr>
        <w:tc>
          <w:tcPr>
            <w:tcW w:w="4644" w:type="dxa"/>
          </w:tcPr>
          <w:p w14:paraId="5D96474F" w14:textId="77777777" w:rsidR="00EF3A68" w:rsidRPr="00EF3A68" w:rsidRDefault="00EF3A68" w:rsidP="00EF3A68">
            <w:pPr>
              <w:rPr>
                <w:b/>
                <w:bCs/>
                <w:sz w:val="22"/>
                <w:szCs w:val="22"/>
                <w:lang w:val="es-ES"/>
              </w:rPr>
            </w:pPr>
            <w:r w:rsidRPr="00EF3A68">
              <w:rPr>
                <w:b/>
                <w:bCs/>
                <w:sz w:val="22"/>
                <w:szCs w:val="22"/>
                <w:lang w:val="es-ES"/>
              </w:rPr>
              <w:t>España</w:t>
            </w:r>
          </w:p>
          <w:p w14:paraId="693A79F6" w14:textId="77777777" w:rsidR="00EF3A68" w:rsidRPr="00EF3A68" w:rsidRDefault="00EF3A68" w:rsidP="00EF3A68">
            <w:pPr>
              <w:rPr>
                <w:bCs/>
                <w:sz w:val="22"/>
                <w:szCs w:val="22"/>
                <w:lang w:val="pt-PT"/>
              </w:rPr>
            </w:pPr>
            <w:r w:rsidRPr="00EF3A68">
              <w:rPr>
                <w:bCs/>
                <w:sz w:val="22"/>
                <w:szCs w:val="22"/>
                <w:lang w:val="pt-PT"/>
              </w:rPr>
              <w:t xml:space="preserve">AbbVie </w:t>
            </w:r>
            <w:r w:rsidR="00B7410C">
              <w:rPr>
                <w:bCs/>
                <w:sz w:val="22"/>
                <w:szCs w:val="22"/>
                <w:lang w:val="pt-PT"/>
              </w:rPr>
              <w:t>Spain</w:t>
            </w:r>
            <w:r w:rsidRPr="00EF3A68">
              <w:rPr>
                <w:bCs/>
                <w:sz w:val="22"/>
                <w:szCs w:val="22"/>
                <w:lang w:val="pt-PT"/>
              </w:rPr>
              <w:t xml:space="preserve">, S.L.U. </w:t>
            </w:r>
          </w:p>
          <w:p w14:paraId="0365D186" w14:textId="77777777" w:rsidR="00EF3A68" w:rsidRPr="00EF3A68" w:rsidRDefault="00EF3A68" w:rsidP="00EF3A68">
            <w:pPr>
              <w:rPr>
                <w:bCs/>
                <w:sz w:val="22"/>
                <w:szCs w:val="22"/>
                <w:lang w:val="pl-PL"/>
              </w:rPr>
            </w:pPr>
            <w:r w:rsidRPr="00EF3A68">
              <w:rPr>
                <w:bCs/>
                <w:sz w:val="22"/>
                <w:szCs w:val="22"/>
                <w:lang w:val="pt-PT"/>
              </w:rPr>
              <w:t xml:space="preserve">Tel: +34 9 1 </w:t>
            </w:r>
            <w:r w:rsidR="002B37EB">
              <w:rPr>
                <w:bCs/>
                <w:sz w:val="22"/>
                <w:szCs w:val="22"/>
                <w:lang w:val="pt-PT"/>
              </w:rPr>
              <w:t>384 910</w:t>
            </w:r>
          </w:p>
        </w:tc>
        <w:tc>
          <w:tcPr>
            <w:tcW w:w="4678" w:type="dxa"/>
          </w:tcPr>
          <w:p w14:paraId="7423BE85" w14:textId="77777777" w:rsidR="00EF3A68" w:rsidRPr="00EF3A68" w:rsidRDefault="00EF3A68" w:rsidP="00EF3A68">
            <w:pPr>
              <w:rPr>
                <w:b/>
                <w:bCs/>
                <w:iCs/>
                <w:sz w:val="22"/>
                <w:szCs w:val="22"/>
                <w:lang w:val="pl-PL"/>
              </w:rPr>
            </w:pPr>
            <w:r w:rsidRPr="00EF3A68">
              <w:rPr>
                <w:b/>
                <w:bCs/>
                <w:iCs/>
                <w:sz w:val="22"/>
                <w:szCs w:val="22"/>
                <w:lang w:val="pl-PL"/>
              </w:rPr>
              <w:t>Polska</w:t>
            </w:r>
          </w:p>
          <w:p w14:paraId="1A50E10A" w14:textId="77777777" w:rsidR="00EF3A68" w:rsidRPr="00EF3A68" w:rsidRDefault="00EF3A68" w:rsidP="00EF3A68">
            <w:pPr>
              <w:rPr>
                <w:bCs/>
                <w:sz w:val="22"/>
                <w:szCs w:val="22"/>
                <w:lang w:val="pl-PL"/>
              </w:rPr>
            </w:pPr>
            <w:r w:rsidRPr="00EF3A68">
              <w:rPr>
                <w:bCs/>
                <w:sz w:val="22"/>
                <w:szCs w:val="22"/>
                <w:lang w:val="pl-PL"/>
              </w:rPr>
              <w:t>AbbVie Polska Sp. z o.o.</w:t>
            </w:r>
          </w:p>
          <w:p w14:paraId="2BD605B1" w14:textId="77777777" w:rsidR="00EF3A68" w:rsidRPr="00EF3A68" w:rsidRDefault="00EF3A68" w:rsidP="00EF3A68">
            <w:pPr>
              <w:rPr>
                <w:bCs/>
                <w:sz w:val="22"/>
                <w:szCs w:val="22"/>
                <w:lang w:val="pl-PL"/>
              </w:rPr>
            </w:pPr>
            <w:r w:rsidRPr="00EF3A68">
              <w:rPr>
                <w:sz w:val="22"/>
                <w:szCs w:val="22"/>
                <w:lang w:val="es-ES"/>
              </w:rPr>
              <w:t xml:space="preserve">Tel.: +48 22 </w:t>
            </w:r>
            <w:r w:rsidRPr="00EF3A68">
              <w:rPr>
                <w:bCs/>
                <w:sz w:val="22"/>
                <w:szCs w:val="22"/>
                <w:lang w:val="pl-PL"/>
              </w:rPr>
              <w:t>3</w:t>
            </w:r>
            <w:r w:rsidR="00695478">
              <w:rPr>
                <w:bCs/>
                <w:sz w:val="22"/>
                <w:szCs w:val="22"/>
                <w:lang w:val="pl-PL"/>
              </w:rPr>
              <w:t>72</w:t>
            </w:r>
            <w:r w:rsidRPr="00EF3A68">
              <w:rPr>
                <w:bCs/>
                <w:sz w:val="22"/>
                <w:szCs w:val="22"/>
                <w:lang w:val="pl-PL"/>
              </w:rPr>
              <w:t xml:space="preserve"> </w:t>
            </w:r>
            <w:r w:rsidR="00695478">
              <w:rPr>
                <w:bCs/>
                <w:sz w:val="22"/>
                <w:szCs w:val="22"/>
                <w:lang w:val="pl-PL"/>
              </w:rPr>
              <w:t>78</w:t>
            </w:r>
            <w:r w:rsidRPr="00EF3A68">
              <w:rPr>
                <w:bCs/>
                <w:sz w:val="22"/>
                <w:szCs w:val="22"/>
                <w:lang w:val="pl-PL"/>
              </w:rPr>
              <w:t xml:space="preserve"> 00 </w:t>
            </w:r>
          </w:p>
          <w:p w14:paraId="4CA50E99" w14:textId="77777777" w:rsidR="00EF3A68" w:rsidRPr="00EF3A68" w:rsidRDefault="00EF3A68" w:rsidP="00EF3A68">
            <w:pPr>
              <w:rPr>
                <w:sz w:val="22"/>
                <w:szCs w:val="22"/>
                <w:lang w:val="pl-PL"/>
              </w:rPr>
            </w:pPr>
          </w:p>
        </w:tc>
      </w:tr>
      <w:tr w:rsidR="00EF3A68" w:rsidRPr="00EF3A68" w14:paraId="5A38C0A9" w14:textId="77777777" w:rsidTr="00AD6D66">
        <w:trPr>
          <w:trHeight w:val="989"/>
        </w:trPr>
        <w:tc>
          <w:tcPr>
            <w:tcW w:w="4678" w:type="dxa"/>
            <w:gridSpan w:val="2"/>
          </w:tcPr>
          <w:p w14:paraId="41DF068B" w14:textId="77777777" w:rsidR="00EF3A68" w:rsidRPr="00EF3A68" w:rsidRDefault="00EF3A68" w:rsidP="00EF3A68">
            <w:pPr>
              <w:rPr>
                <w:b/>
                <w:bCs/>
                <w:sz w:val="22"/>
                <w:szCs w:val="22"/>
                <w:lang w:val="fr-FR"/>
              </w:rPr>
            </w:pPr>
            <w:r w:rsidRPr="00EF3A68">
              <w:rPr>
                <w:b/>
                <w:bCs/>
                <w:sz w:val="22"/>
                <w:szCs w:val="22"/>
                <w:lang w:val="fr-FR"/>
              </w:rPr>
              <w:t>France</w:t>
            </w:r>
          </w:p>
          <w:p w14:paraId="240AE3D4" w14:textId="77777777" w:rsidR="00EF3A68" w:rsidRPr="00EF3A68" w:rsidRDefault="00EF3A68" w:rsidP="00EF3A68">
            <w:pPr>
              <w:rPr>
                <w:bCs/>
                <w:sz w:val="22"/>
                <w:szCs w:val="22"/>
                <w:lang w:val="fr-FR"/>
              </w:rPr>
            </w:pPr>
            <w:r w:rsidRPr="00EF3A68">
              <w:rPr>
                <w:bCs/>
                <w:sz w:val="22"/>
                <w:szCs w:val="22"/>
                <w:lang w:val="fr-FR"/>
              </w:rPr>
              <w:t>AbbVie</w:t>
            </w:r>
          </w:p>
          <w:p w14:paraId="50D313FB" w14:textId="77777777" w:rsidR="00EF3A68" w:rsidRPr="00EF3A68" w:rsidRDefault="00EF3A68" w:rsidP="00EF3A68">
            <w:pPr>
              <w:rPr>
                <w:bCs/>
                <w:sz w:val="22"/>
                <w:szCs w:val="22"/>
                <w:lang w:val="fr-FR"/>
              </w:rPr>
            </w:pPr>
            <w:r w:rsidRPr="00EF3A68">
              <w:rPr>
                <w:bCs/>
                <w:sz w:val="22"/>
                <w:szCs w:val="22"/>
                <w:lang w:val="fr-FR"/>
              </w:rPr>
              <w:t>Tél: +33 (0)1 45 60 13 00</w:t>
            </w:r>
          </w:p>
          <w:p w14:paraId="4CB26777" w14:textId="77777777" w:rsidR="00EF3A68" w:rsidRPr="00EF3A68" w:rsidRDefault="00EF3A68" w:rsidP="00EF3A68">
            <w:pPr>
              <w:rPr>
                <w:bCs/>
                <w:sz w:val="22"/>
                <w:szCs w:val="22"/>
                <w:lang w:val="pt-PT"/>
              </w:rPr>
            </w:pPr>
          </w:p>
        </w:tc>
        <w:tc>
          <w:tcPr>
            <w:tcW w:w="4678" w:type="dxa"/>
          </w:tcPr>
          <w:p w14:paraId="73380D8E" w14:textId="77777777" w:rsidR="00EF3A68" w:rsidRPr="00EF3A68" w:rsidRDefault="00EF3A68" w:rsidP="00EF3A68">
            <w:pPr>
              <w:rPr>
                <w:b/>
                <w:bCs/>
                <w:sz w:val="22"/>
                <w:szCs w:val="22"/>
                <w:lang w:val="pt-PT"/>
              </w:rPr>
            </w:pPr>
            <w:r w:rsidRPr="00EF3A68">
              <w:rPr>
                <w:b/>
                <w:bCs/>
                <w:sz w:val="22"/>
                <w:szCs w:val="22"/>
                <w:lang w:val="pt-PT"/>
              </w:rPr>
              <w:t>Portugal</w:t>
            </w:r>
          </w:p>
          <w:p w14:paraId="486CEBCF" w14:textId="77777777" w:rsidR="00EF3A68" w:rsidRPr="00EF3A68" w:rsidRDefault="00EF3A68" w:rsidP="00EF3A68">
            <w:pPr>
              <w:rPr>
                <w:bCs/>
                <w:sz w:val="22"/>
                <w:szCs w:val="22"/>
                <w:lang w:val="fr-FR"/>
              </w:rPr>
            </w:pPr>
            <w:r w:rsidRPr="00EF3A68">
              <w:rPr>
                <w:bCs/>
                <w:sz w:val="22"/>
                <w:szCs w:val="22"/>
                <w:lang w:val="fr-FR"/>
              </w:rPr>
              <w:t xml:space="preserve">AbbVie, Lda. </w:t>
            </w:r>
          </w:p>
          <w:p w14:paraId="159F3B58" w14:textId="77777777" w:rsidR="00EF3A68" w:rsidRPr="00EF3A68" w:rsidRDefault="00EF3A68" w:rsidP="00EF3A68">
            <w:pPr>
              <w:rPr>
                <w:sz w:val="22"/>
                <w:szCs w:val="22"/>
                <w:lang w:val="fr-FR"/>
              </w:rPr>
            </w:pPr>
            <w:r w:rsidRPr="00EF3A68">
              <w:rPr>
                <w:sz w:val="22"/>
                <w:szCs w:val="22"/>
                <w:lang w:val="fr-FR"/>
              </w:rPr>
              <w:t>Tel: +351 (0)21 1908400</w:t>
            </w:r>
          </w:p>
          <w:p w14:paraId="18B45BF7" w14:textId="77777777" w:rsidR="00EF3A68" w:rsidRPr="00EF3A68" w:rsidRDefault="00EF3A68" w:rsidP="00EF3A68">
            <w:pPr>
              <w:rPr>
                <w:sz w:val="22"/>
                <w:szCs w:val="22"/>
                <w:lang w:val="pl-PL"/>
              </w:rPr>
            </w:pPr>
          </w:p>
        </w:tc>
      </w:tr>
      <w:tr w:rsidR="00EF3A68" w:rsidRPr="00EF3A68" w14:paraId="5B8EB6B7" w14:textId="77777777" w:rsidTr="00AD6D66">
        <w:trPr>
          <w:trHeight w:val="989"/>
        </w:trPr>
        <w:tc>
          <w:tcPr>
            <w:tcW w:w="4678" w:type="dxa"/>
            <w:gridSpan w:val="2"/>
          </w:tcPr>
          <w:p w14:paraId="4E43FA7F" w14:textId="77777777" w:rsidR="00EF3A68" w:rsidRPr="00EF3A68" w:rsidRDefault="00EF3A68" w:rsidP="00EF3A68">
            <w:pPr>
              <w:autoSpaceDE w:val="0"/>
              <w:autoSpaceDN w:val="0"/>
              <w:adjustRightInd w:val="0"/>
              <w:rPr>
                <w:sz w:val="22"/>
                <w:szCs w:val="22"/>
                <w:lang w:val="pt-PT" w:eastAsia="en-GB"/>
              </w:rPr>
            </w:pPr>
            <w:r w:rsidRPr="00EF3A68">
              <w:rPr>
                <w:b/>
                <w:bCs/>
                <w:sz w:val="22"/>
                <w:szCs w:val="22"/>
                <w:lang w:val="pt-PT" w:eastAsia="en-GB"/>
              </w:rPr>
              <w:t xml:space="preserve">Hrvatska </w:t>
            </w:r>
          </w:p>
          <w:p w14:paraId="20EDB195" w14:textId="77777777" w:rsidR="00EF3A68" w:rsidRPr="00EF3A68" w:rsidRDefault="00EF3A68" w:rsidP="00EF3A68">
            <w:pPr>
              <w:rPr>
                <w:sz w:val="22"/>
                <w:szCs w:val="22"/>
                <w:lang w:val="hr-HR"/>
              </w:rPr>
            </w:pPr>
            <w:r w:rsidRPr="00EF3A68">
              <w:rPr>
                <w:sz w:val="22"/>
                <w:szCs w:val="22"/>
                <w:lang w:val="hr-HR"/>
              </w:rPr>
              <w:t>AbbVie d.o.o.</w:t>
            </w:r>
          </w:p>
          <w:p w14:paraId="59C253A1" w14:textId="77777777" w:rsidR="00EF3A68" w:rsidRPr="00EF3A68" w:rsidRDefault="00EF3A68" w:rsidP="00EF3A68">
            <w:pPr>
              <w:rPr>
                <w:color w:val="1F497D"/>
                <w:sz w:val="22"/>
                <w:szCs w:val="22"/>
                <w:lang w:val="en-US"/>
              </w:rPr>
            </w:pPr>
            <w:r w:rsidRPr="00EF3A68">
              <w:rPr>
                <w:sz w:val="22"/>
                <w:szCs w:val="22"/>
                <w:lang w:val="hr-HR"/>
              </w:rPr>
              <w:t xml:space="preserve">Tel: +385 (0)1 </w:t>
            </w:r>
            <w:r w:rsidRPr="00EF3A68">
              <w:rPr>
                <w:sz w:val="22"/>
                <w:szCs w:val="22"/>
                <w:lang w:val="en-US"/>
              </w:rPr>
              <w:t>5625 501</w:t>
            </w:r>
          </w:p>
        </w:tc>
        <w:tc>
          <w:tcPr>
            <w:tcW w:w="4678" w:type="dxa"/>
          </w:tcPr>
          <w:p w14:paraId="0F0F31AA" w14:textId="77777777" w:rsidR="00EF3A68" w:rsidRPr="00EF3A68" w:rsidRDefault="00EF3A68" w:rsidP="00EF3A68">
            <w:pPr>
              <w:tabs>
                <w:tab w:val="left" w:pos="562"/>
              </w:tabs>
              <w:suppressAutoHyphens/>
              <w:rPr>
                <w:b/>
                <w:bCs/>
                <w:sz w:val="22"/>
                <w:szCs w:val="22"/>
                <w:lang w:val="en-US"/>
              </w:rPr>
            </w:pPr>
            <w:r w:rsidRPr="00EF3A68">
              <w:rPr>
                <w:b/>
                <w:bCs/>
                <w:sz w:val="22"/>
                <w:szCs w:val="22"/>
                <w:lang w:val="en-US"/>
              </w:rPr>
              <w:t>România</w:t>
            </w:r>
          </w:p>
          <w:p w14:paraId="54F108FE" w14:textId="77777777" w:rsidR="00EF3A68" w:rsidRPr="00EF3A68" w:rsidRDefault="00EF3A68" w:rsidP="00EF3A68">
            <w:pPr>
              <w:rPr>
                <w:rFonts w:eastAsia="MS Mincho"/>
                <w:color w:val="000000"/>
                <w:sz w:val="22"/>
                <w:szCs w:val="22"/>
                <w:lang w:eastAsia="ja-JP"/>
              </w:rPr>
            </w:pPr>
            <w:r w:rsidRPr="00EF3A68">
              <w:rPr>
                <w:rFonts w:eastAsia="MS Mincho"/>
                <w:color w:val="000000"/>
                <w:sz w:val="22"/>
                <w:szCs w:val="22"/>
                <w:lang w:eastAsia="ja-JP"/>
              </w:rPr>
              <w:t>AbbVie S.R.L.</w:t>
            </w:r>
          </w:p>
          <w:p w14:paraId="3DF2E7FE" w14:textId="77777777" w:rsidR="00EF3A68" w:rsidRPr="00EF3A68" w:rsidRDefault="00EF3A68" w:rsidP="00EF3A68">
            <w:pPr>
              <w:rPr>
                <w:sz w:val="22"/>
                <w:szCs w:val="22"/>
                <w:lang w:val="pl-PL"/>
              </w:rPr>
            </w:pPr>
            <w:r w:rsidRPr="00EF3A68">
              <w:rPr>
                <w:sz w:val="22"/>
                <w:szCs w:val="22"/>
                <w:lang w:val="pl-PL"/>
              </w:rPr>
              <w:t>Tel: +40 21 529 30 35</w:t>
            </w:r>
          </w:p>
          <w:p w14:paraId="2ABACE72" w14:textId="77777777" w:rsidR="00EF3A68" w:rsidRPr="00EF3A68" w:rsidRDefault="00EF3A68" w:rsidP="00EF3A68">
            <w:pPr>
              <w:tabs>
                <w:tab w:val="left" w:pos="562"/>
              </w:tabs>
              <w:suppressAutoHyphens/>
              <w:rPr>
                <w:b/>
                <w:bCs/>
                <w:sz w:val="22"/>
                <w:szCs w:val="22"/>
                <w:lang w:val="en-US"/>
              </w:rPr>
            </w:pPr>
          </w:p>
        </w:tc>
      </w:tr>
      <w:tr w:rsidR="00EF3A68" w:rsidRPr="00EF3A68" w14:paraId="02B83444" w14:textId="77777777" w:rsidTr="00AD6D66">
        <w:trPr>
          <w:gridBefore w:val="1"/>
          <w:wBefore w:w="34" w:type="dxa"/>
        </w:trPr>
        <w:tc>
          <w:tcPr>
            <w:tcW w:w="4644" w:type="dxa"/>
          </w:tcPr>
          <w:p w14:paraId="0D047961" w14:textId="77777777" w:rsidR="00EF3A68" w:rsidRPr="00EF3A68" w:rsidRDefault="00EF3A68" w:rsidP="00EF3A68">
            <w:pPr>
              <w:rPr>
                <w:b/>
                <w:bCs/>
                <w:sz w:val="22"/>
                <w:szCs w:val="22"/>
              </w:rPr>
            </w:pPr>
            <w:r w:rsidRPr="00EF3A68">
              <w:rPr>
                <w:b/>
                <w:bCs/>
                <w:sz w:val="22"/>
                <w:szCs w:val="22"/>
              </w:rPr>
              <w:t>Ireland</w:t>
            </w:r>
          </w:p>
          <w:p w14:paraId="7FB12B1E" w14:textId="77777777" w:rsidR="00EF3A68" w:rsidRPr="00EF3A68" w:rsidRDefault="00EF3A68" w:rsidP="00EF3A68">
            <w:pPr>
              <w:rPr>
                <w:bCs/>
                <w:sz w:val="22"/>
                <w:szCs w:val="22"/>
              </w:rPr>
            </w:pPr>
            <w:r w:rsidRPr="00EF3A68">
              <w:rPr>
                <w:bCs/>
                <w:sz w:val="22"/>
                <w:szCs w:val="22"/>
              </w:rPr>
              <w:t xml:space="preserve">AbbVie Limited </w:t>
            </w:r>
          </w:p>
          <w:p w14:paraId="4AD01688" w14:textId="77777777" w:rsidR="00EF3A68" w:rsidRPr="00EF3A68" w:rsidRDefault="00EF3A68" w:rsidP="00EF3A68">
            <w:pPr>
              <w:rPr>
                <w:bCs/>
                <w:sz w:val="22"/>
                <w:szCs w:val="22"/>
                <w:lang w:val="it-IT"/>
              </w:rPr>
            </w:pPr>
            <w:r w:rsidRPr="00EF3A68">
              <w:rPr>
                <w:bCs/>
                <w:sz w:val="22"/>
                <w:szCs w:val="22"/>
                <w:lang w:val="pt-PT"/>
              </w:rPr>
              <w:t>Tel: +353 (0)1 4287900</w:t>
            </w:r>
          </w:p>
        </w:tc>
        <w:tc>
          <w:tcPr>
            <w:tcW w:w="4678" w:type="dxa"/>
          </w:tcPr>
          <w:p w14:paraId="2BFD4A55" w14:textId="77777777" w:rsidR="00EF3A68" w:rsidRPr="00EF3A68" w:rsidRDefault="00EF3A68" w:rsidP="00EF3A68">
            <w:pPr>
              <w:rPr>
                <w:b/>
                <w:bCs/>
                <w:sz w:val="22"/>
                <w:szCs w:val="22"/>
                <w:lang w:val="sl-SI"/>
              </w:rPr>
            </w:pPr>
            <w:r w:rsidRPr="00EF3A68">
              <w:rPr>
                <w:b/>
                <w:bCs/>
                <w:sz w:val="22"/>
                <w:szCs w:val="22"/>
                <w:lang w:val="sl-SI"/>
              </w:rPr>
              <w:t>Slovenija</w:t>
            </w:r>
          </w:p>
          <w:p w14:paraId="2F195A13" w14:textId="77777777" w:rsidR="00EF3A68" w:rsidRPr="00EF3A68" w:rsidRDefault="00EF3A68" w:rsidP="00EF3A68">
            <w:pPr>
              <w:rPr>
                <w:bCs/>
                <w:sz w:val="22"/>
                <w:szCs w:val="22"/>
                <w:lang w:val="sl-SI"/>
              </w:rPr>
            </w:pPr>
            <w:r w:rsidRPr="00EF3A68">
              <w:rPr>
                <w:bCs/>
                <w:sz w:val="22"/>
                <w:szCs w:val="22"/>
                <w:lang w:val="sl-SI"/>
              </w:rPr>
              <w:t>AbbVie Biofarmacevtska družba d.o.o.</w:t>
            </w:r>
          </w:p>
          <w:p w14:paraId="7AA15168" w14:textId="77777777" w:rsidR="00EF3A68" w:rsidRPr="00EF3A68" w:rsidRDefault="00EF3A68" w:rsidP="00EF3A68">
            <w:pPr>
              <w:rPr>
                <w:bCs/>
                <w:sz w:val="22"/>
                <w:szCs w:val="22"/>
                <w:lang w:val="sl-SI"/>
              </w:rPr>
            </w:pPr>
            <w:r w:rsidRPr="00EF3A68">
              <w:rPr>
                <w:bCs/>
                <w:sz w:val="22"/>
                <w:szCs w:val="22"/>
                <w:lang w:val="sl-SI"/>
              </w:rPr>
              <w:t>Tel: +386 (1)32 08 060</w:t>
            </w:r>
          </w:p>
          <w:p w14:paraId="19BD0010" w14:textId="77777777" w:rsidR="00EF3A68" w:rsidRPr="00EF3A68" w:rsidRDefault="00EF3A68" w:rsidP="00EF3A68">
            <w:pPr>
              <w:rPr>
                <w:bCs/>
                <w:sz w:val="22"/>
                <w:szCs w:val="22"/>
                <w:lang w:val="sk-SK"/>
              </w:rPr>
            </w:pPr>
          </w:p>
        </w:tc>
      </w:tr>
      <w:tr w:rsidR="00EF3A68" w:rsidRPr="00EF3A68" w14:paraId="62FAE893" w14:textId="77777777" w:rsidTr="00AD6D66">
        <w:trPr>
          <w:gridBefore w:val="1"/>
          <w:wBefore w:w="34" w:type="dxa"/>
        </w:trPr>
        <w:tc>
          <w:tcPr>
            <w:tcW w:w="4644" w:type="dxa"/>
          </w:tcPr>
          <w:p w14:paraId="6FB9CEFF" w14:textId="77777777" w:rsidR="00EF3A68" w:rsidRPr="00EF3A68" w:rsidRDefault="00EF3A68" w:rsidP="00EF3A68">
            <w:pPr>
              <w:rPr>
                <w:b/>
                <w:bCs/>
                <w:sz w:val="22"/>
                <w:szCs w:val="22"/>
                <w:lang w:val="is-IS"/>
              </w:rPr>
            </w:pPr>
            <w:r w:rsidRPr="00EF3A68">
              <w:rPr>
                <w:b/>
                <w:bCs/>
                <w:sz w:val="22"/>
                <w:szCs w:val="22"/>
                <w:lang w:val="is-IS"/>
              </w:rPr>
              <w:t>Ísland</w:t>
            </w:r>
          </w:p>
          <w:p w14:paraId="4646F29E" w14:textId="77777777" w:rsidR="00EF3A68" w:rsidRPr="00EF3A68" w:rsidRDefault="00EF3A68" w:rsidP="00EF3A68">
            <w:pPr>
              <w:rPr>
                <w:bCs/>
                <w:sz w:val="22"/>
                <w:szCs w:val="22"/>
              </w:rPr>
            </w:pPr>
            <w:r w:rsidRPr="00EF3A68">
              <w:rPr>
                <w:bCs/>
                <w:sz w:val="22"/>
                <w:szCs w:val="22"/>
              </w:rPr>
              <w:t>Vistor hf.</w:t>
            </w:r>
          </w:p>
          <w:p w14:paraId="2AD66A0C" w14:textId="77777777" w:rsidR="00EF3A68" w:rsidRPr="00EF3A68" w:rsidRDefault="00EF3A68" w:rsidP="00EF3A68">
            <w:pPr>
              <w:rPr>
                <w:bCs/>
                <w:sz w:val="22"/>
                <w:szCs w:val="22"/>
              </w:rPr>
            </w:pPr>
            <w:r w:rsidRPr="00EF3A68">
              <w:rPr>
                <w:bCs/>
                <w:sz w:val="22"/>
                <w:szCs w:val="22"/>
              </w:rPr>
              <w:t>Tel: +354 535 7000</w:t>
            </w:r>
          </w:p>
          <w:p w14:paraId="7EAF0F3E" w14:textId="77777777" w:rsidR="00EF3A68" w:rsidRPr="00EF3A68" w:rsidRDefault="00EF3A68" w:rsidP="00EF3A68">
            <w:pPr>
              <w:rPr>
                <w:bCs/>
                <w:sz w:val="22"/>
                <w:szCs w:val="22"/>
              </w:rPr>
            </w:pPr>
          </w:p>
        </w:tc>
        <w:tc>
          <w:tcPr>
            <w:tcW w:w="4678" w:type="dxa"/>
          </w:tcPr>
          <w:p w14:paraId="1CE8C944" w14:textId="77777777" w:rsidR="00EF3A68" w:rsidRPr="00EF3A68" w:rsidRDefault="00EF3A68" w:rsidP="00EF3A68">
            <w:pPr>
              <w:rPr>
                <w:b/>
                <w:bCs/>
                <w:sz w:val="22"/>
                <w:szCs w:val="22"/>
                <w:lang w:val="sk-SK"/>
              </w:rPr>
            </w:pPr>
            <w:r w:rsidRPr="00EF3A68">
              <w:rPr>
                <w:b/>
                <w:bCs/>
                <w:sz w:val="22"/>
                <w:szCs w:val="22"/>
                <w:lang w:val="sk-SK"/>
              </w:rPr>
              <w:t>Slovenská republika</w:t>
            </w:r>
          </w:p>
          <w:p w14:paraId="297E0667" w14:textId="77777777" w:rsidR="00EF3A68" w:rsidRPr="00EF3A68" w:rsidRDefault="00EF3A68" w:rsidP="00EF3A68">
            <w:pPr>
              <w:rPr>
                <w:bCs/>
                <w:sz w:val="22"/>
                <w:szCs w:val="22"/>
                <w:lang w:val="sk-SK"/>
              </w:rPr>
            </w:pPr>
            <w:r w:rsidRPr="00EF3A68">
              <w:rPr>
                <w:bCs/>
                <w:sz w:val="22"/>
                <w:szCs w:val="22"/>
                <w:lang w:val="sk-SK"/>
              </w:rPr>
              <w:t>AbbVie s.r.o.</w:t>
            </w:r>
          </w:p>
          <w:p w14:paraId="62C868F2" w14:textId="77777777" w:rsidR="00EF3A68" w:rsidRPr="00EF3A68" w:rsidRDefault="00EF3A68" w:rsidP="00EF3A68">
            <w:pPr>
              <w:rPr>
                <w:bCs/>
                <w:sz w:val="22"/>
                <w:szCs w:val="22"/>
                <w:lang w:val="sk-SK"/>
              </w:rPr>
            </w:pPr>
            <w:r w:rsidRPr="00EF3A68">
              <w:rPr>
                <w:bCs/>
                <w:sz w:val="22"/>
                <w:szCs w:val="22"/>
                <w:lang w:val="sk-SK"/>
              </w:rPr>
              <w:t>Tel: +421 2 5050 0777</w:t>
            </w:r>
          </w:p>
          <w:p w14:paraId="3D6EE95A" w14:textId="77777777" w:rsidR="00EF3A68" w:rsidRPr="00EF3A68" w:rsidRDefault="00EF3A68" w:rsidP="00EF3A68">
            <w:pPr>
              <w:rPr>
                <w:bCs/>
                <w:sz w:val="22"/>
                <w:szCs w:val="22"/>
                <w:lang w:val="it-IT"/>
              </w:rPr>
            </w:pPr>
          </w:p>
        </w:tc>
      </w:tr>
      <w:tr w:rsidR="00EF3A68" w:rsidRPr="00EF3A68" w14:paraId="5636DCA0" w14:textId="77777777" w:rsidTr="00AD6D66">
        <w:trPr>
          <w:gridBefore w:val="1"/>
          <w:wBefore w:w="34" w:type="dxa"/>
        </w:trPr>
        <w:tc>
          <w:tcPr>
            <w:tcW w:w="4644" w:type="dxa"/>
          </w:tcPr>
          <w:p w14:paraId="4EB94929" w14:textId="77777777" w:rsidR="00EF3A68" w:rsidRPr="00EF3A68" w:rsidRDefault="00EF3A68" w:rsidP="00EF3A68">
            <w:pPr>
              <w:rPr>
                <w:b/>
                <w:bCs/>
                <w:sz w:val="22"/>
                <w:szCs w:val="22"/>
                <w:lang w:val="it-IT"/>
              </w:rPr>
            </w:pPr>
            <w:r w:rsidRPr="00EF3A68">
              <w:rPr>
                <w:b/>
                <w:bCs/>
                <w:sz w:val="22"/>
                <w:szCs w:val="22"/>
                <w:lang w:val="it-IT"/>
              </w:rPr>
              <w:t>Italia</w:t>
            </w:r>
          </w:p>
          <w:p w14:paraId="35388A1A" w14:textId="77777777" w:rsidR="00EF3A68" w:rsidRPr="00EF3A68" w:rsidRDefault="00EF3A68" w:rsidP="00EF3A68">
            <w:pPr>
              <w:tabs>
                <w:tab w:val="left" w:pos="562"/>
              </w:tabs>
              <w:spacing w:line="260" w:lineRule="exact"/>
              <w:rPr>
                <w:bCs/>
                <w:sz w:val="22"/>
                <w:szCs w:val="22"/>
                <w:lang w:val="pt-PT"/>
              </w:rPr>
            </w:pPr>
            <w:r w:rsidRPr="00EF3A68">
              <w:rPr>
                <w:bCs/>
                <w:sz w:val="22"/>
                <w:szCs w:val="22"/>
                <w:lang w:val="pt-PT"/>
              </w:rPr>
              <w:t xml:space="preserve">AbbVie S.r.l. </w:t>
            </w:r>
          </w:p>
          <w:p w14:paraId="5516E9FA" w14:textId="77777777" w:rsidR="00EF3A68" w:rsidRPr="00EF3A68" w:rsidRDefault="00EF3A68" w:rsidP="00EF3A68">
            <w:pPr>
              <w:tabs>
                <w:tab w:val="left" w:pos="562"/>
              </w:tabs>
              <w:spacing w:line="260" w:lineRule="exact"/>
              <w:rPr>
                <w:bCs/>
                <w:sz w:val="22"/>
                <w:szCs w:val="22"/>
                <w:lang w:val="en-US"/>
              </w:rPr>
            </w:pPr>
            <w:r w:rsidRPr="00EF3A68">
              <w:rPr>
                <w:bCs/>
                <w:sz w:val="22"/>
                <w:szCs w:val="22"/>
                <w:lang w:val="fr-FR"/>
              </w:rPr>
              <w:t>Tel: +39 06 928921</w:t>
            </w:r>
          </w:p>
        </w:tc>
        <w:tc>
          <w:tcPr>
            <w:tcW w:w="4678" w:type="dxa"/>
          </w:tcPr>
          <w:p w14:paraId="6B1AF030" w14:textId="77777777" w:rsidR="00EF3A68" w:rsidRPr="00922746" w:rsidRDefault="00EF3A68" w:rsidP="00EF3A68">
            <w:pPr>
              <w:rPr>
                <w:b/>
                <w:bCs/>
                <w:sz w:val="22"/>
                <w:szCs w:val="22"/>
                <w:lang w:val="en-US"/>
              </w:rPr>
            </w:pPr>
            <w:r w:rsidRPr="00922746">
              <w:rPr>
                <w:b/>
                <w:bCs/>
                <w:sz w:val="22"/>
                <w:szCs w:val="22"/>
                <w:lang w:val="en-US"/>
              </w:rPr>
              <w:t>Suomi/Finland</w:t>
            </w:r>
          </w:p>
          <w:p w14:paraId="037D4F83" w14:textId="77777777" w:rsidR="00EF3A68" w:rsidRPr="00EF3A68" w:rsidRDefault="00EF3A68" w:rsidP="00EF3A68">
            <w:pPr>
              <w:rPr>
                <w:bCs/>
                <w:sz w:val="22"/>
                <w:szCs w:val="22"/>
                <w:lang w:val="en-US"/>
              </w:rPr>
            </w:pPr>
            <w:r w:rsidRPr="00EF3A68">
              <w:rPr>
                <w:bCs/>
                <w:sz w:val="22"/>
                <w:szCs w:val="22"/>
              </w:rPr>
              <w:t>AbbVie</w:t>
            </w:r>
            <w:r w:rsidRPr="00EF3A68">
              <w:rPr>
                <w:bCs/>
                <w:sz w:val="22"/>
                <w:szCs w:val="22"/>
                <w:lang w:val="en-US"/>
              </w:rPr>
              <w:t xml:space="preserve"> </w:t>
            </w:r>
            <w:r w:rsidRPr="00EF3A68">
              <w:rPr>
                <w:bCs/>
                <w:sz w:val="22"/>
                <w:szCs w:val="22"/>
              </w:rPr>
              <w:t>Oy</w:t>
            </w:r>
            <w:r w:rsidRPr="00EF3A68">
              <w:rPr>
                <w:bCs/>
                <w:sz w:val="22"/>
                <w:szCs w:val="22"/>
                <w:lang w:val="en-US"/>
              </w:rPr>
              <w:t xml:space="preserve"> </w:t>
            </w:r>
          </w:p>
          <w:p w14:paraId="7960019E" w14:textId="77777777" w:rsidR="006A1C1B" w:rsidRDefault="00EF3A68" w:rsidP="006A1C1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 w:val="22"/>
                <w:szCs w:val="22"/>
                <w:lang w:eastAsia="en-GB"/>
              </w:rPr>
            </w:pPr>
            <w:r w:rsidRPr="00EF3A68">
              <w:rPr>
                <w:bCs/>
                <w:sz w:val="22"/>
                <w:szCs w:val="22"/>
              </w:rPr>
              <w:t>Puh/Tel: +358 (0)</w:t>
            </w:r>
            <w:r w:rsidR="006A1C1B">
              <w:rPr>
                <w:sz w:val="22"/>
                <w:szCs w:val="22"/>
                <w:lang w:eastAsia="en-GB"/>
              </w:rPr>
              <w:t xml:space="preserve"> 10 2411 200</w:t>
            </w:r>
          </w:p>
          <w:p w14:paraId="732B10F8" w14:textId="77777777" w:rsidR="00EF3A68" w:rsidRPr="00EF3A68" w:rsidRDefault="00EF3A68" w:rsidP="00EF3A68">
            <w:pPr>
              <w:rPr>
                <w:bCs/>
                <w:sz w:val="22"/>
                <w:szCs w:val="22"/>
                <w:lang w:val="it-IT"/>
              </w:rPr>
            </w:pPr>
          </w:p>
        </w:tc>
      </w:tr>
      <w:tr w:rsidR="00EF3A68" w:rsidRPr="00EF3A68" w14:paraId="4BDD0419" w14:textId="77777777" w:rsidTr="00AD6D66">
        <w:trPr>
          <w:gridBefore w:val="1"/>
          <w:wBefore w:w="34" w:type="dxa"/>
        </w:trPr>
        <w:tc>
          <w:tcPr>
            <w:tcW w:w="4644" w:type="dxa"/>
          </w:tcPr>
          <w:p w14:paraId="11BABA93" w14:textId="77777777" w:rsidR="00EF3A68" w:rsidRPr="00EF3A68" w:rsidRDefault="00EF3A68" w:rsidP="00EF3A68">
            <w:pPr>
              <w:rPr>
                <w:b/>
                <w:bCs/>
                <w:sz w:val="22"/>
                <w:szCs w:val="22"/>
                <w:lang w:val="el-GR"/>
              </w:rPr>
            </w:pPr>
            <w:r w:rsidRPr="00EF3A68">
              <w:rPr>
                <w:b/>
                <w:bCs/>
                <w:sz w:val="22"/>
                <w:szCs w:val="22"/>
                <w:lang w:val="el-GR"/>
              </w:rPr>
              <w:t>Κύπρος</w:t>
            </w:r>
          </w:p>
          <w:p w14:paraId="439441B7" w14:textId="77777777" w:rsidR="00EF3A68" w:rsidRPr="00EF3A68" w:rsidRDefault="00EF3A68" w:rsidP="00EF3A68">
            <w:pPr>
              <w:rPr>
                <w:bCs/>
                <w:sz w:val="22"/>
                <w:szCs w:val="22"/>
                <w:lang w:val="el-GR"/>
              </w:rPr>
            </w:pPr>
            <w:r w:rsidRPr="00EF3A68">
              <w:rPr>
                <w:bCs/>
                <w:sz w:val="22"/>
                <w:szCs w:val="22"/>
                <w:lang w:val="it-IT"/>
              </w:rPr>
              <w:t>Lifepharma (Z.A.M.) Ltd</w:t>
            </w:r>
          </w:p>
          <w:p w14:paraId="29A9D8AE" w14:textId="77777777" w:rsidR="00EF3A68" w:rsidRPr="00EF3A68" w:rsidRDefault="00EF3A68" w:rsidP="00EF3A68">
            <w:pPr>
              <w:rPr>
                <w:bCs/>
                <w:sz w:val="22"/>
                <w:szCs w:val="22"/>
                <w:lang w:val="fi-FI"/>
              </w:rPr>
            </w:pPr>
            <w:r w:rsidRPr="00EF3A68">
              <w:rPr>
                <w:bCs/>
                <w:sz w:val="22"/>
                <w:szCs w:val="22"/>
                <w:lang w:val="el-GR"/>
              </w:rPr>
              <w:t>Τηλ: +357 22 34 74 40</w:t>
            </w:r>
          </w:p>
        </w:tc>
        <w:tc>
          <w:tcPr>
            <w:tcW w:w="4678" w:type="dxa"/>
          </w:tcPr>
          <w:p w14:paraId="73EA64D3" w14:textId="77777777" w:rsidR="00EF3A68" w:rsidRPr="00EF3A68" w:rsidRDefault="00EF3A68" w:rsidP="00EF3A68">
            <w:pPr>
              <w:rPr>
                <w:b/>
                <w:bCs/>
                <w:sz w:val="22"/>
                <w:szCs w:val="22"/>
                <w:lang w:val="sv-SE"/>
              </w:rPr>
            </w:pPr>
            <w:r w:rsidRPr="00EF3A68">
              <w:rPr>
                <w:b/>
                <w:bCs/>
                <w:sz w:val="22"/>
                <w:szCs w:val="22"/>
                <w:lang w:val="sv-SE"/>
              </w:rPr>
              <w:t>Sverige</w:t>
            </w:r>
          </w:p>
          <w:p w14:paraId="022AD5C9" w14:textId="77777777" w:rsidR="00EF3A68" w:rsidRPr="00EF3A68" w:rsidRDefault="00EF3A68" w:rsidP="00EF3A68">
            <w:pPr>
              <w:rPr>
                <w:bCs/>
                <w:sz w:val="22"/>
                <w:szCs w:val="22"/>
                <w:lang w:val="pt-PT"/>
              </w:rPr>
            </w:pPr>
            <w:r w:rsidRPr="00EF3A68">
              <w:rPr>
                <w:bCs/>
                <w:sz w:val="22"/>
                <w:szCs w:val="22"/>
                <w:lang w:val="pt-PT"/>
              </w:rPr>
              <w:t>AbbVie AB</w:t>
            </w:r>
          </w:p>
          <w:p w14:paraId="40583F7C" w14:textId="77777777" w:rsidR="00EF3A68" w:rsidRPr="00EF3A68" w:rsidRDefault="00EF3A68" w:rsidP="00EF3A68">
            <w:pPr>
              <w:rPr>
                <w:bCs/>
                <w:sz w:val="22"/>
                <w:szCs w:val="22"/>
                <w:lang w:val="sv-SE"/>
              </w:rPr>
            </w:pPr>
            <w:r w:rsidRPr="00EF3A68">
              <w:rPr>
                <w:bCs/>
                <w:sz w:val="22"/>
                <w:szCs w:val="22"/>
                <w:lang w:val="da-DK"/>
              </w:rPr>
              <w:t>Tel: +46 (0)8 684 44 600</w:t>
            </w:r>
          </w:p>
          <w:p w14:paraId="14884C1F" w14:textId="77777777" w:rsidR="00EF3A68" w:rsidRPr="00EF3A68" w:rsidRDefault="00EF3A68" w:rsidP="00EF3A68">
            <w:pPr>
              <w:rPr>
                <w:bCs/>
                <w:sz w:val="22"/>
                <w:szCs w:val="22"/>
                <w:lang w:val="sv-SE"/>
              </w:rPr>
            </w:pPr>
          </w:p>
        </w:tc>
      </w:tr>
      <w:tr w:rsidR="00EF3A68" w:rsidRPr="00EF3A68" w14:paraId="0CAC1B8D" w14:textId="77777777" w:rsidTr="00AD6D66">
        <w:trPr>
          <w:gridBefore w:val="1"/>
          <w:wBefore w:w="34" w:type="dxa"/>
          <w:cantSplit/>
          <w:trHeight w:val="887"/>
        </w:trPr>
        <w:tc>
          <w:tcPr>
            <w:tcW w:w="4644" w:type="dxa"/>
          </w:tcPr>
          <w:p w14:paraId="78F30DD1" w14:textId="77777777" w:rsidR="00EF3A68" w:rsidRPr="00EF3A68" w:rsidRDefault="00EF3A68" w:rsidP="00EF3A68">
            <w:pPr>
              <w:rPr>
                <w:b/>
                <w:bCs/>
                <w:sz w:val="22"/>
                <w:szCs w:val="22"/>
                <w:lang w:val="lv-LV"/>
              </w:rPr>
            </w:pPr>
            <w:r w:rsidRPr="00EF3A68">
              <w:rPr>
                <w:b/>
                <w:bCs/>
                <w:sz w:val="22"/>
                <w:szCs w:val="22"/>
                <w:lang w:val="lv-LV"/>
              </w:rPr>
              <w:t>Latvija</w:t>
            </w:r>
          </w:p>
          <w:p w14:paraId="1F6609DB" w14:textId="77777777" w:rsidR="00EF3A68" w:rsidRPr="00EF3A68" w:rsidRDefault="00EF3A68" w:rsidP="00EF3A68">
            <w:pPr>
              <w:rPr>
                <w:bCs/>
                <w:sz w:val="22"/>
                <w:szCs w:val="22"/>
                <w:lang w:val="lv-LV"/>
              </w:rPr>
            </w:pPr>
            <w:r w:rsidRPr="00EF3A68">
              <w:rPr>
                <w:bCs/>
                <w:sz w:val="22"/>
                <w:szCs w:val="22"/>
                <w:lang w:val="lv-LV"/>
              </w:rPr>
              <w:t xml:space="preserve">AbbVie SIA </w:t>
            </w:r>
          </w:p>
          <w:p w14:paraId="2894E503" w14:textId="77777777" w:rsidR="00EF3A68" w:rsidRPr="00EF3A68" w:rsidRDefault="00EF3A68" w:rsidP="00EF3A68">
            <w:pPr>
              <w:rPr>
                <w:bCs/>
                <w:sz w:val="22"/>
                <w:szCs w:val="22"/>
                <w:lang w:val="lv-LV"/>
              </w:rPr>
            </w:pPr>
            <w:r w:rsidRPr="00EF3A68">
              <w:rPr>
                <w:bCs/>
                <w:sz w:val="22"/>
                <w:szCs w:val="22"/>
                <w:lang w:val="lv-LV"/>
              </w:rPr>
              <w:t>Tel: +371 67605000</w:t>
            </w:r>
          </w:p>
          <w:p w14:paraId="73225E62" w14:textId="77777777" w:rsidR="00EF3A68" w:rsidRPr="00EF3A68" w:rsidRDefault="00EF3A68" w:rsidP="00EF3A68">
            <w:pPr>
              <w:rPr>
                <w:bCs/>
                <w:sz w:val="22"/>
                <w:szCs w:val="22"/>
                <w:lang w:val="lv-LV"/>
              </w:rPr>
            </w:pPr>
          </w:p>
        </w:tc>
        <w:tc>
          <w:tcPr>
            <w:tcW w:w="4678" w:type="dxa"/>
          </w:tcPr>
          <w:p w14:paraId="088BBB95" w14:textId="1BE57985" w:rsidR="00EF3A68" w:rsidRPr="00EF3A68" w:rsidRDefault="00EF3A68" w:rsidP="00EF3A68">
            <w:pPr>
              <w:rPr>
                <w:b/>
                <w:bCs/>
                <w:sz w:val="22"/>
                <w:szCs w:val="22"/>
              </w:rPr>
            </w:pPr>
            <w:r w:rsidRPr="00EF3A68">
              <w:rPr>
                <w:b/>
                <w:bCs/>
                <w:sz w:val="22"/>
                <w:szCs w:val="22"/>
              </w:rPr>
              <w:t>United Kingdom</w:t>
            </w:r>
            <w:r w:rsidR="009F0A5D" w:rsidRPr="00062463">
              <w:rPr>
                <w:b/>
                <w:bCs/>
                <w:sz w:val="22"/>
                <w:szCs w:val="22"/>
              </w:rPr>
              <w:t xml:space="preserve"> (Northern Ireland)</w:t>
            </w:r>
          </w:p>
          <w:p w14:paraId="73A7FED8" w14:textId="24DE4C20" w:rsidR="00EF3A68" w:rsidRPr="00EF3A68" w:rsidRDefault="001A02FD" w:rsidP="00EF3A68">
            <w:pPr>
              <w:rPr>
                <w:bCs/>
                <w:sz w:val="22"/>
                <w:szCs w:val="22"/>
              </w:rPr>
            </w:pPr>
            <w:r w:rsidRPr="004443D2">
              <w:rPr>
                <w:bCs/>
                <w:sz w:val="22"/>
                <w:szCs w:val="22"/>
              </w:rPr>
              <w:t>AbbVie Deutschland GmbH &amp; Co. KG</w:t>
            </w:r>
          </w:p>
          <w:p w14:paraId="0EE89BC2" w14:textId="77777777" w:rsidR="00EF3A68" w:rsidRPr="00EF3A68" w:rsidRDefault="00EF3A68" w:rsidP="00EF3A68">
            <w:pPr>
              <w:rPr>
                <w:bCs/>
                <w:sz w:val="22"/>
                <w:szCs w:val="22"/>
                <w:lang w:val="lv-LV"/>
              </w:rPr>
            </w:pPr>
            <w:r w:rsidRPr="00EF3A68">
              <w:rPr>
                <w:bCs/>
                <w:sz w:val="22"/>
                <w:szCs w:val="22"/>
              </w:rPr>
              <w:t>Tel: +44 (0)1628 561090</w:t>
            </w:r>
          </w:p>
        </w:tc>
      </w:tr>
    </w:tbl>
    <w:p w14:paraId="41A99AEF" w14:textId="77777777" w:rsidR="00277ECB" w:rsidRPr="00342F7C" w:rsidRDefault="00277ECB">
      <w:pPr>
        <w:pStyle w:val="EMEANormal"/>
        <w:rPr>
          <w:lang w:val="en-GB"/>
        </w:rPr>
      </w:pPr>
    </w:p>
    <w:p w14:paraId="22A98AD5" w14:textId="77777777" w:rsidR="00277ECB" w:rsidRDefault="00277ECB">
      <w:pPr>
        <w:pStyle w:val="EMEANormal"/>
        <w:rPr>
          <w:b/>
          <w:bCs/>
          <w:iCs/>
          <w:lang w:val="en-GB"/>
        </w:rPr>
      </w:pPr>
      <w:r w:rsidRPr="00CB3C33">
        <w:rPr>
          <w:b/>
          <w:bCs/>
          <w:iCs/>
          <w:lang w:val="en-GB"/>
        </w:rPr>
        <w:t xml:space="preserve">This leaflet was last </w:t>
      </w:r>
      <w:r w:rsidR="00097EED">
        <w:rPr>
          <w:b/>
          <w:bCs/>
          <w:iCs/>
          <w:lang w:val="en-GB"/>
        </w:rPr>
        <w:t>revised</w:t>
      </w:r>
      <w:r w:rsidR="00097EED" w:rsidRPr="00CB3C33">
        <w:rPr>
          <w:b/>
          <w:bCs/>
          <w:iCs/>
          <w:lang w:val="en-GB"/>
        </w:rPr>
        <w:t xml:space="preserve"> </w:t>
      </w:r>
      <w:r w:rsidR="00097EED">
        <w:rPr>
          <w:b/>
          <w:bCs/>
          <w:iCs/>
          <w:lang w:val="en-GB"/>
        </w:rPr>
        <w:t>i</w:t>
      </w:r>
      <w:r w:rsidRPr="00CB3C33">
        <w:rPr>
          <w:b/>
          <w:bCs/>
          <w:iCs/>
          <w:lang w:val="en-GB"/>
        </w:rPr>
        <w:t>n:  {MM/YYYY}</w:t>
      </w:r>
    </w:p>
    <w:p w14:paraId="5D3FD635" w14:textId="77777777" w:rsidR="002F0947" w:rsidRDefault="002F0947">
      <w:pPr>
        <w:pStyle w:val="EMEANormal"/>
        <w:rPr>
          <w:b/>
          <w:bCs/>
          <w:iCs/>
          <w:lang w:val="en-GB"/>
        </w:rPr>
      </w:pPr>
    </w:p>
    <w:p w14:paraId="75099E5F" w14:textId="77777777" w:rsidR="002F0947" w:rsidRPr="00CB3C33" w:rsidRDefault="002F0947">
      <w:pPr>
        <w:pStyle w:val="EMEANormal"/>
        <w:rPr>
          <w:b/>
          <w:bCs/>
          <w:iCs/>
          <w:lang w:val="en-GB"/>
        </w:rPr>
      </w:pPr>
      <w:r>
        <w:rPr>
          <w:lang w:val="en-GB"/>
        </w:rPr>
        <w:t>Detailed information on this medicine is available on the European Medicines Agency web site: http://www.ema.europa.eu.</w:t>
      </w:r>
    </w:p>
    <w:p w14:paraId="0D0D8AAA" w14:textId="77777777" w:rsidR="00277ECB" w:rsidRPr="000D0449" w:rsidRDefault="00277ECB">
      <w:pPr>
        <w:pStyle w:val="EMEANormal"/>
        <w:tabs>
          <w:tab w:val="left" w:pos="6780"/>
        </w:tabs>
        <w:rPr>
          <w:b/>
          <w:bCs/>
          <w:lang w:val="en-GB"/>
        </w:rPr>
      </w:pPr>
    </w:p>
    <w:sectPr w:rsidR="00277ECB" w:rsidRPr="000D0449">
      <w:footerReference w:type="default" r:id="rId29"/>
      <w:pgSz w:w="11906" w:h="16838"/>
      <w:pgMar w:top="1134" w:right="1418" w:bottom="1134" w:left="1418"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F504D" w14:textId="77777777" w:rsidR="006F415D" w:rsidRDefault="006F415D">
      <w:r>
        <w:separator/>
      </w:r>
    </w:p>
  </w:endnote>
  <w:endnote w:type="continuationSeparator" w:id="0">
    <w:p w14:paraId="18CA555D" w14:textId="77777777" w:rsidR="006F415D" w:rsidRDefault="006F415D">
      <w:r>
        <w:continuationSeparator/>
      </w:r>
    </w:p>
  </w:endnote>
  <w:endnote w:type="continuationNotice" w:id="1">
    <w:p w14:paraId="2E3A05FB" w14:textId="77777777" w:rsidR="006F415D" w:rsidRDefault="006F41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notTrueType/>
    <w:pitch w:val="default"/>
    <w:sig w:usb0="00000003" w:usb1="00000000" w:usb2="00000000" w:usb3="00000000" w:csb0="0061004D" w:csb1="006C0072"/>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EFPPNA+TimesNew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NewRoman">
    <w:altName w:val="MS Mincho"/>
    <w:panose1 w:val="00000000000000000000"/>
    <w:charset w:val="80"/>
    <w:family w:val="auto"/>
    <w:notTrueType/>
    <w:pitch w:val="default"/>
    <w:sig w:usb0="00000083" w:usb1="08070000" w:usb2="00000010" w:usb3="00000000" w:csb0="00020009" w:csb1="00000000"/>
  </w:font>
  <w:font w:name="Helv">
    <w:panose1 w:val="020B0604020202030204"/>
    <w:charset w:val="00"/>
    <w:family w:val="swiss"/>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Print">
    <w:panose1 w:val="02000600000000000000"/>
    <w:charset w:val="00"/>
    <w:family w:val="auto"/>
    <w:pitch w:val="variable"/>
    <w:sig w:usb0="0000028F"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C39A2" w14:textId="77777777" w:rsidR="00A523DF" w:rsidRPr="001D7254" w:rsidRDefault="00A523DF">
    <w:pPr>
      <w:pStyle w:val="Footer"/>
      <w:rPr>
        <w:rFonts w:ascii="Arial" w:hAnsi="Arial" w:cs="Arial"/>
        <w:sz w:val="16"/>
      </w:rPr>
    </w:pPr>
    <w:r>
      <w:tab/>
    </w:r>
    <w:r w:rsidRPr="001D7254">
      <w:rPr>
        <w:rStyle w:val="PageNumber"/>
        <w:rFonts w:ascii="Arial" w:hAnsi="Arial" w:cs="Arial"/>
        <w:sz w:val="16"/>
      </w:rPr>
      <w:fldChar w:fldCharType="begin"/>
    </w:r>
    <w:r w:rsidRPr="001D7254">
      <w:rPr>
        <w:rStyle w:val="PageNumber"/>
        <w:rFonts w:ascii="Arial" w:hAnsi="Arial" w:cs="Arial"/>
        <w:sz w:val="16"/>
      </w:rPr>
      <w:instrText xml:space="preserve"> PAGE </w:instrText>
    </w:r>
    <w:r w:rsidRPr="001D7254">
      <w:rPr>
        <w:rStyle w:val="PageNumber"/>
        <w:rFonts w:ascii="Arial" w:hAnsi="Arial" w:cs="Arial"/>
        <w:sz w:val="16"/>
      </w:rPr>
      <w:fldChar w:fldCharType="separate"/>
    </w:r>
    <w:r>
      <w:rPr>
        <w:rStyle w:val="PageNumber"/>
        <w:rFonts w:ascii="Arial" w:hAnsi="Arial" w:cs="Arial"/>
        <w:noProof/>
        <w:sz w:val="16"/>
      </w:rPr>
      <w:t>89</w:t>
    </w:r>
    <w:r w:rsidRPr="001D7254">
      <w:rPr>
        <w:rStyle w:val="PageNumbe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EB929" w14:textId="77777777" w:rsidR="006F415D" w:rsidRDefault="006F415D">
      <w:r>
        <w:separator/>
      </w:r>
    </w:p>
  </w:footnote>
  <w:footnote w:type="continuationSeparator" w:id="0">
    <w:p w14:paraId="52E2FA0C" w14:textId="77777777" w:rsidR="006F415D" w:rsidRDefault="006F415D">
      <w:r>
        <w:continuationSeparator/>
      </w:r>
    </w:p>
  </w:footnote>
  <w:footnote w:type="continuationNotice" w:id="1">
    <w:p w14:paraId="4BB00D38" w14:textId="77777777" w:rsidR="006F415D" w:rsidRDefault="006F415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2B6ECE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F2073C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6C2FA8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FBEAA7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FA8EC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E84C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ABAAE6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A4E98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BC8E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7A6257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51331"/>
    <w:multiLevelType w:val="hybridMultilevel"/>
    <w:tmpl w:val="DF72BB6A"/>
    <w:lvl w:ilvl="0" w:tplc="768A0B08">
      <w:start w:val="1"/>
      <w:numFmt w:val="decimal"/>
      <w:lvlText w:val="%1."/>
      <w:lvlJc w:val="left"/>
      <w:pPr>
        <w:ind w:left="360" w:hanging="360"/>
      </w:pPr>
    </w:lvl>
    <w:lvl w:ilvl="1" w:tplc="7D6C0CCC">
      <w:numFmt w:val="bullet"/>
      <w:lvlText w:val="-"/>
      <w:lvlJc w:val="left"/>
      <w:pPr>
        <w:ind w:left="1080" w:hanging="360"/>
      </w:pPr>
      <w:rPr>
        <w:rFonts w:ascii="Times New Roman" w:eastAsia="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277AF3"/>
    <w:multiLevelType w:val="singleLevel"/>
    <w:tmpl w:val="B810BB62"/>
    <w:lvl w:ilvl="0">
      <w:start w:val="1"/>
      <w:numFmt w:val="upperLetter"/>
      <w:pStyle w:val="TitleB"/>
      <w:lvlText w:val="%1."/>
      <w:legacy w:legacy="1" w:legacySpace="0" w:legacyIndent="360"/>
      <w:lvlJc w:val="left"/>
      <w:pPr>
        <w:ind w:left="1494" w:hanging="360"/>
      </w:pPr>
    </w:lvl>
  </w:abstractNum>
  <w:abstractNum w:abstractNumId="12" w15:restartNumberingAfterBreak="0">
    <w:nsid w:val="060A6727"/>
    <w:multiLevelType w:val="hybridMultilevel"/>
    <w:tmpl w:val="1CFAF022"/>
    <w:lvl w:ilvl="0" w:tplc="DA8E1DFE">
      <w:start w:val="6"/>
      <w:numFmt w:val="decimal"/>
      <w:lvlText w:val="%1."/>
      <w:lvlJc w:val="left"/>
      <w:pPr>
        <w:ind w:left="153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64F40BE"/>
    <w:multiLevelType w:val="multilevel"/>
    <w:tmpl w:val="EE62E3FA"/>
    <w:lvl w:ilvl="0">
      <w:start w:val="1"/>
      <w:numFmt w:val="bullet"/>
      <w:lvlText w:val=""/>
      <w:lvlJc w:val="left"/>
      <w:pPr>
        <w:tabs>
          <w:tab w:val="num" w:pos="709"/>
        </w:tabs>
        <w:ind w:left="709" w:hanging="567"/>
      </w:pPr>
      <w:rPr>
        <w:rFonts w:ascii="Symbol" w:hAnsi="Symbol" w:hint="default"/>
      </w:rPr>
    </w:lvl>
    <w:lvl w:ilvl="1">
      <w:start w:val="1"/>
      <w:numFmt w:val="bullet"/>
      <w:lvlText w:val=""/>
      <w:lvlJc w:val="left"/>
      <w:pPr>
        <w:tabs>
          <w:tab w:val="num" w:pos="1134"/>
        </w:tabs>
        <w:ind w:left="1134" w:hanging="567"/>
      </w:pPr>
      <w:rPr>
        <w:rFonts w:ascii="Symbol" w:hAnsi="Symbol"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07324657"/>
    <w:multiLevelType w:val="multilevel"/>
    <w:tmpl w:val="56F67DA4"/>
    <w:lvl w:ilvl="0">
      <w:start w:val="1"/>
      <w:numFmt w:val="bullet"/>
      <w:lvlText w:val=""/>
      <w:lvlJc w:val="left"/>
      <w:pPr>
        <w:tabs>
          <w:tab w:val="num" w:pos="709"/>
        </w:tabs>
        <w:ind w:left="709" w:hanging="567"/>
      </w:pPr>
      <w:rPr>
        <w:rFonts w:ascii="Symbol" w:hAnsi="Symbol" w:hint="default"/>
      </w:rPr>
    </w:lvl>
    <w:lvl w:ilvl="1">
      <w:start w:val="1"/>
      <w:numFmt w:val="bullet"/>
      <w:lvlText w:val=""/>
      <w:lvlJc w:val="left"/>
      <w:pPr>
        <w:tabs>
          <w:tab w:val="num" w:pos="1134"/>
        </w:tabs>
        <w:ind w:left="1134" w:hanging="567"/>
      </w:pPr>
      <w:rPr>
        <w:rFonts w:ascii="Symbol" w:hAnsi="Symbol"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080E21A4"/>
    <w:multiLevelType w:val="hybridMultilevel"/>
    <w:tmpl w:val="79341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A016A6A"/>
    <w:multiLevelType w:val="hybridMultilevel"/>
    <w:tmpl w:val="2746FF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0A2B55B7"/>
    <w:multiLevelType w:val="multilevel"/>
    <w:tmpl w:val="0512FC5A"/>
    <w:lvl w:ilvl="0">
      <w:start w:val="1"/>
      <w:numFmt w:val="bullet"/>
      <w:lvlText w:val=""/>
      <w:lvlJc w:val="left"/>
      <w:pPr>
        <w:tabs>
          <w:tab w:val="num" w:pos="709"/>
        </w:tabs>
        <w:ind w:left="709" w:hanging="567"/>
      </w:pPr>
      <w:rPr>
        <w:rFonts w:ascii="Symbol" w:hAnsi="Symbol" w:hint="default"/>
      </w:rPr>
    </w:lvl>
    <w:lvl w:ilvl="1">
      <w:start w:val="1"/>
      <w:numFmt w:val="bullet"/>
      <w:lvlText w:val=""/>
      <w:lvlJc w:val="left"/>
      <w:pPr>
        <w:tabs>
          <w:tab w:val="num" w:pos="1134"/>
        </w:tabs>
        <w:ind w:left="1134" w:hanging="567"/>
      </w:pPr>
      <w:rPr>
        <w:rFonts w:ascii="Symbol" w:hAnsi="Symbol"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10A1210C"/>
    <w:multiLevelType w:val="hybridMultilevel"/>
    <w:tmpl w:val="5A8C1034"/>
    <w:lvl w:ilvl="0" w:tplc="0409000F">
      <w:start w:val="1"/>
      <w:numFmt w:val="decimal"/>
      <w:lvlText w:val="%1."/>
      <w:lvlJc w:val="left"/>
      <w:pPr>
        <w:ind w:left="1080" w:hanging="360"/>
      </w:pPr>
      <w:rPr>
        <w:rFonts w:hint="default"/>
      </w:rPr>
    </w:lvl>
    <w:lvl w:ilvl="1" w:tplc="5CD25F54">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84B197E"/>
    <w:multiLevelType w:val="hybridMultilevel"/>
    <w:tmpl w:val="83CA80AC"/>
    <w:lvl w:ilvl="0" w:tplc="5CD25F5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E571481"/>
    <w:multiLevelType w:val="hybridMultilevel"/>
    <w:tmpl w:val="AF70F30A"/>
    <w:lvl w:ilvl="0" w:tplc="5CD25F54">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35D4F2C"/>
    <w:multiLevelType w:val="multilevel"/>
    <w:tmpl w:val="2D8EF336"/>
    <w:lvl w:ilvl="0">
      <w:start w:val="1"/>
      <w:numFmt w:val="bullet"/>
      <w:lvlText w:val=""/>
      <w:lvlJc w:val="left"/>
      <w:pPr>
        <w:tabs>
          <w:tab w:val="num" w:pos="709"/>
        </w:tabs>
        <w:ind w:left="709" w:hanging="567"/>
      </w:pPr>
      <w:rPr>
        <w:rFonts w:ascii="Symbol" w:hAnsi="Symbol" w:hint="default"/>
      </w:rPr>
    </w:lvl>
    <w:lvl w:ilvl="1">
      <w:start w:val="1"/>
      <w:numFmt w:val="bullet"/>
      <w:lvlText w:val=""/>
      <w:lvlJc w:val="left"/>
      <w:pPr>
        <w:tabs>
          <w:tab w:val="num" w:pos="1134"/>
        </w:tabs>
        <w:ind w:left="1134" w:hanging="567"/>
      </w:pPr>
      <w:rPr>
        <w:rFonts w:ascii="Symbol" w:hAnsi="Symbol"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23B35398"/>
    <w:multiLevelType w:val="hybridMultilevel"/>
    <w:tmpl w:val="56A6A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4CB441E"/>
    <w:multiLevelType w:val="multilevel"/>
    <w:tmpl w:val="F0102372"/>
    <w:lvl w:ilvl="0">
      <w:start w:val="1"/>
      <w:numFmt w:val="bullet"/>
      <w:lvlText w:val=""/>
      <w:lvlJc w:val="left"/>
      <w:pPr>
        <w:tabs>
          <w:tab w:val="num" w:pos="709"/>
        </w:tabs>
        <w:ind w:left="709" w:hanging="567"/>
      </w:pPr>
      <w:rPr>
        <w:rFonts w:ascii="Symbol" w:hAnsi="Symbol" w:hint="default"/>
      </w:rPr>
    </w:lvl>
    <w:lvl w:ilvl="1">
      <w:start w:val="1"/>
      <w:numFmt w:val="bullet"/>
      <w:lvlText w:val=""/>
      <w:lvlJc w:val="left"/>
      <w:pPr>
        <w:tabs>
          <w:tab w:val="num" w:pos="1134"/>
        </w:tabs>
        <w:ind w:left="1134" w:hanging="567"/>
      </w:pPr>
      <w:rPr>
        <w:rFonts w:ascii="Symbol" w:hAnsi="Symbol"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2764616F"/>
    <w:multiLevelType w:val="hybridMultilevel"/>
    <w:tmpl w:val="5C963888"/>
    <w:lvl w:ilvl="0" w:tplc="5CD25F54">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5" w15:restartNumberingAfterBreak="0">
    <w:nsid w:val="2C0C120A"/>
    <w:multiLevelType w:val="hybridMultilevel"/>
    <w:tmpl w:val="801C5266"/>
    <w:lvl w:ilvl="0" w:tplc="C13C8FFE">
      <w:start w:val="5"/>
      <w:numFmt w:val="decimal"/>
      <w:lvlText w:val="%1."/>
      <w:lvlJc w:val="left"/>
      <w:pPr>
        <w:tabs>
          <w:tab w:val="num" w:pos="915"/>
        </w:tabs>
        <w:ind w:left="915" w:hanging="55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D292A23"/>
    <w:multiLevelType w:val="hybridMultilevel"/>
    <w:tmpl w:val="61BCD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D4A20A7"/>
    <w:multiLevelType w:val="multilevel"/>
    <w:tmpl w:val="BC94ECBC"/>
    <w:lvl w:ilvl="0">
      <w:start w:val="1"/>
      <w:numFmt w:val="bullet"/>
      <w:lvlText w:val=""/>
      <w:lvlJc w:val="left"/>
      <w:pPr>
        <w:tabs>
          <w:tab w:val="num" w:pos="709"/>
        </w:tabs>
        <w:ind w:left="709" w:hanging="567"/>
      </w:pPr>
      <w:rPr>
        <w:rFonts w:ascii="Symbol" w:hAnsi="Symbol" w:hint="default"/>
      </w:rPr>
    </w:lvl>
    <w:lvl w:ilvl="1">
      <w:start w:val="1"/>
      <w:numFmt w:val="bullet"/>
      <w:lvlText w:val=""/>
      <w:lvlJc w:val="left"/>
      <w:pPr>
        <w:tabs>
          <w:tab w:val="num" w:pos="1134"/>
        </w:tabs>
        <w:ind w:left="1134" w:hanging="567"/>
      </w:pPr>
      <w:rPr>
        <w:rFonts w:ascii="Symbol" w:hAnsi="Symbol"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2EE53610"/>
    <w:multiLevelType w:val="singleLevel"/>
    <w:tmpl w:val="40C8A4CE"/>
    <w:lvl w:ilvl="0">
      <w:start w:val="1"/>
      <w:numFmt w:val="upperLetter"/>
      <w:pStyle w:val="Heading2"/>
      <w:lvlText w:val="%1."/>
      <w:legacy w:legacy="1" w:legacySpace="0" w:legacyIndent="360"/>
      <w:lvlJc w:val="left"/>
      <w:pPr>
        <w:ind w:left="1494" w:hanging="360"/>
      </w:pPr>
    </w:lvl>
  </w:abstractNum>
  <w:abstractNum w:abstractNumId="29" w15:restartNumberingAfterBreak="0">
    <w:nsid w:val="37422B3D"/>
    <w:multiLevelType w:val="hybridMultilevel"/>
    <w:tmpl w:val="215ACCD2"/>
    <w:lvl w:ilvl="0" w:tplc="5CD25F5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BAD0D86"/>
    <w:multiLevelType w:val="hybridMultilevel"/>
    <w:tmpl w:val="850A2FE4"/>
    <w:lvl w:ilvl="0" w:tplc="E616A02E">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1" w15:restartNumberingAfterBreak="0">
    <w:nsid w:val="4321140B"/>
    <w:multiLevelType w:val="singleLevel"/>
    <w:tmpl w:val="3E3C0022"/>
    <w:lvl w:ilvl="0">
      <w:start w:val="1"/>
      <w:numFmt w:val="decimal"/>
      <w:pStyle w:val="Considrant"/>
      <w:lvlText w:val="(%1)"/>
      <w:lvlJc w:val="left"/>
      <w:pPr>
        <w:tabs>
          <w:tab w:val="num" w:pos="709"/>
        </w:tabs>
        <w:ind w:left="709" w:hanging="709"/>
      </w:pPr>
    </w:lvl>
  </w:abstractNum>
  <w:abstractNum w:abstractNumId="32" w15:restartNumberingAfterBreak="0">
    <w:nsid w:val="440F3B10"/>
    <w:multiLevelType w:val="multilevel"/>
    <w:tmpl w:val="3FF8800C"/>
    <w:lvl w:ilvl="0">
      <w:start w:val="1"/>
      <w:numFmt w:val="bullet"/>
      <w:lvlText w:val=""/>
      <w:lvlJc w:val="left"/>
      <w:pPr>
        <w:tabs>
          <w:tab w:val="num" w:pos="709"/>
        </w:tabs>
        <w:ind w:left="709" w:hanging="567"/>
      </w:pPr>
      <w:rPr>
        <w:rFonts w:ascii="Symbol" w:hAnsi="Symbol" w:hint="default"/>
      </w:rPr>
    </w:lvl>
    <w:lvl w:ilvl="1">
      <w:start w:val="1"/>
      <w:numFmt w:val="bullet"/>
      <w:lvlText w:val=""/>
      <w:lvlJc w:val="left"/>
      <w:pPr>
        <w:tabs>
          <w:tab w:val="num" w:pos="1134"/>
        </w:tabs>
        <w:ind w:left="1134" w:hanging="567"/>
      </w:pPr>
      <w:rPr>
        <w:rFonts w:ascii="Symbol" w:hAnsi="Symbol"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465E5744"/>
    <w:multiLevelType w:val="hybridMultilevel"/>
    <w:tmpl w:val="06682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E403CA1"/>
    <w:multiLevelType w:val="hybridMultilevel"/>
    <w:tmpl w:val="694AC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FBC2A38"/>
    <w:multiLevelType w:val="multilevel"/>
    <w:tmpl w:val="A7C0205A"/>
    <w:lvl w:ilvl="0">
      <w:start w:val="1"/>
      <w:numFmt w:val="bullet"/>
      <w:lvlText w:val=""/>
      <w:lvlJc w:val="left"/>
      <w:pPr>
        <w:tabs>
          <w:tab w:val="num" w:pos="709"/>
        </w:tabs>
        <w:ind w:left="709" w:hanging="567"/>
      </w:pPr>
      <w:rPr>
        <w:rFonts w:ascii="Symbol" w:hAnsi="Symbol" w:hint="default"/>
      </w:rPr>
    </w:lvl>
    <w:lvl w:ilvl="1">
      <w:start w:val="1"/>
      <w:numFmt w:val="bullet"/>
      <w:lvlText w:val=""/>
      <w:lvlJc w:val="left"/>
      <w:pPr>
        <w:tabs>
          <w:tab w:val="num" w:pos="1134"/>
        </w:tabs>
        <w:ind w:left="1134" w:hanging="567"/>
      </w:pPr>
      <w:rPr>
        <w:rFonts w:ascii="Symbol" w:hAnsi="Symbol"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504D5890"/>
    <w:multiLevelType w:val="multilevel"/>
    <w:tmpl w:val="B38A6718"/>
    <w:lvl w:ilvl="0">
      <w:start w:val="1"/>
      <w:numFmt w:val="bullet"/>
      <w:lvlText w:val=""/>
      <w:lvlJc w:val="left"/>
      <w:pPr>
        <w:tabs>
          <w:tab w:val="num" w:pos="709"/>
        </w:tabs>
        <w:ind w:left="709" w:hanging="567"/>
      </w:pPr>
      <w:rPr>
        <w:rFonts w:ascii="Symbol" w:hAnsi="Symbol" w:hint="default"/>
      </w:rPr>
    </w:lvl>
    <w:lvl w:ilvl="1">
      <w:start w:val="1"/>
      <w:numFmt w:val="bullet"/>
      <w:lvlText w:val=""/>
      <w:lvlJc w:val="left"/>
      <w:pPr>
        <w:tabs>
          <w:tab w:val="num" w:pos="1134"/>
        </w:tabs>
        <w:ind w:left="1134" w:hanging="567"/>
      </w:pPr>
      <w:rPr>
        <w:rFonts w:ascii="Symbol" w:hAnsi="Symbol"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51CB2089"/>
    <w:multiLevelType w:val="hybridMultilevel"/>
    <w:tmpl w:val="B1E41120"/>
    <w:lvl w:ilvl="0" w:tplc="08090001">
      <w:start w:val="1"/>
      <w:numFmt w:val="bullet"/>
      <w:lvlText w:val=""/>
      <w:lvlJc w:val="left"/>
      <w:pPr>
        <w:ind w:left="834" w:hanging="360"/>
      </w:pPr>
      <w:rPr>
        <w:rFonts w:ascii="Symbol" w:hAnsi="Symbol" w:hint="default"/>
      </w:rPr>
    </w:lvl>
    <w:lvl w:ilvl="1" w:tplc="08090003" w:tentative="1">
      <w:start w:val="1"/>
      <w:numFmt w:val="bullet"/>
      <w:lvlText w:val="o"/>
      <w:lvlJc w:val="left"/>
      <w:pPr>
        <w:ind w:left="1554" w:hanging="360"/>
      </w:pPr>
      <w:rPr>
        <w:rFonts w:ascii="Courier New" w:hAnsi="Courier New" w:cs="Courier New" w:hint="default"/>
      </w:rPr>
    </w:lvl>
    <w:lvl w:ilvl="2" w:tplc="08090005" w:tentative="1">
      <w:start w:val="1"/>
      <w:numFmt w:val="bullet"/>
      <w:lvlText w:val=""/>
      <w:lvlJc w:val="left"/>
      <w:pPr>
        <w:ind w:left="2274" w:hanging="360"/>
      </w:pPr>
      <w:rPr>
        <w:rFonts w:ascii="Wingdings" w:hAnsi="Wingdings" w:hint="default"/>
      </w:rPr>
    </w:lvl>
    <w:lvl w:ilvl="3" w:tplc="08090001" w:tentative="1">
      <w:start w:val="1"/>
      <w:numFmt w:val="bullet"/>
      <w:lvlText w:val=""/>
      <w:lvlJc w:val="left"/>
      <w:pPr>
        <w:ind w:left="2994" w:hanging="360"/>
      </w:pPr>
      <w:rPr>
        <w:rFonts w:ascii="Symbol" w:hAnsi="Symbol" w:hint="default"/>
      </w:rPr>
    </w:lvl>
    <w:lvl w:ilvl="4" w:tplc="08090003" w:tentative="1">
      <w:start w:val="1"/>
      <w:numFmt w:val="bullet"/>
      <w:lvlText w:val="o"/>
      <w:lvlJc w:val="left"/>
      <w:pPr>
        <w:ind w:left="3714" w:hanging="360"/>
      </w:pPr>
      <w:rPr>
        <w:rFonts w:ascii="Courier New" w:hAnsi="Courier New" w:cs="Courier New" w:hint="default"/>
      </w:rPr>
    </w:lvl>
    <w:lvl w:ilvl="5" w:tplc="08090005" w:tentative="1">
      <w:start w:val="1"/>
      <w:numFmt w:val="bullet"/>
      <w:lvlText w:val=""/>
      <w:lvlJc w:val="left"/>
      <w:pPr>
        <w:ind w:left="4434" w:hanging="360"/>
      </w:pPr>
      <w:rPr>
        <w:rFonts w:ascii="Wingdings" w:hAnsi="Wingdings" w:hint="default"/>
      </w:rPr>
    </w:lvl>
    <w:lvl w:ilvl="6" w:tplc="08090001" w:tentative="1">
      <w:start w:val="1"/>
      <w:numFmt w:val="bullet"/>
      <w:lvlText w:val=""/>
      <w:lvlJc w:val="left"/>
      <w:pPr>
        <w:ind w:left="5154" w:hanging="360"/>
      </w:pPr>
      <w:rPr>
        <w:rFonts w:ascii="Symbol" w:hAnsi="Symbol" w:hint="default"/>
      </w:rPr>
    </w:lvl>
    <w:lvl w:ilvl="7" w:tplc="08090003" w:tentative="1">
      <w:start w:val="1"/>
      <w:numFmt w:val="bullet"/>
      <w:lvlText w:val="o"/>
      <w:lvlJc w:val="left"/>
      <w:pPr>
        <w:ind w:left="5874" w:hanging="360"/>
      </w:pPr>
      <w:rPr>
        <w:rFonts w:ascii="Courier New" w:hAnsi="Courier New" w:cs="Courier New" w:hint="default"/>
      </w:rPr>
    </w:lvl>
    <w:lvl w:ilvl="8" w:tplc="08090005" w:tentative="1">
      <w:start w:val="1"/>
      <w:numFmt w:val="bullet"/>
      <w:lvlText w:val=""/>
      <w:lvlJc w:val="left"/>
      <w:pPr>
        <w:ind w:left="6594" w:hanging="360"/>
      </w:pPr>
      <w:rPr>
        <w:rFonts w:ascii="Wingdings" w:hAnsi="Wingdings" w:hint="default"/>
      </w:rPr>
    </w:lvl>
  </w:abstractNum>
  <w:abstractNum w:abstractNumId="38" w15:restartNumberingAfterBreak="0">
    <w:nsid w:val="54F63B82"/>
    <w:multiLevelType w:val="multilevel"/>
    <w:tmpl w:val="095EDB4E"/>
    <w:lvl w:ilvl="0">
      <w:start w:val="1"/>
      <w:numFmt w:val="bullet"/>
      <w:lvlText w:val=""/>
      <w:lvlJc w:val="left"/>
      <w:pPr>
        <w:tabs>
          <w:tab w:val="num" w:pos="709"/>
        </w:tabs>
        <w:ind w:left="709" w:hanging="567"/>
      </w:pPr>
      <w:rPr>
        <w:rFonts w:ascii="Symbol" w:hAnsi="Symbol" w:hint="default"/>
      </w:rPr>
    </w:lvl>
    <w:lvl w:ilvl="1">
      <w:start w:val="1"/>
      <w:numFmt w:val="bullet"/>
      <w:lvlText w:val=""/>
      <w:lvlJc w:val="left"/>
      <w:pPr>
        <w:tabs>
          <w:tab w:val="num" w:pos="1134"/>
        </w:tabs>
        <w:ind w:left="1134" w:hanging="567"/>
      </w:pPr>
      <w:rPr>
        <w:rFonts w:ascii="Symbol" w:hAnsi="Symbol"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15:restartNumberingAfterBreak="0">
    <w:nsid w:val="57C43A6A"/>
    <w:multiLevelType w:val="multilevel"/>
    <w:tmpl w:val="87369C0C"/>
    <w:lvl w:ilvl="0">
      <w:start w:val="1"/>
      <w:numFmt w:val="bullet"/>
      <w:lvlText w:val=""/>
      <w:lvlJc w:val="left"/>
      <w:pPr>
        <w:tabs>
          <w:tab w:val="num" w:pos="709"/>
        </w:tabs>
        <w:ind w:left="709" w:hanging="567"/>
      </w:pPr>
      <w:rPr>
        <w:rFonts w:ascii="Symbol" w:hAnsi="Symbol" w:hint="default"/>
      </w:rPr>
    </w:lvl>
    <w:lvl w:ilvl="1">
      <w:start w:val="1"/>
      <w:numFmt w:val="bullet"/>
      <w:lvlText w:val=""/>
      <w:lvlJc w:val="left"/>
      <w:pPr>
        <w:tabs>
          <w:tab w:val="num" w:pos="1134"/>
        </w:tabs>
        <w:ind w:left="1134" w:hanging="567"/>
      </w:pPr>
      <w:rPr>
        <w:rFonts w:ascii="Symbol" w:hAnsi="Symbol"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5AD96F47"/>
    <w:multiLevelType w:val="multilevel"/>
    <w:tmpl w:val="80BE7E1E"/>
    <w:lvl w:ilvl="0">
      <w:start w:val="1"/>
      <w:numFmt w:val="bullet"/>
      <w:lvlText w:val=""/>
      <w:lvlJc w:val="left"/>
      <w:pPr>
        <w:tabs>
          <w:tab w:val="num" w:pos="709"/>
        </w:tabs>
        <w:ind w:left="709" w:hanging="567"/>
      </w:pPr>
      <w:rPr>
        <w:rFonts w:ascii="Symbol" w:hAnsi="Symbol" w:hint="default"/>
      </w:rPr>
    </w:lvl>
    <w:lvl w:ilvl="1">
      <w:start w:val="1"/>
      <w:numFmt w:val="bullet"/>
      <w:lvlText w:val=""/>
      <w:lvlJc w:val="left"/>
      <w:pPr>
        <w:tabs>
          <w:tab w:val="num" w:pos="1134"/>
        </w:tabs>
        <w:ind w:left="1134" w:hanging="567"/>
      </w:pPr>
      <w:rPr>
        <w:rFonts w:ascii="Symbol" w:hAnsi="Symbol"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15:restartNumberingAfterBreak="0">
    <w:nsid w:val="5BC30F22"/>
    <w:multiLevelType w:val="multilevel"/>
    <w:tmpl w:val="5C3AAAD8"/>
    <w:lvl w:ilvl="0">
      <w:start w:val="1"/>
      <w:numFmt w:val="bullet"/>
      <w:lvlText w:val=""/>
      <w:lvlJc w:val="left"/>
      <w:pPr>
        <w:tabs>
          <w:tab w:val="num" w:pos="709"/>
        </w:tabs>
        <w:ind w:left="709" w:hanging="567"/>
      </w:pPr>
      <w:rPr>
        <w:rFonts w:ascii="Symbol" w:hAnsi="Symbol" w:hint="default"/>
      </w:rPr>
    </w:lvl>
    <w:lvl w:ilvl="1">
      <w:start w:val="1"/>
      <w:numFmt w:val="bullet"/>
      <w:lvlText w:val=""/>
      <w:lvlJc w:val="left"/>
      <w:pPr>
        <w:tabs>
          <w:tab w:val="num" w:pos="1134"/>
        </w:tabs>
        <w:ind w:left="1134" w:hanging="567"/>
      </w:pPr>
      <w:rPr>
        <w:rFonts w:ascii="Symbol" w:hAnsi="Symbol"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2" w15:restartNumberingAfterBreak="0">
    <w:nsid w:val="5ED279D3"/>
    <w:multiLevelType w:val="hybridMultilevel"/>
    <w:tmpl w:val="DC148D58"/>
    <w:lvl w:ilvl="0" w:tplc="08090001">
      <w:start w:val="1"/>
      <w:numFmt w:val="bullet"/>
      <w:lvlText w:val=""/>
      <w:lvlJc w:val="left"/>
      <w:pPr>
        <w:ind w:left="1530" w:hanging="360"/>
      </w:pPr>
      <w:rPr>
        <w:rFonts w:ascii="Symbol" w:hAnsi="Symbol" w:hint="default"/>
      </w:rPr>
    </w:lvl>
    <w:lvl w:ilvl="1" w:tplc="5CD25F54">
      <w:start w:val="1"/>
      <w:numFmt w:val="bullet"/>
      <w:lvlText w:val=""/>
      <w:lvlJc w:val="left"/>
      <w:pPr>
        <w:ind w:left="2007" w:hanging="360"/>
      </w:pPr>
      <w:rPr>
        <w:rFonts w:ascii="Symbol" w:hAnsi="Symbol" w:hint="default"/>
      </w:rPr>
    </w:lvl>
    <w:lvl w:ilvl="2" w:tplc="0409001B">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3" w15:restartNumberingAfterBreak="0">
    <w:nsid w:val="5EDC7784"/>
    <w:multiLevelType w:val="multilevel"/>
    <w:tmpl w:val="8A404AC6"/>
    <w:lvl w:ilvl="0">
      <w:start w:val="1"/>
      <w:numFmt w:val="bullet"/>
      <w:lvlText w:val=""/>
      <w:lvlJc w:val="left"/>
      <w:pPr>
        <w:tabs>
          <w:tab w:val="num" w:pos="709"/>
        </w:tabs>
        <w:ind w:left="709" w:hanging="567"/>
      </w:pPr>
      <w:rPr>
        <w:rFonts w:ascii="Symbol" w:hAnsi="Symbol" w:hint="default"/>
      </w:rPr>
    </w:lvl>
    <w:lvl w:ilvl="1">
      <w:start w:val="1"/>
      <w:numFmt w:val="bullet"/>
      <w:lvlText w:val=""/>
      <w:lvlJc w:val="left"/>
      <w:pPr>
        <w:tabs>
          <w:tab w:val="num" w:pos="1134"/>
        </w:tabs>
        <w:ind w:left="1134" w:hanging="567"/>
      </w:pPr>
      <w:rPr>
        <w:rFonts w:ascii="Symbol" w:hAnsi="Symbol"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4" w15:restartNumberingAfterBreak="0">
    <w:nsid w:val="60991FB5"/>
    <w:multiLevelType w:val="multilevel"/>
    <w:tmpl w:val="1E16871C"/>
    <w:lvl w:ilvl="0">
      <w:start w:val="1"/>
      <w:numFmt w:val="bullet"/>
      <w:lvlText w:val=""/>
      <w:lvlJc w:val="left"/>
      <w:pPr>
        <w:tabs>
          <w:tab w:val="num" w:pos="709"/>
        </w:tabs>
        <w:ind w:left="709" w:hanging="567"/>
      </w:pPr>
      <w:rPr>
        <w:rFonts w:ascii="Symbol" w:hAnsi="Symbol" w:hint="default"/>
      </w:rPr>
    </w:lvl>
    <w:lvl w:ilvl="1">
      <w:start w:val="1"/>
      <w:numFmt w:val="bullet"/>
      <w:lvlText w:val=""/>
      <w:lvlJc w:val="left"/>
      <w:pPr>
        <w:tabs>
          <w:tab w:val="num" w:pos="1134"/>
        </w:tabs>
        <w:ind w:left="1134" w:hanging="567"/>
      </w:pPr>
      <w:rPr>
        <w:rFonts w:ascii="Symbol" w:hAnsi="Symbol"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692E5068"/>
    <w:multiLevelType w:val="multilevel"/>
    <w:tmpl w:val="EC422FC8"/>
    <w:lvl w:ilvl="0">
      <w:start w:val="1"/>
      <w:numFmt w:val="bullet"/>
      <w:lvlText w:val=""/>
      <w:lvlJc w:val="left"/>
      <w:pPr>
        <w:tabs>
          <w:tab w:val="num" w:pos="709"/>
        </w:tabs>
        <w:ind w:left="709" w:hanging="567"/>
      </w:pPr>
      <w:rPr>
        <w:rFonts w:ascii="Symbol" w:hAnsi="Symbol" w:hint="default"/>
      </w:rPr>
    </w:lvl>
    <w:lvl w:ilvl="1">
      <w:start w:val="1"/>
      <w:numFmt w:val="bullet"/>
      <w:lvlText w:val=""/>
      <w:lvlJc w:val="left"/>
      <w:pPr>
        <w:tabs>
          <w:tab w:val="num" w:pos="1134"/>
        </w:tabs>
        <w:ind w:left="1134" w:hanging="567"/>
      </w:pPr>
      <w:rPr>
        <w:rFonts w:ascii="Symbol" w:hAnsi="Symbol"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6" w15:restartNumberingAfterBreak="0">
    <w:nsid w:val="6BCF3ED9"/>
    <w:multiLevelType w:val="hybridMultilevel"/>
    <w:tmpl w:val="9A6A3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C25239B"/>
    <w:multiLevelType w:val="hybridMultilevel"/>
    <w:tmpl w:val="303CEE2A"/>
    <w:lvl w:ilvl="0" w:tplc="08090001">
      <w:start w:val="1"/>
      <w:numFmt w:val="bullet"/>
      <w:lvlText w:val=""/>
      <w:lvlJc w:val="left"/>
      <w:pPr>
        <w:ind w:left="1530" w:hanging="360"/>
      </w:pPr>
      <w:rPr>
        <w:rFonts w:ascii="Symbol" w:hAnsi="Symbol" w:hint="default"/>
      </w:rPr>
    </w:lvl>
    <w:lvl w:ilvl="1" w:tplc="5CD25F54">
      <w:start w:val="1"/>
      <w:numFmt w:val="bullet"/>
      <w:lvlText w:val=""/>
      <w:lvlJc w:val="left"/>
      <w:pPr>
        <w:ind w:left="2007" w:hanging="360"/>
      </w:pPr>
      <w:rPr>
        <w:rFonts w:ascii="Symbol" w:hAnsi="Symbol" w:hint="default"/>
      </w:rPr>
    </w:lvl>
    <w:lvl w:ilvl="2" w:tplc="0409001B">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8" w15:restartNumberingAfterBreak="0">
    <w:nsid w:val="736E0F9C"/>
    <w:multiLevelType w:val="multilevel"/>
    <w:tmpl w:val="209694E2"/>
    <w:lvl w:ilvl="0">
      <w:start w:val="1"/>
      <w:numFmt w:val="bullet"/>
      <w:lvlText w:val=""/>
      <w:lvlJc w:val="left"/>
      <w:pPr>
        <w:tabs>
          <w:tab w:val="num" w:pos="709"/>
        </w:tabs>
        <w:ind w:left="709" w:hanging="567"/>
      </w:pPr>
      <w:rPr>
        <w:rFonts w:ascii="Symbol" w:hAnsi="Symbol" w:hint="default"/>
      </w:rPr>
    </w:lvl>
    <w:lvl w:ilvl="1">
      <w:start w:val="1"/>
      <w:numFmt w:val="bullet"/>
      <w:lvlText w:val=""/>
      <w:lvlJc w:val="left"/>
      <w:pPr>
        <w:tabs>
          <w:tab w:val="num" w:pos="1134"/>
        </w:tabs>
        <w:ind w:left="1134" w:hanging="567"/>
      </w:pPr>
      <w:rPr>
        <w:rFonts w:ascii="Symbol" w:hAnsi="Symbol"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9" w15:restartNumberingAfterBreak="0">
    <w:nsid w:val="73E27B33"/>
    <w:multiLevelType w:val="multilevel"/>
    <w:tmpl w:val="2A100CE8"/>
    <w:lvl w:ilvl="0">
      <w:start w:val="1"/>
      <w:numFmt w:val="bullet"/>
      <w:lvlText w:val=""/>
      <w:lvlJc w:val="left"/>
      <w:pPr>
        <w:tabs>
          <w:tab w:val="num" w:pos="709"/>
        </w:tabs>
        <w:ind w:left="709" w:hanging="567"/>
      </w:pPr>
      <w:rPr>
        <w:rFonts w:ascii="Symbol" w:hAnsi="Symbol" w:hint="default"/>
      </w:rPr>
    </w:lvl>
    <w:lvl w:ilvl="1">
      <w:start w:val="1"/>
      <w:numFmt w:val="bullet"/>
      <w:lvlText w:val=""/>
      <w:lvlJc w:val="left"/>
      <w:pPr>
        <w:tabs>
          <w:tab w:val="num" w:pos="1134"/>
        </w:tabs>
        <w:ind w:left="1134" w:hanging="567"/>
      </w:pPr>
      <w:rPr>
        <w:rFonts w:ascii="Symbol" w:hAnsi="Symbol"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0" w15:restartNumberingAfterBreak="0">
    <w:nsid w:val="743B41B1"/>
    <w:multiLevelType w:val="hybridMultilevel"/>
    <w:tmpl w:val="3EACBE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5DF44D0"/>
    <w:multiLevelType w:val="multilevel"/>
    <w:tmpl w:val="5FA2215C"/>
    <w:lvl w:ilvl="0">
      <w:start w:val="1"/>
      <w:numFmt w:val="bullet"/>
      <w:lvlText w:val=""/>
      <w:lvlJc w:val="left"/>
      <w:pPr>
        <w:tabs>
          <w:tab w:val="num" w:pos="709"/>
        </w:tabs>
        <w:ind w:left="709" w:hanging="567"/>
      </w:pPr>
      <w:rPr>
        <w:rFonts w:ascii="Symbol" w:hAnsi="Symbol" w:hint="default"/>
      </w:rPr>
    </w:lvl>
    <w:lvl w:ilvl="1">
      <w:start w:val="1"/>
      <w:numFmt w:val="bullet"/>
      <w:lvlText w:val=""/>
      <w:lvlJc w:val="left"/>
      <w:pPr>
        <w:tabs>
          <w:tab w:val="num" w:pos="1134"/>
        </w:tabs>
        <w:ind w:left="1134" w:hanging="567"/>
      </w:pPr>
      <w:rPr>
        <w:rFonts w:ascii="Symbol" w:hAnsi="Symbol"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2" w15:restartNumberingAfterBreak="0">
    <w:nsid w:val="78523BBA"/>
    <w:multiLevelType w:val="hybridMultilevel"/>
    <w:tmpl w:val="963E4210"/>
    <w:lvl w:ilvl="0" w:tplc="5CD25F5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A711277"/>
    <w:multiLevelType w:val="multilevel"/>
    <w:tmpl w:val="6A34B690"/>
    <w:lvl w:ilvl="0">
      <w:start w:val="1"/>
      <w:numFmt w:val="bullet"/>
      <w:pStyle w:val="EMEABullet"/>
      <w:lvlText w:val=""/>
      <w:lvlJc w:val="left"/>
      <w:pPr>
        <w:tabs>
          <w:tab w:val="num" w:pos="709"/>
        </w:tabs>
        <w:ind w:left="709" w:hanging="567"/>
      </w:pPr>
      <w:rPr>
        <w:rFonts w:ascii="Symbol" w:hAnsi="Symbol" w:hint="default"/>
      </w:rPr>
    </w:lvl>
    <w:lvl w:ilvl="1">
      <w:start w:val="1"/>
      <w:numFmt w:val="bullet"/>
      <w:lvlText w:val=""/>
      <w:lvlJc w:val="left"/>
      <w:pPr>
        <w:tabs>
          <w:tab w:val="num" w:pos="1134"/>
        </w:tabs>
        <w:ind w:left="1134" w:hanging="567"/>
      </w:pPr>
      <w:rPr>
        <w:rFonts w:ascii="Symbol" w:hAnsi="Symbol"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4" w15:restartNumberingAfterBreak="0">
    <w:nsid w:val="7F4D7D64"/>
    <w:multiLevelType w:val="hybridMultilevel"/>
    <w:tmpl w:val="82128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FBE67DC"/>
    <w:multiLevelType w:val="multilevel"/>
    <w:tmpl w:val="3B8491B0"/>
    <w:lvl w:ilvl="0">
      <w:start w:val="1"/>
      <w:numFmt w:val="bullet"/>
      <w:lvlText w:val=""/>
      <w:lvlJc w:val="left"/>
      <w:pPr>
        <w:tabs>
          <w:tab w:val="num" w:pos="709"/>
        </w:tabs>
        <w:ind w:left="709" w:hanging="567"/>
      </w:pPr>
      <w:rPr>
        <w:rFonts w:ascii="Symbol" w:hAnsi="Symbol" w:hint="default"/>
      </w:rPr>
    </w:lvl>
    <w:lvl w:ilvl="1">
      <w:start w:val="1"/>
      <w:numFmt w:val="bullet"/>
      <w:lvlText w:val=""/>
      <w:lvlJc w:val="left"/>
      <w:pPr>
        <w:tabs>
          <w:tab w:val="num" w:pos="1134"/>
        </w:tabs>
        <w:ind w:left="1134" w:hanging="567"/>
      </w:pPr>
      <w:rPr>
        <w:rFonts w:ascii="Symbol" w:hAnsi="Symbol"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53"/>
  </w:num>
  <w:num w:numId="2">
    <w:abstractNumId w:val="31"/>
  </w:num>
  <w:num w:numId="3">
    <w:abstractNumId w:val="28"/>
    <w:lvlOverride w:ilvl="0">
      <w:startOverride w:val="1"/>
    </w:lvlOverride>
  </w:num>
  <w:num w:numId="4">
    <w:abstractNumId w:val="20"/>
  </w:num>
  <w:num w:numId="5">
    <w:abstractNumId w:val="25"/>
  </w:num>
  <w:num w:numId="6">
    <w:abstractNumId w:val="11"/>
    <w:lvlOverride w:ilvl="0">
      <w:startOverride w:val="1"/>
    </w:lvlOverride>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54"/>
  </w:num>
  <w:num w:numId="19">
    <w:abstractNumId w:val="19"/>
  </w:num>
  <w:num w:numId="20">
    <w:abstractNumId w:val="52"/>
  </w:num>
  <w:num w:numId="21">
    <w:abstractNumId w:val="24"/>
  </w:num>
  <w:num w:numId="22">
    <w:abstractNumId w:val="29"/>
  </w:num>
  <w:num w:numId="23">
    <w:abstractNumId w:val="30"/>
  </w:num>
  <w:num w:numId="24">
    <w:abstractNumId w:val="40"/>
  </w:num>
  <w:num w:numId="25">
    <w:abstractNumId w:val="38"/>
  </w:num>
  <w:num w:numId="26">
    <w:abstractNumId w:val="43"/>
  </w:num>
  <w:num w:numId="27">
    <w:abstractNumId w:val="50"/>
  </w:num>
  <w:num w:numId="28">
    <w:abstractNumId w:val="34"/>
  </w:num>
  <w:num w:numId="29">
    <w:abstractNumId w:val="44"/>
  </w:num>
  <w:num w:numId="30">
    <w:abstractNumId w:val="14"/>
  </w:num>
  <w:num w:numId="31">
    <w:abstractNumId w:val="16"/>
  </w:num>
  <w:num w:numId="32">
    <w:abstractNumId w:val="35"/>
  </w:num>
  <w:num w:numId="33">
    <w:abstractNumId w:val="15"/>
  </w:num>
  <w:num w:numId="34">
    <w:abstractNumId w:val="21"/>
  </w:num>
  <w:num w:numId="35">
    <w:abstractNumId w:val="13"/>
  </w:num>
  <w:num w:numId="36">
    <w:abstractNumId w:val="48"/>
  </w:num>
  <w:num w:numId="37">
    <w:abstractNumId w:val="26"/>
  </w:num>
  <w:num w:numId="38">
    <w:abstractNumId w:val="49"/>
  </w:num>
  <w:num w:numId="39">
    <w:abstractNumId w:val="41"/>
  </w:num>
  <w:num w:numId="40">
    <w:abstractNumId w:val="36"/>
  </w:num>
  <w:num w:numId="41">
    <w:abstractNumId w:val="51"/>
  </w:num>
  <w:num w:numId="42">
    <w:abstractNumId w:val="55"/>
  </w:num>
  <w:num w:numId="43">
    <w:abstractNumId w:val="23"/>
  </w:num>
  <w:num w:numId="44">
    <w:abstractNumId w:val="32"/>
  </w:num>
  <w:num w:numId="45">
    <w:abstractNumId w:val="17"/>
  </w:num>
  <w:num w:numId="46">
    <w:abstractNumId w:val="46"/>
  </w:num>
  <w:num w:numId="47">
    <w:abstractNumId w:val="37"/>
  </w:num>
  <w:num w:numId="48">
    <w:abstractNumId w:val="18"/>
  </w:num>
  <w:num w:numId="49">
    <w:abstractNumId w:val="10"/>
  </w:num>
  <w:num w:numId="50">
    <w:abstractNumId w:val="12"/>
  </w:num>
  <w:num w:numId="51">
    <w:abstractNumId w:val="42"/>
  </w:num>
  <w:num w:numId="52">
    <w:abstractNumId w:val="47"/>
  </w:num>
  <w:num w:numId="53">
    <w:abstractNumId w:val="45"/>
  </w:num>
  <w:num w:numId="54">
    <w:abstractNumId w:val="33"/>
  </w:num>
  <w:num w:numId="55">
    <w:abstractNumId w:val="39"/>
  </w:num>
  <w:num w:numId="56">
    <w:abstractNumId w:val="2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GB" w:vendorID="64" w:dllVersion="5" w:nlCheck="1" w:checkStyle="1"/>
  <w:activeWritingStyle w:appName="MSWord" w:lang="en-US" w:vendorID="64" w:dllVersion="5" w:nlCheck="1" w:checkStyle="1"/>
  <w:activeWritingStyle w:appName="MSWord" w:lang="en-GB" w:vendorID="64" w:dllVersion="6" w:nlCheck="1" w:checkStyle="1"/>
  <w:activeWritingStyle w:appName="MSWord" w:lang="en-US" w:vendorID="64" w:dllVersion="6" w:nlCheck="1" w:checkStyle="1"/>
  <w:activeWritingStyle w:appName="MSWord" w:lang="es-ES" w:vendorID="64" w:dllVersion="6" w:nlCheck="1" w:checkStyle="1"/>
  <w:activeWritingStyle w:appName="MSWord" w:lang="de-DE" w:vendorID="64" w:dllVersion="6" w:nlCheck="1" w:checkStyle="1"/>
  <w:activeWritingStyle w:appName="MSWord" w:lang="es-MX" w:vendorID="64" w:dllVersion="6" w:nlCheck="1" w:checkStyle="1"/>
  <w:activeWritingStyle w:appName="MSWord" w:lang="fr-FR" w:vendorID="64" w:dllVersion="6" w:nlCheck="1" w:checkStyle="1"/>
  <w:activeWritingStyle w:appName="MSWord" w:lang="fr-BE"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MX" w:vendorID="64" w:dllVersion="0" w:nlCheck="1" w:checkStyle="0"/>
  <w:activeWritingStyle w:appName="MSWord" w:lang="fr-BE" w:vendorID="64" w:dllVersion="0" w:nlCheck="1" w:checkStyle="0"/>
  <w:activeWritingStyle w:appName="MSWord" w:lang="es-E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9DB"/>
    <w:rsid w:val="000016F4"/>
    <w:rsid w:val="00001CDA"/>
    <w:rsid w:val="00002063"/>
    <w:rsid w:val="00002FFE"/>
    <w:rsid w:val="00003FF1"/>
    <w:rsid w:val="00005381"/>
    <w:rsid w:val="00005709"/>
    <w:rsid w:val="00005A6D"/>
    <w:rsid w:val="00007077"/>
    <w:rsid w:val="00010054"/>
    <w:rsid w:val="00010F24"/>
    <w:rsid w:val="000112B9"/>
    <w:rsid w:val="00011F6A"/>
    <w:rsid w:val="00012B23"/>
    <w:rsid w:val="00013BA6"/>
    <w:rsid w:val="0001443D"/>
    <w:rsid w:val="00014504"/>
    <w:rsid w:val="00014A6C"/>
    <w:rsid w:val="00016049"/>
    <w:rsid w:val="0002063F"/>
    <w:rsid w:val="00023745"/>
    <w:rsid w:val="00023AFB"/>
    <w:rsid w:val="000250D7"/>
    <w:rsid w:val="000254E3"/>
    <w:rsid w:val="00025A74"/>
    <w:rsid w:val="00026208"/>
    <w:rsid w:val="0002636F"/>
    <w:rsid w:val="000306BE"/>
    <w:rsid w:val="00031BBD"/>
    <w:rsid w:val="00032E48"/>
    <w:rsid w:val="00034D5C"/>
    <w:rsid w:val="00034DEB"/>
    <w:rsid w:val="00034F0D"/>
    <w:rsid w:val="00037F45"/>
    <w:rsid w:val="00041DC4"/>
    <w:rsid w:val="0004356B"/>
    <w:rsid w:val="00043EDA"/>
    <w:rsid w:val="00047BED"/>
    <w:rsid w:val="00050106"/>
    <w:rsid w:val="000502FC"/>
    <w:rsid w:val="00051992"/>
    <w:rsid w:val="000535B7"/>
    <w:rsid w:val="00054BE3"/>
    <w:rsid w:val="000552DD"/>
    <w:rsid w:val="0005645B"/>
    <w:rsid w:val="0006028F"/>
    <w:rsid w:val="000611F5"/>
    <w:rsid w:val="00062222"/>
    <w:rsid w:val="00063173"/>
    <w:rsid w:val="0006324B"/>
    <w:rsid w:val="00063A9F"/>
    <w:rsid w:val="00063B4B"/>
    <w:rsid w:val="00066D40"/>
    <w:rsid w:val="00070290"/>
    <w:rsid w:val="00070600"/>
    <w:rsid w:val="00072354"/>
    <w:rsid w:val="0007244B"/>
    <w:rsid w:val="00072B94"/>
    <w:rsid w:val="00075F01"/>
    <w:rsid w:val="000775E4"/>
    <w:rsid w:val="00077608"/>
    <w:rsid w:val="00080C30"/>
    <w:rsid w:val="00080EA1"/>
    <w:rsid w:val="0008133D"/>
    <w:rsid w:val="000818DA"/>
    <w:rsid w:val="00081BEA"/>
    <w:rsid w:val="000904D2"/>
    <w:rsid w:val="000930A3"/>
    <w:rsid w:val="000938E3"/>
    <w:rsid w:val="00093AB5"/>
    <w:rsid w:val="00093B5F"/>
    <w:rsid w:val="00093FCD"/>
    <w:rsid w:val="0009624D"/>
    <w:rsid w:val="000965C6"/>
    <w:rsid w:val="00097EED"/>
    <w:rsid w:val="00097F5B"/>
    <w:rsid w:val="000A5177"/>
    <w:rsid w:val="000A5818"/>
    <w:rsid w:val="000A66D5"/>
    <w:rsid w:val="000A716A"/>
    <w:rsid w:val="000B040A"/>
    <w:rsid w:val="000B061A"/>
    <w:rsid w:val="000B0D12"/>
    <w:rsid w:val="000B2D5F"/>
    <w:rsid w:val="000B35E1"/>
    <w:rsid w:val="000B4126"/>
    <w:rsid w:val="000B4340"/>
    <w:rsid w:val="000C128E"/>
    <w:rsid w:val="000C331A"/>
    <w:rsid w:val="000C3FD7"/>
    <w:rsid w:val="000C5AAF"/>
    <w:rsid w:val="000C5BDF"/>
    <w:rsid w:val="000C6F32"/>
    <w:rsid w:val="000D0449"/>
    <w:rsid w:val="000D086B"/>
    <w:rsid w:val="000D0D26"/>
    <w:rsid w:val="000D1F0B"/>
    <w:rsid w:val="000D2A44"/>
    <w:rsid w:val="000D35D6"/>
    <w:rsid w:val="000D3793"/>
    <w:rsid w:val="000D62CF"/>
    <w:rsid w:val="000D66D2"/>
    <w:rsid w:val="000D7F53"/>
    <w:rsid w:val="000E2877"/>
    <w:rsid w:val="000E424B"/>
    <w:rsid w:val="000E513F"/>
    <w:rsid w:val="000E645A"/>
    <w:rsid w:val="000E7DFA"/>
    <w:rsid w:val="000F09F0"/>
    <w:rsid w:val="000F340D"/>
    <w:rsid w:val="000F3857"/>
    <w:rsid w:val="000F402F"/>
    <w:rsid w:val="000F4920"/>
    <w:rsid w:val="000F5F42"/>
    <w:rsid w:val="000F64FB"/>
    <w:rsid w:val="000F6FCC"/>
    <w:rsid w:val="000F76DE"/>
    <w:rsid w:val="000F78C1"/>
    <w:rsid w:val="00101150"/>
    <w:rsid w:val="00103A89"/>
    <w:rsid w:val="00105500"/>
    <w:rsid w:val="001064F4"/>
    <w:rsid w:val="00107D84"/>
    <w:rsid w:val="001101FD"/>
    <w:rsid w:val="00111307"/>
    <w:rsid w:val="0011253A"/>
    <w:rsid w:val="001129DB"/>
    <w:rsid w:val="00112B33"/>
    <w:rsid w:val="0011493C"/>
    <w:rsid w:val="001151B5"/>
    <w:rsid w:val="0012042F"/>
    <w:rsid w:val="00120930"/>
    <w:rsid w:val="00120EA1"/>
    <w:rsid w:val="001225FF"/>
    <w:rsid w:val="00122AD3"/>
    <w:rsid w:val="0012388C"/>
    <w:rsid w:val="00124D97"/>
    <w:rsid w:val="0013137F"/>
    <w:rsid w:val="00132616"/>
    <w:rsid w:val="001326AC"/>
    <w:rsid w:val="00132AF9"/>
    <w:rsid w:val="00132FBF"/>
    <w:rsid w:val="00134AA9"/>
    <w:rsid w:val="0013643A"/>
    <w:rsid w:val="00136AEA"/>
    <w:rsid w:val="00136E39"/>
    <w:rsid w:val="0013745A"/>
    <w:rsid w:val="00137EE7"/>
    <w:rsid w:val="001425C7"/>
    <w:rsid w:val="001435E6"/>
    <w:rsid w:val="0014492B"/>
    <w:rsid w:val="00144ABE"/>
    <w:rsid w:val="001453C3"/>
    <w:rsid w:val="00147198"/>
    <w:rsid w:val="00147237"/>
    <w:rsid w:val="001473B0"/>
    <w:rsid w:val="001477BD"/>
    <w:rsid w:val="0015079B"/>
    <w:rsid w:val="00151CE2"/>
    <w:rsid w:val="001525A3"/>
    <w:rsid w:val="00152C5C"/>
    <w:rsid w:val="00152D85"/>
    <w:rsid w:val="001546A9"/>
    <w:rsid w:val="0015479E"/>
    <w:rsid w:val="001557C7"/>
    <w:rsid w:val="001561FB"/>
    <w:rsid w:val="0015672B"/>
    <w:rsid w:val="00157DB9"/>
    <w:rsid w:val="001600CD"/>
    <w:rsid w:val="0016046A"/>
    <w:rsid w:val="00160694"/>
    <w:rsid w:val="00160ACE"/>
    <w:rsid w:val="00160B43"/>
    <w:rsid w:val="0016222E"/>
    <w:rsid w:val="00163192"/>
    <w:rsid w:val="00165DDB"/>
    <w:rsid w:val="0016716F"/>
    <w:rsid w:val="0017061C"/>
    <w:rsid w:val="001729CE"/>
    <w:rsid w:val="00174CF9"/>
    <w:rsid w:val="001753C4"/>
    <w:rsid w:val="00177E78"/>
    <w:rsid w:val="00180238"/>
    <w:rsid w:val="00180DDD"/>
    <w:rsid w:val="00181BC7"/>
    <w:rsid w:val="001834A6"/>
    <w:rsid w:val="001840E6"/>
    <w:rsid w:val="00185668"/>
    <w:rsid w:val="00185B66"/>
    <w:rsid w:val="001861F2"/>
    <w:rsid w:val="0018622C"/>
    <w:rsid w:val="00186717"/>
    <w:rsid w:val="001927CF"/>
    <w:rsid w:val="0019710C"/>
    <w:rsid w:val="001979F2"/>
    <w:rsid w:val="001A00F9"/>
    <w:rsid w:val="001A02FD"/>
    <w:rsid w:val="001A1935"/>
    <w:rsid w:val="001A4143"/>
    <w:rsid w:val="001A6CE4"/>
    <w:rsid w:val="001B0216"/>
    <w:rsid w:val="001B28FA"/>
    <w:rsid w:val="001B2CD5"/>
    <w:rsid w:val="001B3454"/>
    <w:rsid w:val="001B5A55"/>
    <w:rsid w:val="001B5FF6"/>
    <w:rsid w:val="001C042D"/>
    <w:rsid w:val="001C2D2D"/>
    <w:rsid w:val="001C4CD7"/>
    <w:rsid w:val="001C55CF"/>
    <w:rsid w:val="001C5A9B"/>
    <w:rsid w:val="001C5D8E"/>
    <w:rsid w:val="001C6D46"/>
    <w:rsid w:val="001C74BA"/>
    <w:rsid w:val="001C77D2"/>
    <w:rsid w:val="001D0169"/>
    <w:rsid w:val="001D025B"/>
    <w:rsid w:val="001D2295"/>
    <w:rsid w:val="001D336F"/>
    <w:rsid w:val="001D349B"/>
    <w:rsid w:val="001D4340"/>
    <w:rsid w:val="001D629D"/>
    <w:rsid w:val="001D7254"/>
    <w:rsid w:val="001E1CE1"/>
    <w:rsid w:val="001E3098"/>
    <w:rsid w:val="001E34B9"/>
    <w:rsid w:val="001E36AB"/>
    <w:rsid w:val="001E4048"/>
    <w:rsid w:val="001E4ED3"/>
    <w:rsid w:val="001E6FBE"/>
    <w:rsid w:val="001F0286"/>
    <w:rsid w:val="001F0B2F"/>
    <w:rsid w:val="001F0C40"/>
    <w:rsid w:val="001F168C"/>
    <w:rsid w:val="001F2002"/>
    <w:rsid w:val="001F3D17"/>
    <w:rsid w:val="001F5484"/>
    <w:rsid w:val="001F668C"/>
    <w:rsid w:val="00201571"/>
    <w:rsid w:val="00203A1F"/>
    <w:rsid w:val="00204183"/>
    <w:rsid w:val="002042EE"/>
    <w:rsid w:val="002049E6"/>
    <w:rsid w:val="00204B94"/>
    <w:rsid w:val="00205577"/>
    <w:rsid w:val="002056B6"/>
    <w:rsid w:val="0020732B"/>
    <w:rsid w:val="0021425C"/>
    <w:rsid w:val="00214829"/>
    <w:rsid w:val="002153AE"/>
    <w:rsid w:val="0021619A"/>
    <w:rsid w:val="00216F1A"/>
    <w:rsid w:val="0021731C"/>
    <w:rsid w:val="002201FE"/>
    <w:rsid w:val="002202EE"/>
    <w:rsid w:val="00220D64"/>
    <w:rsid w:val="0022181E"/>
    <w:rsid w:val="0022428C"/>
    <w:rsid w:val="00225DDA"/>
    <w:rsid w:val="00226318"/>
    <w:rsid w:val="002279CA"/>
    <w:rsid w:val="00231177"/>
    <w:rsid w:val="00232FA6"/>
    <w:rsid w:val="0023490A"/>
    <w:rsid w:val="0023505E"/>
    <w:rsid w:val="00235411"/>
    <w:rsid w:val="00235953"/>
    <w:rsid w:val="00240DC5"/>
    <w:rsid w:val="00243725"/>
    <w:rsid w:val="00244BA2"/>
    <w:rsid w:val="00244FE1"/>
    <w:rsid w:val="00245D35"/>
    <w:rsid w:val="00246F37"/>
    <w:rsid w:val="00247547"/>
    <w:rsid w:val="00247CEB"/>
    <w:rsid w:val="002504FE"/>
    <w:rsid w:val="00252A2C"/>
    <w:rsid w:val="00253201"/>
    <w:rsid w:val="00253F0A"/>
    <w:rsid w:val="00254857"/>
    <w:rsid w:val="0025520A"/>
    <w:rsid w:val="002571DD"/>
    <w:rsid w:val="00257E19"/>
    <w:rsid w:val="0026037D"/>
    <w:rsid w:val="0026068A"/>
    <w:rsid w:val="002610DE"/>
    <w:rsid w:val="00262C6C"/>
    <w:rsid w:val="00263C3E"/>
    <w:rsid w:val="00263E4E"/>
    <w:rsid w:val="002667C8"/>
    <w:rsid w:val="00266A4D"/>
    <w:rsid w:val="002674AF"/>
    <w:rsid w:val="00271240"/>
    <w:rsid w:val="00271A5C"/>
    <w:rsid w:val="00272DA8"/>
    <w:rsid w:val="00273614"/>
    <w:rsid w:val="00275881"/>
    <w:rsid w:val="00276AD8"/>
    <w:rsid w:val="00277ECB"/>
    <w:rsid w:val="00280846"/>
    <w:rsid w:val="002813CF"/>
    <w:rsid w:val="00282043"/>
    <w:rsid w:val="002830A9"/>
    <w:rsid w:val="00285200"/>
    <w:rsid w:val="00285B05"/>
    <w:rsid w:val="002865D6"/>
    <w:rsid w:val="002866B9"/>
    <w:rsid w:val="002868BB"/>
    <w:rsid w:val="00286980"/>
    <w:rsid w:val="00286C9A"/>
    <w:rsid w:val="0029146F"/>
    <w:rsid w:val="00292626"/>
    <w:rsid w:val="00293325"/>
    <w:rsid w:val="0029356A"/>
    <w:rsid w:val="00293834"/>
    <w:rsid w:val="00293C18"/>
    <w:rsid w:val="00297204"/>
    <w:rsid w:val="002A0E09"/>
    <w:rsid w:val="002A1D85"/>
    <w:rsid w:val="002A21CC"/>
    <w:rsid w:val="002A338F"/>
    <w:rsid w:val="002A375B"/>
    <w:rsid w:val="002A3B2E"/>
    <w:rsid w:val="002A44B6"/>
    <w:rsid w:val="002A58DC"/>
    <w:rsid w:val="002A6640"/>
    <w:rsid w:val="002A75BD"/>
    <w:rsid w:val="002A75DB"/>
    <w:rsid w:val="002A7CD6"/>
    <w:rsid w:val="002B0AF9"/>
    <w:rsid w:val="002B2400"/>
    <w:rsid w:val="002B37EB"/>
    <w:rsid w:val="002B4ED6"/>
    <w:rsid w:val="002B6A81"/>
    <w:rsid w:val="002B7394"/>
    <w:rsid w:val="002C049A"/>
    <w:rsid w:val="002C2083"/>
    <w:rsid w:val="002C4066"/>
    <w:rsid w:val="002C4761"/>
    <w:rsid w:val="002C47A4"/>
    <w:rsid w:val="002C669C"/>
    <w:rsid w:val="002C78A1"/>
    <w:rsid w:val="002D0789"/>
    <w:rsid w:val="002D083F"/>
    <w:rsid w:val="002D105C"/>
    <w:rsid w:val="002D198C"/>
    <w:rsid w:val="002D273A"/>
    <w:rsid w:val="002D29B9"/>
    <w:rsid w:val="002D3AB6"/>
    <w:rsid w:val="002D5E53"/>
    <w:rsid w:val="002D6C2D"/>
    <w:rsid w:val="002E02FB"/>
    <w:rsid w:val="002E0C85"/>
    <w:rsid w:val="002E0F4C"/>
    <w:rsid w:val="002E12BE"/>
    <w:rsid w:val="002E2EE3"/>
    <w:rsid w:val="002E33DE"/>
    <w:rsid w:val="002E3F1D"/>
    <w:rsid w:val="002E480B"/>
    <w:rsid w:val="002E5720"/>
    <w:rsid w:val="002E59ED"/>
    <w:rsid w:val="002E6065"/>
    <w:rsid w:val="002E631F"/>
    <w:rsid w:val="002E63D1"/>
    <w:rsid w:val="002E6EAD"/>
    <w:rsid w:val="002E7494"/>
    <w:rsid w:val="002F06B6"/>
    <w:rsid w:val="002F08BD"/>
    <w:rsid w:val="002F0947"/>
    <w:rsid w:val="002F094D"/>
    <w:rsid w:val="002F2A8B"/>
    <w:rsid w:val="002F4C48"/>
    <w:rsid w:val="002F50A4"/>
    <w:rsid w:val="002F791C"/>
    <w:rsid w:val="002F7BB6"/>
    <w:rsid w:val="00300273"/>
    <w:rsid w:val="003003E1"/>
    <w:rsid w:val="00301484"/>
    <w:rsid w:val="003036A6"/>
    <w:rsid w:val="00304D2B"/>
    <w:rsid w:val="003052E5"/>
    <w:rsid w:val="00306029"/>
    <w:rsid w:val="00306419"/>
    <w:rsid w:val="0030767E"/>
    <w:rsid w:val="00311995"/>
    <w:rsid w:val="00312DB8"/>
    <w:rsid w:val="003136CD"/>
    <w:rsid w:val="00316B94"/>
    <w:rsid w:val="003207CA"/>
    <w:rsid w:val="00321412"/>
    <w:rsid w:val="00321C44"/>
    <w:rsid w:val="00323353"/>
    <w:rsid w:val="0032337E"/>
    <w:rsid w:val="003233F9"/>
    <w:rsid w:val="00323533"/>
    <w:rsid w:val="00323BFD"/>
    <w:rsid w:val="00325134"/>
    <w:rsid w:val="00325904"/>
    <w:rsid w:val="00326048"/>
    <w:rsid w:val="00326D70"/>
    <w:rsid w:val="00330E8B"/>
    <w:rsid w:val="003326C9"/>
    <w:rsid w:val="003330A8"/>
    <w:rsid w:val="003337E0"/>
    <w:rsid w:val="00333DD9"/>
    <w:rsid w:val="00335A77"/>
    <w:rsid w:val="00336345"/>
    <w:rsid w:val="00336A46"/>
    <w:rsid w:val="003370FC"/>
    <w:rsid w:val="0033728C"/>
    <w:rsid w:val="003400CE"/>
    <w:rsid w:val="00340B9E"/>
    <w:rsid w:val="00340FAE"/>
    <w:rsid w:val="0034181F"/>
    <w:rsid w:val="003428CC"/>
    <w:rsid w:val="00342F7C"/>
    <w:rsid w:val="003439BF"/>
    <w:rsid w:val="00345BEB"/>
    <w:rsid w:val="003464EE"/>
    <w:rsid w:val="0034722F"/>
    <w:rsid w:val="00353C39"/>
    <w:rsid w:val="00353E2E"/>
    <w:rsid w:val="0035549E"/>
    <w:rsid w:val="00355E0A"/>
    <w:rsid w:val="003608DF"/>
    <w:rsid w:val="003616AB"/>
    <w:rsid w:val="0036267F"/>
    <w:rsid w:val="00363F98"/>
    <w:rsid w:val="0036410D"/>
    <w:rsid w:val="0036411F"/>
    <w:rsid w:val="003642BE"/>
    <w:rsid w:val="0036430B"/>
    <w:rsid w:val="00364621"/>
    <w:rsid w:val="003651AE"/>
    <w:rsid w:val="0036525B"/>
    <w:rsid w:val="00366815"/>
    <w:rsid w:val="00373447"/>
    <w:rsid w:val="003740BC"/>
    <w:rsid w:val="003749E7"/>
    <w:rsid w:val="0037785E"/>
    <w:rsid w:val="00377D06"/>
    <w:rsid w:val="003800D0"/>
    <w:rsid w:val="0038029E"/>
    <w:rsid w:val="003808AC"/>
    <w:rsid w:val="00381256"/>
    <w:rsid w:val="003828EF"/>
    <w:rsid w:val="0038291D"/>
    <w:rsid w:val="00382C92"/>
    <w:rsid w:val="003833C3"/>
    <w:rsid w:val="00384FEC"/>
    <w:rsid w:val="0038543F"/>
    <w:rsid w:val="003866C3"/>
    <w:rsid w:val="00387694"/>
    <w:rsid w:val="00387CF0"/>
    <w:rsid w:val="00387E7A"/>
    <w:rsid w:val="00391462"/>
    <w:rsid w:val="00391D50"/>
    <w:rsid w:val="00391EBA"/>
    <w:rsid w:val="00392F3B"/>
    <w:rsid w:val="00393EFC"/>
    <w:rsid w:val="00394913"/>
    <w:rsid w:val="00396370"/>
    <w:rsid w:val="00396549"/>
    <w:rsid w:val="003967C0"/>
    <w:rsid w:val="003A01D9"/>
    <w:rsid w:val="003A209A"/>
    <w:rsid w:val="003A248D"/>
    <w:rsid w:val="003A42E6"/>
    <w:rsid w:val="003A58BB"/>
    <w:rsid w:val="003A5D18"/>
    <w:rsid w:val="003A68D8"/>
    <w:rsid w:val="003A69B1"/>
    <w:rsid w:val="003A7AA3"/>
    <w:rsid w:val="003A7C60"/>
    <w:rsid w:val="003A7CEF"/>
    <w:rsid w:val="003B1060"/>
    <w:rsid w:val="003B38E6"/>
    <w:rsid w:val="003B4530"/>
    <w:rsid w:val="003B47F1"/>
    <w:rsid w:val="003B4CB6"/>
    <w:rsid w:val="003B5D62"/>
    <w:rsid w:val="003B5E4E"/>
    <w:rsid w:val="003B7630"/>
    <w:rsid w:val="003B77FF"/>
    <w:rsid w:val="003C1501"/>
    <w:rsid w:val="003C1687"/>
    <w:rsid w:val="003C17E3"/>
    <w:rsid w:val="003C184D"/>
    <w:rsid w:val="003C1BB0"/>
    <w:rsid w:val="003C2268"/>
    <w:rsid w:val="003C25FD"/>
    <w:rsid w:val="003C32BB"/>
    <w:rsid w:val="003C4A95"/>
    <w:rsid w:val="003C579B"/>
    <w:rsid w:val="003C5F3D"/>
    <w:rsid w:val="003D1B4E"/>
    <w:rsid w:val="003D2CDB"/>
    <w:rsid w:val="003D35FD"/>
    <w:rsid w:val="003D3C80"/>
    <w:rsid w:val="003D3E38"/>
    <w:rsid w:val="003D60DD"/>
    <w:rsid w:val="003D773E"/>
    <w:rsid w:val="003E0EFF"/>
    <w:rsid w:val="003E2014"/>
    <w:rsid w:val="003E392A"/>
    <w:rsid w:val="003E3CB9"/>
    <w:rsid w:val="003E3FA7"/>
    <w:rsid w:val="003E4488"/>
    <w:rsid w:val="003E47A1"/>
    <w:rsid w:val="003E4981"/>
    <w:rsid w:val="003E51DB"/>
    <w:rsid w:val="003E614A"/>
    <w:rsid w:val="003E6477"/>
    <w:rsid w:val="003F1C73"/>
    <w:rsid w:val="003F248C"/>
    <w:rsid w:val="003F2F80"/>
    <w:rsid w:val="003F3D02"/>
    <w:rsid w:val="003F40A8"/>
    <w:rsid w:val="003F4A82"/>
    <w:rsid w:val="003F6268"/>
    <w:rsid w:val="003F639C"/>
    <w:rsid w:val="003F69A3"/>
    <w:rsid w:val="003F69B9"/>
    <w:rsid w:val="00401DE4"/>
    <w:rsid w:val="00402DC9"/>
    <w:rsid w:val="00403F0E"/>
    <w:rsid w:val="00403F96"/>
    <w:rsid w:val="0040661B"/>
    <w:rsid w:val="00406B21"/>
    <w:rsid w:val="00407728"/>
    <w:rsid w:val="0041288F"/>
    <w:rsid w:val="004134D0"/>
    <w:rsid w:val="00414690"/>
    <w:rsid w:val="00414937"/>
    <w:rsid w:val="00415101"/>
    <w:rsid w:val="0041768F"/>
    <w:rsid w:val="004203B8"/>
    <w:rsid w:val="00420A98"/>
    <w:rsid w:val="00421A32"/>
    <w:rsid w:val="00423AA5"/>
    <w:rsid w:val="00423FB2"/>
    <w:rsid w:val="00426315"/>
    <w:rsid w:val="0043093C"/>
    <w:rsid w:val="00433A7E"/>
    <w:rsid w:val="00434B23"/>
    <w:rsid w:val="004353A6"/>
    <w:rsid w:val="004363BD"/>
    <w:rsid w:val="004369D8"/>
    <w:rsid w:val="00437303"/>
    <w:rsid w:val="00437C09"/>
    <w:rsid w:val="0044246A"/>
    <w:rsid w:val="004426DF"/>
    <w:rsid w:val="0044296E"/>
    <w:rsid w:val="00443BDB"/>
    <w:rsid w:val="00444801"/>
    <w:rsid w:val="00444B6C"/>
    <w:rsid w:val="0044532B"/>
    <w:rsid w:val="00445C1C"/>
    <w:rsid w:val="00447592"/>
    <w:rsid w:val="00450612"/>
    <w:rsid w:val="00450757"/>
    <w:rsid w:val="00451218"/>
    <w:rsid w:val="00451B42"/>
    <w:rsid w:val="0045272F"/>
    <w:rsid w:val="0045372C"/>
    <w:rsid w:val="00454ACF"/>
    <w:rsid w:val="00455A23"/>
    <w:rsid w:val="00456268"/>
    <w:rsid w:val="00457349"/>
    <w:rsid w:val="0046191B"/>
    <w:rsid w:val="004627D4"/>
    <w:rsid w:val="00463201"/>
    <w:rsid w:val="00463B5C"/>
    <w:rsid w:val="00463CC1"/>
    <w:rsid w:val="00464132"/>
    <w:rsid w:val="004644A2"/>
    <w:rsid w:val="00464DB5"/>
    <w:rsid w:val="00465385"/>
    <w:rsid w:val="004675B7"/>
    <w:rsid w:val="004700A8"/>
    <w:rsid w:val="004714CA"/>
    <w:rsid w:val="00471FF0"/>
    <w:rsid w:val="00472E7B"/>
    <w:rsid w:val="00472FFA"/>
    <w:rsid w:val="004737B7"/>
    <w:rsid w:val="00477040"/>
    <w:rsid w:val="00477E16"/>
    <w:rsid w:val="0048135B"/>
    <w:rsid w:val="00482AB6"/>
    <w:rsid w:val="00482EB0"/>
    <w:rsid w:val="00482FDA"/>
    <w:rsid w:val="00483CB3"/>
    <w:rsid w:val="00483E19"/>
    <w:rsid w:val="00484698"/>
    <w:rsid w:val="00485672"/>
    <w:rsid w:val="00487141"/>
    <w:rsid w:val="00487638"/>
    <w:rsid w:val="00495DE0"/>
    <w:rsid w:val="004A0549"/>
    <w:rsid w:val="004A14B3"/>
    <w:rsid w:val="004A26D3"/>
    <w:rsid w:val="004A2F64"/>
    <w:rsid w:val="004A3C0E"/>
    <w:rsid w:val="004A3E0A"/>
    <w:rsid w:val="004A4B36"/>
    <w:rsid w:val="004A5968"/>
    <w:rsid w:val="004A5988"/>
    <w:rsid w:val="004A7869"/>
    <w:rsid w:val="004A7D5E"/>
    <w:rsid w:val="004B013F"/>
    <w:rsid w:val="004B0361"/>
    <w:rsid w:val="004B16AB"/>
    <w:rsid w:val="004B3224"/>
    <w:rsid w:val="004B37FD"/>
    <w:rsid w:val="004B49A7"/>
    <w:rsid w:val="004B5949"/>
    <w:rsid w:val="004B668D"/>
    <w:rsid w:val="004B70FB"/>
    <w:rsid w:val="004B7A31"/>
    <w:rsid w:val="004C1540"/>
    <w:rsid w:val="004C1C69"/>
    <w:rsid w:val="004C541C"/>
    <w:rsid w:val="004C5563"/>
    <w:rsid w:val="004C7EA6"/>
    <w:rsid w:val="004C7EF3"/>
    <w:rsid w:val="004D28BF"/>
    <w:rsid w:val="004D2A3E"/>
    <w:rsid w:val="004D3971"/>
    <w:rsid w:val="004D5373"/>
    <w:rsid w:val="004D5C5D"/>
    <w:rsid w:val="004D628B"/>
    <w:rsid w:val="004D6A48"/>
    <w:rsid w:val="004D6AE0"/>
    <w:rsid w:val="004D6D8F"/>
    <w:rsid w:val="004D7A66"/>
    <w:rsid w:val="004E4B46"/>
    <w:rsid w:val="004E6F5B"/>
    <w:rsid w:val="004E781D"/>
    <w:rsid w:val="004E7BAD"/>
    <w:rsid w:val="004F2509"/>
    <w:rsid w:val="004F2F47"/>
    <w:rsid w:val="004F483A"/>
    <w:rsid w:val="004F505E"/>
    <w:rsid w:val="004F5F34"/>
    <w:rsid w:val="004F60F9"/>
    <w:rsid w:val="004F672B"/>
    <w:rsid w:val="004F6A67"/>
    <w:rsid w:val="004F78F2"/>
    <w:rsid w:val="00500392"/>
    <w:rsid w:val="005020DD"/>
    <w:rsid w:val="0050222A"/>
    <w:rsid w:val="00502F87"/>
    <w:rsid w:val="00505D78"/>
    <w:rsid w:val="00506240"/>
    <w:rsid w:val="00506BA5"/>
    <w:rsid w:val="00506FF8"/>
    <w:rsid w:val="00507BA7"/>
    <w:rsid w:val="00507F1B"/>
    <w:rsid w:val="00511061"/>
    <w:rsid w:val="005116D9"/>
    <w:rsid w:val="00511A09"/>
    <w:rsid w:val="00514145"/>
    <w:rsid w:val="00514EA0"/>
    <w:rsid w:val="00514F59"/>
    <w:rsid w:val="00515A20"/>
    <w:rsid w:val="0051772E"/>
    <w:rsid w:val="00517EDD"/>
    <w:rsid w:val="005201D6"/>
    <w:rsid w:val="005215EB"/>
    <w:rsid w:val="00523C66"/>
    <w:rsid w:val="0052500C"/>
    <w:rsid w:val="00525167"/>
    <w:rsid w:val="00525469"/>
    <w:rsid w:val="0052571B"/>
    <w:rsid w:val="005260F8"/>
    <w:rsid w:val="0052652E"/>
    <w:rsid w:val="005272B6"/>
    <w:rsid w:val="0052761E"/>
    <w:rsid w:val="0053067E"/>
    <w:rsid w:val="00531A5A"/>
    <w:rsid w:val="00533212"/>
    <w:rsid w:val="00533A1F"/>
    <w:rsid w:val="005368ED"/>
    <w:rsid w:val="00540311"/>
    <w:rsid w:val="005410A7"/>
    <w:rsid w:val="0054216D"/>
    <w:rsid w:val="00542551"/>
    <w:rsid w:val="00542CB5"/>
    <w:rsid w:val="0054395F"/>
    <w:rsid w:val="0054709E"/>
    <w:rsid w:val="00547602"/>
    <w:rsid w:val="00547A1C"/>
    <w:rsid w:val="00550310"/>
    <w:rsid w:val="00550414"/>
    <w:rsid w:val="00551596"/>
    <w:rsid w:val="005517AE"/>
    <w:rsid w:val="005529FE"/>
    <w:rsid w:val="00552C8A"/>
    <w:rsid w:val="0055744B"/>
    <w:rsid w:val="00560786"/>
    <w:rsid w:val="00561169"/>
    <w:rsid w:val="00561C41"/>
    <w:rsid w:val="00562D03"/>
    <w:rsid w:val="005633A4"/>
    <w:rsid w:val="00564112"/>
    <w:rsid w:val="0056432C"/>
    <w:rsid w:val="0056616E"/>
    <w:rsid w:val="0056649D"/>
    <w:rsid w:val="0056654E"/>
    <w:rsid w:val="005667DC"/>
    <w:rsid w:val="00567AB5"/>
    <w:rsid w:val="00570F64"/>
    <w:rsid w:val="00571B86"/>
    <w:rsid w:val="00572D28"/>
    <w:rsid w:val="00573B91"/>
    <w:rsid w:val="005745A0"/>
    <w:rsid w:val="005760A9"/>
    <w:rsid w:val="005762AB"/>
    <w:rsid w:val="005766B5"/>
    <w:rsid w:val="00580178"/>
    <w:rsid w:val="0058073E"/>
    <w:rsid w:val="005832AE"/>
    <w:rsid w:val="00583ADD"/>
    <w:rsid w:val="00583CA2"/>
    <w:rsid w:val="00584AA3"/>
    <w:rsid w:val="00584BEF"/>
    <w:rsid w:val="005850A1"/>
    <w:rsid w:val="0058514F"/>
    <w:rsid w:val="00586208"/>
    <w:rsid w:val="00586E13"/>
    <w:rsid w:val="0058716A"/>
    <w:rsid w:val="0059049B"/>
    <w:rsid w:val="00591AA5"/>
    <w:rsid w:val="005920C7"/>
    <w:rsid w:val="00592B74"/>
    <w:rsid w:val="00592F94"/>
    <w:rsid w:val="00593CAB"/>
    <w:rsid w:val="00594771"/>
    <w:rsid w:val="0059577A"/>
    <w:rsid w:val="005968CC"/>
    <w:rsid w:val="00597CCE"/>
    <w:rsid w:val="005A0573"/>
    <w:rsid w:val="005A13B4"/>
    <w:rsid w:val="005A27C8"/>
    <w:rsid w:val="005A4A77"/>
    <w:rsid w:val="005A635A"/>
    <w:rsid w:val="005A66A5"/>
    <w:rsid w:val="005A6C7C"/>
    <w:rsid w:val="005A7231"/>
    <w:rsid w:val="005A7D58"/>
    <w:rsid w:val="005B038B"/>
    <w:rsid w:val="005B05E5"/>
    <w:rsid w:val="005B22B4"/>
    <w:rsid w:val="005B2862"/>
    <w:rsid w:val="005B4192"/>
    <w:rsid w:val="005B4B93"/>
    <w:rsid w:val="005C0D76"/>
    <w:rsid w:val="005C144F"/>
    <w:rsid w:val="005C1922"/>
    <w:rsid w:val="005C22BD"/>
    <w:rsid w:val="005C29A6"/>
    <w:rsid w:val="005C3D78"/>
    <w:rsid w:val="005C4B92"/>
    <w:rsid w:val="005C512B"/>
    <w:rsid w:val="005C57F6"/>
    <w:rsid w:val="005C5A30"/>
    <w:rsid w:val="005C68A8"/>
    <w:rsid w:val="005C72CA"/>
    <w:rsid w:val="005D09DA"/>
    <w:rsid w:val="005D1501"/>
    <w:rsid w:val="005D16CA"/>
    <w:rsid w:val="005D1F40"/>
    <w:rsid w:val="005D447D"/>
    <w:rsid w:val="005D44BA"/>
    <w:rsid w:val="005D4938"/>
    <w:rsid w:val="005D5FCA"/>
    <w:rsid w:val="005E0BD0"/>
    <w:rsid w:val="005E0C48"/>
    <w:rsid w:val="005E1E99"/>
    <w:rsid w:val="005E2194"/>
    <w:rsid w:val="005E370D"/>
    <w:rsid w:val="005E4D30"/>
    <w:rsid w:val="005E59A9"/>
    <w:rsid w:val="005F1B18"/>
    <w:rsid w:val="005F212E"/>
    <w:rsid w:val="005F278F"/>
    <w:rsid w:val="005F55A7"/>
    <w:rsid w:val="005F58FF"/>
    <w:rsid w:val="005F604A"/>
    <w:rsid w:val="005F62B9"/>
    <w:rsid w:val="005F6620"/>
    <w:rsid w:val="005F67C0"/>
    <w:rsid w:val="005F69EC"/>
    <w:rsid w:val="005F7244"/>
    <w:rsid w:val="00601C63"/>
    <w:rsid w:val="006021A2"/>
    <w:rsid w:val="006025D5"/>
    <w:rsid w:val="00602905"/>
    <w:rsid w:val="006029D2"/>
    <w:rsid w:val="0060483F"/>
    <w:rsid w:val="00604C4C"/>
    <w:rsid w:val="00605CE2"/>
    <w:rsid w:val="00607679"/>
    <w:rsid w:val="00614218"/>
    <w:rsid w:val="0061442A"/>
    <w:rsid w:val="006153E9"/>
    <w:rsid w:val="00615939"/>
    <w:rsid w:val="00616B54"/>
    <w:rsid w:val="00617545"/>
    <w:rsid w:val="00617668"/>
    <w:rsid w:val="00617C53"/>
    <w:rsid w:val="00617E99"/>
    <w:rsid w:val="00620B62"/>
    <w:rsid w:val="00623EAC"/>
    <w:rsid w:val="006248E7"/>
    <w:rsid w:val="00634094"/>
    <w:rsid w:val="00634BB8"/>
    <w:rsid w:val="00634EE8"/>
    <w:rsid w:val="006354B4"/>
    <w:rsid w:val="00637FE1"/>
    <w:rsid w:val="00640918"/>
    <w:rsid w:val="00640E1B"/>
    <w:rsid w:val="00641BBD"/>
    <w:rsid w:val="00642700"/>
    <w:rsid w:val="0064304D"/>
    <w:rsid w:val="0064415F"/>
    <w:rsid w:val="006448FB"/>
    <w:rsid w:val="006449E5"/>
    <w:rsid w:val="006449FD"/>
    <w:rsid w:val="00644B41"/>
    <w:rsid w:val="00645443"/>
    <w:rsid w:val="00645892"/>
    <w:rsid w:val="00646570"/>
    <w:rsid w:val="006472F5"/>
    <w:rsid w:val="00647378"/>
    <w:rsid w:val="00650FD6"/>
    <w:rsid w:val="00651339"/>
    <w:rsid w:val="00651A2E"/>
    <w:rsid w:val="00652468"/>
    <w:rsid w:val="00652718"/>
    <w:rsid w:val="006527EB"/>
    <w:rsid w:val="00652D04"/>
    <w:rsid w:val="006542A8"/>
    <w:rsid w:val="00654753"/>
    <w:rsid w:val="0065549C"/>
    <w:rsid w:val="006557A1"/>
    <w:rsid w:val="00656FB3"/>
    <w:rsid w:val="00661288"/>
    <w:rsid w:val="006615D6"/>
    <w:rsid w:val="00661EE8"/>
    <w:rsid w:val="006629CE"/>
    <w:rsid w:val="006644C1"/>
    <w:rsid w:val="006652FB"/>
    <w:rsid w:val="00665C9E"/>
    <w:rsid w:val="0066634D"/>
    <w:rsid w:val="00667FF8"/>
    <w:rsid w:val="00673685"/>
    <w:rsid w:val="0067468C"/>
    <w:rsid w:val="00674B90"/>
    <w:rsid w:val="006778BB"/>
    <w:rsid w:val="00677B00"/>
    <w:rsid w:val="00677BEF"/>
    <w:rsid w:val="00680A77"/>
    <w:rsid w:val="00680F57"/>
    <w:rsid w:val="00681A2D"/>
    <w:rsid w:val="00681CF8"/>
    <w:rsid w:val="0068223A"/>
    <w:rsid w:val="00685AC2"/>
    <w:rsid w:val="006863EF"/>
    <w:rsid w:val="00687622"/>
    <w:rsid w:val="006876D1"/>
    <w:rsid w:val="006905E1"/>
    <w:rsid w:val="0069101D"/>
    <w:rsid w:val="00692F2F"/>
    <w:rsid w:val="00693051"/>
    <w:rsid w:val="0069385E"/>
    <w:rsid w:val="00695478"/>
    <w:rsid w:val="006959E8"/>
    <w:rsid w:val="00695C1E"/>
    <w:rsid w:val="00695F0A"/>
    <w:rsid w:val="00697B07"/>
    <w:rsid w:val="006A0058"/>
    <w:rsid w:val="006A0641"/>
    <w:rsid w:val="006A1C1B"/>
    <w:rsid w:val="006A514D"/>
    <w:rsid w:val="006A571F"/>
    <w:rsid w:val="006B3626"/>
    <w:rsid w:val="006B3E88"/>
    <w:rsid w:val="006B3F1F"/>
    <w:rsid w:val="006B4BCF"/>
    <w:rsid w:val="006B5E70"/>
    <w:rsid w:val="006B7489"/>
    <w:rsid w:val="006C0913"/>
    <w:rsid w:val="006C11F6"/>
    <w:rsid w:val="006C1322"/>
    <w:rsid w:val="006C172A"/>
    <w:rsid w:val="006C19F9"/>
    <w:rsid w:val="006C363F"/>
    <w:rsid w:val="006C43E7"/>
    <w:rsid w:val="006C491D"/>
    <w:rsid w:val="006C60C7"/>
    <w:rsid w:val="006D0B13"/>
    <w:rsid w:val="006D283F"/>
    <w:rsid w:val="006D2B78"/>
    <w:rsid w:val="006D2C49"/>
    <w:rsid w:val="006D3A0A"/>
    <w:rsid w:val="006D3B0D"/>
    <w:rsid w:val="006D4377"/>
    <w:rsid w:val="006D4547"/>
    <w:rsid w:val="006D4D8E"/>
    <w:rsid w:val="006D531B"/>
    <w:rsid w:val="006D53A2"/>
    <w:rsid w:val="006E00B1"/>
    <w:rsid w:val="006E0E58"/>
    <w:rsid w:val="006E1A63"/>
    <w:rsid w:val="006E1FDC"/>
    <w:rsid w:val="006E3CEE"/>
    <w:rsid w:val="006E48E5"/>
    <w:rsid w:val="006E561E"/>
    <w:rsid w:val="006E59EB"/>
    <w:rsid w:val="006E5B4B"/>
    <w:rsid w:val="006E6288"/>
    <w:rsid w:val="006E7714"/>
    <w:rsid w:val="006E7955"/>
    <w:rsid w:val="006F08A0"/>
    <w:rsid w:val="006F1427"/>
    <w:rsid w:val="006F161C"/>
    <w:rsid w:val="006F296F"/>
    <w:rsid w:val="006F2DA1"/>
    <w:rsid w:val="006F2F8E"/>
    <w:rsid w:val="006F415D"/>
    <w:rsid w:val="006F4C8E"/>
    <w:rsid w:val="0070020B"/>
    <w:rsid w:val="007009DB"/>
    <w:rsid w:val="007014BF"/>
    <w:rsid w:val="00702478"/>
    <w:rsid w:val="00706097"/>
    <w:rsid w:val="00706DD9"/>
    <w:rsid w:val="00707801"/>
    <w:rsid w:val="007079E7"/>
    <w:rsid w:val="00711D9E"/>
    <w:rsid w:val="00711F0C"/>
    <w:rsid w:val="0071232B"/>
    <w:rsid w:val="00713678"/>
    <w:rsid w:val="00713878"/>
    <w:rsid w:val="00715EE0"/>
    <w:rsid w:val="00720FEC"/>
    <w:rsid w:val="00721253"/>
    <w:rsid w:val="00723FDC"/>
    <w:rsid w:val="00725579"/>
    <w:rsid w:val="00730611"/>
    <w:rsid w:val="00731680"/>
    <w:rsid w:val="00735BDB"/>
    <w:rsid w:val="0073613A"/>
    <w:rsid w:val="00736595"/>
    <w:rsid w:val="00736F0D"/>
    <w:rsid w:val="00744B59"/>
    <w:rsid w:val="00744CCE"/>
    <w:rsid w:val="00746167"/>
    <w:rsid w:val="00750457"/>
    <w:rsid w:val="00751C7E"/>
    <w:rsid w:val="0075389D"/>
    <w:rsid w:val="00754232"/>
    <w:rsid w:val="007546B6"/>
    <w:rsid w:val="00754FAA"/>
    <w:rsid w:val="0075514E"/>
    <w:rsid w:val="00755260"/>
    <w:rsid w:val="00755871"/>
    <w:rsid w:val="007574EF"/>
    <w:rsid w:val="00757860"/>
    <w:rsid w:val="007615CD"/>
    <w:rsid w:val="00761866"/>
    <w:rsid w:val="00761A72"/>
    <w:rsid w:val="00762927"/>
    <w:rsid w:val="007645D6"/>
    <w:rsid w:val="0076580C"/>
    <w:rsid w:val="00765B20"/>
    <w:rsid w:val="00766AA6"/>
    <w:rsid w:val="00767D88"/>
    <w:rsid w:val="007723C6"/>
    <w:rsid w:val="00775C07"/>
    <w:rsid w:val="0077664E"/>
    <w:rsid w:val="007779CF"/>
    <w:rsid w:val="007802E5"/>
    <w:rsid w:val="00781E31"/>
    <w:rsid w:val="00783654"/>
    <w:rsid w:val="0078438A"/>
    <w:rsid w:val="007846EB"/>
    <w:rsid w:val="007862DF"/>
    <w:rsid w:val="007871F2"/>
    <w:rsid w:val="0079020E"/>
    <w:rsid w:val="007903AA"/>
    <w:rsid w:val="00791CA4"/>
    <w:rsid w:val="00793515"/>
    <w:rsid w:val="007956DC"/>
    <w:rsid w:val="007967D0"/>
    <w:rsid w:val="00797BA8"/>
    <w:rsid w:val="00797BFA"/>
    <w:rsid w:val="007A46A1"/>
    <w:rsid w:val="007A5B11"/>
    <w:rsid w:val="007B3CE6"/>
    <w:rsid w:val="007B5778"/>
    <w:rsid w:val="007B5A95"/>
    <w:rsid w:val="007B6357"/>
    <w:rsid w:val="007B708F"/>
    <w:rsid w:val="007B714B"/>
    <w:rsid w:val="007B76F0"/>
    <w:rsid w:val="007C264B"/>
    <w:rsid w:val="007C2AD0"/>
    <w:rsid w:val="007C4A76"/>
    <w:rsid w:val="007C4B96"/>
    <w:rsid w:val="007C4DAF"/>
    <w:rsid w:val="007C54CA"/>
    <w:rsid w:val="007D08C9"/>
    <w:rsid w:val="007D0DF3"/>
    <w:rsid w:val="007D3429"/>
    <w:rsid w:val="007D3EEB"/>
    <w:rsid w:val="007D6777"/>
    <w:rsid w:val="007D7BEF"/>
    <w:rsid w:val="007E1876"/>
    <w:rsid w:val="007E1E2E"/>
    <w:rsid w:val="007E296A"/>
    <w:rsid w:val="007E55C1"/>
    <w:rsid w:val="007E63B2"/>
    <w:rsid w:val="007E69A6"/>
    <w:rsid w:val="007E69C1"/>
    <w:rsid w:val="007E786E"/>
    <w:rsid w:val="007F01E5"/>
    <w:rsid w:val="007F1510"/>
    <w:rsid w:val="007F1AFC"/>
    <w:rsid w:val="007F2D80"/>
    <w:rsid w:val="007F2FC4"/>
    <w:rsid w:val="007F3715"/>
    <w:rsid w:val="007F4F53"/>
    <w:rsid w:val="007F5D3A"/>
    <w:rsid w:val="007F6003"/>
    <w:rsid w:val="008015AE"/>
    <w:rsid w:val="008027BE"/>
    <w:rsid w:val="00802D52"/>
    <w:rsid w:val="008034C1"/>
    <w:rsid w:val="00803A10"/>
    <w:rsid w:val="00804FB3"/>
    <w:rsid w:val="00805567"/>
    <w:rsid w:val="00807B38"/>
    <w:rsid w:val="00811230"/>
    <w:rsid w:val="0081124D"/>
    <w:rsid w:val="00811B3D"/>
    <w:rsid w:val="00811B80"/>
    <w:rsid w:val="00812D40"/>
    <w:rsid w:val="0081443F"/>
    <w:rsid w:val="0081557D"/>
    <w:rsid w:val="008168DF"/>
    <w:rsid w:val="00817FB8"/>
    <w:rsid w:val="00820C17"/>
    <w:rsid w:val="00825F29"/>
    <w:rsid w:val="008261FE"/>
    <w:rsid w:val="008313D3"/>
    <w:rsid w:val="00833268"/>
    <w:rsid w:val="0083381E"/>
    <w:rsid w:val="008350CF"/>
    <w:rsid w:val="00835996"/>
    <w:rsid w:val="00835BDA"/>
    <w:rsid w:val="00837616"/>
    <w:rsid w:val="0084086F"/>
    <w:rsid w:val="0084092B"/>
    <w:rsid w:val="00843117"/>
    <w:rsid w:val="00843753"/>
    <w:rsid w:val="008457D1"/>
    <w:rsid w:val="0084589E"/>
    <w:rsid w:val="008464F1"/>
    <w:rsid w:val="00846AAC"/>
    <w:rsid w:val="00846D98"/>
    <w:rsid w:val="00847455"/>
    <w:rsid w:val="00847814"/>
    <w:rsid w:val="00850177"/>
    <w:rsid w:val="008524C7"/>
    <w:rsid w:val="0085295E"/>
    <w:rsid w:val="00852B54"/>
    <w:rsid w:val="00854110"/>
    <w:rsid w:val="008541E3"/>
    <w:rsid w:val="00861FB1"/>
    <w:rsid w:val="0086621B"/>
    <w:rsid w:val="00867DE1"/>
    <w:rsid w:val="00870BF4"/>
    <w:rsid w:val="008714A2"/>
    <w:rsid w:val="008715F5"/>
    <w:rsid w:val="00873469"/>
    <w:rsid w:val="00873E5B"/>
    <w:rsid w:val="00873FB5"/>
    <w:rsid w:val="00881017"/>
    <w:rsid w:val="008831F2"/>
    <w:rsid w:val="00885B72"/>
    <w:rsid w:val="00886E73"/>
    <w:rsid w:val="008915C6"/>
    <w:rsid w:val="00894A4E"/>
    <w:rsid w:val="00894FEB"/>
    <w:rsid w:val="00895A35"/>
    <w:rsid w:val="00896DBC"/>
    <w:rsid w:val="008971AC"/>
    <w:rsid w:val="008976C4"/>
    <w:rsid w:val="0089797D"/>
    <w:rsid w:val="00897D5B"/>
    <w:rsid w:val="008A0D82"/>
    <w:rsid w:val="008A1A86"/>
    <w:rsid w:val="008A3CF2"/>
    <w:rsid w:val="008A3FB4"/>
    <w:rsid w:val="008A43C6"/>
    <w:rsid w:val="008A55B1"/>
    <w:rsid w:val="008A58ED"/>
    <w:rsid w:val="008A646C"/>
    <w:rsid w:val="008A66C5"/>
    <w:rsid w:val="008B180E"/>
    <w:rsid w:val="008B4674"/>
    <w:rsid w:val="008B507F"/>
    <w:rsid w:val="008B6033"/>
    <w:rsid w:val="008B6723"/>
    <w:rsid w:val="008B6724"/>
    <w:rsid w:val="008B69BB"/>
    <w:rsid w:val="008B6A8D"/>
    <w:rsid w:val="008B7635"/>
    <w:rsid w:val="008B7CF6"/>
    <w:rsid w:val="008C0DA1"/>
    <w:rsid w:val="008C1BBF"/>
    <w:rsid w:val="008C344C"/>
    <w:rsid w:val="008C5722"/>
    <w:rsid w:val="008D10D9"/>
    <w:rsid w:val="008D20FB"/>
    <w:rsid w:val="008D2CB7"/>
    <w:rsid w:val="008D3E9C"/>
    <w:rsid w:val="008D6A11"/>
    <w:rsid w:val="008E0314"/>
    <w:rsid w:val="008E1B9E"/>
    <w:rsid w:val="008E20B3"/>
    <w:rsid w:val="008E3042"/>
    <w:rsid w:val="008E4BEE"/>
    <w:rsid w:val="008E75F2"/>
    <w:rsid w:val="008F083F"/>
    <w:rsid w:val="008F1D18"/>
    <w:rsid w:val="008F2C4D"/>
    <w:rsid w:val="008F2EE2"/>
    <w:rsid w:val="008F3D49"/>
    <w:rsid w:val="008F508C"/>
    <w:rsid w:val="008F531F"/>
    <w:rsid w:val="008F70A7"/>
    <w:rsid w:val="00900D81"/>
    <w:rsid w:val="00902CDD"/>
    <w:rsid w:val="00903450"/>
    <w:rsid w:val="00904EA5"/>
    <w:rsid w:val="009059B1"/>
    <w:rsid w:val="00905DF6"/>
    <w:rsid w:val="00906312"/>
    <w:rsid w:val="009063FF"/>
    <w:rsid w:val="00906E0F"/>
    <w:rsid w:val="00907733"/>
    <w:rsid w:val="009100DA"/>
    <w:rsid w:val="00912A2A"/>
    <w:rsid w:val="00913581"/>
    <w:rsid w:val="00913BA4"/>
    <w:rsid w:val="0091404F"/>
    <w:rsid w:val="00914A6A"/>
    <w:rsid w:val="00914B02"/>
    <w:rsid w:val="009169D2"/>
    <w:rsid w:val="009202A5"/>
    <w:rsid w:val="00920C4F"/>
    <w:rsid w:val="00920FC9"/>
    <w:rsid w:val="00922746"/>
    <w:rsid w:val="0092364C"/>
    <w:rsid w:val="00923706"/>
    <w:rsid w:val="00931C86"/>
    <w:rsid w:val="00933855"/>
    <w:rsid w:val="009363E3"/>
    <w:rsid w:val="009367FA"/>
    <w:rsid w:val="00937181"/>
    <w:rsid w:val="009419BB"/>
    <w:rsid w:val="00942B18"/>
    <w:rsid w:val="00942C84"/>
    <w:rsid w:val="00944DE3"/>
    <w:rsid w:val="0094519A"/>
    <w:rsid w:val="00946819"/>
    <w:rsid w:val="00950960"/>
    <w:rsid w:val="00950AB2"/>
    <w:rsid w:val="00950F6D"/>
    <w:rsid w:val="00951AB4"/>
    <w:rsid w:val="009520F0"/>
    <w:rsid w:val="00955281"/>
    <w:rsid w:val="009562B4"/>
    <w:rsid w:val="009577FF"/>
    <w:rsid w:val="00961BBD"/>
    <w:rsid w:val="00961F08"/>
    <w:rsid w:val="00963DBB"/>
    <w:rsid w:val="009655E7"/>
    <w:rsid w:val="00966A6C"/>
    <w:rsid w:val="009670E5"/>
    <w:rsid w:val="009675B4"/>
    <w:rsid w:val="00967C29"/>
    <w:rsid w:val="009711E7"/>
    <w:rsid w:val="009733F0"/>
    <w:rsid w:val="0097673A"/>
    <w:rsid w:val="0097773A"/>
    <w:rsid w:val="00982385"/>
    <w:rsid w:val="009832C1"/>
    <w:rsid w:val="00983852"/>
    <w:rsid w:val="00986850"/>
    <w:rsid w:val="009870BE"/>
    <w:rsid w:val="009940CB"/>
    <w:rsid w:val="0099677F"/>
    <w:rsid w:val="00996E6A"/>
    <w:rsid w:val="009970AF"/>
    <w:rsid w:val="009971CE"/>
    <w:rsid w:val="009979C3"/>
    <w:rsid w:val="00997CA7"/>
    <w:rsid w:val="009A042B"/>
    <w:rsid w:val="009A3053"/>
    <w:rsid w:val="009A305D"/>
    <w:rsid w:val="009A397F"/>
    <w:rsid w:val="009A3B05"/>
    <w:rsid w:val="009A6B6D"/>
    <w:rsid w:val="009A72E7"/>
    <w:rsid w:val="009B14F4"/>
    <w:rsid w:val="009B5BD2"/>
    <w:rsid w:val="009B600A"/>
    <w:rsid w:val="009C05AC"/>
    <w:rsid w:val="009C11D6"/>
    <w:rsid w:val="009C175F"/>
    <w:rsid w:val="009C1B37"/>
    <w:rsid w:val="009C372A"/>
    <w:rsid w:val="009C3DD4"/>
    <w:rsid w:val="009C46F6"/>
    <w:rsid w:val="009C5BCD"/>
    <w:rsid w:val="009C757F"/>
    <w:rsid w:val="009C7692"/>
    <w:rsid w:val="009C7FB5"/>
    <w:rsid w:val="009D0475"/>
    <w:rsid w:val="009D0535"/>
    <w:rsid w:val="009D233A"/>
    <w:rsid w:val="009D233F"/>
    <w:rsid w:val="009D25A9"/>
    <w:rsid w:val="009D2F2F"/>
    <w:rsid w:val="009D325A"/>
    <w:rsid w:val="009D43DB"/>
    <w:rsid w:val="009D5918"/>
    <w:rsid w:val="009D5D2E"/>
    <w:rsid w:val="009E0322"/>
    <w:rsid w:val="009E149C"/>
    <w:rsid w:val="009E1C61"/>
    <w:rsid w:val="009E28F1"/>
    <w:rsid w:val="009E4AF5"/>
    <w:rsid w:val="009E4D6F"/>
    <w:rsid w:val="009E59B2"/>
    <w:rsid w:val="009E5EDA"/>
    <w:rsid w:val="009E75CD"/>
    <w:rsid w:val="009E7DF2"/>
    <w:rsid w:val="009F0A5D"/>
    <w:rsid w:val="009F192A"/>
    <w:rsid w:val="009F3103"/>
    <w:rsid w:val="009F345A"/>
    <w:rsid w:val="009F366B"/>
    <w:rsid w:val="009F3F54"/>
    <w:rsid w:val="009F5E22"/>
    <w:rsid w:val="009F63C7"/>
    <w:rsid w:val="00A009B1"/>
    <w:rsid w:val="00A00DAF"/>
    <w:rsid w:val="00A00F6E"/>
    <w:rsid w:val="00A02565"/>
    <w:rsid w:val="00A03D31"/>
    <w:rsid w:val="00A03DBE"/>
    <w:rsid w:val="00A05616"/>
    <w:rsid w:val="00A05684"/>
    <w:rsid w:val="00A0676B"/>
    <w:rsid w:val="00A10190"/>
    <w:rsid w:val="00A118F7"/>
    <w:rsid w:val="00A14978"/>
    <w:rsid w:val="00A1530E"/>
    <w:rsid w:val="00A16DB7"/>
    <w:rsid w:val="00A1798A"/>
    <w:rsid w:val="00A209AA"/>
    <w:rsid w:val="00A20FBC"/>
    <w:rsid w:val="00A2145E"/>
    <w:rsid w:val="00A2156E"/>
    <w:rsid w:val="00A230AE"/>
    <w:rsid w:val="00A24717"/>
    <w:rsid w:val="00A24CC8"/>
    <w:rsid w:val="00A2698C"/>
    <w:rsid w:val="00A26F66"/>
    <w:rsid w:val="00A27565"/>
    <w:rsid w:val="00A275BE"/>
    <w:rsid w:val="00A30306"/>
    <w:rsid w:val="00A340F5"/>
    <w:rsid w:val="00A3479B"/>
    <w:rsid w:val="00A37389"/>
    <w:rsid w:val="00A37C86"/>
    <w:rsid w:val="00A37CCE"/>
    <w:rsid w:val="00A40A8D"/>
    <w:rsid w:val="00A41E2B"/>
    <w:rsid w:val="00A43040"/>
    <w:rsid w:val="00A43FB7"/>
    <w:rsid w:val="00A45E02"/>
    <w:rsid w:val="00A470A4"/>
    <w:rsid w:val="00A51467"/>
    <w:rsid w:val="00A51CA9"/>
    <w:rsid w:val="00A523DF"/>
    <w:rsid w:val="00A52FD6"/>
    <w:rsid w:val="00A544B3"/>
    <w:rsid w:val="00A54853"/>
    <w:rsid w:val="00A549E6"/>
    <w:rsid w:val="00A5608E"/>
    <w:rsid w:val="00A60142"/>
    <w:rsid w:val="00A61D29"/>
    <w:rsid w:val="00A628A9"/>
    <w:rsid w:val="00A62AC2"/>
    <w:rsid w:val="00A638CB"/>
    <w:rsid w:val="00A6410E"/>
    <w:rsid w:val="00A65B24"/>
    <w:rsid w:val="00A6621D"/>
    <w:rsid w:val="00A66E3F"/>
    <w:rsid w:val="00A67625"/>
    <w:rsid w:val="00A67C48"/>
    <w:rsid w:val="00A70A70"/>
    <w:rsid w:val="00A72707"/>
    <w:rsid w:val="00A7466E"/>
    <w:rsid w:val="00A7637E"/>
    <w:rsid w:val="00A774F2"/>
    <w:rsid w:val="00A8014D"/>
    <w:rsid w:val="00A809A3"/>
    <w:rsid w:val="00A80A1B"/>
    <w:rsid w:val="00A80CF4"/>
    <w:rsid w:val="00A81185"/>
    <w:rsid w:val="00A81370"/>
    <w:rsid w:val="00A8270C"/>
    <w:rsid w:val="00A8367C"/>
    <w:rsid w:val="00A85C68"/>
    <w:rsid w:val="00A85D34"/>
    <w:rsid w:val="00A85E7C"/>
    <w:rsid w:val="00A86D50"/>
    <w:rsid w:val="00A9435F"/>
    <w:rsid w:val="00A94414"/>
    <w:rsid w:val="00A94B17"/>
    <w:rsid w:val="00A94F74"/>
    <w:rsid w:val="00A95853"/>
    <w:rsid w:val="00A95936"/>
    <w:rsid w:val="00A963FB"/>
    <w:rsid w:val="00A96C8F"/>
    <w:rsid w:val="00A96E37"/>
    <w:rsid w:val="00A97907"/>
    <w:rsid w:val="00AA1908"/>
    <w:rsid w:val="00AA1F12"/>
    <w:rsid w:val="00AA3B26"/>
    <w:rsid w:val="00AA6B15"/>
    <w:rsid w:val="00AB0A83"/>
    <w:rsid w:val="00AB0DC4"/>
    <w:rsid w:val="00AB204B"/>
    <w:rsid w:val="00AB48B8"/>
    <w:rsid w:val="00AB5FE7"/>
    <w:rsid w:val="00AB7C79"/>
    <w:rsid w:val="00AC0013"/>
    <w:rsid w:val="00AC0B47"/>
    <w:rsid w:val="00AC1A88"/>
    <w:rsid w:val="00AC1BA8"/>
    <w:rsid w:val="00AC1EA7"/>
    <w:rsid w:val="00AC3B88"/>
    <w:rsid w:val="00AC4B78"/>
    <w:rsid w:val="00AC6120"/>
    <w:rsid w:val="00AC6A24"/>
    <w:rsid w:val="00AC6D30"/>
    <w:rsid w:val="00AC7FE3"/>
    <w:rsid w:val="00AD2013"/>
    <w:rsid w:val="00AD4400"/>
    <w:rsid w:val="00AD4869"/>
    <w:rsid w:val="00AD6D66"/>
    <w:rsid w:val="00AE0D4F"/>
    <w:rsid w:val="00AE2531"/>
    <w:rsid w:val="00AE36ED"/>
    <w:rsid w:val="00AE4C3B"/>
    <w:rsid w:val="00AE5440"/>
    <w:rsid w:val="00AE5AA0"/>
    <w:rsid w:val="00AE70E0"/>
    <w:rsid w:val="00AF136F"/>
    <w:rsid w:val="00AF1777"/>
    <w:rsid w:val="00AF17F1"/>
    <w:rsid w:val="00AF20CA"/>
    <w:rsid w:val="00AF25FB"/>
    <w:rsid w:val="00AF2B75"/>
    <w:rsid w:val="00AF3AAD"/>
    <w:rsid w:val="00AF3C2D"/>
    <w:rsid w:val="00AF494C"/>
    <w:rsid w:val="00AF4D5F"/>
    <w:rsid w:val="00AF5179"/>
    <w:rsid w:val="00AF5184"/>
    <w:rsid w:val="00AF6362"/>
    <w:rsid w:val="00AF65BE"/>
    <w:rsid w:val="00AF7056"/>
    <w:rsid w:val="00AF7897"/>
    <w:rsid w:val="00AF7A11"/>
    <w:rsid w:val="00B00279"/>
    <w:rsid w:val="00B02004"/>
    <w:rsid w:val="00B030FA"/>
    <w:rsid w:val="00B035E1"/>
    <w:rsid w:val="00B03B0B"/>
    <w:rsid w:val="00B06377"/>
    <w:rsid w:val="00B10505"/>
    <w:rsid w:val="00B1213D"/>
    <w:rsid w:val="00B13D01"/>
    <w:rsid w:val="00B1547C"/>
    <w:rsid w:val="00B155FA"/>
    <w:rsid w:val="00B16057"/>
    <w:rsid w:val="00B20CFA"/>
    <w:rsid w:val="00B222BE"/>
    <w:rsid w:val="00B2319F"/>
    <w:rsid w:val="00B23671"/>
    <w:rsid w:val="00B236FE"/>
    <w:rsid w:val="00B23A93"/>
    <w:rsid w:val="00B245C6"/>
    <w:rsid w:val="00B26FD4"/>
    <w:rsid w:val="00B27DF0"/>
    <w:rsid w:val="00B31E31"/>
    <w:rsid w:val="00B341CE"/>
    <w:rsid w:val="00B34893"/>
    <w:rsid w:val="00B35462"/>
    <w:rsid w:val="00B35D1A"/>
    <w:rsid w:val="00B37E8A"/>
    <w:rsid w:val="00B4079A"/>
    <w:rsid w:val="00B4094A"/>
    <w:rsid w:val="00B41B6F"/>
    <w:rsid w:val="00B43C41"/>
    <w:rsid w:val="00B4740C"/>
    <w:rsid w:val="00B50C76"/>
    <w:rsid w:val="00B51433"/>
    <w:rsid w:val="00B5195D"/>
    <w:rsid w:val="00B52077"/>
    <w:rsid w:val="00B52503"/>
    <w:rsid w:val="00B529BE"/>
    <w:rsid w:val="00B6088D"/>
    <w:rsid w:val="00B60D2E"/>
    <w:rsid w:val="00B61AB2"/>
    <w:rsid w:val="00B6262F"/>
    <w:rsid w:val="00B628C6"/>
    <w:rsid w:val="00B62976"/>
    <w:rsid w:val="00B6451A"/>
    <w:rsid w:val="00B65447"/>
    <w:rsid w:val="00B65B04"/>
    <w:rsid w:val="00B65B9A"/>
    <w:rsid w:val="00B65E24"/>
    <w:rsid w:val="00B71086"/>
    <w:rsid w:val="00B7410C"/>
    <w:rsid w:val="00B74F1C"/>
    <w:rsid w:val="00B76154"/>
    <w:rsid w:val="00B76E9B"/>
    <w:rsid w:val="00B808BA"/>
    <w:rsid w:val="00B82791"/>
    <w:rsid w:val="00B827A3"/>
    <w:rsid w:val="00B82FA4"/>
    <w:rsid w:val="00B84095"/>
    <w:rsid w:val="00B84E79"/>
    <w:rsid w:val="00B8543D"/>
    <w:rsid w:val="00B85700"/>
    <w:rsid w:val="00B8664C"/>
    <w:rsid w:val="00B86791"/>
    <w:rsid w:val="00B86D44"/>
    <w:rsid w:val="00B90577"/>
    <w:rsid w:val="00B9153C"/>
    <w:rsid w:val="00B92EDE"/>
    <w:rsid w:val="00B95B82"/>
    <w:rsid w:val="00BA10BA"/>
    <w:rsid w:val="00BA1C87"/>
    <w:rsid w:val="00BA520D"/>
    <w:rsid w:val="00BA5AA4"/>
    <w:rsid w:val="00BA5EC9"/>
    <w:rsid w:val="00BA6086"/>
    <w:rsid w:val="00BA65D0"/>
    <w:rsid w:val="00BB18B2"/>
    <w:rsid w:val="00BB1E3F"/>
    <w:rsid w:val="00BB2DD7"/>
    <w:rsid w:val="00BB30A8"/>
    <w:rsid w:val="00BB4347"/>
    <w:rsid w:val="00BB6C23"/>
    <w:rsid w:val="00BC3636"/>
    <w:rsid w:val="00BC3A30"/>
    <w:rsid w:val="00BC3D56"/>
    <w:rsid w:val="00BC598A"/>
    <w:rsid w:val="00BC5E91"/>
    <w:rsid w:val="00BD098C"/>
    <w:rsid w:val="00BD1CE2"/>
    <w:rsid w:val="00BD251B"/>
    <w:rsid w:val="00BD345F"/>
    <w:rsid w:val="00BD3FD2"/>
    <w:rsid w:val="00BD541B"/>
    <w:rsid w:val="00BD5486"/>
    <w:rsid w:val="00BD63D7"/>
    <w:rsid w:val="00BD64AF"/>
    <w:rsid w:val="00BD6D8D"/>
    <w:rsid w:val="00BD7237"/>
    <w:rsid w:val="00BD7D49"/>
    <w:rsid w:val="00BE082A"/>
    <w:rsid w:val="00BE1421"/>
    <w:rsid w:val="00BE1C57"/>
    <w:rsid w:val="00BE1E80"/>
    <w:rsid w:val="00BE23B0"/>
    <w:rsid w:val="00BE5B7A"/>
    <w:rsid w:val="00BE78BC"/>
    <w:rsid w:val="00BE7A33"/>
    <w:rsid w:val="00BF1ED6"/>
    <w:rsid w:val="00BF26AC"/>
    <w:rsid w:val="00BF47C3"/>
    <w:rsid w:val="00BF75C7"/>
    <w:rsid w:val="00BF75CD"/>
    <w:rsid w:val="00BF79B7"/>
    <w:rsid w:val="00C00C6C"/>
    <w:rsid w:val="00C01054"/>
    <w:rsid w:val="00C03362"/>
    <w:rsid w:val="00C036DA"/>
    <w:rsid w:val="00C048D7"/>
    <w:rsid w:val="00C05E7A"/>
    <w:rsid w:val="00C05E8A"/>
    <w:rsid w:val="00C05F06"/>
    <w:rsid w:val="00C06EEE"/>
    <w:rsid w:val="00C07C89"/>
    <w:rsid w:val="00C105CE"/>
    <w:rsid w:val="00C10D0F"/>
    <w:rsid w:val="00C1185A"/>
    <w:rsid w:val="00C11EED"/>
    <w:rsid w:val="00C13691"/>
    <w:rsid w:val="00C15C7D"/>
    <w:rsid w:val="00C16934"/>
    <w:rsid w:val="00C20270"/>
    <w:rsid w:val="00C221BE"/>
    <w:rsid w:val="00C238AF"/>
    <w:rsid w:val="00C2505E"/>
    <w:rsid w:val="00C269D3"/>
    <w:rsid w:val="00C276E8"/>
    <w:rsid w:val="00C27A20"/>
    <w:rsid w:val="00C27A70"/>
    <w:rsid w:val="00C30E49"/>
    <w:rsid w:val="00C33D83"/>
    <w:rsid w:val="00C35CC3"/>
    <w:rsid w:val="00C360BD"/>
    <w:rsid w:val="00C40BDF"/>
    <w:rsid w:val="00C416FC"/>
    <w:rsid w:val="00C4194B"/>
    <w:rsid w:val="00C450DA"/>
    <w:rsid w:val="00C475F2"/>
    <w:rsid w:val="00C476A8"/>
    <w:rsid w:val="00C50403"/>
    <w:rsid w:val="00C530D8"/>
    <w:rsid w:val="00C54149"/>
    <w:rsid w:val="00C54AD4"/>
    <w:rsid w:val="00C5516D"/>
    <w:rsid w:val="00C5615D"/>
    <w:rsid w:val="00C56AE6"/>
    <w:rsid w:val="00C61A05"/>
    <w:rsid w:val="00C621EC"/>
    <w:rsid w:val="00C624DC"/>
    <w:rsid w:val="00C62847"/>
    <w:rsid w:val="00C63A89"/>
    <w:rsid w:val="00C63E9A"/>
    <w:rsid w:val="00C64968"/>
    <w:rsid w:val="00C6529F"/>
    <w:rsid w:val="00C66B73"/>
    <w:rsid w:val="00C67F1A"/>
    <w:rsid w:val="00C70570"/>
    <w:rsid w:val="00C71BC5"/>
    <w:rsid w:val="00C768B4"/>
    <w:rsid w:val="00C80618"/>
    <w:rsid w:val="00C80731"/>
    <w:rsid w:val="00C81811"/>
    <w:rsid w:val="00C81FA1"/>
    <w:rsid w:val="00C8482E"/>
    <w:rsid w:val="00C8537F"/>
    <w:rsid w:val="00C87E35"/>
    <w:rsid w:val="00C90790"/>
    <w:rsid w:val="00C9089B"/>
    <w:rsid w:val="00C93573"/>
    <w:rsid w:val="00C9387B"/>
    <w:rsid w:val="00C94242"/>
    <w:rsid w:val="00C948E9"/>
    <w:rsid w:val="00C965C5"/>
    <w:rsid w:val="00C97B15"/>
    <w:rsid w:val="00C97EE7"/>
    <w:rsid w:val="00CA009F"/>
    <w:rsid w:val="00CA04CD"/>
    <w:rsid w:val="00CA08D8"/>
    <w:rsid w:val="00CA36E3"/>
    <w:rsid w:val="00CA5F26"/>
    <w:rsid w:val="00CA7B7B"/>
    <w:rsid w:val="00CA7C65"/>
    <w:rsid w:val="00CB085A"/>
    <w:rsid w:val="00CB26DB"/>
    <w:rsid w:val="00CB3C33"/>
    <w:rsid w:val="00CB4736"/>
    <w:rsid w:val="00CB4A39"/>
    <w:rsid w:val="00CC0EDA"/>
    <w:rsid w:val="00CC1047"/>
    <w:rsid w:val="00CC28D0"/>
    <w:rsid w:val="00CC2D3D"/>
    <w:rsid w:val="00CC300B"/>
    <w:rsid w:val="00CC30D0"/>
    <w:rsid w:val="00CD0984"/>
    <w:rsid w:val="00CD2D88"/>
    <w:rsid w:val="00CD4188"/>
    <w:rsid w:val="00CD479B"/>
    <w:rsid w:val="00CD636B"/>
    <w:rsid w:val="00CE0090"/>
    <w:rsid w:val="00CE18DB"/>
    <w:rsid w:val="00CE1D29"/>
    <w:rsid w:val="00CE3598"/>
    <w:rsid w:val="00CE7639"/>
    <w:rsid w:val="00CE783F"/>
    <w:rsid w:val="00CF0D10"/>
    <w:rsid w:val="00CF34DB"/>
    <w:rsid w:val="00CF4401"/>
    <w:rsid w:val="00CF48D6"/>
    <w:rsid w:val="00CF551D"/>
    <w:rsid w:val="00CF61D1"/>
    <w:rsid w:val="00CF64E4"/>
    <w:rsid w:val="00D004E4"/>
    <w:rsid w:val="00D0180E"/>
    <w:rsid w:val="00D02D13"/>
    <w:rsid w:val="00D0360F"/>
    <w:rsid w:val="00D055B4"/>
    <w:rsid w:val="00D063E3"/>
    <w:rsid w:val="00D10B37"/>
    <w:rsid w:val="00D11B95"/>
    <w:rsid w:val="00D129BC"/>
    <w:rsid w:val="00D13898"/>
    <w:rsid w:val="00D13FD6"/>
    <w:rsid w:val="00D14016"/>
    <w:rsid w:val="00D14E78"/>
    <w:rsid w:val="00D1582E"/>
    <w:rsid w:val="00D16035"/>
    <w:rsid w:val="00D20818"/>
    <w:rsid w:val="00D20C5C"/>
    <w:rsid w:val="00D2277E"/>
    <w:rsid w:val="00D2415E"/>
    <w:rsid w:val="00D243B0"/>
    <w:rsid w:val="00D24AC5"/>
    <w:rsid w:val="00D273DB"/>
    <w:rsid w:val="00D27692"/>
    <w:rsid w:val="00D27A71"/>
    <w:rsid w:val="00D31733"/>
    <w:rsid w:val="00D33117"/>
    <w:rsid w:val="00D33C9D"/>
    <w:rsid w:val="00D3590D"/>
    <w:rsid w:val="00D36207"/>
    <w:rsid w:val="00D3668D"/>
    <w:rsid w:val="00D368FA"/>
    <w:rsid w:val="00D40409"/>
    <w:rsid w:val="00D40FAE"/>
    <w:rsid w:val="00D41582"/>
    <w:rsid w:val="00D43809"/>
    <w:rsid w:val="00D460F9"/>
    <w:rsid w:val="00D4701A"/>
    <w:rsid w:val="00D47A86"/>
    <w:rsid w:val="00D500AF"/>
    <w:rsid w:val="00D5240E"/>
    <w:rsid w:val="00D53477"/>
    <w:rsid w:val="00D53DFC"/>
    <w:rsid w:val="00D56E41"/>
    <w:rsid w:val="00D60599"/>
    <w:rsid w:val="00D60E5F"/>
    <w:rsid w:val="00D622BD"/>
    <w:rsid w:val="00D6280C"/>
    <w:rsid w:val="00D629CD"/>
    <w:rsid w:val="00D63B38"/>
    <w:rsid w:val="00D653D3"/>
    <w:rsid w:val="00D672BA"/>
    <w:rsid w:val="00D674DD"/>
    <w:rsid w:val="00D6756B"/>
    <w:rsid w:val="00D7063F"/>
    <w:rsid w:val="00D7166D"/>
    <w:rsid w:val="00D7303D"/>
    <w:rsid w:val="00D747B5"/>
    <w:rsid w:val="00D7686D"/>
    <w:rsid w:val="00D7727A"/>
    <w:rsid w:val="00D7744D"/>
    <w:rsid w:val="00D80852"/>
    <w:rsid w:val="00D808C9"/>
    <w:rsid w:val="00D80EC6"/>
    <w:rsid w:val="00D80FE9"/>
    <w:rsid w:val="00D811D9"/>
    <w:rsid w:val="00D8422B"/>
    <w:rsid w:val="00D8507E"/>
    <w:rsid w:val="00D8758C"/>
    <w:rsid w:val="00D8794F"/>
    <w:rsid w:val="00D9187F"/>
    <w:rsid w:val="00D92564"/>
    <w:rsid w:val="00D96885"/>
    <w:rsid w:val="00D970E3"/>
    <w:rsid w:val="00DA019B"/>
    <w:rsid w:val="00DA09F2"/>
    <w:rsid w:val="00DA0BCD"/>
    <w:rsid w:val="00DA0FA3"/>
    <w:rsid w:val="00DA1428"/>
    <w:rsid w:val="00DA24AB"/>
    <w:rsid w:val="00DA2937"/>
    <w:rsid w:val="00DA47C3"/>
    <w:rsid w:val="00DA5877"/>
    <w:rsid w:val="00DA5A89"/>
    <w:rsid w:val="00DA5CBF"/>
    <w:rsid w:val="00DA5EEC"/>
    <w:rsid w:val="00DA7041"/>
    <w:rsid w:val="00DB30D4"/>
    <w:rsid w:val="00DB3647"/>
    <w:rsid w:val="00DB45E1"/>
    <w:rsid w:val="00DB5B73"/>
    <w:rsid w:val="00DB5EC8"/>
    <w:rsid w:val="00DB5F5C"/>
    <w:rsid w:val="00DB7262"/>
    <w:rsid w:val="00DB7DB6"/>
    <w:rsid w:val="00DC120D"/>
    <w:rsid w:val="00DC2361"/>
    <w:rsid w:val="00DC3DB1"/>
    <w:rsid w:val="00DC7EB9"/>
    <w:rsid w:val="00DD1067"/>
    <w:rsid w:val="00DD1C4C"/>
    <w:rsid w:val="00DD2012"/>
    <w:rsid w:val="00DD20DA"/>
    <w:rsid w:val="00DD21CF"/>
    <w:rsid w:val="00DD2F70"/>
    <w:rsid w:val="00DD3D67"/>
    <w:rsid w:val="00DD428D"/>
    <w:rsid w:val="00DD48CD"/>
    <w:rsid w:val="00DD4A21"/>
    <w:rsid w:val="00DD58E6"/>
    <w:rsid w:val="00DD5FC2"/>
    <w:rsid w:val="00DD620C"/>
    <w:rsid w:val="00DD7D37"/>
    <w:rsid w:val="00DE043E"/>
    <w:rsid w:val="00DE0DB8"/>
    <w:rsid w:val="00DE0DFC"/>
    <w:rsid w:val="00DE10C4"/>
    <w:rsid w:val="00DE10DB"/>
    <w:rsid w:val="00DE5A55"/>
    <w:rsid w:val="00DE6AE4"/>
    <w:rsid w:val="00DF0C77"/>
    <w:rsid w:val="00DF4440"/>
    <w:rsid w:val="00DF4BF3"/>
    <w:rsid w:val="00DF4DF0"/>
    <w:rsid w:val="00DF50F3"/>
    <w:rsid w:val="00DF5CCB"/>
    <w:rsid w:val="00DF6615"/>
    <w:rsid w:val="00DF668A"/>
    <w:rsid w:val="00DF742B"/>
    <w:rsid w:val="00E01172"/>
    <w:rsid w:val="00E011E0"/>
    <w:rsid w:val="00E01EB3"/>
    <w:rsid w:val="00E028AF"/>
    <w:rsid w:val="00E03D8E"/>
    <w:rsid w:val="00E0466A"/>
    <w:rsid w:val="00E0578F"/>
    <w:rsid w:val="00E069E0"/>
    <w:rsid w:val="00E07A3B"/>
    <w:rsid w:val="00E07E1A"/>
    <w:rsid w:val="00E105F9"/>
    <w:rsid w:val="00E12EFE"/>
    <w:rsid w:val="00E131FE"/>
    <w:rsid w:val="00E14A53"/>
    <w:rsid w:val="00E16735"/>
    <w:rsid w:val="00E16955"/>
    <w:rsid w:val="00E175A9"/>
    <w:rsid w:val="00E17C4B"/>
    <w:rsid w:val="00E20202"/>
    <w:rsid w:val="00E21142"/>
    <w:rsid w:val="00E22541"/>
    <w:rsid w:val="00E232D4"/>
    <w:rsid w:val="00E24083"/>
    <w:rsid w:val="00E25432"/>
    <w:rsid w:val="00E262B9"/>
    <w:rsid w:val="00E263BF"/>
    <w:rsid w:val="00E26F77"/>
    <w:rsid w:val="00E271FB"/>
    <w:rsid w:val="00E302D7"/>
    <w:rsid w:val="00E3291C"/>
    <w:rsid w:val="00E32F41"/>
    <w:rsid w:val="00E33DF2"/>
    <w:rsid w:val="00E342A8"/>
    <w:rsid w:val="00E3514B"/>
    <w:rsid w:val="00E379F9"/>
    <w:rsid w:val="00E4141B"/>
    <w:rsid w:val="00E4158F"/>
    <w:rsid w:val="00E431CC"/>
    <w:rsid w:val="00E51367"/>
    <w:rsid w:val="00E51853"/>
    <w:rsid w:val="00E5205B"/>
    <w:rsid w:val="00E52C80"/>
    <w:rsid w:val="00E52C96"/>
    <w:rsid w:val="00E566A0"/>
    <w:rsid w:val="00E608F4"/>
    <w:rsid w:val="00E64408"/>
    <w:rsid w:val="00E66CE7"/>
    <w:rsid w:val="00E7012D"/>
    <w:rsid w:val="00E71119"/>
    <w:rsid w:val="00E7424C"/>
    <w:rsid w:val="00E76790"/>
    <w:rsid w:val="00E77026"/>
    <w:rsid w:val="00E7753E"/>
    <w:rsid w:val="00E80B68"/>
    <w:rsid w:val="00E80FD0"/>
    <w:rsid w:val="00E83E0F"/>
    <w:rsid w:val="00E86369"/>
    <w:rsid w:val="00E915FA"/>
    <w:rsid w:val="00E92302"/>
    <w:rsid w:val="00E92314"/>
    <w:rsid w:val="00E927BE"/>
    <w:rsid w:val="00E94492"/>
    <w:rsid w:val="00E94E7B"/>
    <w:rsid w:val="00E95E29"/>
    <w:rsid w:val="00E97306"/>
    <w:rsid w:val="00E9743C"/>
    <w:rsid w:val="00E97DAE"/>
    <w:rsid w:val="00EA2A31"/>
    <w:rsid w:val="00EA30D3"/>
    <w:rsid w:val="00EA4079"/>
    <w:rsid w:val="00EA4611"/>
    <w:rsid w:val="00EA6768"/>
    <w:rsid w:val="00EA7203"/>
    <w:rsid w:val="00EB0A3C"/>
    <w:rsid w:val="00EB0B01"/>
    <w:rsid w:val="00EB0CE7"/>
    <w:rsid w:val="00EB1C36"/>
    <w:rsid w:val="00EB36B8"/>
    <w:rsid w:val="00EB3C76"/>
    <w:rsid w:val="00EB45FD"/>
    <w:rsid w:val="00EB50CE"/>
    <w:rsid w:val="00EB5764"/>
    <w:rsid w:val="00EB6706"/>
    <w:rsid w:val="00EB68B9"/>
    <w:rsid w:val="00EB6A7C"/>
    <w:rsid w:val="00EC1368"/>
    <w:rsid w:val="00EC18FE"/>
    <w:rsid w:val="00EC1BBC"/>
    <w:rsid w:val="00EC1F6A"/>
    <w:rsid w:val="00EC2769"/>
    <w:rsid w:val="00EC30B4"/>
    <w:rsid w:val="00EC3EA0"/>
    <w:rsid w:val="00EC4B22"/>
    <w:rsid w:val="00EC512A"/>
    <w:rsid w:val="00EC5DFA"/>
    <w:rsid w:val="00EC79DB"/>
    <w:rsid w:val="00ED0DA8"/>
    <w:rsid w:val="00ED161C"/>
    <w:rsid w:val="00ED210C"/>
    <w:rsid w:val="00ED3C95"/>
    <w:rsid w:val="00ED468A"/>
    <w:rsid w:val="00ED4A92"/>
    <w:rsid w:val="00ED4AE0"/>
    <w:rsid w:val="00ED4FFA"/>
    <w:rsid w:val="00ED5508"/>
    <w:rsid w:val="00EE0B89"/>
    <w:rsid w:val="00EE1E4B"/>
    <w:rsid w:val="00EE1EE2"/>
    <w:rsid w:val="00EE26C0"/>
    <w:rsid w:val="00EE46CF"/>
    <w:rsid w:val="00EE4CD1"/>
    <w:rsid w:val="00EE70EA"/>
    <w:rsid w:val="00EE71BE"/>
    <w:rsid w:val="00EF23E8"/>
    <w:rsid w:val="00EF25CB"/>
    <w:rsid w:val="00EF346A"/>
    <w:rsid w:val="00EF3720"/>
    <w:rsid w:val="00EF3A68"/>
    <w:rsid w:val="00EF465B"/>
    <w:rsid w:val="00EF49C5"/>
    <w:rsid w:val="00EF6E3A"/>
    <w:rsid w:val="00EF7A7C"/>
    <w:rsid w:val="00EF7CDD"/>
    <w:rsid w:val="00EF7E09"/>
    <w:rsid w:val="00F00909"/>
    <w:rsid w:val="00F01ADC"/>
    <w:rsid w:val="00F02A20"/>
    <w:rsid w:val="00F0328A"/>
    <w:rsid w:val="00F05E48"/>
    <w:rsid w:val="00F072F6"/>
    <w:rsid w:val="00F07445"/>
    <w:rsid w:val="00F07C39"/>
    <w:rsid w:val="00F11D9D"/>
    <w:rsid w:val="00F12B85"/>
    <w:rsid w:val="00F13892"/>
    <w:rsid w:val="00F140E3"/>
    <w:rsid w:val="00F154F6"/>
    <w:rsid w:val="00F15D1E"/>
    <w:rsid w:val="00F16C15"/>
    <w:rsid w:val="00F1700B"/>
    <w:rsid w:val="00F17B72"/>
    <w:rsid w:val="00F21053"/>
    <w:rsid w:val="00F214E4"/>
    <w:rsid w:val="00F21513"/>
    <w:rsid w:val="00F240B0"/>
    <w:rsid w:val="00F24436"/>
    <w:rsid w:val="00F265F5"/>
    <w:rsid w:val="00F26B60"/>
    <w:rsid w:val="00F30CB9"/>
    <w:rsid w:val="00F32F58"/>
    <w:rsid w:val="00F33343"/>
    <w:rsid w:val="00F345F7"/>
    <w:rsid w:val="00F3626C"/>
    <w:rsid w:val="00F3709B"/>
    <w:rsid w:val="00F3776C"/>
    <w:rsid w:val="00F41B71"/>
    <w:rsid w:val="00F423D9"/>
    <w:rsid w:val="00F42FB2"/>
    <w:rsid w:val="00F4521F"/>
    <w:rsid w:val="00F45852"/>
    <w:rsid w:val="00F46A84"/>
    <w:rsid w:val="00F47E04"/>
    <w:rsid w:val="00F50A97"/>
    <w:rsid w:val="00F50B0B"/>
    <w:rsid w:val="00F52487"/>
    <w:rsid w:val="00F5418E"/>
    <w:rsid w:val="00F54D7B"/>
    <w:rsid w:val="00F6046C"/>
    <w:rsid w:val="00F60FB1"/>
    <w:rsid w:val="00F623C4"/>
    <w:rsid w:val="00F62C9B"/>
    <w:rsid w:val="00F66F47"/>
    <w:rsid w:val="00F67405"/>
    <w:rsid w:val="00F6760A"/>
    <w:rsid w:val="00F67E10"/>
    <w:rsid w:val="00F67ED8"/>
    <w:rsid w:val="00F70E0D"/>
    <w:rsid w:val="00F7140E"/>
    <w:rsid w:val="00F729DD"/>
    <w:rsid w:val="00F72D01"/>
    <w:rsid w:val="00F75414"/>
    <w:rsid w:val="00F75737"/>
    <w:rsid w:val="00F75D4E"/>
    <w:rsid w:val="00F76A14"/>
    <w:rsid w:val="00F77E9E"/>
    <w:rsid w:val="00F8039A"/>
    <w:rsid w:val="00F803D8"/>
    <w:rsid w:val="00F80B3D"/>
    <w:rsid w:val="00F823DC"/>
    <w:rsid w:val="00F828C2"/>
    <w:rsid w:val="00F83769"/>
    <w:rsid w:val="00F83C11"/>
    <w:rsid w:val="00F84BD1"/>
    <w:rsid w:val="00F84FCE"/>
    <w:rsid w:val="00F855D9"/>
    <w:rsid w:val="00F86381"/>
    <w:rsid w:val="00F8667D"/>
    <w:rsid w:val="00F86933"/>
    <w:rsid w:val="00F872FF"/>
    <w:rsid w:val="00F90F35"/>
    <w:rsid w:val="00F91EA5"/>
    <w:rsid w:val="00F921B7"/>
    <w:rsid w:val="00F92685"/>
    <w:rsid w:val="00F93CCB"/>
    <w:rsid w:val="00F94A63"/>
    <w:rsid w:val="00F96843"/>
    <w:rsid w:val="00F96DDF"/>
    <w:rsid w:val="00FA0448"/>
    <w:rsid w:val="00FA35E8"/>
    <w:rsid w:val="00FA380C"/>
    <w:rsid w:val="00FA43EE"/>
    <w:rsid w:val="00FA50C5"/>
    <w:rsid w:val="00FA615C"/>
    <w:rsid w:val="00FB18FC"/>
    <w:rsid w:val="00FB2587"/>
    <w:rsid w:val="00FB2588"/>
    <w:rsid w:val="00FB2DF5"/>
    <w:rsid w:val="00FB3044"/>
    <w:rsid w:val="00FB583A"/>
    <w:rsid w:val="00FB6B31"/>
    <w:rsid w:val="00FB7165"/>
    <w:rsid w:val="00FC19AA"/>
    <w:rsid w:val="00FC1C3B"/>
    <w:rsid w:val="00FC25FF"/>
    <w:rsid w:val="00FC5429"/>
    <w:rsid w:val="00FC59D4"/>
    <w:rsid w:val="00FC5B80"/>
    <w:rsid w:val="00FC5FD6"/>
    <w:rsid w:val="00FC7283"/>
    <w:rsid w:val="00FC7DFF"/>
    <w:rsid w:val="00FD0A83"/>
    <w:rsid w:val="00FD0C21"/>
    <w:rsid w:val="00FD0D7D"/>
    <w:rsid w:val="00FD1F82"/>
    <w:rsid w:val="00FD2437"/>
    <w:rsid w:val="00FD32F1"/>
    <w:rsid w:val="00FD5035"/>
    <w:rsid w:val="00FD6532"/>
    <w:rsid w:val="00FE1C82"/>
    <w:rsid w:val="00FE4FF8"/>
    <w:rsid w:val="00FE5BF6"/>
    <w:rsid w:val="00FE66FD"/>
    <w:rsid w:val="00FE6D86"/>
    <w:rsid w:val="00FE71E8"/>
    <w:rsid w:val="00FE7DD3"/>
    <w:rsid w:val="00FE7FF3"/>
    <w:rsid w:val="00FF126A"/>
    <w:rsid w:val="00FF329C"/>
    <w:rsid w:val="00FF39AF"/>
    <w:rsid w:val="00FF3F3E"/>
    <w:rsid w:val="00FF430C"/>
    <w:rsid w:val="00FF582D"/>
    <w:rsid w:val="00FF6970"/>
    <w:rsid w:val="00FF72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0EBBAC53"/>
  <w15:docId w15:val="{9E712F12-2B4C-4E1F-869A-D6AC2230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05F06"/>
    <w:rPr>
      <w:sz w:val="24"/>
      <w:szCs w:val="24"/>
      <w:lang w:val="en-GB"/>
    </w:rPr>
  </w:style>
  <w:style w:type="paragraph" w:styleId="Heading1">
    <w:name w:val="heading 1"/>
    <w:aliases w:val="D70AR,Info rubrik 1,titel 1"/>
    <w:basedOn w:val="Normal"/>
    <w:next w:val="Normal"/>
    <w:link w:val="Heading1Char"/>
    <w:qFormat/>
    <w:pPr>
      <w:keepNext/>
      <w:outlineLvl w:val="0"/>
    </w:pPr>
    <w:rPr>
      <w:b/>
      <w:sz w:val="22"/>
      <w:szCs w:val="20"/>
    </w:rPr>
  </w:style>
  <w:style w:type="paragraph" w:styleId="Heading2">
    <w:name w:val="heading 2"/>
    <w:basedOn w:val="Normal"/>
    <w:next w:val="Normal"/>
    <w:qFormat/>
    <w:pPr>
      <w:keepNext/>
      <w:numPr>
        <w:numId w:val="3"/>
      </w:numPr>
      <w:tabs>
        <w:tab w:val="left" w:pos="1760"/>
        <w:tab w:val="left" w:pos="7938"/>
      </w:tabs>
      <w:ind w:left="1760" w:right="1274" w:hanging="626"/>
      <w:outlineLvl w:val="1"/>
    </w:pPr>
    <w:rPr>
      <w:b/>
      <w:sz w:val="22"/>
    </w:rPr>
  </w:style>
  <w:style w:type="paragraph" w:styleId="Heading3">
    <w:name w:val="heading 3"/>
    <w:basedOn w:val="Normal"/>
    <w:next w:val="Normal"/>
    <w:qFormat/>
    <w:pPr>
      <w:keepNext/>
      <w:autoSpaceDE w:val="0"/>
      <w:autoSpaceDN w:val="0"/>
      <w:adjustRightInd w:val="0"/>
      <w:spacing w:before="120" w:line="240" w:lineRule="atLeast"/>
      <w:jc w:val="center"/>
      <w:outlineLvl w:val="2"/>
    </w:pPr>
    <w:rPr>
      <w:sz w:val="22"/>
    </w:rPr>
  </w:style>
  <w:style w:type="paragraph" w:styleId="Heading4">
    <w:name w:val="heading 4"/>
    <w:basedOn w:val="Normal"/>
    <w:next w:val="Normal"/>
    <w:qFormat/>
    <w:pPr>
      <w:keepNext/>
      <w:tabs>
        <w:tab w:val="left" w:pos="600"/>
      </w:tabs>
      <w:ind w:left="600" w:hanging="600"/>
      <w:outlineLvl w:val="3"/>
    </w:pPr>
    <w:rPr>
      <w:i/>
      <w:iCs/>
      <w:sz w:val="22"/>
    </w:rPr>
  </w:style>
  <w:style w:type="paragraph" w:styleId="Heading5">
    <w:name w:val="heading 5"/>
    <w:aliases w:val="DO NOT USE"/>
    <w:basedOn w:val="Normal"/>
    <w:next w:val="Normal"/>
    <w:qFormat/>
    <w:rsid w:val="00034D5C"/>
    <w:pPr>
      <w:keepNext/>
      <w:tabs>
        <w:tab w:val="left" w:pos="567"/>
      </w:tabs>
      <w:suppressAutoHyphens/>
      <w:outlineLvl w:val="4"/>
    </w:pPr>
    <w:rPr>
      <w:bCs/>
      <w:sz w:val="22"/>
      <w:szCs w:val="19"/>
      <w:u w:val="single"/>
      <w:lang w:val="en-US"/>
    </w:rPr>
  </w:style>
  <w:style w:type="paragraph" w:styleId="Heading6">
    <w:name w:val="heading 6"/>
    <w:basedOn w:val="Normal"/>
    <w:next w:val="Normal"/>
    <w:qFormat/>
    <w:rsid w:val="00034D5C"/>
    <w:pPr>
      <w:keepNext/>
      <w:tabs>
        <w:tab w:val="left" w:pos="567"/>
      </w:tabs>
      <w:suppressAutoHyphens/>
      <w:outlineLvl w:val="5"/>
    </w:pPr>
    <w:rPr>
      <w:i/>
      <w:iCs/>
      <w:sz w:val="22"/>
      <w:lang w:val="en-US"/>
    </w:rPr>
  </w:style>
  <w:style w:type="paragraph" w:styleId="Heading7">
    <w:name w:val="heading 7"/>
    <w:basedOn w:val="Normal"/>
    <w:next w:val="Normal"/>
    <w:qFormat/>
    <w:rsid w:val="00AC6D30"/>
    <w:pPr>
      <w:spacing w:before="240" w:after="60"/>
      <w:outlineLvl w:val="6"/>
    </w:pPr>
  </w:style>
  <w:style w:type="paragraph" w:styleId="Heading8">
    <w:name w:val="heading 8"/>
    <w:basedOn w:val="Normal"/>
    <w:next w:val="Normal"/>
    <w:qFormat/>
    <w:rsid w:val="00034D5C"/>
    <w:pPr>
      <w:keepNext/>
      <w:tabs>
        <w:tab w:val="left" w:pos="562"/>
      </w:tabs>
      <w:suppressAutoHyphens/>
      <w:ind w:left="567" w:hanging="567"/>
      <w:outlineLvl w:val="7"/>
    </w:pPr>
    <w:rPr>
      <w:b/>
      <w:bCs/>
      <w:sz w:val="22"/>
      <w:lang w:val="en-US"/>
    </w:rPr>
  </w:style>
  <w:style w:type="paragraph" w:styleId="Heading9">
    <w:name w:val="heading 9"/>
    <w:basedOn w:val="Normal"/>
    <w:next w:val="Normal"/>
    <w:qFormat/>
    <w:rsid w:val="00034D5C"/>
    <w:pPr>
      <w:keepNext/>
      <w:tabs>
        <w:tab w:val="left" w:pos="-720"/>
        <w:tab w:val="left" w:pos="562"/>
      </w:tabs>
      <w:suppressAutoHyphens/>
      <w:jc w:val="both"/>
      <w:outlineLvl w:val="8"/>
    </w:pPr>
    <w:rPr>
      <w:b/>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70AR Char,Info rubrik 1 Char,titel 1 Char"/>
    <w:link w:val="Heading1"/>
    <w:locked/>
    <w:rsid w:val="00A95936"/>
    <w:rPr>
      <w:b/>
      <w:sz w:val="22"/>
      <w:lang w:val="en-GB" w:eastAsia="en-US" w:bidi="ar-SA"/>
    </w:rPr>
  </w:style>
  <w:style w:type="paragraph" w:customStyle="1" w:styleId="EMEANormal">
    <w:name w:val="EMEA Normal"/>
    <w:link w:val="EMEANormalChar"/>
    <w:pPr>
      <w:tabs>
        <w:tab w:val="left" w:pos="562"/>
      </w:tabs>
      <w:suppressAutoHyphens/>
    </w:pPr>
    <w:rPr>
      <w:sz w:val="22"/>
    </w:rPr>
  </w:style>
  <w:style w:type="character" w:customStyle="1" w:styleId="EMEANormalChar">
    <w:name w:val="EMEA Normal Char"/>
    <w:link w:val="EMEANormal"/>
    <w:rsid w:val="0036410D"/>
    <w:rPr>
      <w:sz w:val="22"/>
      <w:lang w:val="en-US" w:eastAsia="en-US" w:bidi="ar-SA"/>
    </w:rPr>
  </w:style>
  <w:style w:type="paragraph" w:customStyle="1" w:styleId="EMEATitle">
    <w:name w:val="EMEA Title"/>
    <w:pPr>
      <w:tabs>
        <w:tab w:val="left" w:pos="562"/>
      </w:tabs>
      <w:suppressAutoHyphens/>
      <w:jc w:val="center"/>
    </w:pPr>
    <w:rPr>
      <w:rFonts w:ascii="Times New Roman Bold" w:hAnsi="Times New Roman Bold"/>
      <w:b/>
      <w:caps/>
      <w:sz w:val="22"/>
    </w:rPr>
  </w:style>
  <w:style w:type="paragraph" w:customStyle="1" w:styleId="EMEAHeading1">
    <w:name w:val="EMEA Heading 1"/>
    <w:next w:val="EMEANormal"/>
    <w:pPr>
      <w:tabs>
        <w:tab w:val="left" w:pos="562"/>
      </w:tabs>
      <w:suppressAutoHyphens/>
      <w:spacing w:beforeLines="200" w:before="200" w:afterLines="100" w:after="100"/>
      <w:outlineLvl w:val="0"/>
    </w:pPr>
    <w:rPr>
      <w:rFonts w:ascii="Times New Roman Bold" w:hAnsi="Times New Roman Bold"/>
      <w:b/>
      <w:caps/>
      <w:sz w:val="22"/>
    </w:rPr>
  </w:style>
  <w:style w:type="paragraph" w:customStyle="1" w:styleId="EMEAHeading1Para1">
    <w:name w:val="EMEA Heading 1 Para 1"/>
    <w:basedOn w:val="EMEAHeading1"/>
    <w:next w:val="EMEANormal"/>
    <w:pPr>
      <w:spacing w:beforeLines="0" w:before="0"/>
    </w:pPr>
  </w:style>
  <w:style w:type="paragraph" w:customStyle="1" w:styleId="EMEAHeading2SPC">
    <w:name w:val="EMEA Heading 2 SPC"/>
    <w:next w:val="EMEANormal"/>
    <w:pPr>
      <w:tabs>
        <w:tab w:val="left" w:pos="562"/>
      </w:tabs>
      <w:spacing w:beforeLines="100" w:before="100" w:afterLines="100" w:after="100"/>
      <w:outlineLvl w:val="1"/>
    </w:pPr>
    <w:rPr>
      <w:rFonts w:ascii="Times New Roman Bold" w:hAnsi="Times New Roman Bold"/>
      <w:b/>
      <w:sz w:val="22"/>
    </w:rPr>
  </w:style>
  <w:style w:type="paragraph" w:customStyle="1" w:styleId="EMEAHeading2SPCEmpty">
    <w:name w:val="EMEA Heading 2 SPC Empty"/>
    <w:basedOn w:val="EMEAHeading2SPC"/>
    <w:next w:val="EMEANormal"/>
    <w:pPr>
      <w:spacing w:beforeLines="0" w:before="0"/>
    </w:pPr>
  </w:style>
  <w:style w:type="paragraph" w:styleId="Header">
    <w:name w:val="header"/>
    <w:basedOn w:val="Normal"/>
    <w:pPr>
      <w:tabs>
        <w:tab w:val="left" w:pos="562"/>
        <w:tab w:val="center" w:pos="4320"/>
        <w:tab w:val="right" w:pos="8640"/>
      </w:tabs>
      <w:suppressAutoHyphens/>
    </w:pPr>
    <w:rPr>
      <w:sz w:val="22"/>
      <w:lang w:val="en-US"/>
    </w:rPr>
  </w:style>
  <w:style w:type="paragraph" w:customStyle="1" w:styleId="EMEAHeadingUI">
    <w:name w:val="EMEA Heading UI"/>
    <w:next w:val="EMEANormal"/>
    <w:pPr>
      <w:tabs>
        <w:tab w:val="left" w:pos="562"/>
      </w:tabs>
      <w:suppressAutoHyphens/>
      <w:spacing w:beforeLines="100" w:before="100" w:afterLines="100" w:after="100"/>
    </w:pPr>
    <w:rPr>
      <w:i/>
      <w:sz w:val="22"/>
      <w:u w:val="single"/>
    </w:rPr>
  </w:style>
  <w:style w:type="paragraph" w:customStyle="1" w:styleId="EMEAHeadingItalic">
    <w:name w:val="EMEA Heading Italic"/>
    <w:next w:val="EMEANormal"/>
    <w:pPr>
      <w:tabs>
        <w:tab w:val="left" w:pos="562"/>
      </w:tabs>
      <w:suppressAutoHyphens/>
      <w:spacing w:beforeLines="100" w:before="100" w:afterLines="100" w:after="100"/>
    </w:pPr>
    <w:rPr>
      <w:i/>
      <w:sz w:val="22"/>
    </w:rPr>
  </w:style>
  <w:style w:type="paragraph" w:customStyle="1" w:styleId="EMEAHeadingUnderline">
    <w:name w:val="EMEA Heading Underline"/>
    <w:next w:val="EMEANormal"/>
    <w:pPr>
      <w:tabs>
        <w:tab w:val="left" w:pos="562"/>
      </w:tabs>
      <w:suppressAutoHyphens/>
      <w:spacing w:beforeLines="100" w:before="100" w:afterLines="100" w:after="100"/>
    </w:pPr>
    <w:rPr>
      <w:sz w:val="22"/>
      <w:u w:val="single"/>
    </w:rPr>
  </w:style>
  <w:style w:type="paragraph" w:customStyle="1" w:styleId="EMEABullet">
    <w:name w:val="EMEA Bullet"/>
    <w:link w:val="EMEABulletChar"/>
    <w:pPr>
      <w:numPr>
        <w:numId w:val="1"/>
      </w:numPr>
      <w:suppressAutoHyphens/>
    </w:pPr>
    <w:rPr>
      <w:sz w:val="22"/>
    </w:rPr>
  </w:style>
  <w:style w:type="character" w:customStyle="1" w:styleId="EMEABulletChar">
    <w:name w:val="EMEA Bullet Char"/>
    <w:link w:val="EMEABullet"/>
    <w:rsid w:val="000B061A"/>
    <w:rPr>
      <w:sz w:val="22"/>
    </w:rPr>
  </w:style>
  <w:style w:type="paragraph" w:customStyle="1" w:styleId="Considrant">
    <w:name w:val="Considérant"/>
    <w:basedOn w:val="Normal"/>
    <w:pPr>
      <w:numPr>
        <w:numId w:val="2"/>
      </w:numPr>
      <w:spacing w:before="120" w:after="120"/>
      <w:jc w:val="both"/>
    </w:pPr>
    <w:rPr>
      <w:szCs w:val="20"/>
    </w:rPr>
  </w:style>
  <w:style w:type="paragraph" w:customStyle="1" w:styleId="EMEAHeadingLeaflet">
    <w:name w:val="EMEA Heading Leaflet"/>
    <w:next w:val="EMEANormal"/>
    <w:pPr>
      <w:tabs>
        <w:tab w:val="left" w:pos="562"/>
      </w:tabs>
      <w:suppressAutoHyphens/>
      <w:spacing w:beforeLines="100" w:before="100" w:afterLines="100" w:after="100"/>
    </w:pPr>
    <w:rPr>
      <w:rFonts w:ascii="Times New Roman Bold" w:hAnsi="Times New Roman Bold"/>
      <w:b/>
      <w:sz w:val="22"/>
    </w:rPr>
  </w:style>
  <w:style w:type="paragraph" w:customStyle="1" w:styleId="EMEAHeadingBoxedEmpty">
    <w:name w:val="EMEA Heading Boxed Empty"/>
    <w:basedOn w:val="EMEAHeadingBoxed"/>
    <w:next w:val="EMEANormal"/>
    <w:pPr>
      <w:spacing w:afterLines="0" w:after="0"/>
    </w:pPr>
  </w:style>
  <w:style w:type="paragraph" w:customStyle="1" w:styleId="EMEAHeadingBoxed">
    <w:name w:val="EMEA Heading Boxed"/>
    <w:next w:val="EMEANormal"/>
    <w:pPr>
      <w:pBdr>
        <w:top w:val="single" w:sz="4" w:space="1" w:color="auto"/>
        <w:left w:val="single" w:sz="4" w:space="4" w:color="auto"/>
        <w:bottom w:val="single" w:sz="4" w:space="1" w:color="auto"/>
        <w:right w:val="single" w:sz="4" w:space="4" w:color="auto"/>
      </w:pBdr>
      <w:tabs>
        <w:tab w:val="left" w:pos="562"/>
      </w:tabs>
      <w:suppressAutoHyphens/>
      <w:spacing w:beforeLines="200" w:before="200" w:afterLines="100" w:after="100"/>
      <w:ind w:left="562" w:hanging="562"/>
    </w:pPr>
    <w:rPr>
      <w:rFonts w:ascii="Times New Roman Bold" w:hAnsi="Times New Roman Bold"/>
      <w:b/>
      <w:caps/>
      <w:sz w:val="22"/>
    </w:rPr>
  </w:style>
  <w:style w:type="paragraph" w:customStyle="1" w:styleId="EMEAHeadingBoxedTitle">
    <w:name w:val="EMEA Heading Boxed Title"/>
    <w:next w:val="EMEANormal"/>
    <w:pPr>
      <w:pBdr>
        <w:top w:val="single" w:sz="4" w:space="1" w:color="auto"/>
        <w:left w:val="single" w:sz="4" w:space="4" w:color="auto"/>
        <w:bottom w:val="single" w:sz="4" w:space="1" w:color="auto"/>
        <w:right w:val="single" w:sz="4" w:space="4" w:color="auto"/>
      </w:pBdr>
      <w:tabs>
        <w:tab w:val="left" w:pos="562"/>
      </w:tabs>
      <w:suppressAutoHyphens/>
      <w:spacing w:before="480" w:after="240"/>
    </w:pPr>
    <w:rPr>
      <w:rFonts w:ascii="Times New Roman Bold" w:hAnsi="Times New Roman Bold"/>
      <w:b/>
      <w:caps/>
      <w:sz w:val="22"/>
    </w:rPr>
  </w:style>
  <w:style w:type="paragraph" w:customStyle="1" w:styleId="EMEAFooter">
    <w:name w:val="EMEA Footer"/>
    <w:pPr>
      <w:suppressAutoHyphens/>
      <w:jc w:val="center"/>
    </w:pPr>
    <w:rPr>
      <w:rFonts w:ascii="Helvetica" w:hAnsi="Helvetica"/>
      <w:sz w:val="16"/>
    </w:rPr>
  </w:style>
  <w:style w:type="paragraph" w:customStyle="1" w:styleId="EMEAHint">
    <w:name w:val="EMEA Hint"/>
    <w:next w:val="EMEANormal"/>
    <w:pPr>
      <w:tabs>
        <w:tab w:val="left" w:pos="562"/>
      </w:tabs>
      <w:suppressAutoHyphens/>
    </w:pPr>
    <w:rPr>
      <w:i/>
      <w:color w:val="008000"/>
      <w:sz w:val="22"/>
    </w:rPr>
  </w:style>
  <w:style w:type="paragraph" w:customStyle="1" w:styleId="EMEAFigureTitle">
    <w:name w:val="EMEA Figure Title"/>
    <w:basedOn w:val="EMEANormal"/>
    <w:next w:val="EMEANormal"/>
  </w:style>
  <w:style w:type="paragraph" w:customStyle="1" w:styleId="Corpsdetex">
    <w:name w:val="Corps de tex"/>
    <w:pPr>
      <w:widowControl w:val="0"/>
    </w:pPr>
    <w:rPr>
      <w:rFonts w:ascii="Book Antiqua" w:hAnsi="Book Antiqua"/>
      <w:sz w:val="22"/>
      <w:lang w:val="fr-FR" w:eastAsia="fr-FR"/>
    </w:rPr>
  </w:style>
  <w:style w:type="paragraph" w:styleId="Footer">
    <w:name w:val="footer"/>
    <w:basedOn w:val="Normal"/>
    <w:link w:val="FooterChar"/>
    <w:pPr>
      <w:tabs>
        <w:tab w:val="center" w:pos="4153"/>
        <w:tab w:val="right" w:pos="8306"/>
      </w:tabs>
    </w:pPr>
  </w:style>
  <w:style w:type="character" w:customStyle="1" w:styleId="FooterChar">
    <w:name w:val="Footer Char"/>
    <w:link w:val="Footer"/>
    <w:locked/>
    <w:rsid w:val="00034D5C"/>
    <w:rPr>
      <w:sz w:val="24"/>
      <w:szCs w:val="24"/>
      <w:lang w:val="en-GB" w:eastAsia="en-US" w:bidi="ar-SA"/>
    </w:rPr>
  </w:style>
  <w:style w:type="character" w:styleId="PageNumber">
    <w:name w:val="page number"/>
    <w:basedOn w:val="DefaultParagraphFont"/>
  </w:style>
  <w:style w:type="character" w:customStyle="1" w:styleId="underline1">
    <w:name w:val="underline1"/>
    <w:rPr>
      <w:u w:val="single"/>
    </w:rPr>
  </w:style>
  <w:style w:type="paragraph" w:styleId="CommentText">
    <w:name w:val="annotation text"/>
    <w:basedOn w:val="Normal"/>
    <w:semiHidden/>
    <w:rPr>
      <w:sz w:val="20"/>
      <w:szCs w:val="20"/>
      <w:lang w:val="en-US"/>
    </w:rPr>
  </w:style>
  <w:style w:type="paragraph" w:customStyle="1" w:styleId="EMEABullet2">
    <w:name w:val="EMEA Bullet 2"/>
    <w:basedOn w:val="Normal"/>
  </w:style>
  <w:style w:type="character" w:customStyle="1" w:styleId="Fill-In">
    <w:name w:val="Fill-In"/>
    <w:rPr>
      <w:color w:val="FF00FF"/>
    </w:rPr>
  </w:style>
  <w:style w:type="paragraph" w:styleId="BodyText">
    <w:name w:val="Body Text"/>
    <w:basedOn w:val="Normal"/>
    <w:pPr>
      <w:autoSpaceDE w:val="0"/>
      <w:autoSpaceDN w:val="0"/>
      <w:adjustRightInd w:val="0"/>
      <w:spacing w:before="120" w:after="120" w:line="240" w:lineRule="atLeast"/>
      <w:jc w:val="center"/>
    </w:pPr>
    <w:rPr>
      <w:sz w:val="22"/>
    </w:rPr>
  </w:style>
  <w:style w:type="paragraph" w:styleId="BalloonText">
    <w:name w:val="Balloon Text"/>
    <w:basedOn w:val="Normal"/>
    <w:semiHidden/>
    <w:rsid w:val="00C5615D"/>
    <w:rPr>
      <w:rFonts w:ascii="Tahoma" w:hAnsi="Tahoma" w:cs="Tahoma"/>
      <w:sz w:val="16"/>
      <w:szCs w:val="16"/>
    </w:rPr>
  </w:style>
  <w:style w:type="character" w:styleId="CommentReference">
    <w:name w:val="annotation reference"/>
    <w:semiHidden/>
    <w:rsid w:val="00A45E02"/>
    <w:rPr>
      <w:sz w:val="16"/>
      <w:szCs w:val="16"/>
    </w:rPr>
  </w:style>
  <w:style w:type="paragraph" w:styleId="CommentSubject">
    <w:name w:val="annotation subject"/>
    <w:basedOn w:val="CommentText"/>
    <w:next w:val="CommentText"/>
    <w:semiHidden/>
    <w:rsid w:val="00A45E02"/>
    <w:rPr>
      <w:b/>
      <w:bCs/>
      <w:lang w:val="en-GB"/>
    </w:rPr>
  </w:style>
  <w:style w:type="paragraph" w:styleId="NormalWeb">
    <w:name w:val="Normal (Web)"/>
    <w:basedOn w:val="Normal"/>
    <w:rsid w:val="00C6529F"/>
    <w:pPr>
      <w:spacing w:before="100" w:beforeAutospacing="1" w:after="100" w:afterAutospacing="1"/>
    </w:pPr>
    <w:rPr>
      <w:rFonts w:ascii="Arial Unicode MS" w:eastAsia="Arial Unicode MS" w:hAnsi="Arial Unicode MS" w:cs="Arial Unicode MS" w:hint="eastAsia"/>
      <w:lang w:val="en-US"/>
    </w:rPr>
  </w:style>
  <w:style w:type="paragraph" w:customStyle="1" w:styleId="Institutionquisigne">
    <w:name w:val="Institution qui signe"/>
    <w:basedOn w:val="Normal"/>
    <w:next w:val="Normal"/>
    <w:rsid w:val="001F0286"/>
    <w:pPr>
      <w:keepNext/>
      <w:tabs>
        <w:tab w:val="left" w:pos="4253"/>
      </w:tabs>
      <w:spacing w:before="720"/>
      <w:jc w:val="both"/>
    </w:pPr>
    <w:rPr>
      <w:i/>
      <w:szCs w:val="20"/>
    </w:rPr>
  </w:style>
  <w:style w:type="paragraph" w:styleId="EndnoteText">
    <w:name w:val="endnote text"/>
    <w:basedOn w:val="Normal"/>
    <w:semiHidden/>
    <w:rsid w:val="002A338F"/>
    <w:pPr>
      <w:tabs>
        <w:tab w:val="left" w:pos="567"/>
      </w:tabs>
    </w:pPr>
    <w:rPr>
      <w:sz w:val="22"/>
      <w:szCs w:val="20"/>
    </w:rPr>
  </w:style>
  <w:style w:type="table" w:styleId="TableGrid">
    <w:name w:val="Table Grid"/>
    <w:basedOn w:val="TableNormal"/>
    <w:rsid w:val="00776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B7165"/>
    <w:rPr>
      <w:color w:val="0000FF"/>
      <w:u w:val="single"/>
    </w:rPr>
  </w:style>
  <w:style w:type="character" w:styleId="Emphasis">
    <w:name w:val="Emphasis"/>
    <w:qFormat/>
    <w:rsid w:val="003E3CB9"/>
    <w:rPr>
      <w:i/>
      <w:iCs/>
    </w:rPr>
  </w:style>
  <w:style w:type="paragraph" w:customStyle="1" w:styleId="Default">
    <w:name w:val="Default"/>
    <w:rsid w:val="00B035E1"/>
    <w:pPr>
      <w:autoSpaceDE w:val="0"/>
      <w:autoSpaceDN w:val="0"/>
      <w:adjustRightInd w:val="0"/>
    </w:pPr>
    <w:rPr>
      <w:color w:val="000000"/>
      <w:sz w:val="24"/>
      <w:szCs w:val="24"/>
      <w:lang w:val="en-GB" w:eastAsia="en-GB"/>
    </w:rPr>
  </w:style>
  <w:style w:type="character" w:styleId="FollowedHyperlink">
    <w:name w:val="FollowedHyperlink"/>
    <w:rsid w:val="00EF23E8"/>
    <w:rPr>
      <w:color w:val="800080"/>
      <w:u w:val="single"/>
    </w:rPr>
  </w:style>
  <w:style w:type="paragraph" w:customStyle="1" w:styleId="BMCENTRED">
    <w:name w:val="BM CENTRED"/>
    <w:basedOn w:val="EMEATitle"/>
    <w:rsid w:val="00820C17"/>
    <w:rPr>
      <w:rFonts w:ascii="Times New Roman" w:hAnsi="Times New Roman"/>
      <w:lang w:val="en-GB"/>
    </w:rPr>
  </w:style>
  <w:style w:type="paragraph" w:customStyle="1" w:styleId="BMLeftAligned">
    <w:name w:val="BM Left Aligned"/>
    <w:basedOn w:val="Normal"/>
    <w:rsid w:val="005C57F6"/>
    <w:rPr>
      <w:b/>
    </w:rPr>
  </w:style>
  <w:style w:type="paragraph" w:customStyle="1" w:styleId="HeaderText">
    <w:name w:val="HeaderText"/>
    <w:basedOn w:val="Normal"/>
    <w:rsid w:val="00AC6D30"/>
    <w:pPr>
      <w:tabs>
        <w:tab w:val="left" w:pos="562"/>
      </w:tabs>
      <w:suppressAutoHyphens/>
    </w:pPr>
    <w:rPr>
      <w:sz w:val="22"/>
      <w:lang w:val="en-US"/>
    </w:rPr>
  </w:style>
  <w:style w:type="paragraph" w:customStyle="1" w:styleId="TableText">
    <w:name w:val="Table Text"/>
    <w:rsid w:val="00034D5C"/>
    <w:rPr>
      <w:color w:val="000000"/>
      <w:sz w:val="24"/>
    </w:rPr>
  </w:style>
  <w:style w:type="character" w:styleId="LineNumber">
    <w:name w:val="line number"/>
    <w:basedOn w:val="DefaultParagraphFont"/>
    <w:rsid w:val="00034D5C"/>
  </w:style>
  <w:style w:type="paragraph" w:styleId="BodyText2">
    <w:name w:val="Body Text 2"/>
    <w:basedOn w:val="Normal"/>
    <w:rsid w:val="00034D5C"/>
    <w:pPr>
      <w:tabs>
        <w:tab w:val="left" w:pos="567"/>
      </w:tabs>
      <w:suppressAutoHyphens/>
      <w:jc w:val="both"/>
    </w:pPr>
    <w:rPr>
      <w:sz w:val="22"/>
      <w:lang w:val="en-US"/>
    </w:rPr>
  </w:style>
  <w:style w:type="paragraph" w:styleId="BodyText3">
    <w:name w:val="Body Text 3"/>
    <w:basedOn w:val="Normal"/>
    <w:link w:val="BodyText3Char"/>
    <w:rsid w:val="00034D5C"/>
    <w:pPr>
      <w:tabs>
        <w:tab w:val="left" w:pos="567"/>
      </w:tabs>
      <w:suppressAutoHyphens/>
      <w:jc w:val="both"/>
    </w:pPr>
    <w:rPr>
      <w:sz w:val="22"/>
      <w:lang w:val="en-US"/>
    </w:rPr>
  </w:style>
  <w:style w:type="paragraph" w:styleId="BodyTextIndent">
    <w:name w:val="Body Text Indent"/>
    <w:basedOn w:val="Normal"/>
    <w:rsid w:val="00034D5C"/>
    <w:pPr>
      <w:tabs>
        <w:tab w:val="left" w:pos="562"/>
      </w:tabs>
      <w:suppressAutoHyphens/>
      <w:ind w:left="540" w:hanging="180"/>
    </w:pPr>
    <w:rPr>
      <w:sz w:val="22"/>
      <w:lang w:val="en-US"/>
    </w:rPr>
  </w:style>
  <w:style w:type="paragraph" w:customStyle="1" w:styleId="BodyText1">
    <w:name w:val="Body Text1"/>
    <w:rsid w:val="00034D5C"/>
    <w:pPr>
      <w:tabs>
        <w:tab w:val="left" w:pos="1152"/>
        <w:tab w:val="left" w:pos="1872"/>
      </w:tabs>
      <w:overflowPunct w:val="0"/>
      <w:autoSpaceDE w:val="0"/>
      <w:autoSpaceDN w:val="0"/>
      <w:adjustRightInd w:val="0"/>
      <w:spacing w:after="240" w:line="288" w:lineRule="auto"/>
      <w:ind w:left="1151"/>
      <w:jc w:val="both"/>
      <w:textAlignment w:val="baseline"/>
    </w:pPr>
    <w:rPr>
      <w:sz w:val="24"/>
      <w:lang w:val="de-DE"/>
    </w:rPr>
  </w:style>
  <w:style w:type="paragraph" w:customStyle="1" w:styleId="Reporttext">
    <w:name w:val="Report text"/>
    <w:rsid w:val="00034D5C"/>
    <w:pPr>
      <w:tabs>
        <w:tab w:val="left" w:pos="1152"/>
        <w:tab w:val="left" w:pos="1872"/>
      </w:tabs>
      <w:overflowPunct w:val="0"/>
      <w:autoSpaceDE w:val="0"/>
      <w:autoSpaceDN w:val="0"/>
      <w:adjustRightInd w:val="0"/>
      <w:spacing w:after="288" w:line="288" w:lineRule="auto"/>
      <w:ind w:left="1151"/>
      <w:jc w:val="both"/>
      <w:textAlignment w:val="baseline"/>
    </w:pPr>
    <w:rPr>
      <w:sz w:val="24"/>
      <w:lang w:val="de-DE"/>
    </w:rPr>
  </w:style>
  <w:style w:type="paragraph" w:customStyle="1" w:styleId="a">
    <w:name w:val="_"/>
    <w:rsid w:val="00034D5C"/>
    <w:pPr>
      <w:widowControl w:val="0"/>
    </w:pPr>
    <w:rPr>
      <w:rFonts w:ascii="Roman" w:hAnsi="Roman"/>
      <w:sz w:val="24"/>
    </w:rPr>
  </w:style>
  <w:style w:type="paragraph" w:customStyle="1" w:styleId="pedtablecenter">
    <w:name w:val="pedtablecenter"/>
    <w:basedOn w:val="pedtable"/>
    <w:rsid w:val="00034D5C"/>
    <w:pPr>
      <w:jc w:val="center"/>
    </w:pPr>
  </w:style>
  <w:style w:type="paragraph" w:customStyle="1" w:styleId="pedtable">
    <w:name w:val="pedtable"/>
    <w:basedOn w:val="Normal"/>
    <w:rsid w:val="00034D5C"/>
    <w:pPr>
      <w:tabs>
        <w:tab w:val="left" w:pos="562"/>
      </w:tabs>
      <w:suppressAutoHyphens/>
    </w:pPr>
    <w:rPr>
      <w:sz w:val="22"/>
      <w:lang w:val="en-US"/>
    </w:rPr>
  </w:style>
  <w:style w:type="paragraph" w:customStyle="1" w:styleId="Style6">
    <w:name w:val="Style6"/>
    <w:rsid w:val="00034D5C"/>
    <w:pPr>
      <w:autoSpaceDE w:val="0"/>
      <w:autoSpaceDN w:val="0"/>
      <w:adjustRightInd w:val="0"/>
    </w:pPr>
    <w:rPr>
      <w:rFonts w:ascii="Arial" w:hAnsi="Arial"/>
      <w:szCs w:val="24"/>
      <w:lang w:val="fr-FR" w:eastAsia="fr-FR"/>
    </w:rPr>
  </w:style>
  <w:style w:type="paragraph" w:customStyle="1" w:styleId="times">
    <w:name w:val="times"/>
    <w:basedOn w:val="Normal"/>
    <w:rsid w:val="00034D5C"/>
    <w:pPr>
      <w:tabs>
        <w:tab w:val="left" w:pos="562"/>
      </w:tabs>
      <w:suppressAutoHyphens/>
    </w:pPr>
    <w:rPr>
      <w:sz w:val="22"/>
      <w:lang w:val="en-US" w:eastAsia="fr-FR"/>
    </w:rPr>
  </w:style>
  <w:style w:type="paragraph" w:customStyle="1" w:styleId="tableentry">
    <w:name w:val="table entry"/>
    <w:next w:val="Normal"/>
    <w:rsid w:val="00034D5C"/>
    <w:rPr>
      <w:rFonts w:ascii="Times New Roman Bold" w:hAnsi="Times New Roman Bold"/>
      <w:b/>
      <w:noProof/>
      <w:lang w:val="fr-FR" w:eastAsia="fr-FR"/>
    </w:rPr>
  </w:style>
  <w:style w:type="paragraph" w:styleId="BodyTextIndent3">
    <w:name w:val="Body Text Indent 3"/>
    <w:basedOn w:val="Normal"/>
    <w:rsid w:val="00034D5C"/>
    <w:pPr>
      <w:tabs>
        <w:tab w:val="left" w:pos="562"/>
      </w:tabs>
      <w:suppressAutoHyphens/>
      <w:ind w:left="720"/>
    </w:pPr>
    <w:rPr>
      <w:i/>
      <w:iCs/>
      <w:color w:val="000000"/>
      <w:lang w:val="en-US"/>
    </w:rPr>
  </w:style>
  <w:style w:type="paragraph" w:styleId="NormalIndent">
    <w:name w:val="Normal Indent"/>
    <w:basedOn w:val="Normal"/>
    <w:rsid w:val="00034D5C"/>
    <w:pPr>
      <w:tabs>
        <w:tab w:val="left" w:pos="562"/>
      </w:tabs>
      <w:suppressAutoHyphens/>
      <w:ind w:left="720"/>
    </w:pPr>
    <w:rPr>
      <w:lang w:val="de-DE" w:eastAsia="de-DE"/>
    </w:rPr>
  </w:style>
  <w:style w:type="paragraph" w:styleId="BodyTextIndent2">
    <w:name w:val="Body Text Indent 2"/>
    <w:basedOn w:val="Normal"/>
    <w:rsid w:val="00034D5C"/>
    <w:pPr>
      <w:ind w:left="360" w:hanging="360"/>
      <w:jc w:val="both"/>
    </w:pPr>
    <w:rPr>
      <w:sz w:val="22"/>
      <w:szCs w:val="20"/>
    </w:rPr>
  </w:style>
  <w:style w:type="character" w:customStyle="1" w:styleId="bold1">
    <w:name w:val="bold1"/>
    <w:rsid w:val="00034D5C"/>
    <w:rPr>
      <w:b/>
      <w:bCs/>
    </w:rPr>
  </w:style>
  <w:style w:type="character" w:customStyle="1" w:styleId="sub1">
    <w:name w:val="sub1"/>
    <w:rsid w:val="00034D5C"/>
    <w:rPr>
      <w:sz w:val="19"/>
      <w:szCs w:val="19"/>
    </w:rPr>
  </w:style>
  <w:style w:type="character" w:customStyle="1" w:styleId="sup1">
    <w:name w:val="sup1"/>
    <w:rsid w:val="00034D5C"/>
    <w:rPr>
      <w:sz w:val="19"/>
      <w:szCs w:val="19"/>
    </w:rPr>
  </w:style>
  <w:style w:type="character" w:customStyle="1" w:styleId="italics1">
    <w:name w:val="italics1"/>
    <w:rsid w:val="00034D5C"/>
    <w:rPr>
      <w:i/>
      <w:iCs/>
    </w:rPr>
  </w:style>
  <w:style w:type="paragraph" w:customStyle="1" w:styleId="EMEABodyText">
    <w:name w:val="EMEA Body Text"/>
    <w:basedOn w:val="Normal"/>
    <w:next w:val="Normal"/>
    <w:rsid w:val="00034D5C"/>
    <w:pPr>
      <w:autoSpaceDE w:val="0"/>
      <w:autoSpaceDN w:val="0"/>
      <w:adjustRightInd w:val="0"/>
    </w:pPr>
    <w:rPr>
      <w:rFonts w:ascii="EFPPNA+TimesNewRoman" w:hAnsi="EFPPNA+TimesNewRoman"/>
      <w:lang w:val="en-US"/>
    </w:rPr>
  </w:style>
  <w:style w:type="paragraph" w:customStyle="1" w:styleId="TitleA">
    <w:name w:val="Title A"/>
    <w:basedOn w:val="Heading3"/>
    <w:rsid w:val="00034D5C"/>
    <w:pPr>
      <w:tabs>
        <w:tab w:val="left" w:pos="567"/>
      </w:tabs>
      <w:suppressAutoHyphens/>
      <w:autoSpaceDE/>
      <w:autoSpaceDN/>
      <w:adjustRightInd/>
      <w:spacing w:before="0" w:line="240" w:lineRule="auto"/>
    </w:pPr>
    <w:rPr>
      <w:b/>
      <w:szCs w:val="19"/>
      <w:lang w:val="en-US"/>
    </w:rPr>
  </w:style>
  <w:style w:type="paragraph" w:customStyle="1" w:styleId="TitleB">
    <w:name w:val="Title B"/>
    <w:basedOn w:val="Normal"/>
    <w:rsid w:val="00034D5C"/>
    <w:pPr>
      <w:numPr>
        <w:numId w:val="6"/>
      </w:numPr>
      <w:tabs>
        <w:tab w:val="left" w:pos="562"/>
      </w:tabs>
      <w:suppressAutoHyphens/>
      <w:ind w:left="1700" w:right="1416" w:hanging="566"/>
    </w:pPr>
    <w:rPr>
      <w:b/>
      <w:sz w:val="22"/>
      <w:lang w:val="en-US"/>
    </w:rPr>
  </w:style>
  <w:style w:type="character" w:customStyle="1" w:styleId="msoins0">
    <w:name w:val="msoins"/>
    <w:rsid w:val="00034D5C"/>
    <w:rPr>
      <w:rFonts w:cs="Times New Roman"/>
    </w:rPr>
  </w:style>
  <w:style w:type="paragraph" w:customStyle="1" w:styleId="BodytextAgency">
    <w:name w:val="Body text (Agency)"/>
    <w:basedOn w:val="Normal"/>
    <w:link w:val="BodytextAgencyChar"/>
    <w:rsid w:val="00034D5C"/>
    <w:pPr>
      <w:spacing w:after="140" w:line="280" w:lineRule="atLeast"/>
    </w:pPr>
    <w:rPr>
      <w:rFonts w:ascii="Verdana" w:hAnsi="Verdana" w:cs="Verdana"/>
      <w:sz w:val="18"/>
      <w:szCs w:val="18"/>
      <w:lang w:eastAsia="en-GB"/>
    </w:rPr>
  </w:style>
  <w:style w:type="character" w:customStyle="1" w:styleId="BodytextAgencyChar">
    <w:name w:val="Body text (Agency) Char"/>
    <w:link w:val="BodytextAgency"/>
    <w:locked/>
    <w:rsid w:val="00034D5C"/>
    <w:rPr>
      <w:rFonts w:ascii="Verdana" w:hAnsi="Verdana" w:cs="Verdana"/>
      <w:sz w:val="18"/>
      <w:szCs w:val="18"/>
      <w:lang w:val="en-GB" w:eastAsia="en-GB" w:bidi="ar-SA"/>
    </w:rPr>
  </w:style>
  <w:style w:type="paragraph" w:styleId="BlockText">
    <w:name w:val="Block Text"/>
    <w:basedOn w:val="Normal"/>
    <w:rsid w:val="00437303"/>
    <w:pPr>
      <w:spacing w:after="120"/>
      <w:ind w:left="1440" w:right="1440"/>
    </w:pPr>
  </w:style>
  <w:style w:type="paragraph" w:styleId="BodyTextFirstIndent">
    <w:name w:val="Body Text First Indent"/>
    <w:basedOn w:val="BodyText"/>
    <w:rsid w:val="00437303"/>
    <w:pPr>
      <w:autoSpaceDE/>
      <w:autoSpaceDN/>
      <w:adjustRightInd/>
      <w:spacing w:before="0" w:line="240" w:lineRule="auto"/>
      <w:ind w:firstLine="210"/>
      <w:jc w:val="left"/>
    </w:pPr>
    <w:rPr>
      <w:sz w:val="24"/>
    </w:rPr>
  </w:style>
  <w:style w:type="paragraph" w:styleId="BodyTextFirstIndent2">
    <w:name w:val="Body Text First Indent 2"/>
    <w:basedOn w:val="BodyTextIndent"/>
    <w:rsid w:val="00437303"/>
    <w:pPr>
      <w:tabs>
        <w:tab w:val="clear" w:pos="562"/>
      </w:tabs>
      <w:suppressAutoHyphens w:val="0"/>
      <w:spacing w:after="120"/>
      <w:ind w:left="283" w:firstLine="210"/>
    </w:pPr>
    <w:rPr>
      <w:sz w:val="24"/>
      <w:lang w:val="en-GB"/>
    </w:rPr>
  </w:style>
  <w:style w:type="paragraph" w:styleId="Caption">
    <w:name w:val="caption"/>
    <w:basedOn w:val="Normal"/>
    <w:next w:val="Normal"/>
    <w:qFormat/>
    <w:rsid w:val="00437303"/>
    <w:rPr>
      <w:b/>
      <w:bCs/>
      <w:sz w:val="20"/>
      <w:szCs w:val="20"/>
    </w:rPr>
  </w:style>
  <w:style w:type="paragraph" w:styleId="Closing">
    <w:name w:val="Closing"/>
    <w:basedOn w:val="Normal"/>
    <w:rsid w:val="00437303"/>
    <w:pPr>
      <w:ind w:left="4252"/>
    </w:pPr>
  </w:style>
  <w:style w:type="paragraph" w:styleId="Date">
    <w:name w:val="Date"/>
    <w:basedOn w:val="Normal"/>
    <w:next w:val="Normal"/>
    <w:rsid w:val="00437303"/>
  </w:style>
  <w:style w:type="paragraph" w:styleId="DocumentMap">
    <w:name w:val="Document Map"/>
    <w:basedOn w:val="Normal"/>
    <w:semiHidden/>
    <w:rsid w:val="00437303"/>
    <w:pPr>
      <w:shd w:val="clear" w:color="auto" w:fill="000080"/>
    </w:pPr>
    <w:rPr>
      <w:rFonts w:ascii="Tahoma" w:hAnsi="Tahoma" w:cs="Tahoma"/>
      <w:sz w:val="20"/>
      <w:szCs w:val="20"/>
    </w:rPr>
  </w:style>
  <w:style w:type="paragraph" w:styleId="E-mailSignature">
    <w:name w:val="E-mail Signature"/>
    <w:basedOn w:val="Normal"/>
    <w:rsid w:val="00437303"/>
  </w:style>
  <w:style w:type="paragraph" w:styleId="EnvelopeAddress">
    <w:name w:val="envelope address"/>
    <w:basedOn w:val="Normal"/>
    <w:rsid w:val="0043730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437303"/>
    <w:rPr>
      <w:rFonts w:ascii="Arial" w:hAnsi="Arial" w:cs="Arial"/>
      <w:sz w:val="20"/>
      <w:szCs w:val="20"/>
    </w:rPr>
  </w:style>
  <w:style w:type="paragraph" w:styleId="FootnoteText">
    <w:name w:val="footnote text"/>
    <w:basedOn w:val="Normal"/>
    <w:semiHidden/>
    <w:rsid w:val="00437303"/>
    <w:rPr>
      <w:sz w:val="20"/>
      <w:szCs w:val="20"/>
    </w:rPr>
  </w:style>
  <w:style w:type="paragraph" w:styleId="HTMLAddress">
    <w:name w:val="HTML Address"/>
    <w:basedOn w:val="Normal"/>
    <w:rsid w:val="00437303"/>
    <w:rPr>
      <w:i/>
      <w:iCs/>
    </w:rPr>
  </w:style>
  <w:style w:type="paragraph" w:styleId="HTMLPreformatted">
    <w:name w:val="HTML Preformatted"/>
    <w:basedOn w:val="Normal"/>
    <w:rsid w:val="00437303"/>
    <w:rPr>
      <w:rFonts w:ascii="Courier New" w:hAnsi="Courier New" w:cs="Courier New"/>
      <w:sz w:val="20"/>
      <w:szCs w:val="20"/>
    </w:rPr>
  </w:style>
  <w:style w:type="paragraph" w:styleId="Index1">
    <w:name w:val="index 1"/>
    <w:basedOn w:val="Normal"/>
    <w:next w:val="Normal"/>
    <w:autoRedefine/>
    <w:semiHidden/>
    <w:rsid w:val="00437303"/>
    <w:pPr>
      <w:ind w:left="240" w:hanging="240"/>
    </w:pPr>
  </w:style>
  <w:style w:type="paragraph" w:styleId="Index2">
    <w:name w:val="index 2"/>
    <w:basedOn w:val="Normal"/>
    <w:next w:val="Normal"/>
    <w:autoRedefine/>
    <w:semiHidden/>
    <w:rsid w:val="00437303"/>
    <w:pPr>
      <w:ind w:left="480" w:hanging="240"/>
    </w:pPr>
  </w:style>
  <w:style w:type="paragraph" w:styleId="Index3">
    <w:name w:val="index 3"/>
    <w:basedOn w:val="Normal"/>
    <w:next w:val="Normal"/>
    <w:autoRedefine/>
    <w:semiHidden/>
    <w:rsid w:val="00437303"/>
    <w:pPr>
      <w:ind w:left="720" w:hanging="240"/>
    </w:pPr>
  </w:style>
  <w:style w:type="paragraph" w:styleId="Index4">
    <w:name w:val="index 4"/>
    <w:basedOn w:val="Normal"/>
    <w:next w:val="Normal"/>
    <w:autoRedefine/>
    <w:semiHidden/>
    <w:rsid w:val="00437303"/>
    <w:pPr>
      <w:ind w:left="960" w:hanging="240"/>
    </w:pPr>
  </w:style>
  <w:style w:type="paragraph" w:styleId="Index5">
    <w:name w:val="index 5"/>
    <w:basedOn w:val="Normal"/>
    <w:next w:val="Normal"/>
    <w:autoRedefine/>
    <w:semiHidden/>
    <w:rsid w:val="00437303"/>
    <w:pPr>
      <w:ind w:left="1200" w:hanging="240"/>
    </w:pPr>
  </w:style>
  <w:style w:type="paragraph" w:styleId="Index6">
    <w:name w:val="index 6"/>
    <w:basedOn w:val="Normal"/>
    <w:next w:val="Normal"/>
    <w:autoRedefine/>
    <w:semiHidden/>
    <w:rsid w:val="00437303"/>
    <w:pPr>
      <w:ind w:left="1440" w:hanging="240"/>
    </w:pPr>
  </w:style>
  <w:style w:type="paragraph" w:styleId="Index7">
    <w:name w:val="index 7"/>
    <w:basedOn w:val="Normal"/>
    <w:next w:val="Normal"/>
    <w:autoRedefine/>
    <w:semiHidden/>
    <w:rsid w:val="00437303"/>
    <w:pPr>
      <w:ind w:left="1680" w:hanging="240"/>
    </w:pPr>
  </w:style>
  <w:style w:type="paragraph" w:styleId="Index8">
    <w:name w:val="index 8"/>
    <w:basedOn w:val="Normal"/>
    <w:next w:val="Normal"/>
    <w:autoRedefine/>
    <w:semiHidden/>
    <w:rsid w:val="00437303"/>
    <w:pPr>
      <w:ind w:left="1920" w:hanging="240"/>
    </w:pPr>
  </w:style>
  <w:style w:type="paragraph" w:styleId="Index9">
    <w:name w:val="index 9"/>
    <w:basedOn w:val="Normal"/>
    <w:next w:val="Normal"/>
    <w:autoRedefine/>
    <w:semiHidden/>
    <w:rsid w:val="00437303"/>
    <w:pPr>
      <w:ind w:left="2160" w:hanging="240"/>
    </w:pPr>
  </w:style>
  <w:style w:type="paragraph" w:styleId="IndexHeading">
    <w:name w:val="index heading"/>
    <w:basedOn w:val="Normal"/>
    <w:next w:val="Index1"/>
    <w:semiHidden/>
    <w:rsid w:val="00437303"/>
    <w:rPr>
      <w:rFonts w:ascii="Arial" w:hAnsi="Arial" w:cs="Arial"/>
      <w:b/>
      <w:bCs/>
    </w:rPr>
  </w:style>
  <w:style w:type="paragraph" w:styleId="List">
    <w:name w:val="List"/>
    <w:basedOn w:val="Normal"/>
    <w:rsid w:val="00437303"/>
    <w:pPr>
      <w:ind w:left="283" w:hanging="283"/>
    </w:pPr>
  </w:style>
  <w:style w:type="paragraph" w:styleId="List2">
    <w:name w:val="List 2"/>
    <w:basedOn w:val="Normal"/>
    <w:rsid w:val="00437303"/>
    <w:pPr>
      <w:ind w:left="566" w:hanging="283"/>
    </w:pPr>
  </w:style>
  <w:style w:type="paragraph" w:styleId="List3">
    <w:name w:val="List 3"/>
    <w:basedOn w:val="Normal"/>
    <w:rsid w:val="00437303"/>
    <w:pPr>
      <w:ind w:left="849" w:hanging="283"/>
    </w:pPr>
  </w:style>
  <w:style w:type="paragraph" w:styleId="List4">
    <w:name w:val="List 4"/>
    <w:basedOn w:val="Normal"/>
    <w:rsid w:val="00437303"/>
    <w:pPr>
      <w:ind w:left="1132" w:hanging="283"/>
    </w:pPr>
  </w:style>
  <w:style w:type="paragraph" w:styleId="List5">
    <w:name w:val="List 5"/>
    <w:basedOn w:val="Normal"/>
    <w:rsid w:val="00437303"/>
    <w:pPr>
      <w:ind w:left="1415" w:hanging="283"/>
    </w:pPr>
  </w:style>
  <w:style w:type="paragraph" w:styleId="ListBullet">
    <w:name w:val="List Bullet"/>
    <w:basedOn w:val="Normal"/>
    <w:rsid w:val="00437303"/>
    <w:pPr>
      <w:numPr>
        <w:numId w:val="7"/>
      </w:numPr>
    </w:pPr>
  </w:style>
  <w:style w:type="paragraph" w:styleId="ListBullet2">
    <w:name w:val="List Bullet 2"/>
    <w:basedOn w:val="Normal"/>
    <w:rsid w:val="00437303"/>
    <w:pPr>
      <w:numPr>
        <w:numId w:val="8"/>
      </w:numPr>
    </w:pPr>
  </w:style>
  <w:style w:type="paragraph" w:styleId="ListBullet3">
    <w:name w:val="List Bullet 3"/>
    <w:basedOn w:val="Normal"/>
    <w:rsid w:val="00437303"/>
    <w:pPr>
      <w:numPr>
        <w:numId w:val="9"/>
      </w:numPr>
    </w:pPr>
  </w:style>
  <w:style w:type="paragraph" w:styleId="ListBullet4">
    <w:name w:val="List Bullet 4"/>
    <w:basedOn w:val="Normal"/>
    <w:rsid w:val="00437303"/>
    <w:pPr>
      <w:numPr>
        <w:numId w:val="10"/>
      </w:numPr>
    </w:pPr>
  </w:style>
  <w:style w:type="paragraph" w:styleId="ListBullet5">
    <w:name w:val="List Bullet 5"/>
    <w:basedOn w:val="Normal"/>
    <w:rsid w:val="00437303"/>
    <w:pPr>
      <w:numPr>
        <w:numId w:val="11"/>
      </w:numPr>
    </w:pPr>
  </w:style>
  <w:style w:type="paragraph" w:styleId="ListContinue">
    <w:name w:val="List Continue"/>
    <w:basedOn w:val="Normal"/>
    <w:rsid w:val="00437303"/>
    <w:pPr>
      <w:spacing w:after="120"/>
      <w:ind w:left="283"/>
    </w:pPr>
  </w:style>
  <w:style w:type="paragraph" w:styleId="ListContinue2">
    <w:name w:val="List Continue 2"/>
    <w:basedOn w:val="Normal"/>
    <w:rsid w:val="00437303"/>
    <w:pPr>
      <w:spacing w:after="120"/>
      <w:ind w:left="566"/>
    </w:pPr>
  </w:style>
  <w:style w:type="paragraph" w:styleId="ListContinue3">
    <w:name w:val="List Continue 3"/>
    <w:basedOn w:val="Normal"/>
    <w:rsid w:val="00437303"/>
    <w:pPr>
      <w:spacing w:after="120"/>
      <w:ind w:left="849"/>
    </w:pPr>
  </w:style>
  <w:style w:type="paragraph" w:styleId="ListContinue4">
    <w:name w:val="List Continue 4"/>
    <w:basedOn w:val="Normal"/>
    <w:rsid w:val="00437303"/>
    <w:pPr>
      <w:spacing w:after="120"/>
      <w:ind w:left="1132"/>
    </w:pPr>
  </w:style>
  <w:style w:type="paragraph" w:styleId="ListContinue5">
    <w:name w:val="List Continue 5"/>
    <w:basedOn w:val="Normal"/>
    <w:rsid w:val="00437303"/>
    <w:pPr>
      <w:spacing w:after="120"/>
      <w:ind w:left="1415"/>
    </w:pPr>
  </w:style>
  <w:style w:type="paragraph" w:styleId="ListNumber">
    <w:name w:val="List Number"/>
    <w:basedOn w:val="Normal"/>
    <w:rsid w:val="00437303"/>
    <w:pPr>
      <w:numPr>
        <w:numId w:val="12"/>
      </w:numPr>
    </w:pPr>
  </w:style>
  <w:style w:type="paragraph" w:styleId="ListNumber2">
    <w:name w:val="List Number 2"/>
    <w:basedOn w:val="Normal"/>
    <w:rsid w:val="00437303"/>
    <w:pPr>
      <w:numPr>
        <w:numId w:val="13"/>
      </w:numPr>
    </w:pPr>
  </w:style>
  <w:style w:type="paragraph" w:styleId="ListNumber3">
    <w:name w:val="List Number 3"/>
    <w:basedOn w:val="Normal"/>
    <w:rsid w:val="00437303"/>
    <w:pPr>
      <w:numPr>
        <w:numId w:val="14"/>
      </w:numPr>
    </w:pPr>
  </w:style>
  <w:style w:type="paragraph" w:styleId="ListNumber4">
    <w:name w:val="List Number 4"/>
    <w:basedOn w:val="Normal"/>
    <w:rsid w:val="00437303"/>
    <w:pPr>
      <w:numPr>
        <w:numId w:val="15"/>
      </w:numPr>
    </w:pPr>
  </w:style>
  <w:style w:type="paragraph" w:styleId="ListNumber5">
    <w:name w:val="List Number 5"/>
    <w:basedOn w:val="Normal"/>
    <w:rsid w:val="00437303"/>
    <w:pPr>
      <w:numPr>
        <w:numId w:val="16"/>
      </w:numPr>
    </w:pPr>
  </w:style>
  <w:style w:type="paragraph" w:styleId="MacroText">
    <w:name w:val="macro"/>
    <w:semiHidden/>
    <w:rsid w:val="00437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rsid w:val="00437303"/>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teHeading">
    <w:name w:val="Note Heading"/>
    <w:basedOn w:val="Normal"/>
    <w:next w:val="Normal"/>
    <w:rsid w:val="00437303"/>
  </w:style>
  <w:style w:type="paragraph" w:styleId="PlainText">
    <w:name w:val="Plain Text"/>
    <w:basedOn w:val="Normal"/>
    <w:link w:val="PlainTextChar"/>
    <w:rsid w:val="00437303"/>
    <w:rPr>
      <w:rFonts w:ascii="Courier New" w:hAnsi="Courier New" w:cs="Courier New"/>
      <w:sz w:val="20"/>
      <w:szCs w:val="20"/>
    </w:rPr>
  </w:style>
  <w:style w:type="paragraph" w:styleId="Salutation">
    <w:name w:val="Salutation"/>
    <w:basedOn w:val="Normal"/>
    <w:next w:val="Normal"/>
    <w:rsid w:val="00437303"/>
  </w:style>
  <w:style w:type="paragraph" w:styleId="Signature">
    <w:name w:val="Signature"/>
    <w:basedOn w:val="Normal"/>
    <w:rsid w:val="00437303"/>
    <w:pPr>
      <w:ind w:left="4252"/>
    </w:pPr>
  </w:style>
  <w:style w:type="paragraph" w:styleId="Subtitle">
    <w:name w:val="Subtitle"/>
    <w:basedOn w:val="Normal"/>
    <w:qFormat/>
    <w:rsid w:val="00437303"/>
    <w:pPr>
      <w:spacing w:after="60"/>
      <w:jc w:val="center"/>
      <w:outlineLvl w:val="1"/>
    </w:pPr>
    <w:rPr>
      <w:rFonts w:ascii="Arial" w:hAnsi="Arial" w:cs="Arial"/>
    </w:rPr>
  </w:style>
  <w:style w:type="paragraph" w:styleId="TableofAuthorities">
    <w:name w:val="table of authorities"/>
    <w:basedOn w:val="Normal"/>
    <w:next w:val="Normal"/>
    <w:semiHidden/>
    <w:rsid w:val="00437303"/>
    <w:pPr>
      <w:ind w:left="240" w:hanging="240"/>
    </w:pPr>
  </w:style>
  <w:style w:type="paragraph" w:styleId="TableofFigures">
    <w:name w:val="table of figures"/>
    <w:basedOn w:val="Normal"/>
    <w:next w:val="Normal"/>
    <w:semiHidden/>
    <w:rsid w:val="00437303"/>
  </w:style>
  <w:style w:type="paragraph" w:styleId="Title">
    <w:name w:val="Title"/>
    <w:basedOn w:val="Normal"/>
    <w:qFormat/>
    <w:rsid w:val="00437303"/>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437303"/>
    <w:pPr>
      <w:spacing w:before="120"/>
    </w:pPr>
    <w:rPr>
      <w:rFonts w:ascii="Arial" w:hAnsi="Arial" w:cs="Arial"/>
      <w:b/>
      <w:bCs/>
    </w:rPr>
  </w:style>
  <w:style w:type="paragraph" w:styleId="TOC1">
    <w:name w:val="toc 1"/>
    <w:basedOn w:val="Normal"/>
    <w:next w:val="Normal"/>
    <w:autoRedefine/>
    <w:semiHidden/>
    <w:rsid w:val="00437303"/>
  </w:style>
  <w:style w:type="paragraph" w:styleId="TOC2">
    <w:name w:val="toc 2"/>
    <w:basedOn w:val="Normal"/>
    <w:next w:val="Normal"/>
    <w:autoRedefine/>
    <w:semiHidden/>
    <w:rsid w:val="00437303"/>
    <w:pPr>
      <w:ind w:left="240"/>
    </w:pPr>
  </w:style>
  <w:style w:type="paragraph" w:styleId="TOC3">
    <w:name w:val="toc 3"/>
    <w:basedOn w:val="Normal"/>
    <w:next w:val="Normal"/>
    <w:autoRedefine/>
    <w:semiHidden/>
    <w:rsid w:val="00437303"/>
    <w:pPr>
      <w:ind w:left="480"/>
    </w:pPr>
  </w:style>
  <w:style w:type="paragraph" w:styleId="TOC4">
    <w:name w:val="toc 4"/>
    <w:basedOn w:val="Normal"/>
    <w:next w:val="Normal"/>
    <w:autoRedefine/>
    <w:semiHidden/>
    <w:rsid w:val="00437303"/>
    <w:pPr>
      <w:ind w:left="720"/>
    </w:pPr>
  </w:style>
  <w:style w:type="paragraph" w:styleId="TOC5">
    <w:name w:val="toc 5"/>
    <w:basedOn w:val="Normal"/>
    <w:next w:val="Normal"/>
    <w:autoRedefine/>
    <w:semiHidden/>
    <w:rsid w:val="00437303"/>
    <w:pPr>
      <w:ind w:left="960"/>
    </w:pPr>
  </w:style>
  <w:style w:type="paragraph" w:styleId="TOC6">
    <w:name w:val="toc 6"/>
    <w:basedOn w:val="Normal"/>
    <w:next w:val="Normal"/>
    <w:autoRedefine/>
    <w:semiHidden/>
    <w:rsid w:val="00437303"/>
    <w:pPr>
      <w:ind w:left="1200"/>
    </w:pPr>
  </w:style>
  <w:style w:type="paragraph" w:styleId="TOC7">
    <w:name w:val="toc 7"/>
    <w:basedOn w:val="Normal"/>
    <w:next w:val="Normal"/>
    <w:autoRedefine/>
    <w:semiHidden/>
    <w:rsid w:val="00437303"/>
    <w:pPr>
      <w:ind w:left="1440"/>
    </w:pPr>
  </w:style>
  <w:style w:type="paragraph" w:styleId="TOC8">
    <w:name w:val="toc 8"/>
    <w:basedOn w:val="Normal"/>
    <w:next w:val="Normal"/>
    <w:autoRedefine/>
    <w:semiHidden/>
    <w:rsid w:val="00437303"/>
    <w:pPr>
      <w:ind w:left="1680"/>
    </w:pPr>
  </w:style>
  <w:style w:type="paragraph" w:styleId="TOC9">
    <w:name w:val="toc 9"/>
    <w:basedOn w:val="Normal"/>
    <w:next w:val="Normal"/>
    <w:autoRedefine/>
    <w:semiHidden/>
    <w:rsid w:val="00437303"/>
    <w:pPr>
      <w:ind w:left="1920"/>
    </w:pPr>
  </w:style>
  <w:style w:type="paragraph" w:styleId="Bibliography">
    <w:name w:val="Bibliography"/>
    <w:basedOn w:val="Normal"/>
    <w:next w:val="Normal"/>
    <w:uiPriority w:val="37"/>
    <w:semiHidden/>
    <w:unhideWhenUsed/>
    <w:rsid w:val="00A96C8F"/>
  </w:style>
  <w:style w:type="paragraph" w:styleId="IntenseQuote">
    <w:name w:val="Intense Quote"/>
    <w:basedOn w:val="Normal"/>
    <w:next w:val="Normal"/>
    <w:link w:val="IntenseQuoteChar"/>
    <w:uiPriority w:val="30"/>
    <w:qFormat/>
    <w:rsid w:val="00A96C8F"/>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A96C8F"/>
    <w:rPr>
      <w:b/>
      <w:bCs/>
      <w:i/>
      <w:iCs/>
      <w:color w:val="4F81BD"/>
      <w:sz w:val="24"/>
      <w:szCs w:val="24"/>
      <w:lang w:eastAsia="en-US"/>
    </w:rPr>
  </w:style>
  <w:style w:type="paragraph" w:styleId="ListParagraph">
    <w:name w:val="List Paragraph"/>
    <w:basedOn w:val="Normal"/>
    <w:uiPriority w:val="34"/>
    <w:qFormat/>
    <w:rsid w:val="00A96C8F"/>
    <w:pPr>
      <w:ind w:left="720"/>
    </w:pPr>
  </w:style>
  <w:style w:type="paragraph" w:styleId="NoSpacing">
    <w:name w:val="No Spacing"/>
    <w:uiPriority w:val="1"/>
    <w:qFormat/>
    <w:rsid w:val="00A96C8F"/>
    <w:rPr>
      <w:sz w:val="24"/>
      <w:szCs w:val="24"/>
      <w:lang w:val="en-GB"/>
    </w:rPr>
  </w:style>
  <w:style w:type="paragraph" w:styleId="Quote">
    <w:name w:val="Quote"/>
    <w:basedOn w:val="Normal"/>
    <w:next w:val="Normal"/>
    <w:link w:val="QuoteChar"/>
    <w:uiPriority w:val="29"/>
    <w:qFormat/>
    <w:rsid w:val="00A96C8F"/>
    <w:rPr>
      <w:i/>
      <w:iCs/>
      <w:color w:val="000000"/>
    </w:rPr>
  </w:style>
  <w:style w:type="character" w:customStyle="1" w:styleId="QuoteChar">
    <w:name w:val="Quote Char"/>
    <w:link w:val="Quote"/>
    <w:uiPriority w:val="29"/>
    <w:rsid w:val="00A96C8F"/>
    <w:rPr>
      <w:i/>
      <w:iCs/>
      <w:color w:val="000000"/>
      <w:sz w:val="24"/>
      <w:szCs w:val="24"/>
      <w:lang w:eastAsia="en-US"/>
    </w:rPr>
  </w:style>
  <w:style w:type="paragraph" w:styleId="TOCHeading">
    <w:name w:val="TOC Heading"/>
    <w:basedOn w:val="Heading1"/>
    <w:next w:val="Normal"/>
    <w:uiPriority w:val="39"/>
    <w:semiHidden/>
    <w:unhideWhenUsed/>
    <w:qFormat/>
    <w:rsid w:val="00A96C8F"/>
    <w:pPr>
      <w:spacing w:before="240" w:after="60"/>
      <w:outlineLvl w:val="9"/>
    </w:pPr>
    <w:rPr>
      <w:rFonts w:ascii="Cambria" w:hAnsi="Cambria"/>
      <w:bCs/>
      <w:kern w:val="32"/>
      <w:sz w:val="32"/>
      <w:szCs w:val="32"/>
    </w:rPr>
  </w:style>
  <w:style w:type="paragraph" w:customStyle="1" w:styleId="EMEANormal1">
    <w:name w:val="EMEA Normal1"/>
    <w:rsid w:val="003B7630"/>
    <w:pPr>
      <w:tabs>
        <w:tab w:val="left" w:pos="562"/>
      </w:tabs>
      <w:suppressAutoHyphens/>
    </w:pPr>
    <w:rPr>
      <w:sz w:val="22"/>
    </w:rPr>
  </w:style>
  <w:style w:type="paragraph" w:customStyle="1" w:styleId="TableParagraph">
    <w:name w:val="Table Paragraph"/>
    <w:basedOn w:val="Normal"/>
    <w:uiPriority w:val="1"/>
    <w:rsid w:val="00983852"/>
    <w:rPr>
      <w:rFonts w:ascii="Calibri" w:eastAsia="MS PGothic" w:hAnsi="Calibri" w:cs="Calibri"/>
      <w:sz w:val="22"/>
      <w:szCs w:val="22"/>
    </w:rPr>
  </w:style>
  <w:style w:type="paragraph" w:styleId="Revision">
    <w:name w:val="Revision"/>
    <w:hidden/>
    <w:uiPriority w:val="99"/>
    <w:semiHidden/>
    <w:rsid w:val="006A1C1B"/>
    <w:rPr>
      <w:sz w:val="24"/>
      <w:szCs w:val="24"/>
      <w:lang w:val="en-GB"/>
    </w:rPr>
  </w:style>
  <w:style w:type="character" w:customStyle="1" w:styleId="BodyText3Char">
    <w:name w:val="Body Text 3 Char"/>
    <w:link w:val="BodyText3"/>
    <w:rsid w:val="00A118F7"/>
    <w:rPr>
      <w:sz w:val="22"/>
      <w:szCs w:val="24"/>
      <w:lang w:val="en-US" w:eastAsia="en-US"/>
    </w:rPr>
  </w:style>
  <w:style w:type="character" w:customStyle="1" w:styleId="PlainTextChar">
    <w:name w:val="Plain Text Char"/>
    <w:link w:val="PlainText"/>
    <w:rsid w:val="00F77E9E"/>
    <w:rPr>
      <w:rFonts w:ascii="Courier New" w:hAnsi="Courier New" w:cs="Courier New"/>
      <w:lang w:val="en-GB"/>
    </w:rPr>
  </w:style>
  <w:style w:type="paragraph" w:customStyle="1" w:styleId="EMEANormal7">
    <w:name w:val="EMEA Normal7"/>
    <w:rsid w:val="00C54AD4"/>
    <w:pPr>
      <w:tabs>
        <w:tab w:val="left" w:pos="562"/>
      </w:tabs>
      <w:suppressAutoHyphens/>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433692">
      <w:bodyDiv w:val="1"/>
      <w:marLeft w:val="0"/>
      <w:marRight w:val="0"/>
      <w:marTop w:val="0"/>
      <w:marBottom w:val="0"/>
      <w:divBdr>
        <w:top w:val="none" w:sz="0" w:space="0" w:color="auto"/>
        <w:left w:val="none" w:sz="0" w:space="0" w:color="auto"/>
        <w:bottom w:val="none" w:sz="0" w:space="0" w:color="auto"/>
        <w:right w:val="none" w:sz="0" w:space="0" w:color="auto"/>
      </w:divBdr>
    </w:div>
    <w:div w:id="943196141">
      <w:bodyDiv w:val="1"/>
      <w:marLeft w:val="0"/>
      <w:marRight w:val="0"/>
      <w:marTop w:val="0"/>
      <w:marBottom w:val="0"/>
      <w:divBdr>
        <w:top w:val="none" w:sz="0" w:space="0" w:color="auto"/>
        <w:left w:val="none" w:sz="0" w:space="0" w:color="auto"/>
        <w:bottom w:val="none" w:sz="0" w:space="0" w:color="auto"/>
        <w:right w:val="none" w:sz="0" w:space="0" w:color="auto"/>
      </w:divBdr>
    </w:div>
    <w:div w:id="1022782662">
      <w:bodyDiv w:val="1"/>
      <w:marLeft w:val="0"/>
      <w:marRight w:val="0"/>
      <w:marTop w:val="0"/>
      <w:marBottom w:val="0"/>
      <w:divBdr>
        <w:top w:val="none" w:sz="0" w:space="0" w:color="auto"/>
        <w:left w:val="none" w:sz="0" w:space="0" w:color="auto"/>
        <w:bottom w:val="none" w:sz="0" w:space="0" w:color="auto"/>
        <w:right w:val="none" w:sz="0" w:space="0" w:color="auto"/>
      </w:divBdr>
    </w:div>
    <w:div w:id="1135295952">
      <w:bodyDiv w:val="1"/>
      <w:marLeft w:val="0"/>
      <w:marRight w:val="0"/>
      <w:marTop w:val="0"/>
      <w:marBottom w:val="0"/>
      <w:divBdr>
        <w:top w:val="none" w:sz="0" w:space="0" w:color="auto"/>
        <w:left w:val="none" w:sz="0" w:space="0" w:color="auto"/>
        <w:bottom w:val="none" w:sz="0" w:space="0" w:color="auto"/>
        <w:right w:val="none" w:sz="0" w:space="0" w:color="auto"/>
      </w:divBdr>
    </w:div>
    <w:div w:id="1247423615">
      <w:bodyDiv w:val="1"/>
      <w:marLeft w:val="0"/>
      <w:marRight w:val="0"/>
      <w:marTop w:val="0"/>
      <w:marBottom w:val="0"/>
      <w:divBdr>
        <w:top w:val="none" w:sz="0" w:space="0" w:color="auto"/>
        <w:left w:val="none" w:sz="0" w:space="0" w:color="auto"/>
        <w:bottom w:val="none" w:sz="0" w:space="0" w:color="auto"/>
        <w:right w:val="none" w:sz="0" w:space="0" w:color="auto"/>
      </w:divBdr>
    </w:div>
    <w:div w:id="1253978272">
      <w:bodyDiv w:val="1"/>
      <w:marLeft w:val="0"/>
      <w:marRight w:val="0"/>
      <w:marTop w:val="0"/>
      <w:marBottom w:val="0"/>
      <w:divBdr>
        <w:top w:val="none" w:sz="0" w:space="0" w:color="auto"/>
        <w:left w:val="none" w:sz="0" w:space="0" w:color="auto"/>
        <w:bottom w:val="none" w:sz="0" w:space="0" w:color="auto"/>
        <w:right w:val="none" w:sz="0" w:space="0" w:color="auto"/>
      </w:divBdr>
      <w:divsChild>
        <w:div w:id="262996805">
          <w:marLeft w:val="0"/>
          <w:marRight w:val="0"/>
          <w:marTop w:val="0"/>
          <w:marBottom w:val="0"/>
          <w:divBdr>
            <w:top w:val="none" w:sz="0" w:space="0" w:color="auto"/>
            <w:left w:val="none" w:sz="0" w:space="0" w:color="auto"/>
            <w:bottom w:val="none" w:sz="0" w:space="0" w:color="auto"/>
            <w:right w:val="none" w:sz="0" w:space="0" w:color="auto"/>
          </w:divBdr>
        </w:div>
        <w:div w:id="977876637">
          <w:marLeft w:val="284"/>
          <w:marRight w:val="0"/>
          <w:marTop w:val="0"/>
          <w:marBottom w:val="0"/>
          <w:divBdr>
            <w:top w:val="none" w:sz="0" w:space="0" w:color="auto"/>
            <w:left w:val="none" w:sz="0" w:space="0" w:color="auto"/>
            <w:bottom w:val="none" w:sz="0" w:space="0" w:color="auto"/>
            <w:right w:val="none" w:sz="0" w:space="0" w:color="auto"/>
          </w:divBdr>
        </w:div>
        <w:div w:id="1041397989">
          <w:marLeft w:val="284"/>
          <w:marRight w:val="0"/>
          <w:marTop w:val="0"/>
          <w:marBottom w:val="0"/>
          <w:divBdr>
            <w:top w:val="none" w:sz="0" w:space="0" w:color="auto"/>
            <w:left w:val="none" w:sz="0" w:space="0" w:color="auto"/>
            <w:bottom w:val="none" w:sz="0" w:space="0" w:color="auto"/>
            <w:right w:val="none" w:sz="0" w:space="0" w:color="auto"/>
          </w:divBdr>
        </w:div>
        <w:div w:id="2025477925">
          <w:marLeft w:val="284"/>
          <w:marRight w:val="0"/>
          <w:marTop w:val="0"/>
          <w:marBottom w:val="0"/>
          <w:divBdr>
            <w:top w:val="none" w:sz="0" w:space="0" w:color="auto"/>
            <w:left w:val="none" w:sz="0" w:space="0" w:color="auto"/>
            <w:bottom w:val="none" w:sz="0" w:space="0" w:color="auto"/>
            <w:right w:val="none" w:sz="0" w:space="0" w:color="auto"/>
          </w:divBdr>
        </w:div>
        <w:div w:id="2138404377">
          <w:marLeft w:val="0"/>
          <w:marRight w:val="0"/>
          <w:marTop w:val="0"/>
          <w:marBottom w:val="0"/>
          <w:divBdr>
            <w:top w:val="none" w:sz="0" w:space="0" w:color="auto"/>
            <w:left w:val="none" w:sz="0" w:space="0" w:color="auto"/>
            <w:bottom w:val="none" w:sz="0" w:space="0" w:color="auto"/>
            <w:right w:val="none" w:sz="0" w:space="0" w:color="auto"/>
          </w:divBdr>
        </w:div>
      </w:divsChild>
    </w:div>
    <w:div w:id="1332104329">
      <w:bodyDiv w:val="1"/>
      <w:marLeft w:val="0"/>
      <w:marRight w:val="0"/>
      <w:marTop w:val="0"/>
      <w:marBottom w:val="0"/>
      <w:divBdr>
        <w:top w:val="none" w:sz="0" w:space="0" w:color="auto"/>
        <w:left w:val="none" w:sz="0" w:space="0" w:color="auto"/>
        <w:bottom w:val="none" w:sz="0" w:space="0" w:color="auto"/>
        <w:right w:val="none" w:sz="0" w:space="0" w:color="auto"/>
      </w:divBdr>
    </w:div>
    <w:div w:id="1466117385">
      <w:bodyDiv w:val="1"/>
      <w:marLeft w:val="0"/>
      <w:marRight w:val="0"/>
      <w:marTop w:val="0"/>
      <w:marBottom w:val="0"/>
      <w:divBdr>
        <w:top w:val="none" w:sz="0" w:space="0" w:color="auto"/>
        <w:left w:val="none" w:sz="0" w:space="0" w:color="auto"/>
        <w:bottom w:val="none" w:sz="0" w:space="0" w:color="auto"/>
        <w:right w:val="none" w:sz="0" w:space="0" w:color="auto"/>
      </w:divBdr>
    </w:div>
    <w:div w:id="1504324188">
      <w:bodyDiv w:val="1"/>
      <w:marLeft w:val="0"/>
      <w:marRight w:val="0"/>
      <w:marTop w:val="0"/>
      <w:marBottom w:val="0"/>
      <w:divBdr>
        <w:top w:val="none" w:sz="0" w:space="0" w:color="auto"/>
        <w:left w:val="none" w:sz="0" w:space="0" w:color="auto"/>
        <w:bottom w:val="none" w:sz="0" w:space="0" w:color="auto"/>
        <w:right w:val="none" w:sz="0" w:space="0" w:color="auto"/>
      </w:divBdr>
    </w:div>
    <w:div w:id="1613901196">
      <w:bodyDiv w:val="1"/>
      <w:marLeft w:val="0"/>
      <w:marRight w:val="0"/>
      <w:marTop w:val="0"/>
      <w:marBottom w:val="0"/>
      <w:divBdr>
        <w:top w:val="none" w:sz="0" w:space="0" w:color="auto"/>
        <w:left w:val="none" w:sz="0" w:space="0" w:color="auto"/>
        <w:bottom w:val="none" w:sz="0" w:space="0" w:color="auto"/>
        <w:right w:val="none" w:sz="0" w:space="0" w:color="auto"/>
      </w:divBdr>
    </w:div>
    <w:div w:id="1926457052">
      <w:bodyDiv w:val="1"/>
      <w:marLeft w:val="0"/>
      <w:marRight w:val="0"/>
      <w:marTop w:val="0"/>
      <w:marBottom w:val="0"/>
      <w:divBdr>
        <w:top w:val="none" w:sz="0" w:space="0" w:color="auto"/>
        <w:left w:val="none" w:sz="0" w:space="0" w:color="auto"/>
        <w:bottom w:val="none" w:sz="0" w:space="0" w:color="auto"/>
        <w:right w:val="none" w:sz="0" w:space="0" w:color="auto"/>
      </w:divBdr>
    </w:div>
    <w:div w:id="2069306396">
      <w:bodyDiv w:val="1"/>
      <w:marLeft w:val="0"/>
      <w:marRight w:val="0"/>
      <w:marTop w:val="0"/>
      <w:marBottom w:val="0"/>
      <w:divBdr>
        <w:top w:val="none" w:sz="0" w:space="0" w:color="auto"/>
        <w:left w:val="none" w:sz="0" w:space="0" w:color="auto"/>
        <w:bottom w:val="none" w:sz="0" w:space="0" w:color="auto"/>
        <w:right w:val="none" w:sz="0" w:space="0" w:color="auto"/>
      </w:divBdr>
    </w:div>
    <w:div w:id="2089377607">
      <w:bodyDiv w:val="1"/>
      <w:marLeft w:val="0"/>
      <w:marRight w:val="0"/>
      <w:marTop w:val="0"/>
      <w:marBottom w:val="0"/>
      <w:divBdr>
        <w:top w:val="none" w:sz="0" w:space="0" w:color="auto"/>
        <w:left w:val="none" w:sz="0" w:space="0" w:color="auto"/>
        <w:bottom w:val="none" w:sz="0" w:space="0" w:color="auto"/>
        <w:right w:val="none" w:sz="0" w:space="0" w:color="auto"/>
      </w:divBdr>
    </w:div>
    <w:div w:id="210279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image" Target="media/image2.png"/><Relationship Id="rId26"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image" Target="media/image1.wmf"/><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image" Target="media/image7.png"/><Relationship Id="rId28"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image" Target="media/image6.png"/><Relationship Id="rId27" Type="http://schemas.openxmlformats.org/officeDocument/2006/relationships/hyperlink" Target="http://www.ema.europa.eu/docs/en_GB/document_library/Template_or_form/2013/03/WC500139752.doc"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88D04-18B8-4A76-A628-8F7307D08D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EB4075-6FD8-4D0B-A133-3B798414109E}">
  <ds:schemaRefs>
    <ds:schemaRef ds:uri="http://schemas.microsoft.com/sharepoint/v3/contenttype/forms"/>
  </ds:schemaRefs>
</ds:datastoreItem>
</file>

<file path=customXml/itemProps3.xml><?xml version="1.0" encoding="utf-8"?>
<ds:datastoreItem xmlns:ds="http://schemas.openxmlformats.org/officeDocument/2006/customXml" ds:itemID="{06DCFC2F-DBC2-4B59-865C-A540944E0645}"/>
</file>

<file path=customXml/itemProps4.xml><?xml version="1.0" encoding="utf-8"?>
<ds:datastoreItem xmlns:ds="http://schemas.openxmlformats.org/officeDocument/2006/customXml" ds:itemID="{171C01C7-5E51-4936-8F88-EEEB4683B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7CFEDF14</Template>
  <TotalTime>9</TotalTime>
  <Pages>3</Pages>
  <Words>57614</Words>
  <Characters>328406</Characters>
  <Application>Microsoft Office Word</Application>
  <DocSecurity>0</DocSecurity>
  <Lines>2736</Lines>
  <Paragraphs>770</Paragraphs>
  <ScaleCrop>false</ScaleCrop>
  <HeadingPairs>
    <vt:vector size="2" baseType="variant">
      <vt:variant>
        <vt:lpstr>Title</vt:lpstr>
      </vt:variant>
      <vt:variant>
        <vt:i4>1</vt:i4>
      </vt:variant>
    </vt:vector>
  </HeadingPairs>
  <TitlesOfParts>
    <vt:vector size="1" baseType="lpstr">
      <vt:lpstr>Kaletra, INN-lopinavir, ritonavir</vt:lpstr>
    </vt:vector>
  </TitlesOfParts>
  <Company>AbbVie Inc</Company>
  <LinksUpToDate>false</LinksUpToDate>
  <CharactersWithSpaces>385250</CharactersWithSpaces>
  <SharedDoc>false</SharedDoc>
  <HLinks>
    <vt:vector size="54" baseType="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Kaletra, INN-lopinavir, ritonavir</dc:title>
  <dc:subject>EPAR</dc:subject>
  <dc:creator>CHMP</dc:creator>
  <cp:keywords>Kaletra, INN-lopinavir, ritonavir</cp:keywords>
  <cp:lastModifiedBy>EMA MedWrit ES</cp:lastModifiedBy>
  <cp:revision>4</cp:revision>
  <cp:lastPrinted>2017-06-20T11:51:00Z</cp:lastPrinted>
  <dcterms:created xsi:type="dcterms:W3CDTF">2021-01-06T12:35:00Z</dcterms:created>
  <dcterms:modified xsi:type="dcterms:W3CDTF">2021-03-03T21:30:00Z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Version">
    <vt:lpwstr>CURRENT,1.0</vt:lpwstr>
  </property>
  <property fmtid="{D5CDD505-2E9C-101B-9397-08002B2CF9AE}" pid="3" name="DM_Name">
    <vt:lpwstr>X EN Kalet RE</vt:lpwstr>
  </property>
  <property fmtid="{D5CDD505-2E9C-101B-9397-08002B2CF9AE}" pid="4" name="DM_Creation_Date">
    <vt:lpwstr>04/11/2010 16:05:39</vt:lpwstr>
  </property>
  <property fmtid="{D5CDD505-2E9C-101B-9397-08002B2CF9AE}" pid="5" name="DM_Modify_Date">
    <vt:lpwstr>04/11/2010 16:05:39</vt:lpwstr>
  </property>
  <property fmtid="{D5CDD505-2E9C-101B-9397-08002B2CF9AE}" pid="6" name="DM_Creator_Name">
    <vt:lpwstr>Soerensen Amilia</vt:lpwstr>
  </property>
  <property fmtid="{D5CDD505-2E9C-101B-9397-08002B2CF9AE}" pid="7" name="DM_Modifier_Name">
    <vt:lpwstr>Soerensen Amilia</vt:lpwstr>
  </property>
  <property fmtid="{D5CDD505-2E9C-101B-9397-08002B2CF9AE}" pid="8" name="DM_Type">
    <vt:lpwstr>emea_document</vt:lpwstr>
  </property>
  <property fmtid="{D5CDD505-2E9C-101B-9397-08002B2CF9AE}" pid="9" name="DM_DocRefId">
    <vt:lpwstr>EMA/694307/2010</vt:lpwstr>
  </property>
  <property fmtid="{D5CDD505-2E9C-101B-9397-08002B2CF9AE}" pid="10" name="DM_Category">
    <vt:lpwstr>Comments</vt:lpwstr>
  </property>
  <property fmtid="{D5CDD505-2E9C-101B-9397-08002B2CF9AE}" pid="11" name="DM_Path">
    <vt:lpwstr>/01. Evaluation of Medicine/H-C/J-L/Kaletra-000368/05 Post Authorisation/Post Activities/2010-xx-xx-368-R-0107/03 QRD comments/01 From QRD department 04.11.10</vt:lpwstr>
  </property>
  <property fmtid="{D5CDD505-2E9C-101B-9397-08002B2CF9AE}" pid="12" name="DM_emea_doc_ref_id">
    <vt:lpwstr>EMA/694307/2010</vt:lpwstr>
  </property>
  <property fmtid="{D5CDD505-2E9C-101B-9397-08002B2CF9AE}" pid="13" name="DM_Modifer_Name">
    <vt:lpwstr>Soerensen Amilia</vt:lpwstr>
  </property>
  <property fmtid="{D5CDD505-2E9C-101B-9397-08002B2CF9AE}" pid="14" name="DM_Modified_Date">
    <vt:lpwstr>04/11/2010 16:05:39</vt:lpwstr>
  </property>
  <property fmtid="{D5CDD505-2E9C-101B-9397-08002B2CF9AE}" pid="15" name="ContentTypeId">
    <vt:lpwstr>0x010100726F91DD1AE57B44B1BCEB7F1056F5D0</vt:lpwstr>
  </property>
  <property fmtid="{D5CDD505-2E9C-101B-9397-08002B2CF9AE}" pid="16" name="MSIP_Label_0eea11ca-d417-4147-80ed-01a58412c458_Enabled">
    <vt:lpwstr>true</vt:lpwstr>
  </property>
  <property fmtid="{D5CDD505-2E9C-101B-9397-08002B2CF9AE}" pid="17" name="MSIP_Label_0eea11ca-d417-4147-80ed-01a58412c458_SetDate">
    <vt:lpwstr>2021-03-03T21:30:08Z</vt:lpwstr>
  </property>
  <property fmtid="{D5CDD505-2E9C-101B-9397-08002B2CF9AE}" pid="18" name="MSIP_Label_0eea11ca-d417-4147-80ed-01a58412c458_Method">
    <vt:lpwstr>Standard</vt:lpwstr>
  </property>
  <property fmtid="{D5CDD505-2E9C-101B-9397-08002B2CF9AE}" pid="19" name="MSIP_Label_0eea11ca-d417-4147-80ed-01a58412c458_Name">
    <vt:lpwstr>0eea11ca-d417-4147-80ed-01a58412c458</vt:lpwstr>
  </property>
  <property fmtid="{D5CDD505-2E9C-101B-9397-08002B2CF9AE}" pid="20" name="MSIP_Label_0eea11ca-d417-4147-80ed-01a58412c458_SiteId">
    <vt:lpwstr>bc9dc15c-61bc-4f03-b60b-e5b6d8922839</vt:lpwstr>
  </property>
  <property fmtid="{D5CDD505-2E9C-101B-9397-08002B2CF9AE}" pid="21" name="MSIP_Label_0eea11ca-d417-4147-80ed-01a58412c458_ActionId">
    <vt:lpwstr>eec1075d-5338-4506-9fd2-5e0ade37882d</vt:lpwstr>
  </property>
  <property fmtid="{D5CDD505-2E9C-101B-9397-08002B2CF9AE}" pid="22" name="MSIP_Label_0eea11ca-d417-4147-80ed-01a58412c458_ContentBits">
    <vt:lpwstr>2</vt:lpwstr>
  </property>
</Properties>
</file>