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271546" w:rsidRPr="00F37485" w:rsidP="00166894" w14:paraId="0D6DECDB" w14:textId="2617E493">
      <w:pPr>
        <w:widowControl w:val="0"/>
        <w:spacing w:line="240" w:lineRule="auto"/>
      </w:pPr>
    </w:p>
    <w:p w:rsidR="00271546" w:rsidRPr="00F37485" w:rsidP="00166894" w14:paraId="4D243E69" w14:textId="77777777">
      <w:pPr>
        <w:widowControl w:val="0"/>
        <w:spacing w:line="240" w:lineRule="auto"/>
      </w:pPr>
    </w:p>
    <w:p w:rsidR="00271546" w:rsidRPr="00F37485" w:rsidP="00166894" w14:paraId="027B2C79" w14:textId="77777777">
      <w:pPr>
        <w:widowControl w:val="0"/>
        <w:spacing w:line="240" w:lineRule="auto"/>
      </w:pPr>
    </w:p>
    <w:p w:rsidR="00271546" w:rsidRPr="00F37485" w:rsidP="00166894" w14:paraId="4A65C7C4" w14:textId="77777777">
      <w:pPr>
        <w:widowControl w:val="0"/>
        <w:spacing w:line="240" w:lineRule="auto"/>
      </w:pPr>
    </w:p>
    <w:p w:rsidR="00812D16" w:rsidRPr="00F37485" w:rsidP="00166894" w14:paraId="3DAD91AF" w14:textId="77777777">
      <w:pPr>
        <w:widowControl w:val="0"/>
        <w:spacing w:line="240" w:lineRule="auto"/>
      </w:pPr>
    </w:p>
    <w:p w:rsidR="00321788" w:rsidRPr="00F37485" w:rsidP="00166894" w14:paraId="46BAAB22" w14:textId="77777777">
      <w:pPr>
        <w:widowControl w:val="0"/>
        <w:spacing w:line="240" w:lineRule="auto"/>
      </w:pPr>
    </w:p>
    <w:p w:rsidR="00321788" w:rsidRPr="00F37485" w:rsidP="00166894" w14:paraId="024418EA" w14:textId="77777777">
      <w:pPr>
        <w:widowControl w:val="0"/>
        <w:spacing w:line="240" w:lineRule="auto"/>
      </w:pPr>
    </w:p>
    <w:p w:rsidR="00812D16" w:rsidRPr="00F37485" w:rsidP="00166894" w14:paraId="097C6928" w14:textId="77777777">
      <w:pPr>
        <w:widowControl w:val="0"/>
        <w:spacing w:line="240" w:lineRule="auto"/>
      </w:pPr>
    </w:p>
    <w:p w:rsidR="00271546" w:rsidRPr="00F37485" w:rsidP="00166894" w14:paraId="04DAD417" w14:textId="77777777">
      <w:pPr>
        <w:widowControl w:val="0"/>
        <w:spacing w:line="240" w:lineRule="auto"/>
      </w:pPr>
    </w:p>
    <w:p w:rsidR="00271546" w:rsidRPr="00F37485" w:rsidP="00166894" w14:paraId="5A07356F" w14:textId="77777777">
      <w:pPr>
        <w:widowControl w:val="0"/>
        <w:spacing w:line="240" w:lineRule="auto"/>
      </w:pPr>
    </w:p>
    <w:p w:rsidR="00271546" w:rsidRPr="00F37485" w:rsidP="00166894" w14:paraId="6199D205" w14:textId="77777777">
      <w:pPr>
        <w:widowControl w:val="0"/>
        <w:spacing w:line="240" w:lineRule="auto"/>
      </w:pPr>
    </w:p>
    <w:p w:rsidR="00271546" w:rsidRPr="00F37485" w:rsidP="00166894" w14:paraId="651AF5F0" w14:textId="77777777">
      <w:pPr>
        <w:widowControl w:val="0"/>
        <w:spacing w:line="240" w:lineRule="auto"/>
      </w:pPr>
    </w:p>
    <w:p w:rsidR="00271546" w:rsidRPr="00F37485" w:rsidP="00166894" w14:paraId="5659D626" w14:textId="77777777">
      <w:pPr>
        <w:widowControl w:val="0"/>
        <w:spacing w:line="240" w:lineRule="auto"/>
      </w:pPr>
    </w:p>
    <w:p w:rsidR="00271546" w:rsidRPr="00F37485" w:rsidP="00166894" w14:paraId="4F79411A" w14:textId="77777777">
      <w:pPr>
        <w:widowControl w:val="0"/>
        <w:spacing w:line="240" w:lineRule="auto"/>
      </w:pPr>
    </w:p>
    <w:p w:rsidR="00271546" w:rsidRPr="00F37485" w:rsidP="00166894" w14:paraId="79C35F5A" w14:textId="77777777">
      <w:pPr>
        <w:widowControl w:val="0"/>
        <w:spacing w:line="240" w:lineRule="auto"/>
      </w:pPr>
    </w:p>
    <w:p w:rsidR="00271546" w:rsidRPr="00F37485" w:rsidP="00166894" w14:paraId="572E08E3" w14:textId="77777777">
      <w:pPr>
        <w:widowControl w:val="0"/>
        <w:spacing w:line="240" w:lineRule="auto"/>
      </w:pPr>
    </w:p>
    <w:p w:rsidR="009A737C" w:rsidRPr="00F37485" w:rsidP="00166894" w14:paraId="1C17DCC9" w14:textId="77777777">
      <w:pPr>
        <w:widowControl w:val="0"/>
        <w:spacing w:line="240" w:lineRule="auto"/>
      </w:pPr>
    </w:p>
    <w:p w:rsidR="00F37485" w:rsidRPr="00F37485" w:rsidP="00166894" w14:paraId="5A7DC935" w14:textId="77777777">
      <w:pPr>
        <w:widowControl w:val="0"/>
        <w:spacing w:line="240" w:lineRule="auto"/>
      </w:pPr>
    </w:p>
    <w:p w:rsidR="00F37485" w:rsidRPr="00F37485" w:rsidP="00166894" w14:paraId="269CED51" w14:textId="77777777">
      <w:pPr>
        <w:widowControl w:val="0"/>
        <w:spacing w:line="240" w:lineRule="auto"/>
      </w:pPr>
    </w:p>
    <w:p w:rsidR="00F37485" w:rsidRPr="00F37485" w:rsidP="00166894" w14:paraId="6D4907F3" w14:textId="77777777">
      <w:pPr>
        <w:widowControl w:val="0"/>
        <w:spacing w:line="240" w:lineRule="auto"/>
      </w:pPr>
    </w:p>
    <w:p w:rsidR="00F37485" w:rsidRPr="00F37485" w:rsidP="00166894" w14:paraId="25C2F914" w14:textId="77777777">
      <w:pPr>
        <w:widowControl w:val="0"/>
        <w:spacing w:line="240" w:lineRule="auto"/>
      </w:pPr>
    </w:p>
    <w:p w:rsidR="00F37485" w:rsidRPr="00F37485" w:rsidP="00166894" w14:paraId="43DA3B39" w14:textId="77777777">
      <w:pPr>
        <w:widowControl w:val="0"/>
        <w:spacing w:line="240" w:lineRule="auto"/>
      </w:pPr>
    </w:p>
    <w:p w:rsidR="00812D16" w:rsidRPr="00D442F1" w:rsidP="00166894" w14:paraId="261ED413" w14:textId="77777777">
      <w:pPr>
        <w:widowControl w:val="0"/>
        <w:tabs>
          <w:tab w:val="clear" w:pos="567"/>
        </w:tabs>
        <w:spacing w:line="240" w:lineRule="auto"/>
        <w:jc w:val="center"/>
        <w:outlineLvl w:val="0"/>
      </w:pPr>
      <w:r w:rsidRPr="00D442F1">
        <w:rPr>
          <w:b/>
        </w:rPr>
        <w:t>ANNEX I</w:t>
      </w:r>
    </w:p>
    <w:p w:rsidR="00812D16" w:rsidRPr="00D442F1" w:rsidP="00166894" w14:paraId="07BA92A1" w14:textId="77777777">
      <w:pPr>
        <w:widowControl w:val="0"/>
        <w:spacing w:line="240" w:lineRule="auto"/>
      </w:pPr>
    </w:p>
    <w:p w:rsidR="00812D16" w:rsidRPr="00D442F1" w:rsidP="00166894" w14:paraId="1B97E708" w14:textId="77777777">
      <w:pPr>
        <w:widowControl w:val="0"/>
        <w:tabs>
          <w:tab w:val="clear" w:pos="567"/>
        </w:tabs>
        <w:spacing w:line="240" w:lineRule="auto"/>
        <w:jc w:val="center"/>
        <w:outlineLvl w:val="0"/>
      </w:pPr>
      <w:r w:rsidRPr="00D442F1">
        <w:rPr>
          <w:b/>
        </w:rPr>
        <w:t>SUMMARY OF PRODUCT CHARACTERISTICS</w:t>
      </w:r>
    </w:p>
    <w:p w:rsidR="00033D26" w:rsidRPr="00D442F1" w:rsidP="00166894" w14:paraId="2D86EEC1" w14:textId="77777777">
      <w:pPr>
        <w:widowControl w:val="0"/>
        <w:tabs>
          <w:tab w:val="clear" w:pos="567"/>
        </w:tabs>
        <w:spacing w:line="240" w:lineRule="auto"/>
        <w:rPr>
          <w:szCs w:val="22"/>
        </w:rPr>
      </w:pPr>
      <w:r w:rsidRPr="438AC0E9">
        <w:rPr>
          <w:color w:val="008000"/>
        </w:rPr>
        <w:br w:type="page"/>
      </w:r>
      <w:r w:rsidR="0E65BDD5">
        <w:rPr>
          <w:noProof/>
          <w:lang w:eastAsia="en-GB"/>
        </w:rPr>
        <w:drawing>
          <wp:inline distT="0" distB="0" distL="0" distR="0">
            <wp:extent cx="190500" cy="171450"/>
            <wp:effectExtent l="0" t="0" r="0" b="0"/>
            <wp:docPr id="490460520"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84890" name="Picture 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90500" cy="171450"/>
                    </a:xfrm>
                    <a:prstGeom prst="rect">
                      <a:avLst/>
                    </a:prstGeom>
                  </pic:spPr>
                </pic:pic>
              </a:graphicData>
            </a:graphic>
          </wp:inline>
        </w:drawing>
      </w:r>
      <w:r w:rsidR="76628F0A">
        <w:t xml:space="preserve">This </w:t>
      </w:r>
      <w:r w:rsidR="6EA8036C">
        <w:t>medicinal product is subject to additional monitoring. This will allow quick identification of new safety information. Healthcare professionals are asked to report any suspected adverse reactions. See section</w:t>
      </w:r>
      <w:r w:rsidR="1C20936D">
        <w:t> </w:t>
      </w:r>
      <w:r w:rsidR="6EA8036C">
        <w:t>4.8 for how to report adverse reactions</w:t>
      </w:r>
      <w:r w:rsidR="7D2CFB8F">
        <w:t>.</w:t>
      </w:r>
    </w:p>
    <w:p w:rsidR="00033D26" w:rsidRPr="00D442F1" w:rsidP="00166894" w14:paraId="2C823B94" w14:textId="77777777">
      <w:pPr>
        <w:widowControl w:val="0"/>
        <w:tabs>
          <w:tab w:val="clear" w:pos="567"/>
        </w:tabs>
        <w:spacing w:line="240" w:lineRule="auto"/>
        <w:rPr>
          <w:szCs w:val="22"/>
        </w:rPr>
      </w:pPr>
    </w:p>
    <w:p w:rsidR="00033D26" w:rsidRPr="00D442F1" w:rsidP="00166894" w14:paraId="1B3471F6" w14:textId="77777777">
      <w:pPr>
        <w:widowControl w:val="0"/>
        <w:tabs>
          <w:tab w:val="clear" w:pos="567"/>
        </w:tabs>
        <w:spacing w:line="240" w:lineRule="auto"/>
        <w:rPr>
          <w:szCs w:val="22"/>
        </w:rPr>
      </w:pPr>
    </w:p>
    <w:p w:rsidR="00812D16" w:rsidRPr="00D442F1" w:rsidP="00166894" w14:paraId="4604B200" w14:textId="77777777">
      <w:pPr>
        <w:keepNext/>
        <w:widowControl w:val="0"/>
        <w:tabs>
          <w:tab w:val="clear" w:pos="567"/>
        </w:tabs>
        <w:suppressAutoHyphens/>
        <w:spacing w:line="240" w:lineRule="auto"/>
        <w:ind w:left="567" w:hanging="567"/>
        <w:rPr>
          <w:noProof/>
          <w:szCs w:val="22"/>
        </w:rPr>
      </w:pPr>
      <w:r w:rsidRPr="00D442F1">
        <w:rPr>
          <w:b/>
          <w:noProof/>
          <w:szCs w:val="22"/>
        </w:rPr>
        <w:t>1.</w:t>
      </w:r>
      <w:r w:rsidRPr="00D442F1">
        <w:rPr>
          <w:b/>
          <w:noProof/>
          <w:szCs w:val="22"/>
        </w:rPr>
        <w:tab/>
        <w:t xml:space="preserve">NAME OF </w:t>
      </w:r>
      <w:r w:rsidRPr="00D442F1">
        <w:rPr>
          <w:b/>
          <w:szCs w:val="22"/>
        </w:rPr>
        <w:t>THE</w:t>
      </w:r>
      <w:r w:rsidRPr="00D442F1">
        <w:rPr>
          <w:b/>
          <w:noProof/>
          <w:szCs w:val="22"/>
        </w:rPr>
        <w:t xml:space="preserve"> MEDICINAL PRODUCT</w:t>
      </w:r>
    </w:p>
    <w:p w:rsidR="009E0C0F" w:rsidRPr="00D442F1" w:rsidP="00166894" w14:paraId="3D2D765A" w14:textId="77777777">
      <w:pPr>
        <w:keepNext/>
        <w:widowControl w:val="0"/>
        <w:tabs>
          <w:tab w:val="clear" w:pos="567"/>
        </w:tabs>
        <w:spacing w:line="240" w:lineRule="auto"/>
        <w:rPr>
          <w:iCs/>
          <w:noProof/>
          <w:szCs w:val="22"/>
        </w:rPr>
      </w:pPr>
    </w:p>
    <w:p w:rsidR="00EE09D6" w:rsidRPr="00D442F1" w:rsidP="00166894" w14:paraId="1422380F" w14:textId="77777777">
      <w:pPr>
        <w:widowControl w:val="0"/>
        <w:tabs>
          <w:tab w:val="clear" w:pos="567"/>
        </w:tabs>
        <w:spacing w:line="240" w:lineRule="auto"/>
        <w:rPr>
          <w:noProof/>
          <w:szCs w:val="22"/>
        </w:rPr>
      </w:pPr>
      <w:r w:rsidRPr="00D442F1">
        <w:rPr>
          <w:noProof/>
          <w:szCs w:val="22"/>
        </w:rPr>
        <w:t xml:space="preserve">Kymriah </w:t>
      </w:r>
      <w:r w:rsidRPr="00D442F1" w:rsidR="00F8118F">
        <w:rPr>
          <w:noProof/>
          <w:szCs w:val="22"/>
        </w:rPr>
        <w:t>1.</w:t>
      </w:r>
      <w:r w:rsidRPr="00D442F1" w:rsidR="00207024">
        <w:rPr>
          <w:noProof/>
          <w:szCs w:val="22"/>
        </w:rPr>
        <w:t>2 x 10</w:t>
      </w:r>
      <w:r w:rsidRPr="00D442F1" w:rsidR="00207024">
        <w:rPr>
          <w:noProof/>
          <w:szCs w:val="22"/>
          <w:vertAlign w:val="superscript"/>
        </w:rPr>
        <w:t>6</w:t>
      </w:r>
      <w:r w:rsidRPr="00D442F1" w:rsidR="00207024">
        <w:rPr>
          <w:noProof/>
          <w:szCs w:val="22"/>
        </w:rPr>
        <w:t> – </w:t>
      </w:r>
      <w:r w:rsidRPr="00D442F1" w:rsidR="00DA6563">
        <w:rPr>
          <w:noProof/>
          <w:szCs w:val="22"/>
        </w:rPr>
        <w:t>6</w:t>
      </w:r>
      <w:r w:rsidRPr="00D442F1" w:rsidR="0082572F">
        <w:rPr>
          <w:noProof/>
          <w:szCs w:val="22"/>
        </w:rPr>
        <w:t> </w:t>
      </w:r>
      <w:r w:rsidRPr="00D442F1" w:rsidR="00DA6563">
        <w:rPr>
          <w:noProof/>
          <w:szCs w:val="22"/>
        </w:rPr>
        <w:t>x</w:t>
      </w:r>
      <w:r w:rsidRPr="00D442F1" w:rsidR="0082572F">
        <w:rPr>
          <w:noProof/>
          <w:szCs w:val="22"/>
        </w:rPr>
        <w:t> </w:t>
      </w:r>
      <w:r w:rsidRPr="00D442F1" w:rsidR="00207024">
        <w:rPr>
          <w:noProof/>
          <w:szCs w:val="22"/>
        </w:rPr>
        <w:t>10</w:t>
      </w:r>
      <w:r w:rsidRPr="00D442F1" w:rsidR="00207024">
        <w:rPr>
          <w:noProof/>
          <w:szCs w:val="22"/>
          <w:vertAlign w:val="superscript"/>
        </w:rPr>
        <w:t>8</w:t>
      </w:r>
      <w:r w:rsidRPr="00D442F1" w:rsidR="00207024">
        <w:rPr>
          <w:noProof/>
          <w:szCs w:val="22"/>
        </w:rPr>
        <w:t xml:space="preserve"> cells </w:t>
      </w:r>
      <w:r w:rsidRPr="00D442F1">
        <w:rPr>
          <w:noProof/>
          <w:szCs w:val="22"/>
        </w:rPr>
        <w:t>dispersion for infusion</w:t>
      </w:r>
    </w:p>
    <w:p w:rsidR="00812D16" w:rsidRPr="00D442F1" w:rsidP="00166894" w14:paraId="7FCD575C" w14:textId="77777777">
      <w:pPr>
        <w:widowControl w:val="0"/>
        <w:tabs>
          <w:tab w:val="clear" w:pos="567"/>
        </w:tabs>
        <w:spacing w:line="240" w:lineRule="auto"/>
        <w:rPr>
          <w:iCs/>
          <w:noProof/>
          <w:szCs w:val="22"/>
        </w:rPr>
      </w:pPr>
    </w:p>
    <w:p w:rsidR="00F37485" w:rsidRPr="00D442F1" w:rsidP="00166894" w14:paraId="039D624E" w14:textId="77777777">
      <w:pPr>
        <w:widowControl w:val="0"/>
        <w:tabs>
          <w:tab w:val="clear" w:pos="567"/>
        </w:tabs>
        <w:spacing w:line="240" w:lineRule="auto"/>
        <w:rPr>
          <w:iCs/>
          <w:noProof/>
          <w:szCs w:val="22"/>
        </w:rPr>
      </w:pPr>
    </w:p>
    <w:p w:rsidR="00812D16" w:rsidRPr="00D442F1" w:rsidP="00166894" w14:paraId="47D103CE" w14:textId="77777777">
      <w:pPr>
        <w:keepNext/>
        <w:widowControl w:val="0"/>
        <w:tabs>
          <w:tab w:val="clear" w:pos="567"/>
        </w:tabs>
        <w:suppressAutoHyphens/>
        <w:spacing w:line="240" w:lineRule="auto"/>
        <w:ind w:left="567" w:hanging="567"/>
        <w:rPr>
          <w:noProof/>
          <w:szCs w:val="22"/>
        </w:rPr>
      </w:pPr>
      <w:r w:rsidRPr="00D442F1">
        <w:rPr>
          <w:b/>
          <w:noProof/>
          <w:szCs w:val="22"/>
        </w:rPr>
        <w:t>2.</w:t>
      </w:r>
      <w:r w:rsidRPr="00D442F1">
        <w:rPr>
          <w:b/>
          <w:noProof/>
          <w:szCs w:val="22"/>
        </w:rPr>
        <w:tab/>
        <w:t>QUALITATIVE AND QUANTITATIVE COMPOSITION</w:t>
      </w:r>
    </w:p>
    <w:p w:rsidR="00812D16" w:rsidRPr="00D442F1" w:rsidP="00166894" w14:paraId="388BDBE4" w14:textId="77777777">
      <w:pPr>
        <w:keepNext/>
        <w:widowControl w:val="0"/>
        <w:tabs>
          <w:tab w:val="clear" w:pos="567"/>
        </w:tabs>
        <w:spacing w:line="240" w:lineRule="auto"/>
        <w:rPr>
          <w:iCs/>
          <w:noProof/>
          <w:szCs w:val="22"/>
        </w:rPr>
      </w:pPr>
    </w:p>
    <w:p w:rsidR="00812D16" w:rsidRPr="00D442F1" w:rsidP="00166894" w14:paraId="687F7C70" w14:textId="77777777">
      <w:pPr>
        <w:keepNext/>
        <w:widowControl w:val="0"/>
        <w:tabs>
          <w:tab w:val="clear" w:pos="567"/>
        </w:tabs>
        <w:spacing w:line="240" w:lineRule="auto"/>
        <w:ind w:left="567" w:hanging="567"/>
        <w:rPr>
          <w:bCs/>
          <w:noProof/>
          <w:szCs w:val="22"/>
        </w:rPr>
      </w:pPr>
      <w:r w:rsidRPr="00D442F1">
        <w:rPr>
          <w:b/>
          <w:bCs/>
          <w:noProof/>
          <w:szCs w:val="22"/>
        </w:rPr>
        <w:t>2.1</w:t>
      </w:r>
      <w:r w:rsidRPr="00D442F1">
        <w:rPr>
          <w:b/>
          <w:bCs/>
          <w:noProof/>
          <w:szCs w:val="22"/>
        </w:rPr>
        <w:tab/>
        <w:t>General description</w:t>
      </w:r>
    </w:p>
    <w:p w:rsidR="004639CE" w:rsidRPr="00D442F1" w:rsidP="00166894" w14:paraId="7DD5C0E1" w14:textId="77777777">
      <w:pPr>
        <w:keepNext/>
        <w:widowControl w:val="0"/>
        <w:tabs>
          <w:tab w:val="clear" w:pos="567"/>
        </w:tabs>
        <w:spacing w:line="240" w:lineRule="auto"/>
        <w:rPr>
          <w:bCs/>
          <w:noProof/>
          <w:szCs w:val="22"/>
        </w:rPr>
      </w:pPr>
    </w:p>
    <w:p w:rsidR="004639CE" w:rsidRPr="00D442F1" w:rsidP="00166894" w14:paraId="0C558309" w14:textId="77777777">
      <w:pPr>
        <w:widowControl w:val="0"/>
        <w:tabs>
          <w:tab w:val="clear" w:pos="567"/>
        </w:tabs>
        <w:spacing w:line="240" w:lineRule="auto"/>
        <w:rPr>
          <w:bCs/>
          <w:noProof/>
          <w:szCs w:val="22"/>
        </w:rPr>
      </w:pPr>
      <w:r w:rsidRPr="00D442F1">
        <w:t>Kymriah is a</w:t>
      </w:r>
      <w:r w:rsidRPr="00D442F1" w:rsidR="00196A33">
        <w:t>n</w:t>
      </w:r>
      <w:r w:rsidRPr="00D442F1">
        <w:t xml:space="preserve"> immunocellular therapy </w:t>
      </w:r>
      <w:r w:rsidRPr="00D442F1" w:rsidR="009C5CF8">
        <w:t>containing</w:t>
      </w:r>
      <w:r w:rsidRPr="00D442F1">
        <w:t xml:space="preserve"> </w:t>
      </w:r>
      <w:r w:rsidRPr="00D442F1" w:rsidR="009C5CF8">
        <w:t xml:space="preserve">tisagenlecleucel, </w:t>
      </w:r>
      <w:r w:rsidRPr="00D442F1">
        <w:t>a</w:t>
      </w:r>
      <w:r w:rsidRPr="00D442F1">
        <w:t>utologous T</w:t>
      </w:r>
      <w:r w:rsidRPr="00D442F1" w:rsidR="00196A33">
        <w:t xml:space="preserve"> </w:t>
      </w:r>
      <w:r w:rsidRPr="00D442F1">
        <w:t xml:space="preserve">cells genetically modified </w:t>
      </w:r>
      <w:r w:rsidRPr="00D442F1">
        <w:rPr>
          <w:i/>
        </w:rPr>
        <w:t>ex vivo</w:t>
      </w:r>
      <w:r w:rsidRPr="00D442F1">
        <w:t xml:space="preserve"> using a lentiviral vector encoding an anti</w:t>
      </w:r>
      <w:r w:rsidRPr="00D442F1" w:rsidR="00591100">
        <w:noBreakHyphen/>
      </w:r>
      <w:r w:rsidRPr="00D442F1">
        <w:t>CD19 chimeric antigen receptor</w:t>
      </w:r>
      <w:r w:rsidRPr="00D442F1" w:rsidR="00CC2F7D">
        <w:t xml:space="preserve"> (CAR)</w:t>
      </w:r>
      <w:r w:rsidRPr="00D442F1">
        <w:t>.</w:t>
      </w:r>
    </w:p>
    <w:p w:rsidR="00812D16" w:rsidRPr="00D442F1" w:rsidP="00166894" w14:paraId="47909728" w14:textId="77777777">
      <w:pPr>
        <w:widowControl w:val="0"/>
        <w:tabs>
          <w:tab w:val="clear" w:pos="567"/>
        </w:tabs>
        <w:spacing w:line="240" w:lineRule="auto"/>
        <w:rPr>
          <w:bCs/>
          <w:noProof/>
          <w:szCs w:val="22"/>
        </w:rPr>
      </w:pPr>
    </w:p>
    <w:p w:rsidR="00812D16" w:rsidRPr="00D442F1" w:rsidP="00166894" w14:paraId="1103BDCA" w14:textId="77777777">
      <w:pPr>
        <w:keepNext/>
        <w:widowControl w:val="0"/>
        <w:tabs>
          <w:tab w:val="clear" w:pos="567"/>
        </w:tabs>
        <w:spacing w:line="240" w:lineRule="auto"/>
        <w:ind w:left="567" w:hanging="567"/>
        <w:rPr>
          <w:b/>
        </w:rPr>
      </w:pPr>
      <w:r w:rsidRPr="00D442F1">
        <w:rPr>
          <w:b/>
          <w:bCs/>
          <w:noProof/>
          <w:szCs w:val="22"/>
        </w:rPr>
        <w:t>2.2</w:t>
      </w:r>
      <w:r w:rsidRPr="00D442F1">
        <w:rPr>
          <w:b/>
          <w:bCs/>
          <w:noProof/>
          <w:szCs w:val="22"/>
        </w:rPr>
        <w:tab/>
        <w:t>Qualitative and quantitative composition</w:t>
      </w:r>
    </w:p>
    <w:p w:rsidR="00812D16" w:rsidRPr="00D442F1" w:rsidP="00166894" w14:paraId="5794A335" w14:textId="77777777">
      <w:pPr>
        <w:keepNext/>
        <w:widowControl w:val="0"/>
        <w:tabs>
          <w:tab w:val="clear" w:pos="567"/>
        </w:tabs>
        <w:spacing w:line="240" w:lineRule="auto"/>
      </w:pPr>
    </w:p>
    <w:p w:rsidR="005C1D60" w:rsidRPr="00D442F1" w:rsidP="00166894" w14:paraId="7C460443" w14:textId="77777777">
      <w:pPr>
        <w:widowControl w:val="0"/>
        <w:tabs>
          <w:tab w:val="clear" w:pos="567"/>
        </w:tabs>
        <w:spacing w:line="240" w:lineRule="auto"/>
      </w:pPr>
      <w:r w:rsidRPr="00D442F1">
        <w:t>Each</w:t>
      </w:r>
      <w:r w:rsidRPr="00D442F1">
        <w:t xml:space="preserve"> </w:t>
      </w:r>
      <w:r w:rsidRPr="00D442F1" w:rsidR="00E63269">
        <w:rPr>
          <w:szCs w:val="22"/>
        </w:rPr>
        <w:t xml:space="preserve">ethylene vinyl acetate (EVA) </w:t>
      </w:r>
      <w:r w:rsidRPr="00D442F1" w:rsidR="001A19D0">
        <w:rPr>
          <w:szCs w:val="22"/>
        </w:rPr>
        <w:t xml:space="preserve">infusion </w:t>
      </w:r>
      <w:r w:rsidRPr="00D442F1" w:rsidR="00E63269">
        <w:rPr>
          <w:szCs w:val="22"/>
        </w:rPr>
        <w:t>bag</w:t>
      </w:r>
      <w:r w:rsidRPr="00D442F1" w:rsidR="00CC2F7D">
        <w:rPr>
          <w:szCs w:val="22"/>
        </w:rPr>
        <w:t xml:space="preserve"> </w:t>
      </w:r>
      <w:r w:rsidRPr="00D442F1" w:rsidR="00E63269">
        <w:rPr>
          <w:szCs w:val="22"/>
        </w:rPr>
        <w:t>of Kymriah</w:t>
      </w:r>
      <w:r w:rsidRPr="00D442F1" w:rsidR="00BA270F">
        <w:rPr>
          <w:szCs w:val="22"/>
        </w:rPr>
        <w:t xml:space="preserve"> </w:t>
      </w:r>
      <w:r w:rsidRPr="00D442F1">
        <w:t xml:space="preserve">contains </w:t>
      </w:r>
      <w:r w:rsidRPr="00D442F1">
        <w:t>tisagenlecleucel</w:t>
      </w:r>
      <w:r w:rsidRPr="00D442F1" w:rsidR="00CC2F7D">
        <w:t xml:space="preserve"> </w:t>
      </w:r>
      <w:r w:rsidRPr="00D442F1" w:rsidR="00C31321">
        <w:t xml:space="preserve">cell </w:t>
      </w:r>
      <w:r w:rsidRPr="00D442F1" w:rsidR="00CC2F7D">
        <w:t>dispersion</w:t>
      </w:r>
      <w:r w:rsidRPr="00D442F1">
        <w:t xml:space="preserve"> at a </w:t>
      </w:r>
      <w:r w:rsidRPr="00D442F1" w:rsidR="00FC7BB2">
        <w:t>batch</w:t>
      </w:r>
      <w:r w:rsidRPr="00D442F1" w:rsidR="00591100">
        <w:noBreakHyphen/>
      </w:r>
      <w:r w:rsidRPr="00D442F1" w:rsidR="00FC7BB2">
        <w:t xml:space="preserve">dependent </w:t>
      </w:r>
      <w:r w:rsidRPr="00D442F1">
        <w:t xml:space="preserve">concentration of </w:t>
      </w:r>
      <w:r w:rsidRPr="00D442F1" w:rsidR="00FC7BB2">
        <w:rPr>
          <w:noProof/>
          <w:szCs w:val="22"/>
        </w:rPr>
        <w:t>autologous T</w:t>
      </w:r>
      <w:r w:rsidRPr="00D442F1" w:rsidR="006F0408">
        <w:rPr>
          <w:noProof/>
          <w:szCs w:val="22"/>
        </w:rPr>
        <w:t xml:space="preserve"> </w:t>
      </w:r>
      <w:r w:rsidRPr="00D442F1">
        <w:rPr>
          <w:noProof/>
          <w:szCs w:val="22"/>
        </w:rPr>
        <w:t>cells</w:t>
      </w:r>
      <w:r w:rsidRPr="00D442F1" w:rsidR="00FC7BB2">
        <w:rPr>
          <w:noProof/>
          <w:szCs w:val="22"/>
        </w:rPr>
        <w:t xml:space="preserve"> genetically modified to express an </w:t>
      </w:r>
      <w:r w:rsidRPr="00D442F1" w:rsidR="00FC7BB2">
        <w:t>anti</w:t>
      </w:r>
      <w:r w:rsidRPr="00D442F1" w:rsidR="00591100">
        <w:noBreakHyphen/>
      </w:r>
      <w:r w:rsidRPr="00D442F1" w:rsidR="00FC7BB2">
        <w:t>CD19 chimeric antigen receptor</w:t>
      </w:r>
      <w:r w:rsidRPr="00D442F1" w:rsidR="00FC7BB2">
        <w:rPr>
          <w:noProof/>
          <w:szCs w:val="22"/>
        </w:rPr>
        <w:t xml:space="preserve"> </w:t>
      </w:r>
      <w:r w:rsidRPr="00D442F1" w:rsidR="00CC2F7D">
        <w:rPr>
          <w:noProof/>
          <w:szCs w:val="22"/>
        </w:rPr>
        <w:t>(CAR</w:t>
      </w:r>
      <w:r w:rsidRPr="00D442F1" w:rsidR="00CC2F7D">
        <w:rPr>
          <w:noProof/>
          <w:szCs w:val="22"/>
        </w:rPr>
        <w:noBreakHyphen/>
        <w:t xml:space="preserve">positive viable T cells) </w:t>
      </w:r>
      <w:r w:rsidRPr="00D442F1" w:rsidR="00FC7BB2">
        <w:rPr>
          <w:noProof/>
          <w:szCs w:val="22"/>
        </w:rPr>
        <w:t xml:space="preserve">(see </w:t>
      </w:r>
      <w:r w:rsidRPr="00D442F1" w:rsidR="00965F5A">
        <w:rPr>
          <w:noProof/>
          <w:szCs w:val="22"/>
        </w:rPr>
        <w:t>s</w:t>
      </w:r>
      <w:r w:rsidRPr="00D442F1" w:rsidR="00FC7BB2">
        <w:rPr>
          <w:noProof/>
          <w:szCs w:val="22"/>
        </w:rPr>
        <w:t>ection</w:t>
      </w:r>
      <w:r w:rsidRPr="00D442F1" w:rsidR="00965F5A">
        <w:rPr>
          <w:noProof/>
          <w:szCs w:val="22"/>
        </w:rPr>
        <w:t> </w:t>
      </w:r>
      <w:r w:rsidRPr="00D442F1" w:rsidR="00FC7BB2">
        <w:rPr>
          <w:noProof/>
          <w:szCs w:val="22"/>
        </w:rPr>
        <w:t>4.2)</w:t>
      </w:r>
      <w:r w:rsidRPr="00D442F1" w:rsidR="00FC7BB2">
        <w:rPr>
          <w:color w:val="000000"/>
          <w:szCs w:val="22"/>
        </w:rPr>
        <w:t>.</w:t>
      </w:r>
    </w:p>
    <w:p w:rsidR="005C1D60" w:rsidRPr="00D442F1" w:rsidP="00166894" w14:paraId="251E80A4" w14:textId="77777777">
      <w:pPr>
        <w:widowControl w:val="0"/>
        <w:tabs>
          <w:tab w:val="clear" w:pos="567"/>
        </w:tabs>
        <w:spacing w:line="240" w:lineRule="auto"/>
      </w:pPr>
    </w:p>
    <w:p w:rsidR="00CF2E87" w:rsidRPr="00D442F1" w:rsidP="00166894" w14:paraId="1E39E8A0" w14:textId="77777777">
      <w:pPr>
        <w:widowControl w:val="0"/>
        <w:tabs>
          <w:tab w:val="clear" w:pos="567"/>
        </w:tabs>
        <w:spacing w:line="240" w:lineRule="auto"/>
        <w:rPr>
          <w:color w:val="000000"/>
          <w:szCs w:val="22"/>
        </w:rPr>
      </w:pPr>
      <w:r w:rsidRPr="00D442F1">
        <w:rPr>
          <w:color w:val="000000"/>
          <w:szCs w:val="22"/>
        </w:rPr>
        <w:t xml:space="preserve">The concentration </w:t>
      </w:r>
      <w:r w:rsidRPr="00D442F1" w:rsidR="00DA359A">
        <w:rPr>
          <w:color w:val="000000"/>
          <w:szCs w:val="22"/>
        </w:rPr>
        <w:t>of CAR</w:t>
      </w:r>
      <w:r w:rsidRPr="00D442F1" w:rsidR="00DA359A">
        <w:rPr>
          <w:color w:val="000000"/>
          <w:szCs w:val="22"/>
        </w:rPr>
        <w:noBreakHyphen/>
        <w:t xml:space="preserve">positive viable T cells </w:t>
      </w:r>
      <w:r w:rsidRPr="00D442F1">
        <w:rPr>
          <w:color w:val="000000"/>
          <w:szCs w:val="22"/>
        </w:rPr>
        <w:t>is</w:t>
      </w:r>
      <w:r w:rsidRPr="00D442F1" w:rsidR="00E63269">
        <w:rPr>
          <w:color w:val="000000"/>
          <w:szCs w:val="22"/>
        </w:rPr>
        <w:t xml:space="preserve"> </w:t>
      </w:r>
      <w:r w:rsidRPr="00D442F1">
        <w:rPr>
          <w:color w:val="000000"/>
          <w:szCs w:val="22"/>
        </w:rPr>
        <w:t>dependent on indication and patient body weight (for B</w:t>
      </w:r>
      <w:r w:rsidRPr="00D442F1">
        <w:rPr>
          <w:color w:val="000000"/>
          <w:szCs w:val="22"/>
        </w:rPr>
        <w:noBreakHyphen/>
        <w:t>cell acute lymphoblastic leukaemia [ALL])</w:t>
      </w:r>
      <w:r w:rsidRPr="00D442F1" w:rsidR="00DA359A">
        <w:rPr>
          <w:color w:val="000000"/>
          <w:szCs w:val="22"/>
        </w:rPr>
        <w:t>. The cellular composition</w:t>
      </w:r>
      <w:r w:rsidRPr="00D442F1" w:rsidR="00D10CD3">
        <w:t xml:space="preserve"> </w:t>
      </w:r>
      <w:r w:rsidRPr="00D442F1" w:rsidR="00D10CD3">
        <w:rPr>
          <w:color w:val="000000"/>
          <w:szCs w:val="22"/>
        </w:rPr>
        <w:t xml:space="preserve">and </w:t>
      </w:r>
      <w:r w:rsidRPr="00D442F1" w:rsidR="00DA359A">
        <w:rPr>
          <w:color w:val="000000"/>
          <w:szCs w:val="22"/>
        </w:rPr>
        <w:t xml:space="preserve">the final cell number </w:t>
      </w:r>
      <w:r w:rsidRPr="00D442F1" w:rsidR="00D10CD3">
        <w:rPr>
          <w:color w:val="000000"/>
          <w:szCs w:val="22"/>
        </w:rPr>
        <w:t xml:space="preserve">varies between individual patient batches. </w:t>
      </w:r>
      <w:r w:rsidRPr="00D442F1" w:rsidR="00DA359A">
        <w:rPr>
          <w:color w:val="000000"/>
          <w:szCs w:val="22"/>
        </w:rPr>
        <w:t xml:space="preserve">In addition to T cells, NK cells may be present. </w:t>
      </w:r>
      <w:r w:rsidRPr="00D442F1" w:rsidR="00D10CD3">
        <w:rPr>
          <w:color w:val="000000"/>
          <w:szCs w:val="22"/>
        </w:rPr>
        <w:t>The quantitative information regarding CAR</w:t>
      </w:r>
      <w:r w:rsidRPr="00D442F1" w:rsidR="00D10CD3">
        <w:rPr>
          <w:color w:val="000000"/>
          <w:szCs w:val="22"/>
        </w:rPr>
        <w:noBreakHyphen/>
        <w:t>positive viable T cells/mL and total cells in the product is presented in the batch</w:t>
      </w:r>
      <w:r w:rsidRPr="00D442F1" w:rsidR="00D10CD3">
        <w:rPr>
          <w:color w:val="000000"/>
          <w:szCs w:val="22"/>
        </w:rPr>
        <w:noBreakHyphen/>
        <w:t>specific documentation accompanying Kymriah</w:t>
      </w:r>
      <w:r w:rsidRPr="00D442F1" w:rsidR="00FD1687">
        <w:rPr>
          <w:color w:val="000000"/>
          <w:szCs w:val="22"/>
        </w:rPr>
        <w:t>.</w:t>
      </w:r>
    </w:p>
    <w:p w:rsidR="00954375" w:rsidRPr="00D442F1" w:rsidP="00166894" w14:paraId="2E9DFBD2" w14:textId="77777777">
      <w:pPr>
        <w:widowControl w:val="0"/>
        <w:tabs>
          <w:tab w:val="clear" w:pos="567"/>
        </w:tabs>
        <w:spacing w:line="240" w:lineRule="auto"/>
        <w:rPr>
          <w:color w:val="000000"/>
          <w:szCs w:val="22"/>
        </w:rPr>
      </w:pPr>
    </w:p>
    <w:p w:rsidR="00CF2E87" w:rsidRPr="00D442F1" w:rsidP="00166894" w14:paraId="7DD27BE1" w14:textId="0192CE8D">
      <w:pPr>
        <w:widowControl w:val="0"/>
        <w:tabs>
          <w:tab w:val="clear" w:pos="567"/>
        </w:tabs>
        <w:spacing w:line="240" w:lineRule="auto"/>
      </w:pPr>
      <w:r w:rsidRPr="00D442F1">
        <w:t>1</w:t>
      </w:r>
      <w:r w:rsidRPr="00D442F1" w:rsidR="003D2636">
        <w:t xml:space="preserve"> or more </w:t>
      </w:r>
      <w:r w:rsidRPr="00D442F1" w:rsidR="001A19D0">
        <w:t xml:space="preserve">infusion </w:t>
      </w:r>
      <w:r w:rsidRPr="00D442F1">
        <w:t>bags contain</w:t>
      </w:r>
      <w:r w:rsidRPr="00D442F1" w:rsidR="001F5C17">
        <w:t>ing</w:t>
      </w:r>
      <w:r w:rsidRPr="00D442F1">
        <w:t xml:space="preserve"> a total of </w:t>
      </w:r>
      <w:r w:rsidRPr="00D442F1" w:rsidR="00720E39">
        <w:t>1.2</w:t>
      </w:r>
      <w:r w:rsidRPr="00D442F1">
        <w:t> x 10</w:t>
      </w:r>
      <w:r w:rsidRPr="00D442F1">
        <w:rPr>
          <w:vertAlign w:val="superscript"/>
        </w:rPr>
        <w:t>6</w:t>
      </w:r>
      <w:r w:rsidRPr="00D442F1">
        <w:t xml:space="preserve"> to </w:t>
      </w:r>
      <w:r w:rsidRPr="00D442F1" w:rsidR="001F5C17">
        <w:t>6</w:t>
      </w:r>
      <w:r w:rsidRPr="00D442F1">
        <w:t> x 10</w:t>
      </w:r>
      <w:r w:rsidRPr="00D442F1">
        <w:rPr>
          <w:vertAlign w:val="superscript"/>
        </w:rPr>
        <w:t>8</w:t>
      </w:r>
      <w:r w:rsidRPr="00D442F1">
        <w:t xml:space="preserve"> CAR</w:t>
      </w:r>
      <w:r w:rsidRPr="00D442F1">
        <w:noBreakHyphen/>
        <w:t>positive viable T cells.</w:t>
      </w:r>
    </w:p>
    <w:p w:rsidR="005C1D60" w:rsidRPr="00D442F1" w:rsidP="00166894" w14:paraId="0EE769B7" w14:textId="77777777">
      <w:pPr>
        <w:widowControl w:val="0"/>
        <w:tabs>
          <w:tab w:val="clear" w:pos="567"/>
        </w:tabs>
        <w:spacing w:line="240" w:lineRule="auto"/>
      </w:pPr>
    </w:p>
    <w:p w:rsidR="007D1CE1" w:rsidRPr="00D442F1" w:rsidP="00166894" w14:paraId="5ECF5870" w14:textId="77777777">
      <w:pPr>
        <w:pStyle w:val="EMEAEnBodyText"/>
        <w:keepNext/>
        <w:widowControl w:val="0"/>
        <w:autoSpaceDE w:val="0"/>
        <w:autoSpaceDN w:val="0"/>
        <w:adjustRightInd w:val="0"/>
        <w:spacing w:before="0" w:after="0"/>
        <w:jc w:val="left"/>
        <w:rPr>
          <w:lang w:val="en-GB"/>
        </w:rPr>
      </w:pPr>
      <w:r w:rsidRPr="00D442F1">
        <w:rPr>
          <w:u w:val="single"/>
          <w:lang w:val="en-GB"/>
        </w:rPr>
        <w:t>Excipient with known effect</w:t>
      </w:r>
    </w:p>
    <w:p w:rsidR="00965F5A" w:rsidRPr="00D442F1" w:rsidP="00166894" w14:paraId="53809B0D" w14:textId="77777777">
      <w:pPr>
        <w:pStyle w:val="EMEAEnBodyText"/>
        <w:keepNext/>
        <w:widowControl w:val="0"/>
        <w:autoSpaceDE w:val="0"/>
        <w:autoSpaceDN w:val="0"/>
        <w:adjustRightInd w:val="0"/>
        <w:spacing w:before="0" w:after="0"/>
        <w:jc w:val="left"/>
        <w:rPr>
          <w:szCs w:val="22"/>
          <w:lang w:val="en-GB"/>
        </w:rPr>
      </w:pPr>
    </w:p>
    <w:p w:rsidR="00CF2E87" w:rsidRPr="00D442F1" w:rsidP="00166894" w14:paraId="07C91DD0" w14:textId="77777777">
      <w:pPr>
        <w:pStyle w:val="EMEAEnBodyText"/>
        <w:widowControl w:val="0"/>
        <w:autoSpaceDE w:val="0"/>
        <w:autoSpaceDN w:val="0"/>
        <w:adjustRightInd w:val="0"/>
        <w:spacing w:before="0" w:after="0"/>
        <w:jc w:val="left"/>
        <w:rPr>
          <w:szCs w:val="22"/>
          <w:lang w:val="en-GB"/>
        </w:rPr>
      </w:pPr>
      <w:r w:rsidRPr="00D442F1">
        <w:rPr>
          <w:szCs w:val="22"/>
        </w:rPr>
        <w:t>This medicinal product contains</w:t>
      </w:r>
      <w:r w:rsidRPr="00D442F1" w:rsidR="00FF78D3">
        <w:rPr>
          <w:szCs w:val="22"/>
        </w:rPr>
        <w:t xml:space="preserve"> </w:t>
      </w:r>
      <w:r w:rsidRPr="00D442F1">
        <w:rPr>
          <w:szCs w:val="22"/>
        </w:rPr>
        <w:t>2.43</w:t>
      </w:r>
      <w:r w:rsidRPr="00D442F1" w:rsidR="00965F5A">
        <w:rPr>
          <w:szCs w:val="22"/>
        </w:rPr>
        <w:t> </w:t>
      </w:r>
      <w:r w:rsidRPr="00D442F1" w:rsidR="00AE0366">
        <w:rPr>
          <w:szCs w:val="22"/>
        </w:rPr>
        <w:t>mg</w:t>
      </w:r>
      <w:r w:rsidRPr="00D442F1" w:rsidR="0011014E">
        <w:rPr>
          <w:szCs w:val="22"/>
        </w:rPr>
        <w:t xml:space="preserve"> sodium</w:t>
      </w:r>
      <w:r w:rsidRPr="00D442F1">
        <w:rPr>
          <w:szCs w:val="22"/>
        </w:rPr>
        <w:t xml:space="preserve"> per </w:t>
      </w:r>
      <w:r w:rsidRPr="00D442F1" w:rsidR="0011014E">
        <w:rPr>
          <w:szCs w:val="22"/>
        </w:rPr>
        <w:t>m</w:t>
      </w:r>
      <w:r w:rsidRPr="00D442F1" w:rsidR="00906299">
        <w:rPr>
          <w:szCs w:val="22"/>
        </w:rPr>
        <w:t>L</w:t>
      </w:r>
      <w:r w:rsidRPr="00D442F1" w:rsidR="00B16737">
        <w:rPr>
          <w:szCs w:val="22"/>
        </w:rPr>
        <w:t xml:space="preserve"> and</w:t>
      </w:r>
      <w:r w:rsidRPr="00D442F1" w:rsidR="00D65B94">
        <w:rPr>
          <w:noProof/>
          <w:szCs w:val="22"/>
        </w:rPr>
        <w:t xml:space="preserve"> 24.3 to 121.5</w:t>
      </w:r>
      <w:r w:rsidRPr="00D442F1" w:rsidR="00B24575">
        <w:rPr>
          <w:noProof/>
          <w:szCs w:val="22"/>
        </w:rPr>
        <w:t> </w:t>
      </w:r>
      <w:r w:rsidRPr="00D442F1" w:rsidR="00D65B94">
        <w:rPr>
          <w:noProof/>
          <w:szCs w:val="22"/>
        </w:rPr>
        <w:t>mg sodium per dose.</w:t>
      </w:r>
    </w:p>
    <w:p w:rsidR="00271546" w:rsidRPr="00D442F1" w:rsidP="00166894" w14:paraId="4989711B" w14:textId="77777777">
      <w:pPr>
        <w:widowControl w:val="0"/>
        <w:tabs>
          <w:tab w:val="clear" w:pos="567"/>
        </w:tabs>
        <w:spacing w:line="240" w:lineRule="auto"/>
      </w:pPr>
    </w:p>
    <w:p w:rsidR="00AE0366" w:rsidRPr="00D442F1" w:rsidP="00166894" w14:paraId="38C4E9A8" w14:textId="77777777">
      <w:pPr>
        <w:widowControl w:val="0"/>
        <w:tabs>
          <w:tab w:val="clear" w:pos="567"/>
        </w:tabs>
        <w:spacing w:line="240" w:lineRule="auto"/>
        <w:rPr>
          <w:noProof/>
        </w:rPr>
      </w:pPr>
      <w:r w:rsidRPr="00D442F1">
        <w:rPr>
          <w:noProof/>
        </w:rPr>
        <w:t>For the full list of excipients, see section</w:t>
      </w:r>
      <w:r w:rsidRPr="00D442F1" w:rsidR="00965F5A">
        <w:rPr>
          <w:noProof/>
        </w:rPr>
        <w:t> </w:t>
      </w:r>
      <w:r w:rsidRPr="00D442F1">
        <w:rPr>
          <w:noProof/>
        </w:rPr>
        <w:t>6.1</w:t>
      </w:r>
      <w:r w:rsidRPr="00D442F1" w:rsidR="00965F5A">
        <w:rPr>
          <w:noProof/>
        </w:rPr>
        <w:t>.</w:t>
      </w:r>
    </w:p>
    <w:p w:rsidR="00965F5A" w:rsidRPr="00D442F1" w:rsidP="00166894" w14:paraId="7544AB7E" w14:textId="77777777">
      <w:pPr>
        <w:widowControl w:val="0"/>
        <w:tabs>
          <w:tab w:val="clear" w:pos="567"/>
        </w:tabs>
        <w:spacing w:line="240" w:lineRule="auto"/>
        <w:rPr>
          <w:noProof/>
        </w:rPr>
      </w:pPr>
    </w:p>
    <w:p w:rsidR="00812D16" w:rsidRPr="00D442F1" w:rsidP="00166894" w14:paraId="6673FC54" w14:textId="77777777">
      <w:pPr>
        <w:widowControl w:val="0"/>
        <w:tabs>
          <w:tab w:val="clear" w:pos="567"/>
        </w:tabs>
        <w:spacing w:line="240" w:lineRule="auto"/>
        <w:rPr>
          <w:noProof/>
          <w:szCs w:val="22"/>
        </w:rPr>
      </w:pPr>
    </w:p>
    <w:p w:rsidR="00812D16" w:rsidRPr="00D442F1" w:rsidP="00166894" w14:paraId="0AA41097" w14:textId="77777777">
      <w:pPr>
        <w:keepNext/>
        <w:widowControl w:val="0"/>
        <w:tabs>
          <w:tab w:val="clear" w:pos="567"/>
        </w:tabs>
        <w:suppressAutoHyphens/>
        <w:spacing w:line="240" w:lineRule="auto"/>
        <w:ind w:left="567" w:hanging="567"/>
        <w:rPr>
          <w:caps/>
          <w:noProof/>
          <w:szCs w:val="22"/>
        </w:rPr>
      </w:pPr>
      <w:r w:rsidRPr="00D442F1">
        <w:rPr>
          <w:b/>
          <w:noProof/>
          <w:szCs w:val="22"/>
        </w:rPr>
        <w:t>3.</w:t>
      </w:r>
      <w:r w:rsidRPr="00D442F1">
        <w:rPr>
          <w:b/>
          <w:noProof/>
          <w:szCs w:val="22"/>
        </w:rPr>
        <w:tab/>
        <w:t xml:space="preserve">PHARMACEUTICAL </w:t>
      </w:r>
      <w:r w:rsidRPr="00D442F1" w:rsidR="00855481">
        <w:rPr>
          <w:rFonts w:ascii="Times New Roman Bold" w:hAnsi="Times New Roman Bold"/>
          <w:b/>
          <w:noProof/>
          <w:szCs w:val="22"/>
        </w:rPr>
        <w:t>FORM</w:t>
      </w:r>
    </w:p>
    <w:p w:rsidR="00812D16" w:rsidRPr="00D442F1" w:rsidP="00166894" w14:paraId="531D1DD0" w14:textId="77777777">
      <w:pPr>
        <w:keepNext/>
        <w:widowControl w:val="0"/>
        <w:tabs>
          <w:tab w:val="clear" w:pos="567"/>
        </w:tabs>
        <w:spacing w:line="240" w:lineRule="auto"/>
        <w:rPr>
          <w:noProof/>
          <w:szCs w:val="22"/>
        </w:rPr>
      </w:pPr>
    </w:p>
    <w:p w:rsidR="0014787A" w:rsidRPr="00D442F1" w:rsidP="00166894" w14:paraId="1F0D8DCE" w14:textId="77777777">
      <w:pPr>
        <w:keepNext/>
        <w:widowControl w:val="0"/>
        <w:tabs>
          <w:tab w:val="clear" w:pos="567"/>
        </w:tabs>
        <w:spacing w:line="240" w:lineRule="auto"/>
        <w:rPr>
          <w:noProof/>
          <w:szCs w:val="22"/>
        </w:rPr>
      </w:pPr>
      <w:r w:rsidRPr="00D442F1">
        <w:rPr>
          <w:noProof/>
          <w:szCs w:val="22"/>
        </w:rPr>
        <w:t>Dispersion for infusion.</w:t>
      </w:r>
    </w:p>
    <w:p w:rsidR="00B23E1E" w:rsidRPr="00D442F1" w:rsidP="00166894" w14:paraId="6605D81F" w14:textId="77777777">
      <w:pPr>
        <w:keepNext/>
        <w:widowControl w:val="0"/>
        <w:tabs>
          <w:tab w:val="clear" w:pos="567"/>
        </w:tabs>
        <w:spacing w:line="240" w:lineRule="auto"/>
        <w:rPr>
          <w:noProof/>
          <w:szCs w:val="22"/>
        </w:rPr>
      </w:pPr>
    </w:p>
    <w:p w:rsidR="00812D16" w:rsidRPr="00D442F1" w:rsidP="00166894" w14:paraId="094117A0" w14:textId="77777777">
      <w:pPr>
        <w:widowControl w:val="0"/>
        <w:tabs>
          <w:tab w:val="clear" w:pos="567"/>
        </w:tabs>
        <w:spacing w:line="240" w:lineRule="auto"/>
        <w:rPr>
          <w:noProof/>
          <w:szCs w:val="22"/>
        </w:rPr>
      </w:pPr>
      <w:r w:rsidRPr="00D442F1">
        <w:t>A colo</w:t>
      </w:r>
      <w:r w:rsidRPr="00D442F1" w:rsidR="006B7D04">
        <w:t>u</w:t>
      </w:r>
      <w:r w:rsidRPr="00D442F1">
        <w:t>rless to slightly yellow dispersion.</w:t>
      </w:r>
    </w:p>
    <w:p w:rsidR="00812D16" w:rsidRPr="00D442F1" w:rsidP="00166894" w14:paraId="2133F9FE" w14:textId="77777777">
      <w:pPr>
        <w:widowControl w:val="0"/>
        <w:tabs>
          <w:tab w:val="clear" w:pos="567"/>
        </w:tabs>
        <w:spacing w:line="240" w:lineRule="auto"/>
        <w:rPr>
          <w:noProof/>
          <w:szCs w:val="22"/>
        </w:rPr>
      </w:pPr>
    </w:p>
    <w:p w:rsidR="00965F5A" w:rsidRPr="00D442F1" w:rsidP="00166894" w14:paraId="620A46D5" w14:textId="77777777">
      <w:pPr>
        <w:widowControl w:val="0"/>
        <w:tabs>
          <w:tab w:val="clear" w:pos="567"/>
        </w:tabs>
        <w:spacing w:line="240" w:lineRule="auto"/>
        <w:rPr>
          <w:noProof/>
          <w:szCs w:val="22"/>
        </w:rPr>
      </w:pPr>
    </w:p>
    <w:p w:rsidR="00812D16" w:rsidRPr="00D442F1" w:rsidP="00166894" w14:paraId="3F4C571C" w14:textId="77777777">
      <w:pPr>
        <w:keepNext/>
        <w:widowControl w:val="0"/>
        <w:tabs>
          <w:tab w:val="clear" w:pos="567"/>
        </w:tabs>
        <w:suppressAutoHyphens/>
        <w:spacing w:line="240" w:lineRule="auto"/>
        <w:ind w:left="567" w:hanging="567"/>
        <w:rPr>
          <w:caps/>
          <w:noProof/>
          <w:szCs w:val="22"/>
        </w:rPr>
      </w:pPr>
      <w:r w:rsidRPr="00D442F1">
        <w:rPr>
          <w:b/>
          <w:caps/>
          <w:noProof/>
          <w:szCs w:val="22"/>
        </w:rPr>
        <w:t>4.</w:t>
      </w:r>
      <w:r w:rsidRPr="00D442F1">
        <w:rPr>
          <w:b/>
          <w:caps/>
          <w:noProof/>
          <w:szCs w:val="22"/>
        </w:rPr>
        <w:tab/>
      </w:r>
      <w:r w:rsidRPr="00D442F1">
        <w:rPr>
          <w:b/>
          <w:noProof/>
          <w:szCs w:val="22"/>
        </w:rPr>
        <w:t>C</w:t>
      </w:r>
      <w:r w:rsidRPr="00D442F1" w:rsidR="00855481">
        <w:rPr>
          <w:b/>
          <w:noProof/>
          <w:szCs w:val="22"/>
        </w:rPr>
        <w:t>LINICAL</w:t>
      </w:r>
      <w:r w:rsidRPr="00D442F1" w:rsidR="00855481">
        <w:rPr>
          <w:rFonts w:ascii="Times New Roman Bold" w:hAnsi="Times New Roman Bold"/>
          <w:b/>
          <w:noProof/>
          <w:szCs w:val="22"/>
        </w:rPr>
        <w:t xml:space="preserve"> PARTICULARS</w:t>
      </w:r>
    </w:p>
    <w:p w:rsidR="00812D16" w:rsidRPr="00D442F1" w:rsidP="00166894" w14:paraId="6EB69F11" w14:textId="77777777">
      <w:pPr>
        <w:keepNext/>
        <w:widowControl w:val="0"/>
        <w:tabs>
          <w:tab w:val="clear" w:pos="567"/>
        </w:tabs>
        <w:spacing w:line="240" w:lineRule="auto"/>
        <w:ind w:left="567" w:hanging="567"/>
        <w:rPr>
          <w:noProof/>
          <w:szCs w:val="22"/>
        </w:rPr>
      </w:pPr>
    </w:p>
    <w:p w:rsidR="00812D16" w:rsidRPr="00D442F1" w:rsidP="00166894" w14:paraId="6F013D78" w14:textId="77777777">
      <w:pPr>
        <w:keepNext/>
        <w:widowControl w:val="0"/>
        <w:tabs>
          <w:tab w:val="clear" w:pos="567"/>
        </w:tabs>
        <w:spacing w:line="240" w:lineRule="auto"/>
        <w:ind w:left="567" w:hanging="567"/>
        <w:outlineLvl w:val="0"/>
        <w:rPr>
          <w:noProof/>
          <w:szCs w:val="22"/>
        </w:rPr>
      </w:pPr>
      <w:r w:rsidRPr="00D442F1">
        <w:rPr>
          <w:b/>
          <w:noProof/>
          <w:szCs w:val="22"/>
        </w:rPr>
        <w:t>4.1</w:t>
      </w:r>
      <w:r w:rsidRPr="00D442F1">
        <w:rPr>
          <w:b/>
          <w:noProof/>
          <w:szCs w:val="22"/>
        </w:rPr>
        <w:tab/>
        <w:t>Therapeutic indications</w:t>
      </w:r>
    </w:p>
    <w:p w:rsidR="00812D16" w:rsidRPr="00D442F1" w:rsidP="00166894" w14:paraId="1DA00CD2" w14:textId="77777777">
      <w:pPr>
        <w:keepNext/>
        <w:widowControl w:val="0"/>
        <w:tabs>
          <w:tab w:val="clear" w:pos="567"/>
        </w:tabs>
        <w:spacing w:line="240" w:lineRule="auto"/>
        <w:ind w:left="567" w:hanging="567"/>
        <w:rPr>
          <w:noProof/>
          <w:szCs w:val="22"/>
        </w:rPr>
      </w:pPr>
    </w:p>
    <w:p w:rsidR="008956C2" w:rsidRPr="00D442F1" w:rsidP="00166894" w14:paraId="2018A13E" w14:textId="77777777">
      <w:pPr>
        <w:keepNext/>
        <w:widowControl w:val="0"/>
        <w:tabs>
          <w:tab w:val="clear" w:pos="567"/>
        </w:tabs>
        <w:spacing w:line="240" w:lineRule="auto"/>
        <w:rPr>
          <w:noProof/>
          <w:szCs w:val="22"/>
        </w:rPr>
      </w:pPr>
      <w:r w:rsidRPr="00D442F1">
        <w:rPr>
          <w:noProof/>
          <w:szCs w:val="22"/>
        </w:rPr>
        <w:t>Kymriah</w:t>
      </w:r>
      <w:r w:rsidRPr="00D442F1" w:rsidR="00812D16">
        <w:rPr>
          <w:noProof/>
          <w:szCs w:val="22"/>
        </w:rPr>
        <w:t xml:space="preserve"> is indicated </w:t>
      </w:r>
      <w:r w:rsidRPr="00D442F1">
        <w:rPr>
          <w:noProof/>
          <w:szCs w:val="22"/>
        </w:rPr>
        <w:t>for the treatment of</w:t>
      </w:r>
      <w:r w:rsidRPr="00D442F1">
        <w:rPr>
          <w:noProof/>
          <w:szCs w:val="22"/>
        </w:rPr>
        <w:t>:</w:t>
      </w:r>
    </w:p>
    <w:p w:rsidR="00812D16" w:rsidRPr="00D442F1" w:rsidP="00166894" w14:paraId="6BEE8FE7" w14:textId="77777777">
      <w:pPr>
        <w:widowControl w:val="0"/>
        <w:numPr>
          <w:ilvl w:val="0"/>
          <w:numId w:val="3"/>
        </w:numPr>
        <w:tabs>
          <w:tab w:val="clear" w:pos="567"/>
        </w:tabs>
        <w:spacing w:line="240" w:lineRule="auto"/>
        <w:ind w:left="567" w:hanging="567"/>
        <w:rPr>
          <w:i/>
          <w:color w:val="000000"/>
          <w:szCs w:val="22"/>
        </w:rPr>
      </w:pPr>
      <w:r w:rsidRPr="00D442F1">
        <w:rPr>
          <w:noProof/>
          <w:szCs w:val="22"/>
        </w:rPr>
        <w:t xml:space="preserve">Paediatric and young adult </w:t>
      </w:r>
      <w:r w:rsidRPr="00D442F1" w:rsidR="006B7D04">
        <w:rPr>
          <w:noProof/>
          <w:szCs w:val="22"/>
        </w:rPr>
        <w:t>patients</w:t>
      </w:r>
      <w:r w:rsidRPr="00D442F1">
        <w:rPr>
          <w:noProof/>
          <w:szCs w:val="22"/>
        </w:rPr>
        <w:t xml:space="preserve"> </w:t>
      </w:r>
      <w:r w:rsidRPr="00D442F1" w:rsidR="007D026B">
        <w:rPr>
          <w:noProof/>
          <w:szCs w:val="22"/>
        </w:rPr>
        <w:t>up</w:t>
      </w:r>
      <w:r w:rsidRPr="00D442F1">
        <w:rPr>
          <w:noProof/>
          <w:szCs w:val="22"/>
        </w:rPr>
        <w:t xml:space="preserve"> to </w:t>
      </w:r>
      <w:r w:rsidRPr="00D442F1" w:rsidR="004362B9">
        <w:rPr>
          <w:noProof/>
          <w:szCs w:val="22"/>
        </w:rPr>
        <w:t xml:space="preserve">and including </w:t>
      </w:r>
      <w:r w:rsidRPr="00D442F1">
        <w:rPr>
          <w:noProof/>
          <w:szCs w:val="22"/>
        </w:rPr>
        <w:t>25</w:t>
      </w:r>
      <w:r w:rsidRPr="00D442F1" w:rsidR="00965F5A">
        <w:rPr>
          <w:noProof/>
          <w:szCs w:val="22"/>
        </w:rPr>
        <w:t> </w:t>
      </w:r>
      <w:r w:rsidRPr="00D442F1">
        <w:rPr>
          <w:noProof/>
          <w:szCs w:val="22"/>
        </w:rPr>
        <w:t>years</w:t>
      </w:r>
      <w:r w:rsidRPr="00D442F1" w:rsidR="007D026B">
        <w:rPr>
          <w:noProof/>
          <w:szCs w:val="22"/>
        </w:rPr>
        <w:t xml:space="preserve"> of age</w:t>
      </w:r>
      <w:r w:rsidRPr="00D442F1">
        <w:rPr>
          <w:noProof/>
          <w:szCs w:val="22"/>
        </w:rPr>
        <w:t xml:space="preserve"> </w:t>
      </w:r>
      <w:r w:rsidRPr="00D442F1" w:rsidR="006B7D04">
        <w:rPr>
          <w:noProof/>
          <w:szCs w:val="22"/>
        </w:rPr>
        <w:t>with</w:t>
      </w:r>
      <w:r w:rsidRPr="00D442F1" w:rsidR="002B5536">
        <w:rPr>
          <w:noProof/>
          <w:szCs w:val="22"/>
        </w:rPr>
        <w:t xml:space="preserve"> B</w:t>
      </w:r>
      <w:r w:rsidRPr="00D442F1" w:rsidR="002B5536">
        <w:rPr>
          <w:noProof/>
          <w:szCs w:val="22"/>
        </w:rPr>
        <w:noBreakHyphen/>
      </w:r>
      <w:r w:rsidRPr="00D442F1" w:rsidR="000174C1">
        <w:rPr>
          <w:noProof/>
          <w:szCs w:val="22"/>
        </w:rPr>
        <w:t>cell acute lymphoblastic leukaemia (ALL)</w:t>
      </w:r>
      <w:r w:rsidRPr="00D442F1" w:rsidR="002B5536">
        <w:rPr>
          <w:noProof/>
          <w:szCs w:val="22"/>
        </w:rPr>
        <w:t xml:space="preserve"> that is refractory, in relapse post</w:t>
      </w:r>
      <w:r w:rsidRPr="00D442F1" w:rsidR="002B5536">
        <w:rPr>
          <w:noProof/>
          <w:szCs w:val="22"/>
        </w:rPr>
        <w:noBreakHyphen/>
        <w:t>transplant or in second or later relapse</w:t>
      </w:r>
      <w:r w:rsidRPr="00D442F1">
        <w:rPr>
          <w:szCs w:val="22"/>
        </w:rPr>
        <w:t>.</w:t>
      </w:r>
    </w:p>
    <w:p w:rsidR="008956C2" w:rsidRPr="00D442F1" w:rsidP="00166894" w14:paraId="3A137C97" w14:textId="77777777">
      <w:pPr>
        <w:widowControl w:val="0"/>
        <w:numPr>
          <w:ilvl w:val="0"/>
          <w:numId w:val="3"/>
        </w:numPr>
        <w:tabs>
          <w:tab w:val="clear" w:pos="567"/>
        </w:tabs>
        <w:spacing w:line="240" w:lineRule="auto"/>
        <w:ind w:left="567" w:hanging="567"/>
        <w:rPr>
          <w:i/>
          <w:color w:val="000000"/>
          <w:szCs w:val="22"/>
        </w:rPr>
      </w:pPr>
      <w:r w:rsidRPr="00D442F1">
        <w:rPr>
          <w:color w:val="000000"/>
          <w:szCs w:val="22"/>
        </w:rPr>
        <w:t>Adult p</w:t>
      </w:r>
      <w:r w:rsidRPr="00D442F1" w:rsidR="00780575">
        <w:rPr>
          <w:color w:val="000000"/>
          <w:szCs w:val="22"/>
        </w:rPr>
        <w:t xml:space="preserve">atients with relapsed </w:t>
      </w:r>
      <w:r w:rsidRPr="00D442F1" w:rsidR="00780575">
        <w:t>or refractory diffuse large B</w:t>
      </w:r>
      <w:r w:rsidRPr="00D442F1" w:rsidR="00591100">
        <w:noBreakHyphen/>
      </w:r>
      <w:r w:rsidRPr="00D442F1" w:rsidR="00780575">
        <w:t>cell lymphoma (DLBCL)</w:t>
      </w:r>
      <w:r w:rsidRPr="00D442F1" w:rsidR="007D026B">
        <w:t xml:space="preserve"> after two or more lines of systemic therapy</w:t>
      </w:r>
      <w:r w:rsidRPr="00D442F1" w:rsidR="00780575">
        <w:t>.</w:t>
      </w:r>
    </w:p>
    <w:p w:rsidR="00812D16" w:rsidRPr="00D442F1" w:rsidP="00166894" w14:paraId="189F8772" w14:textId="77777777">
      <w:pPr>
        <w:widowControl w:val="0"/>
        <w:tabs>
          <w:tab w:val="clear" w:pos="567"/>
        </w:tabs>
        <w:spacing w:line="240" w:lineRule="auto"/>
        <w:rPr>
          <w:noProof/>
          <w:szCs w:val="22"/>
        </w:rPr>
      </w:pPr>
    </w:p>
    <w:p w:rsidR="00F7592C" w:rsidRPr="00D442F1" w:rsidP="00F7592C" w14:paraId="3B1BEB0B" w14:textId="77777777">
      <w:pPr>
        <w:keepNext/>
        <w:widowControl w:val="0"/>
        <w:tabs>
          <w:tab w:val="clear" w:pos="567"/>
        </w:tabs>
        <w:spacing w:line="240" w:lineRule="auto"/>
        <w:ind w:left="567" w:hanging="567"/>
        <w:outlineLvl w:val="0"/>
        <w:rPr>
          <w:b/>
          <w:noProof/>
          <w:szCs w:val="22"/>
        </w:rPr>
      </w:pPr>
      <w:r w:rsidRPr="00D442F1">
        <w:rPr>
          <w:b/>
          <w:noProof/>
          <w:szCs w:val="22"/>
        </w:rPr>
        <w:t>4.2</w:t>
      </w:r>
      <w:r w:rsidRPr="00D442F1">
        <w:rPr>
          <w:b/>
          <w:noProof/>
          <w:szCs w:val="22"/>
        </w:rPr>
        <w:tab/>
        <w:t>Posology and method of administration</w:t>
      </w:r>
    </w:p>
    <w:p w:rsidR="00831222" w:rsidRPr="00D442F1" w:rsidP="00166894" w14:paraId="3914DB8A" w14:textId="77777777">
      <w:pPr>
        <w:keepNext/>
        <w:widowControl w:val="0"/>
        <w:tabs>
          <w:tab w:val="clear" w:pos="567"/>
        </w:tabs>
        <w:spacing w:line="240" w:lineRule="auto"/>
        <w:rPr>
          <w:szCs w:val="22"/>
        </w:rPr>
      </w:pPr>
    </w:p>
    <w:p w:rsidR="00831222" w:rsidRPr="00D442F1" w:rsidP="00166894" w14:paraId="70370F1A" w14:textId="780AA766">
      <w:pPr>
        <w:widowControl w:val="0"/>
        <w:tabs>
          <w:tab w:val="clear" w:pos="567"/>
        </w:tabs>
        <w:spacing w:line="240" w:lineRule="auto"/>
      </w:pPr>
      <w:r w:rsidRPr="00D442F1">
        <w:rPr>
          <w:szCs w:val="22"/>
        </w:rPr>
        <w:t xml:space="preserve">Kymriah must be administered in a </w:t>
      </w:r>
      <w:r w:rsidRPr="00D442F1" w:rsidR="009433A3">
        <w:rPr>
          <w:szCs w:val="22"/>
        </w:rPr>
        <w:t>qualified</w:t>
      </w:r>
      <w:r w:rsidRPr="00D442F1" w:rsidR="00311872">
        <w:rPr>
          <w:szCs w:val="22"/>
        </w:rPr>
        <w:t xml:space="preserve"> treatment centre</w:t>
      </w:r>
      <w:r w:rsidRPr="00D442F1" w:rsidR="00207024">
        <w:rPr>
          <w:szCs w:val="22"/>
        </w:rPr>
        <w:t xml:space="preserve">. Therapy should be initiated under the direction of and </w:t>
      </w:r>
      <w:r w:rsidRPr="00385FB9" w:rsidR="00207024">
        <w:rPr>
          <w:szCs w:val="22"/>
        </w:rPr>
        <w:t>supervised</w:t>
      </w:r>
      <w:r w:rsidRPr="00385FB9" w:rsidR="00311872">
        <w:rPr>
          <w:szCs w:val="22"/>
        </w:rPr>
        <w:t xml:space="preserve"> b</w:t>
      </w:r>
      <w:r w:rsidRPr="00385FB9">
        <w:rPr>
          <w:szCs w:val="22"/>
        </w:rPr>
        <w:t xml:space="preserve">y a </w:t>
      </w:r>
      <w:r w:rsidRPr="00385FB9" w:rsidR="00AD6990">
        <w:rPr>
          <w:szCs w:val="22"/>
        </w:rPr>
        <w:t xml:space="preserve">healthcare professional </w:t>
      </w:r>
      <w:r w:rsidRPr="00385FB9">
        <w:rPr>
          <w:szCs w:val="22"/>
        </w:rPr>
        <w:t xml:space="preserve">experienced </w:t>
      </w:r>
      <w:r w:rsidRPr="00385FB9" w:rsidR="00207024">
        <w:rPr>
          <w:szCs w:val="22"/>
        </w:rPr>
        <w:t xml:space="preserve">in the treatment of haematological malignancies </w:t>
      </w:r>
      <w:r w:rsidRPr="00385FB9">
        <w:rPr>
          <w:szCs w:val="22"/>
        </w:rPr>
        <w:t>and trained for administration and management of patients treated with Kymriah.</w:t>
      </w:r>
      <w:r w:rsidRPr="00385FB9" w:rsidR="002E2CD6">
        <w:rPr>
          <w:szCs w:val="22"/>
        </w:rPr>
        <w:t xml:space="preserve"> </w:t>
      </w:r>
      <w:r w:rsidRPr="00385FB9" w:rsidR="00B729F0">
        <w:rPr>
          <w:szCs w:val="22"/>
        </w:rPr>
        <w:t>T</w:t>
      </w:r>
      <w:r w:rsidRPr="00385FB9" w:rsidR="002E2CD6">
        <w:rPr>
          <w:szCs w:val="22"/>
        </w:rPr>
        <w:t>ocilizumab</w:t>
      </w:r>
      <w:r w:rsidRPr="00385FB9" w:rsidR="00F73735">
        <w:rPr>
          <w:szCs w:val="22"/>
        </w:rPr>
        <w:t xml:space="preserve"> </w:t>
      </w:r>
      <w:r w:rsidRPr="00385FB9" w:rsidR="002E2CD6">
        <w:rPr>
          <w:szCs w:val="22"/>
        </w:rPr>
        <w:t>for use in the eve</w:t>
      </w:r>
      <w:r w:rsidRPr="00385FB9" w:rsidR="008B6CEF">
        <w:rPr>
          <w:szCs w:val="22"/>
        </w:rPr>
        <w:t>nt of cytokine release syndrome</w:t>
      </w:r>
      <w:r w:rsidRPr="00385FB9" w:rsidR="002E2CD6">
        <w:rPr>
          <w:szCs w:val="22"/>
        </w:rPr>
        <w:t xml:space="preserve"> and emergency equipment must be available </w:t>
      </w:r>
      <w:r w:rsidRPr="00385FB9" w:rsidR="00F73735">
        <w:rPr>
          <w:szCs w:val="22"/>
        </w:rPr>
        <w:t xml:space="preserve">per patient </w:t>
      </w:r>
      <w:r w:rsidRPr="00385FB9" w:rsidR="002E2CD6">
        <w:rPr>
          <w:szCs w:val="22"/>
        </w:rPr>
        <w:t>prior</w:t>
      </w:r>
      <w:r w:rsidRPr="00D442F1" w:rsidR="002E2CD6">
        <w:rPr>
          <w:szCs w:val="22"/>
        </w:rPr>
        <w:t xml:space="preserve"> to infusion.</w:t>
      </w:r>
      <w:r w:rsidRPr="00D442F1" w:rsidR="004362B9">
        <w:rPr>
          <w:szCs w:val="22"/>
        </w:rPr>
        <w:t xml:space="preserve"> T</w:t>
      </w:r>
      <w:r w:rsidRPr="00D442F1" w:rsidR="0086266E">
        <w:rPr>
          <w:szCs w:val="22"/>
        </w:rPr>
        <w:t>he t</w:t>
      </w:r>
      <w:r w:rsidRPr="00D442F1" w:rsidR="004362B9">
        <w:rPr>
          <w:szCs w:val="22"/>
        </w:rPr>
        <w:t>reatment c</w:t>
      </w:r>
      <w:r w:rsidRPr="00D442F1" w:rsidR="00C01955">
        <w:rPr>
          <w:szCs w:val="22"/>
        </w:rPr>
        <w:t>entre must have</w:t>
      </w:r>
      <w:r w:rsidRPr="00D442F1" w:rsidR="005D4F8A">
        <w:rPr>
          <w:szCs w:val="22"/>
        </w:rPr>
        <w:t xml:space="preserve"> </w:t>
      </w:r>
      <w:r w:rsidRPr="00D442F1" w:rsidR="00C01955">
        <w:rPr>
          <w:szCs w:val="22"/>
        </w:rPr>
        <w:t xml:space="preserve">access </w:t>
      </w:r>
      <w:r w:rsidRPr="00D442F1" w:rsidR="004362B9">
        <w:rPr>
          <w:szCs w:val="22"/>
        </w:rPr>
        <w:t>to additional doses of tocilizu</w:t>
      </w:r>
      <w:r w:rsidRPr="00D442F1" w:rsidR="00167A8C">
        <w:rPr>
          <w:szCs w:val="22"/>
        </w:rPr>
        <w:t>m</w:t>
      </w:r>
      <w:r w:rsidRPr="00D442F1" w:rsidR="004362B9">
        <w:rPr>
          <w:szCs w:val="22"/>
        </w:rPr>
        <w:t>ab</w:t>
      </w:r>
      <w:r w:rsidRPr="00D442F1" w:rsidR="00425BCF">
        <w:rPr>
          <w:szCs w:val="22"/>
        </w:rPr>
        <w:t xml:space="preserve"> </w:t>
      </w:r>
      <w:r w:rsidRPr="00D442F1" w:rsidR="00425BCF">
        <w:rPr>
          <w:noProof/>
          <w:szCs w:val="22"/>
        </w:rPr>
        <w:t>within 8</w:t>
      </w:r>
      <w:r w:rsidRPr="00D442F1" w:rsidR="00914C7D">
        <w:rPr>
          <w:noProof/>
          <w:szCs w:val="22"/>
        </w:rPr>
        <w:t> </w:t>
      </w:r>
      <w:r w:rsidRPr="00D442F1" w:rsidR="00425BCF">
        <w:rPr>
          <w:noProof/>
          <w:szCs w:val="22"/>
        </w:rPr>
        <w:t>hours</w:t>
      </w:r>
      <w:r w:rsidRPr="00D442F1" w:rsidR="004362B9">
        <w:rPr>
          <w:szCs w:val="22"/>
        </w:rPr>
        <w:t>.</w:t>
      </w:r>
    </w:p>
    <w:p w:rsidR="00C80FC6" w:rsidRPr="00D442F1" w:rsidP="00166894" w14:paraId="0B4B4DB6" w14:textId="77777777">
      <w:pPr>
        <w:widowControl w:val="0"/>
        <w:tabs>
          <w:tab w:val="clear" w:pos="567"/>
        </w:tabs>
        <w:spacing w:line="240" w:lineRule="auto"/>
      </w:pPr>
    </w:p>
    <w:p w:rsidR="00ED7FB0" w:rsidRPr="00D442F1" w:rsidP="00166894" w14:paraId="62F0FCEE" w14:textId="77777777">
      <w:pPr>
        <w:widowControl w:val="0"/>
        <w:tabs>
          <w:tab w:val="clear" w:pos="567"/>
        </w:tabs>
        <w:spacing w:line="240" w:lineRule="auto"/>
        <w:rPr>
          <w:szCs w:val="22"/>
        </w:rPr>
      </w:pPr>
      <w:r w:rsidRPr="00D442F1">
        <w:rPr>
          <w:szCs w:val="22"/>
        </w:rPr>
        <w:t>Kymriah</w:t>
      </w:r>
      <w:r w:rsidRPr="00D442F1">
        <w:rPr>
          <w:szCs w:val="22"/>
        </w:rPr>
        <w:t xml:space="preserve"> is intended for autologous use only (see section</w:t>
      </w:r>
      <w:r w:rsidRPr="00D442F1" w:rsidR="00965F5A">
        <w:rPr>
          <w:szCs w:val="22"/>
        </w:rPr>
        <w:t> </w:t>
      </w:r>
      <w:r w:rsidRPr="00D442F1">
        <w:rPr>
          <w:szCs w:val="22"/>
        </w:rPr>
        <w:t>4.4).</w:t>
      </w:r>
      <w:r w:rsidRPr="00D442F1" w:rsidR="00607345">
        <w:rPr>
          <w:szCs w:val="22"/>
        </w:rPr>
        <w:t xml:space="preserve"> Manufacture and release of Kymriah usually takes about 3</w:t>
      </w:r>
      <w:r w:rsidRPr="00D442F1" w:rsidR="00607345">
        <w:rPr>
          <w:szCs w:val="22"/>
        </w:rPr>
        <w:noBreakHyphen/>
        <w:t>4 weeks.</w:t>
      </w:r>
    </w:p>
    <w:p w:rsidR="00CE7CFA" w:rsidRPr="00D442F1" w:rsidP="00166894" w14:paraId="5224310B" w14:textId="77777777">
      <w:pPr>
        <w:widowControl w:val="0"/>
        <w:tabs>
          <w:tab w:val="clear" w:pos="567"/>
        </w:tabs>
        <w:spacing w:line="240" w:lineRule="auto"/>
      </w:pPr>
    </w:p>
    <w:p w:rsidR="00016013" w:rsidRPr="00D442F1" w:rsidP="00166894" w14:paraId="517A5321" w14:textId="77777777">
      <w:pPr>
        <w:keepNext/>
        <w:widowControl w:val="0"/>
        <w:tabs>
          <w:tab w:val="clear" w:pos="567"/>
        </w:tabs>
        <w:spacing w:line="240" w:lineRule="auto"/>
        <w:rPr>
          <w:szCs w:val="22"/>
        </w:rPr>
      </w:pPr>
      <w:r w:rsidRPr="00D442F1">
        <w:rPr>
          <w:szCs w:val="22"/>
          <w:u w:val="single"/>
        </w:rPr>
        <w:t>Posology</w:t>
      </w:r>
    </w:p>
    <w:p w:rsidR="00CE7CFA" w:rsidRPr="00D442F1" w:rsidP="00166894" w14:paraId="5CD3F48D" w14:textId="77777777">
      <w:pPr>
        <w:keepNext/>
        <w:widowControl w:val="0"/>
        <w:tabs>
          <w:tab w:val="clear" w:pos="567"/>
        </w:tabs>
        <w:spacing w:line="240" w:lineRule="auto"/>
      </w:pPr>
    </w:p>
    <w:p w:rsidR="00CE7CFA" w:rsidRPr="00D442F1" w:rsidP="00166894" w14:paraId="4A599DB6" w14:textId="77777777">
      <w:pPr>
        <w:keepNext/>
        <w:widowControl w:val="0"/>
        <w:tabs>
          <w:tab w:val="clear" w:pos="567"/>
        </w:tabs>
        <w:spacing w:line="240" w:lineRule="auto"/>
      </w:pPr>
      <w:r w:rsidRPr="00D442F1">
        <w:rPr>
          <w:i/>
          <w:u w:val="single"/>
        </w:rPr>
        <w:t>Dosage in paediatric and young adult B</w:t>
      </w:r>
      <w:r w:rsidRPr="00D442F1">
        <w:rPr>
          <w:i/>
          <w:u w:val="single"/>
        </w:rPr>
        <w:noBreakHyphen/>
        <w:t>cell ALL patients</w:t>
      </w:r>
    </w:p>
    <w:p w:rsidR="00CE7CFA" w:rsidRPr="00D442F1" w:rsidP="00166894" w14:paraId="6B043CCF" w14:textId="77777777">
      <w:pPr>
        <w:pStyle w:val="Listlevel2"/>
        <w:widowControl w:val="0"/>
        <w:numPr>
          <w:ilvl w:val="0"/>
          <w:numId w:val="6"/>
        </w:numPr>
        <w:spacing w:before="0"/>
        <w:ind w:left="567" w:hanging="567"/>
        <w:rPr>
          <w:sz w:val="22"/>
          <w:szCs w:val="22"/>
          <w:lang w:val="en-GB"/>
        </w:rPr>
      </w:pPr>
      <w:r w:rsidRPr="00D442F1">
        <w:rPr>
          <w:sz w:val="22"/>
          <w:szCs w:val="22"/>
          <w:lang w:val="en-GB"/>
        </w:rPr>
        <w:t>For patients 50 kg and below: 0.2 to 5 x 10</w:t>
      </w:r>
      <w:r w:rsidRPr="00D442F1">
        <w:rPr>
          <w:sz w:val="22"/>
          <w:szCs w:val="22"/>
          <w:vertAlign w:val="superscript"/>
          <w:lang w:val="en-GB"/>
        </w:rPr>
        <w:t>6</w:t>
      </w:r>
      <w:r w:rsidRPr="00D442F1">
        <w:rPr>
          <w:sz w:val="22"/>
          <w:szCs w:val="22"/>
          <w:lang w:val="en-GB"/>
        </w:rPr>
        <w:t xml:space="preserve"> CAR</w:t>
      </w:r>
      <w:r w:rsidRPr="00D442F1">
        <w:rPr>
          <w:sz w:val="22"/>
          <w:szCs w:val="22"/>
          <w:lang w:val="en-GB"/>
        </w:rPr>
        <w:noBreakHyphen/>
        <w:t>positive viable T cells/kg body weight.</w:t>
      </w:r>
    </w:p>
    <w:p w:rsidR="00CE7CFA" w:rsidRPr="00D442F1" w:rsidP="00166894" w14:paraId="1C9DCE68" w14:textId="77777777">
      <w:pPr>
        <w:pStyle w:val="Listlevel2"/>
        <w:widowControl w:val="0"/>
        <w:numPr>
          <w:ilvl w:val="0"/>
          <w:numId w:val="6"/>
        </w:numPr>
        <w:spacing w:before="0"/>
        <w:ind w:left="567" w:hanging="567"/>
        <w:rPr>
          <w:sz w:val="22"/>
          <w:szCs w:val="22"/>
          <w:lang w:val="en-GB"/>
        </w:rPr>
      </w:pPr>
      <w:r w:rsidRPr="00D442F1">
        <w:rPr>
          <w:sz w:val="22"/>
          <w:szCs w:val="22"/>
          <w:lang w:val="en-GB"/>
        </w:rPr>
        <w:t>For patients above 50 kg: 0.1 to 2.5 x 10</w:t>
      </w:r>
      <w:r w:rsidRPr="00D442F1">
        <w:rPr>
          <w:sz w:val="22"/>
          <w:szCs w:val="22"/>
          <w:vertAlign w:val="superscript"/>
          <w:lang w:val="en-GB"/>
        </w:rPr>
        <w:t>8</w:t>
      </w:r>
      <w:r w:rsidRPr="00D442F1">
        <w:rPr>
          <w:sz w:val="22"/>
          <w:szCs w:val="22"/>
          <w:lang w:val="en-GB"/>
        </w:rPr>
        <w:t xml:space="preserve"> CAR</w:t>
      </w:r>
      <w:r w:rsidRPr="00D442F1">
        <w:rPr>
          <w:sz w:val="22"/>
          <w:szCs w:val="22"/>
          <w:lang w:val="en-GB"/>
        </w:rPr>
        <w:noBreakHyphen/>
        <w:t>positive viable T cells (non</w:t>
      </w:r>
      <w:r w:rsidRPr="00D442F1">
        <w:rPr>
          <w:sz w:val="22"/>
          <w:szCs w:val="22"/>
          <w:lang w:val="en-GB"/>
        </w:rPr>
        <w:noBreakHyphen/>
        <w:t>weight based).</w:t>
      </w:r>
    </w:p>
    <w:p w:rsidR="00CE7CFA" w:rsidRPr="00D442F1" w:rsidP="00166894" w14:paraId="6D043356" w14:textId="77777777">
      <w:pPr>
        <w:widowControl w:val="0"/>
        <w:tabs>
          <w:tab w:val="clear" w:pos="567"/>
        </w:tabs>
        <w:spacing w:line="240" w:lineRule="auto"/>
        <w:rPr>
          <w:szCs w:val="22"/>
        </w:rPr>
      </w:pPr>
    </w:p>
    <w:p w:rsidR="00CE7CFA" w:rsidRPr="00D442F1" w:rsidP="00166894" w14:paraId="553255FD" w14:textId="77777777">
      <w:pPr>
        <w:keepNext/>
        <w:widowControl w:val="0"/>
        <w:tabs>
          <w:tab w:val="clear" w:pos="567"/>
        </w:tabs>
        <w:spacing w:line="240" w:lineRule="auto"/>
        <w:rPr>
          <w:i/>
          <w:szCs w:val="22"/>
          <w:u w:val="single"/>
        </w:rPr>
      </w:pPr>
      <w:r w:rsidRPr="00D442F1">
        <w:rPr>
          <w:i/>
          <w:szCs w:val="22"/>
          <w:u w:val="single"/>
        </w:rPr>
        <w:t>Dosage in adult DLBCL patients</w:t>
      </w:r>
    </w:p>
    <w:p w:rsidR="00CE7CFA" w:rsidRPr="00D442F1" w:rsidP="00166894" w14:paraId="0719AC8C" w14:textId="77777777">
      <w:pPr>
        <w:pStyle w:val="Listlevel2"/>
        <w:widowControl w:val="0"/>
        <w:numPr>
          <w:ilvl w:val="0"/>
          <w:numId w:val="6"/>
        </w:numPr>
        <w:spacing w:before="0"/>
        <w:ind w:left="567" w:hanging="567"/>
        <w:rPr>
          <w:sz w:val="22"/>
          <w:szCs w:val="22"/>
          <w:lang w:val="en-GB"/>
        </w:rPr>
      </w:pPr>
      <w:r w:rsidRPr="00D442F1">
        <w:rPr>
          <w:sz w:val="22"/>
          <w:szCs w:val="22"/>
          <w:lang w:val="en-GB"/>
        </w:rPr>
        <w:t>0.6 to 6 x 10</w:t>
      </w:r>
      <w:r w:rsidRPr="00D442F1">
        <w:rPr>
          <w:sz w:val="22"/>
          <w:szCs w:val="22"/>
          <w:vertAlign w:val="superscript"/>
          <w:lang w:val="en-GB"/>
        </w:rPr>
        <w:t>8</w:t>
      </w:r>
      <w:r w:rsidRPr="00D442F1">
        <w:rPr>
          <w:sz w:val="22"/>
          <w:szCs w:val="22"/>
          <w:lang w:val="en-GB"/>
        </w:rPr>
        <w:t xml:space="preserve"> CAR</w:t>
      </w:r>
      <w:r w:rsidRPr="00D442F1">
        <w:rPr>
          <w:sz w:val="22"/>
          <w:szCs w:val="22"/>
          <w:lang w:val="en-GB"/>
        </w:rPr>
        <w:noBreakHyphen/>
        <w:t>positive viable T cells (non</w:t>
      </w:r>
      <w:r w:rsidRPr="00D442F1">
        <w:rPr>
          <w:sz w:val="22"/>
          <w:szCs w:val="22"/>
          <w:lang w:val="en-GB"/>
        </w:rPr>
        <w:noBreakHyphen/>
        <w:t>weight based).</w:t>
      </w:r>
    </w:p>
    <w:p w:rsidR="00E1567F" w:rsidRPr="00D442F1" w:rsidP="00166894" w14:paraId="7EFD1DF8" w14:textId="77777777">
      <w:pPr>
        <w:widowControl w:val="0"/>
        <w:tabs>
          <w:tab w:val="clear" w:pos="567"/>
        </w:tabs>
        <w:spacing w:line="240" w:lineRule="auto"/>
        <w:rPr>
          <w:szCs w:val="22"/>
        </w:rPr>
      </w:pPr>
    </w:p>
    <w:p w:rsidR="006D1E53" w:rsidRPr="00D442F1" w:rsidP="00166894" w14:paraId="4F73AC41" w14:textId="77777777">
      <w:pPr>
        <w:keepNext/>
        <w:widowControl w:val="0"/>
        <w:tabs>
          <w:tab w:val="clear" w:pos="567"/>
        </w:tabs>
        <w:spacing w:line="240" w:lineRule="auto"/>
        <w:rPr>
          <w:szCs w:val="22"/>
          <w:u w:val="single"/>
        </w:rPr>
      </w:pPr>
      <w:r w:rsidRPr="00D442F1">
        <w:rPr>
          <w:szCs w:val="22"/>
          <w:u w:val="single"/>
        </w:rPr>
        <w:t>Pre</w:t>
      </w:r>
      <w:r w:rsidRPr="00D442F1" w:rsidR="00591100">
        <w:rPr>
          <w:szCs w:val="22"/>
          <w:u w:val="single"/>
        </w:rPr>
        <w:noBreakHyphen/>
      </w:r>
      <w:r w:rsidRPr="00D442F1">
        <w:rPr>
          <w:szCs w:val="22"/>
          <w:u w:val="single"/>
        </w:rPr>
        <w:t xml:space="preserve">treatment </w:t>
      </w:r>
      <w:r w:rsidRPr="00D442F1" w:rsidR="004B418A">
        <w:rPr>
          <w:szCs w:val="22"/>
          <w:u w:val="single"/>
        </w:rPr>
        <w:t>conditioning (</w:t>
      </w:r>
      <w:r w:rsidRPr="00D442F1">
        <w:rPr>
          <w:szCs w:val="22"/>
          <w:u w:val="single"/>
        </w:rPr>
        <w:t>lymphodepleting chemotherapy</w:t>
      </w:r>
      <w:r w:rsidRPr="00D442F1" w:rsidR="004B418A">
        <w:rPr>
          <w:szCs w:val="22"/>
          <w:u w:val="single"/>
        </w:rPr>
        <w:t>)</w:t>
      </w:r>
    </w:p>
    <w:p w:rsidR="00965F5A" w:rsidRPr="00D442F1" w:rsidP="00166894" w14:paraId="23A40884" w14:textId="77777777">
      <w:pPr>
        <w:keepNext/>
        <w:widowControl w:val="0"/>
        <w:tabs>
          <w:tab w:val="clear" w:pos="567"/>
        </w:tabs>
        <w:spacing w:line="240" w:lineRule="auto"/>
        <w:rPr>
          <w:noProof/>
          <w:szCs w:val="22"/>
        </w:rPr>
      </w:pPr>
    </w:p>
    <w:p w:rsidR="00BD038B" w:rsidRPr="00D442F1" w:rsidP="00166894" w14:paraId="66E76DB1" w14:textId="77777777">
      <w:pPr>
        <w:widowControl w:val="0"/>
        <w:tabs>
          <w:tab w:val="clear" w:pos="567"/>
        </w:tabs>
        <w:spacing w:line="240" w:lineRule="auto"/>
        <w:rPr>
          <w:szCs w:val="22"/>
        </w:rPr>
      </w:pPr>
      <w:r w:rsidRPr="00D442F1">
        <w:rPr>
          <w:szCs w:val="22"/>
        </w:rPr>
        <w:t>Lymphodepleting chemotherapy is recommended to be administered before Kymriah infusion unless the white blood cell (WBC) count within one week prior to infusion is ≤1,000</w:t>
      </w:r>
      <w:r w:rsidRPr="00D442F1" w:rsidR="00965F5A">
        <w:rPr>
          <w:szCs w:val="22"/>
        </w:rPr>
        <w:t> </w:t>
      </w:r>
      <w:r w:rsidRPr="00D442F1">
        <w:rPr>
          <w:szCs w:val="22"/>
        </w:rPr>
        <w:t>cells/</w:t>
      </w:r>
      <w:r w:rsidRPr="00D442F1" w:rsidR="00965F5A">
        <w:rPr>
          <w:szCs w:val="22"/>
        </w:rPr>
        <w:t>μ</w:t>
      </w:r>
      <w:r w:rsidRPr="00D442F1">
        <w:rPr>
          <w:szCs w:val="22"/>
        </w:rPr>
        <w:t>L.</w:t>
      </w:r>
    </w:p>
    <w:p w:rsidR="00BD038B" w:rsidRPr="00D442F1" w:rsidP="00166894" w14:paraId="576812EA" w14:textId="77777777">
      <w:pPr>
        <w:widowControl w:val="0"/>
        <w:tabs>
          <w:tab w:val="clear" w:pos="567"/>
        </w:tabs>
        <w:spacing w:line="240" w:lineRule="auto"/>
        <w:rPr>
          <w:szCs w:val="22"/>
        </w:rPr>
      </w:pPr>
    </w:p>
    <w:p w:rsidR="004F559A" w:rsidRPr="00D442F1" w:rsidP="00166894" w14:paraId="4EAA7F43" w14:textId="77777777">
      <w:pPr>
        <w:widowControl w:val="0"/>
        <w:tabs>
          <w:tab w:val="clear" w:pos="567"/>
        </w:tabs>
        <w:spacing w:line="240" w:lineRule="auto"/>
        <w:rPr>
          <w:szCs w:val="22"/>
        </w:rPr>
      </w:pPr>
      <w:r w:rsidRPr="00D442F1">
        <w:rPr>
          <w:szCs w:val="22"/>
        </w:rPr>
        <w:t xml:space="preserve">Kymriah </w:t>
      </w:r>
      <w:r w:rsidRPr="00D442F1" w:rsidR="00426715">
        <w:rPr>
          <w:szCs w:val="22"/>
        </w:rPr>
        <w:t>is</w:t>
      </w:r>
      <w:r w:rsidRPr="00D442F1">
        <w:rPr>
          <w:szCs w:val="22"/>
        </w:rPr>
        <w:t xml:space="preserve"> recommended to be infused 2 to 14</w:t>
      </w:r>
      <w:r w:rsidRPr="00D442F1" w:rsidR="00965F5A">
        <w:rPr>
          <w:szCs w:val="22"/>
        </w:rPr>
        <w:t> </w:t>
      </w:r>
      <w:r w:rsidRPr="00D442F1">
        <w:rPr>
          <w:szCs w:val="22"/>
        </w:rPr>
        <w:t xml:space="preserve">days after completion of the lymphodepleting chemotherapy. </w:t>
      </w:r>
      <w:r w:rsidRPr="00D442F1" w:rsidR="00CE7CFA">
        <w:rPr>
          <w:szCs w:val="22"/>
        </w:rPr>
        <w:t xml:space="preserve">The availability of Kymriah must be confirmed prior to starting the lymphodepleting regimen. </w:t>
      </w:r>
      <w:r w:rsidRPr="00D442F1">
        <w:rPr>
          <w:szCs w:val="22"/>
        </w:rPr>
        <w:t xml:space="preserve">If there is a </w:t>
      </w:r>
      <w:r w:rsidRPr="00D442F1" w:rsidR="00965F5A">
        <w:rPr>
          <w:szCs w:val="22"/>
        </w:rPr>
        <w:t xml:space="preserve">delay of </w:t>
      </w:r>
      <w:r w:rsidRPr="00D442F1">
        <w:rPr>
          <w:szCs w:val="22"/>
        </w:rPr>
        <w:t>more than 4</w:t>
      </w:r>
      <w:r w:rsidRPr="00D442F1" w:rsidR="00965F5A">
        <w:rPr>
          <w:szCs w:val="22"/>
        </w:rPr>
        <w:t> </w:t>
      </w:r>
      <w:r w:rsidRPr="00D442F1">
        <w:rPr>
          <w:szCs w:val="22"/>
        </w:rPr>
        <w:t>week</w:t>
      </w:r>
      <w:r w:rsidRPr="00D442F1" w:rsidR="001D5AB1">
        <w:rPr>
          <w:szCs w:val="22"/>
        </w:rPr>
        <w:t>s</w:t>
      </w:r>
      <w:r w:rsidRPr="00D442F1">
        <w:rPr>
          <w:szCs w:val="22"/>
        </w:rPr>
        <w:t xml:space="preserve"> between completing lymphodepleting chemotherapy and the infusion and the WBC count is &gt;1,000</w:t>
      </w:r>
      <w:r w:rsidRPr="00D442F1" w:rsidR="00965F5A">
        <w:rPr>
          <w:szCs w:val="22"/>
        </w:rPr>
        <w:t> </w:t>
      </w:r>
      <w:r w:rsidRPr="00D442F1">
        <w:rPr>
          <w:szCs w:val="22"/>
        </w:rPr>
        <w:t>cells/</w:t>
      </w:r>
      <w:r w:rsidRPr="00D442F1" w:rsidR="00965F5A">
        <w:rPr>
          <w:szCs w:val="22"/>
        </w:rPr>
        <w:t>μ</w:t>
      </w:r>
      <w:r w:rsidRPr="00D442F1">
        <w:rPr>
          <w:szCs w:val="22"/>
        </w:rPr>
        <w:t>L, then the patient should be re</w:t>
      </w:r>
      <w:r w:rsidRPr="00D442F1" w:rsidR="00591100">
        <w:rPr>
          <w:szCs w:val="22"/>
        </w:rPr>
        <w:noBreakHyphen/>
      </w:r>
      <w:r w:rsidRPr="00D442F1">
        <w:rPr>
          <w:szCs w:val="22"/>
        </w:rPr>
        <w:t>treated with lymphodepleting chemotherapy prior to receiving Kymriah.</w:t>
      </w:r>
    </w:p>
    <w:p w:rsidR="006B7D04" w:rsidRPr="00D442F1" w:rsidP="00166894" w14:paraId="7DE10886" w14:textId="77777777">
      <w:pPr>
        <w:widowControl w:val="0"/>
        <w:tabs>
          <w:tab w:val="clear" w:pos="567"/>
        </w:tabs>
        <w:spacing w:line="240" w:lineRule="auto"/>
        <w:rPr>
          <w:szCs w:val="22"/>
        </w:rPr>
      </w:pPr>
    </w:p>
    <w:p w:rsidR="008F4907" w:rsidRPr="00D442F1" w:rsidP="00166894" w14:paraId="3D10FF0E" w14:textId="77777777">
      <w:pPr>
        <w:pStyle w:val="Text"/>
        <w:keepNext/>
        <w:widowControl w:val="0"/>
        <w:spacing w:before="0"/>
        <w:jc w:val="left"/>
        <w:rPr>
          <w:i/>
          <w:sz w:val="22"/>
          <w:szCs w:val="22"/>
          <w:u w:val="single"/>
          <w:lang w:val="en-GB"/>
        </w:rPr>
      </w:pPr>
      <w:r w:rsidRPr="00D442F1">
        <w:rPr>
          <w:i/>
          <w:sz w:val="22"/>
          <w:szCs w:val="22"/>
          <w:u w:val="single"/>
          <w:lang w:val="en-GB"/>
        </w:rPr>
        <w:t>B</w:t>
      </w:r>
      <w:r w:rsidRPr="00D442F1" w:rsidR="00591100">
        <w:rPr>
          <w:i/>
          <w:sz w:val="22"/>
          <w:szCs w:val="22"/>
          <w:u w:val="single"/>
          <w:lang w:val="en-GB"/>
        </w:rPr>
        <w:noBreakHyphen/>
      </w:r>
      <w:r w:rsidRPr="00D442F1">
        <w:rPr>
          <w:i/>
          <w:sz w:val="22"/>
          <w:szCs w:val="22"/>
          <w:u w:val="single"/>
          <w:lang w:val="en-GB"/>
        </w:rPr>
        <w:t>cell</w:t>
      </w:r>
      <w:r w:rsidRPr="00D442F1" w:rsidR="004E3B2B">
        <w:rPr>
          <w:i/>
          <w:sz w:val="22"/>
          <w:szCs w:val="22"/>
          <w:u w:val="single"/>
          <w:lang w:val="en-GB"/>
        </w:rPr>
        <w:t xml:space="preserve"> ALL</w:t>
      </w:r>
    </w:p>
    <w:p w:rsidR="00E1567F" w:rsidRPr="00D442F1" w:rsidP="00166894" w14:paraId="50159806" w14:textId="77777777">
      <w:pPr>
        <w:pStyle w:val="Text"/>
        <w:keepNext/>
        <w:widowControl w:val="0"/>
        <w:spacing w:before="0"/>
        <w:jc w:val="left"/>
        <w:rPr>
          <w:sz w:val="22"/>
          <w:szCs w:val="22"/>
          <w:lang w:val="en-GB"/>
        </w:rPr>
      </w:pPr>
      <w:r w:rsidRPr="00D442F1">
        <w:rPr>
          <w:sz w:val="22"/>
          <w:szCs w:val="22"/>
          <w:lang w:val="en-GB"/>
        </w:rPr>
        <w:t>The recommended lymphodepleting chemotherapy regimen is:</w:t>
      </w:r>
    </w:p>
    <w:p w:rsidR="00E1567F" w:rsidRPr="00D442F1" w:rsidP="00166894" w14:paraId="6775F325" w14:textId="77777777">
      <w:pPr>
        <w:pStyle w:val="Listlevel2"/>
        <w:widowControl w:val="0"/>
        <w:numPr>
          <w:ilvl w:val="0"/>
          <w:numId w:val="6"/>
        </w:numPr>
        <w:spacing w:before="0"/>
        <w:ind w:left="567" w:hanging="567"/>
        <w:rPr>
          <w:sz w:val="22"/>
          <w:szCs w:val="22"/>
          <w:lang w:val="en-GB"/>
        </w:rPr>
      </w:pPr>
      <w:r w:rsidRPr="00D442F1">
        <w:rPr>
          <w:sz w:val="22"/>
          <w:szCs w:val="22"/>
          <w:lang w:val="en-GB"/>
        </w:rPr>
        <w:t>Fludarabine (30</w:t>
      </w:r>
      <w:r w:rsidRPr="00D442F1" w:rsidR="00965F5A">
        <w:rPr>
          <w:sz w:val="22"/>
          <w:szCs w:val="22"/>
          <w:lang w:val="en-GB"/>
        </w:rPr>
        <w:t> </w:t>
      </w:r>
      <w:r w:rsidRPr="00D442F1">
        <w:rPr>
          <w:sz w:val="22"/>
          <w:szCs w:val="22"/>
          <w:lang w:val="en-GB"/>
        </w:rPr>
        <w:t>mg/m</w:t>
      </w:r>
      <w:r w:rsidRPr="00D442F1">
        <w:rPr>
          <w:sz w:val="22"/>
          <w:szCs w:val="22"/>
          <w:vertAlign w:val="superscript"/>
          <w:lang w:val="en-GB"/>
        </w:rPr>
        <w:t>2</w:t>
      </w:r>
      <w:r w:rsidRPr="00D442F1">
        <w:rPr>
          <w:sz w:val="22"/>
          <w:szCs w:val="22"/>
          <w:lang w:val="en-GB"/>
        </w:rPr>
        <w:t xml:space="preserve"> </w:t>
      </w:r>
      <w:r w:rsidRPr="00D442F1" w:rsidR="00860780">
        <w:rPr>
          <w:sz w:val="22"/>
          <w:szCs w:val="22"/>
          <w:lang w:val="en-GB"/>
        </w:rPr>
        <w:t>intravenous</w:t>
      </w:r>
      <w:r w:rsidRPr="00D442F1">
        <w:rPr>
          <w:sz w:val="22"/>
          <w:szCs w:val="22"/>
          <w:lang w:val="en-GB"/>
        </w:rPr>
        <w:t xml:space="preserve"> daily for 4</w:t>
      </w:r>
      <w:r w:rsidRPr="00D442F1" w:rsidR="00965F5A">
        <w:rPr>
          <w:sz w:val="22"/>
          <w:szCs w:val="22"/>
          <w:lang w:val="en-GB"/>
        </w:rPr>
        <w:t> </w:t>
      </w:r>
      <w:r w:rsidRPr="00D442F1">
        <w:rPr>
          <w:sz w:val="22"/>
          <w:szCs w:val="22"/>
          <w:lang w:val="en-GB"/>
        </w:rPr>
        <w:t>days) and cyclophosphamide (500</w:t>
      </w:r>
      <w:r w:rsidRPr="00D442F1" w:rsidR="00965F5A">
        <w:rPr>
          <w:sz w:val="22"/>
          <w:szCs w:val="22"/>
          <w:lang w:val="en-GB"/>
        </w:rPr>
        <w:t> </w:t>
      </w:r>
      <w:r w:rsidRPr="00D442F1">
        <w:rPr>
          <w:sz w:val="22"/>
          <w:szCs w:val="22"/>
          <w:lang w:val="en-GB"/>
        </w:rPr>
        <w:t>mg/m</w:t>
      </w:r>
      <w:r w:rsidRPr="00D442F1">
        <w:rPr>
          <w:sz w:val="22"/>
          <w:szCs w:val="22"/>
          <w:vertAlign w:val="superscript"/>
          <w:lang w:val="en-GB"/>
        </w:rPr>
        <w:t>2</w:t>
      </w:r>
      <w:r w:rsidRPr="00D442F1">
        <w:rPr>
          <w:sz w:val="22"/>
          <w:szCs w:val="22"/>
          <w:lang w:val="en-GB"/>
        </w:rPr>
        <w:t xml:space="preserve"> </w:t>
      </w:r>
      <w:r w:rsidRPr="00D442F1" w:rsidR="00A01895">
        <w:rPr>
          <w:sz w:val="22"/>
          <w:szCs w:val="22"/>
          <w:lang w:val="en-GB"/>
        </w:rPr>
        <w:t>intravenous</w:t>
      </w:r>
      <w:r w:rsidRPr="00D442F1" w:rsidR="006445A5">
        <w:rPr>
          <w:sz w:val="22"/>
          <w:szCs w:val="22"/>
          <w:lang w:val="en-GB"/>
        </w:rPr>
        <w:t xml:space="preserve"> daily </w:t>
      </w:r>
      <w:r w:rsidRPr="00D442F1">
        <w:rPr>
          <w:sz w:val="22"/>
          <w:szCs w:val="22"/>
          <w:lang w:val="en-GB"/>
        </w:rPr>
        <w:t>for 2</w:t>
      </w:r>
      <w:r w:rsidRPr="00D442F1" w:rsidR="00965F5A">
        <w:rPr>
          <w:sz w:val="22"/>
          <w:szCs w:val="22"/>
          <w:lang w:val="en-GB"/>
        </w:rPr>
        <w:t> </w:t>
      </w:r>
      <w:r w:rsidRPr="00D442F1">
        <w:rPr>
          <w:sz w:val="22"/>
          <w:szCs w:val="22"/>
          <w:lang w:val="en-GB"/>
        </w:rPr>
        <w:t>days starting with the first dose of fludarabine).</w:t>
      </w:r>
    </w:p>
    <w:p w:rsidR="00205642" w:rsidRPr="00D442F1" w:rsidP="00166894" w14:paraId="32FDD1E5" w14:textId="77777777">
      <w:pPr>
        <w:widowControl w:val="0"/>
        <w:tabs>
          <w:tab w:val="clear" w:pos="567"/>
        </w:tabs>
        <w:spacing w:line="240" w:lineRule="auto"/>
        <w:rPr>
          <w:szCs w:val="22"/>
        </w:rPr>
      </w:pPr>
    </w:p>
    <w:p w:rsidR="00E1567F" w:rsidRPr="00D442F1" w:rsidP="00166894" w14:paraId="4E6A16E8" w14:textId="77777777">
      <w:pPr>
        <w:keepNext/>
        <w:widowControl w:val="0"/>
        <w:tabs>
          <w:tab w:val="clear" w:pos="567"/>
        </w:tabs>
        <w:spacing w:line="240" w:lineRule="auto"/>
        <w:rPr>
          <w:szCs w:val="22"/>
        </w:rPr>
      </w:pPr>
      <w:r w:rsidRPr="00D442F1">
        <w:rPr>
          <w:szCs w:val="22"/>
        </w:rPr>
        <w:t>If the patie</w:t>
      </w:r>
      <w:r w:rsidRPr="00D442F1" w:rsidR="00965F5A">
        <w:rPr>
          <w:szCs w:val="22"/>
        </w:rPr>
        <w:t>nt experienced a previous Grade </w:t>
      </w:r>
      <w:r w:rsidRPr="00D442F1">
        <w:rPr>
          <w:szCs w:val="22"/>
        </w:rPr>
        <w:t>4 h</w:t>
      </w:r>
      <w:r w:rsidRPr="00D442F1" w:rsidR="00965F5A">
        <w:rPr>
          <w:szCs w:val="22"/>
        </w:rPr>
        <w:t>a</w:t>
      </w:r>
      <w:r w:rsidRPr="00D442F1">
        <w:rPr>
          <w:szCs w:val="22"/>
        </w:rPr>
        <w:t>emorrhagic cystitis with cyclophosphamide, or demonstrated a chemorefractory state to a cyclophosphamide</w:t>
      </w:r>
      <w:r w:rsidRPr="00D442F1" w:rsidR="00591100">
        <w:rPr>
          <w:szCs w:val="22"/>
        </w:rPr>
        <w:noBreakHyphen/>
      </w:r>
      <w:r w:rsidRPr="00D442F1">
        <w:rPr>
          <w:szCs w:val="22"/>
        </w:rPr>
        <w:t>containing regimen administered shortly before lymphodepleting chemotherapy, then the following should be used:</w:t>
      </w:r>
    </w:p>
    <w:p w:rsidR="006B7D04" w:rsidRPr="00D442F1" w:rsidP="00166894" w14:paraId="56FD9E84" w14:textId="77777777">
      <w:pPr>
        <w:pStyle w:val="Listlevel2"/>
        <w:widowControl w:val="0"/>
        <w:numPr>
          <w:ilvl w:val="0"/>
          <w:numId w:val="1"/>
        </w:numPr>
        <w:spacing w:before="0"/>
        <w:ind w:left="567" w:hanging="567"/>
        <w:rPr>
          <w:sz w:val="22"/>
          <w:szCs w:val="22"/>
          <w:lang w:val="en-GB"/>
        </w:rPr>
      </w:pPr>
      <w:r w:rsidRPr="00D442F1">
        <w:rPr>
          <w:sz w:val="22"/>
          <w:szCs w:val="22"/>
          <w:lang w:val="en-GB"/>
        </w:rPr>
        <w:t>Cytarabine (500</w:t>
      </w:r>
      <w:r w:rsidRPr="00D442F1" w:rsidR="00965F5A">
        <w:rPr>
          <w:sz w:val="22"/>
          <w:szCs w:val="22"/>
          <w:lang w:val="en-GB"/>
        </w:rPr>
        <w:t> </w:t>
      </w:r>
      <w:r w:rsidRPr="00D442F1">
        <w:rPr>
          <w:sz w:val="22"/>
          <w:szCs w:val="22"/>
          <w:lang w:val="en-GB"/>
        </w:rPr>
        <w:t>mg/m</w:t>
      </w:r>
      <w:r w:rsidRPr="00D442F1">
        <w:rPr>
          <w:sz w:val="22"/>
          <w:szCs w:val="22"/>
          <w:vertAlign w:val="superscript"/>
          <w:lang w:val="en-GB"/>
        </w:rPr>
        <w:t>2</w:t>
      </w:r>
      <w:r w:rsidRPr="00D442F1">
        <w:rPr>
          <w:sz w:val="22"/>
          <w:szCs w:val="22"/>
          <w:lang w:val="en-GB"/>
        </w:rPr>
        <w:t xml:space="preserve"> </w:t>
      </w:r>
      <w:r w:rsidRPr="00D442F1" w:rsidR="00860780">
        <w:rPr>
          <w:sz w:val="22"/>
          <w:szCs w:val="22"/>
          <w:lang w:val="en-GB"/>
        </w:rPr>
        <w:t>intravenous</w:t>
      </w:r>
      <w:r w:rsidRPr="00D442F1">
        <w:rPr>
          <w:sz w:val="22"/>
          <w:szCs w:val="22"/>
          <w:lang w:val="en-GB"/>
        </w:rPr>
        <w:t xml:space="preserve"> daily for 2</w:t>
      </w:r>
      <w:r w:rsidRPr="00D442F1" w:rsidR="00965F5A">
        <w:rPr>
          <w:sz w:val="22"/>
          <w:szCs w:val="22"/>
          <w:lang w:val="en-GB"/>
        </w:rPr>
        <w:t> </w:t>
      </w:r>
      <w:r w:rsidRPr="00D442F1">
        <w:rPr>
          <w:sz w:val="22"/>
          <w:szCs w:val="22"/>
          <w:lang w:val="en-GB"/>
        </w:rPr>
        <w:t>days) and etoposide (150</w:t>
      </w:r>
      <w:r w:rsidRPr="00D442F1" w:rsidR="00965F5A">
        <w:rPr>
          <w:sz w:val="22"/>
          <w:szCs w:val="22"/>
          <w:lang w:val="en-GB"/>
        </w:rPr>
        <w:t> </w:t>
      </w:r>
      <w:r w:rsidRPr="00D442F1">
        <w:rPr>
          <w:sz w:val="22"/>
          <w:szCs w:val="22"/>
          <w:lang w:val="en-GB"/>
        </w:rPr>
        <w:t>mg/m</w:t>
      </w:r>
      <w:r w:rsidRPr="00D442F1">
        <w:rPr>
          <w:sz w:val="22"/>
          <w:szCs w:val="22"/>
          <w:vertAlign w:val="superscript"/>
          <w:lang w:val="en-GB"/>
        </w:rPr>
        <w:t>2</w:t>
      </w:r>
      <w:r w:rsidRPr="00D442F1">
        <w:rPr>
          <w:sz w:val="22"/>
          <w:szCs w:val="22"/>
          <w:lang w:val="en-GB"/>
        </w:rPr>
        <w:t xml:space="preserve"> </w:t>
      </w:r>
      <w:r w:rsidRPr="00D442F1" w:rsidR="00860780">
        <w:rPr>
          <w:sz w:val="22"/>
          <w:szCs w:val="22"/>
          <w:lang w:val="en-GB"/>
        </w:rPr>
        <w:t>intravenous</w:t>
      </w:r>
      <w:r w:rsidRPr="00D442F1">
        <w:rPr>
          <w:sz w:val="22"/>
          <w:szCs w:val="22"/>
          <w:lang w:val="en-GB"/>
        </w:rPr>
        <w:t xml:space="preserve"> </w:t>
      </w:r>
      <w:r w:rsidRPr="00D442F1" w:rsidR="00F45424">
        <w:rPr>
          <w:sz w:val="22"/>
          <w:szCs w:val="22"/>
          <w:lang w:val="en-GB"/>
        </w:rPr>
        <w:t xml:space="preserve">daily </w:t>
      </w:r>
      <w:r w:rsidRPr="00D442F1" w:rsidR="00DA46C2">
        <w:rPr>
          <w:sz w:val="22"/>
          <w:szCs w:val="22"/>
          <w:lang w:val="en-GB"/>
        </w:rPr>
        <w:t xml:space="preserve">for </w:t>
      </w:r>
      <w:r w:rsidRPr="00D442F1">
        <w:rPr>
          <w:sz w:val="22"/>
          <w:szCs w:val="22"/>
          <w:lang w:val="en-GB"/>
        </w:rPr>
        <w:t>3</w:t>
      </w:r>
      <w:r w:rsidRPr="00D442F1" w:rsidR="004608C2">
        <w:rPr>
          <w:sz w:val="22"/>
          <w:szCs w:val="22"/>
          <w:lang w:val="en-GB"/>
        </w:rPr>
        <w:t> </w:t>
      </w:r>
      <w:r w:rsidRPr="00D442F1">
        <w:rPr>
          <w:sz w:val="22"/>
          <w:szCs w:val="22"/>
          <w:lang w:val="en-GB"/>
        </w:rPr>
        <w:t>days starting with the first dose of cytarabine)</w:t>
      </w:r>
      <w:r w:rsidRPr="00D442F1" w:rsidR="006445A5">
        <w:rPr>
          <w:sz w:val="22"/>
          <w:szCs w:val="22"/>
          <w:lang w:val="en-GB"/>
        </w:rPr>
        <w:t>.</w:t>
      </w:r>
    </w:p>
    <w:p w:rsidR="008F4907" w:rsidRPr="00D442F1" w:rsidP="00166894" w14:paraId="5AB71ECB" w14:textId="77777777">
      <w:pPr>
        <w:pStyle w:val="Listlevel2"/>
        <w:widowControl w:val="0"/>
        <w:spacing w:before="0"/>
        <w:ind w:left="0" w:firstLine="0"/>
        <w:rPr>
          <w:sz w:val="22"/>
          <w:szCs w:val="22"/>
          <w:lang w:val="en-GB"/>
        </w:rPr>
      </w:pPr>
    </w:p>
    <w:p w:rsidR="008F4907" w:rsidRPr="00D442F1" w:rsidP="00166894" w14:paraId="3E2540B7" w14:textId="77777777">
      <w:pPr>
        <w:pStyle w:val="Text"/>
        <w:keepNext/>
        <w:widowControl w:val="0"/>
        <w:spacing w:before="0"/>
        <w:jc w:val="left"/>
        <w:rPr>
          <w:i/>
          <w:sz w:val="22"/>
          <w:szCs w:val="22"/>
          <w:u w:val="single"/>
          <w:lang w:val="en-GB"/>
        </w:rPr>
      </w:pPr>
      <w:r w:rsidRPr="00D442F1">
        <w:rPr>
          <w:i/>
          <w:sz w:val="22"/>
          <w:szCs w:val="22"/>
          <w:u w:val="single"/>
          <w:lang w:val="en-GB"/>
        </w:rPr>
        <w:t>DLBCL</w:t>
      </w:r>
    </w:p>
    <w:p w:rsidR="008F4907" w:rsidRPr="00D442F1" w:rsidP="00166894" w14:paraId="363086B2" w14:textId="77777777">
      <w:pPr>
        <w:pStyle w:val="Text"/>
        <w:keepNext/>
        <w:widowControl w:val="0"/>
        <w:spacing w:before="0"/>
        <w:jc w:val="left"/>
        <w:rPr>
          <w:sz w:val="22"/>
          <w:szCs w:val="22"/>
          <w:lang w:val="en-GB"/>
        </w:rPr>
      </w:pPr>
      <w:r w:rsidRPr="00D442F1">
        <w:rPr>
          <w:sz w:val="22"/>
          <w:szCs w:val="22"/>
          <w:lang w:val="en-GB"/>
        </w:rPr>
        <w:t>The recommended lymphodepleting chemotherapy regimen is:</w:t>
      </w:r>
    </w:p>
    <w:p w:rsidR="008F4907" w:rsidRPr="00D442F1" w:rsidP="00166894" w14:paraId="7EAC28D0" w14:textId="77777777">
      <w:pPr>
        <w:pStyle w:val="Listlevel2"/>
        <w:widowControl w:val="0"/>
        <w:numPr>
          <w:ilvl w:val="0"/>
          <w:numId w:val="6"/>
        </w:numPr>
        <w:spacing w:before="0"/>
        <w:ind w:left="567" w:hanging="567"/>
        <w:rPr>
          <w:sz w:val="22"/>
          <w:szCs w:val="22"/>
          <w:lang w:val="en-GB"/>
        </w:rPr>
      </w:pPr>
      <w:r w:rsidRPr="00D442F1">
        <w:rPr>
          <w:sz w:val="22"/>
          <w:szCs w:val="22"/>
          <w:lang w:val="en-GB"/>
        </w:rPr>
        <w:t>Fludarabine (25</w:t>
      </w:r>
      <w:r w:rsidRPr="00D442F1" w:rsidR="004608C2">
        <w:rPr>
          <w:sz w:val="22"/>
          <w:szCs w:val="22"/>
          <w:lang w:val="en-GB"/>
        </w:rPr>
        <w:t> </w:t>
      </w:r>
      <w:r w:rsidRPr="00D442F1">
        <w:rPr>
          <w:sz w:val="22"/>
          <w:szCs w:val="22"/>
          <w:lang w:val="en-GB"/>
        </w:rPr>
        <w:t>mg/m</w:t>
      </w:r>
      <w:r w:rsidRPr="00D442F1">
        <w:rPr>
          <w:sz w:val="22"/>
          <w:szCs w:val="22"/>
          <w:vertAlign w:val="superscript"/>
          <w:lang w:val="en-GB"/>
        </w:rPr>
        <w:t>2</w:t>
      </w:r>
      <w:r w:rsidRPr="00D442F1">
        <w:rPr>
          <w:sz w:val="22"/>
          <w:szCs w:val="22"/>
          <w:lang w:val="en-GB"/>
        </w:rPr>
        <w:t xml:space="preserve"> </w:t>
      </w:r>
      <w:r w:rsidRPr="00D442F1" w:rsidR="00860780">
        <w:rPr>
          <w:sz w:val="22"/>
          <w:szCs w:val="22"/>
          <w:lang w:val="en-GB"/>
        </w:rPr>
        <w:t>intravenous</w:t>
      </w:r>
      <w:r w:rsidRPr="00D442F1">
        <w:rPr>
          <w:sz w:val="22"/>
          <w:szCs w:val="22"/>
          <w:lang w:val="en-GB"/>
        </w:rPr>
        <w:t xml:space="preserve"> daily for 3</w:t>
      </w:r>
      <w:r w:rsidRPr="00D442F1" w:rsidR="004608C2">
        <w:rPr>
          <w:sz w:val="22"/>
          <w:szCs w:val="22"/>
          <w:lang w:val="en-GB"/>
        </w:rPr>
        <w:t> </w:t>
      </w:r>
      <w:r w:rsidRPr="00D442F1">
        <w:rPr>
          <w:sz w:val="22"/>
          <w:szCs w:val="22"/>
          <w:lang w:val="en-GB"/>
        </w:rPr>
        <w:t>days) and cyclophosphamide (250</w:t>
      </w:r>
      <w:r w:rsidRPr="00D442F1" w:rsidR="004608C2">
        <w:rPr>
          <w:sz w:val="22"/>
          <w:szCs w:val="22"/>
          <w:lang w:val="en-GB"/>
        </w:rPr>
        <w:t> </w:t>
      </w:r>
      <w:r w:rsidRPr="00D442F1">
        <w:rPr>
          <w:sz w:val="22"/>
          <w:szCs w:val="22"/>
          <w:lang w:val="en-GB"/>
        </w:rPr>
        <w:t>mg/m</w:t>
      </w:r>
      <w:r w:rsidRPr="00D442F1">
        <w:rPr>
          <w:sz w:val="22"/>
          <w:szCs w:val="22"/>
          <w:vertAlign w:val="superscript"/>
          <w:lang w:val="en-GB"/>
        </w:rPr>
        <w:t>2</w:t>
      </w:r>
      <w:r w:rsidRPr="00D442F1">
        <w:rPr>
          <w:sz w:val="22"/>
          <w:szCs w:val="22"/>
          <w:lang w:val="en-GB"/>
        </w:rPr>
        <w:t xml:space="preserve"> </w:t>
      </w:r>
      <w:r w:rsidRPr="00D442F1" w:rsidR="00860780">
        <w:rPr>
          <w:sz w:val="22"/>
          <w:szCs w:val="22"/>
          <w:lang w:val="en-GB"/>
        </w:rPr>
        <w:t>intravenous</w:t>
      </w:r>
      <w:r w:rsidRPr="00D442F1">
        <w:rPr>
          <w:sz w:val="22"/>
          <w:szCs w:val="22"/>
          <w:lang w:val="en-GB"/>
        </w:rPr>
        <w:t xml:space="preserve"> daily for 3</w:t>
      </w:r>
      <w:r w:rsidRPr="00D442F1" w:rsidR="004608C2">
        <w:rPr>
          <w:sz w:val="22"/>
          <w:szCs w:val="22"/>
          <w:lang w:val="en-GB"/>
        </w:rPr>
        <w:t> </w:t>
      </w:r>
      <w:r w:rsidRPr="00D442F1">
        <w:rPr>
          <w:sz w:val="22"/>
          <w:szCs w:val="22"/>
          <w:lang w:val="en-GB"/>
        </w:rPr>
        <w:t>days starting with the first dose of fludarabine).</w:t>
      </w:r>
    </w:p>
    <w:p w:rsidR="008F4907" w:rsidRPr="00D442F1" w:rsidP="00166894" w14:paraId="2DA69EB6" w14:textId="77777777">
      <w:pPr>
        <w:pStyle w:val="Listlevel2"/>
        <w:widowControl w:val="0"/>
        <w:spacing w:before="0"/>
        <w:ind w:left="0" w:firstLine="0"/>
        <w:rPr>
          <w:sz w:val="22"/>
          <w:szCs w:val="22"/>
          <w:lang w:val="en-GB"/>
        </w:rPr>
      </w:pPr>
    </w:p>
    <w:p w:rsidR="008F4907" w:rsidRPr="00D442F1" w:rsidP="00166894" w14:paraId="6C237C5D" w14:textId="77777777">
      <w:pPr>
        <w:keepNext/>
        <w:widowControl w:val="0"/>
        <w:tabs>
          <w:tab w:val="clear" w:pos="567"/>
        </w:tabs>
        <w:spacing w:line="240" w:lineRule="auto"/>
        <w:rPr>
          <w:szCs w:val="22"/>
        </w:rPr>
      </w:pPr>
      <w:r w:rsidRPr="00D442F1">
        <w:rPr>
          <w:szCs w:val="22"/>
        </w:rPr>
        <w:t>If the patient experienced a previous Grade</w:t>
      </w:r>
      <w:r w:rsidRPr="00D442F1" w:rsidR="004608C2">
        <w:rPr>
          <w:szCs w:val="22"/>
        </w:rPr>
        <w:t> </w:t>
      </w:r>
      <w:r w:rsidRPr="00D442F1">
        <w:rPr>
          <w:szCs w:val="22"/>
        </w:rPr>
        <w:t>4 h</w:t>
      </w:r>
      <w:r w:rsidRPr="00D442F1" w:rsidR="005D7A64">
        <w:rPr>
          <w:szCs w:val="22"/>
        </w:rPr>
        <w:t>a</w:t>
      </w:r>
      <w:r w:rsidRPr="00D442F1">
        <w:rPr>
          <w:szCs w:val="22"/>
        </w:rPr>
        <w:t>emorrhagic cystitis with cyclophosphamide, or demonstrated a chemorefractory state to a cyclophosphamide</w:t>
      </w:r>
      <w:r w:rsidRPr="00D442F1" w:rsidR="00591100">
        <w:rPr>
          <w:szCs w:val="22"/>
        </w:rPr>
        <w:noBreakHyphen/>
      </w:r>
      <w:r w:rsidRPr="00D442F1">
        <w:rPr>
          <w:szCs w:val="22"/>
        </w:rPr>
        <w:t>containing regimen administered shortly before lymphodepleting chemotherapy, then the following should be used:</w:t>
      </w:r>
    </w:p>
    <w:p w:rsidR="008F4907" w:rsidRPr="00D442F1" w:rsidP="00166894" w14:paraId="2866EA3B" w14:textId="77777777">
      <w:pPr>
        <w:pStyle w:val="Listlevel2"/>
        <w:widowControl w:val="0"/>
        <w:numPr>
          <w:ilvl w:val="0"/>
          <w:numId w:val="6"/>
        </w:numPr>
        <w:spacing w:before="0"/>
        <w:ind w:left="567" w:hanging="567"/>
        <w:rPr>
          <w:sz w:val="22"/>
          <w:szCs w:val="22"/>
          <w:lang w:val="en-GB"/>
        </w:rPr>
      </w:pPr>
      <w:r w:rsidRPr="00D442F1">
        <w:rPr>
          <w:sz w:val="22"/>
          <w:szCs w:val="22"/>
          <w:lang w:val="en-GB"/>
        </w:rPr>
        <w:t>Bendamustine (90 </w:t>
      </w:r>
      <w:r w:rsidRPr="00D442F1">
        <w:rPr>
          <w:sz w:val="22"/>
          <w:szCs w:val="22"/>
          <w:lang w:val="en-GB"/>
        </w:rPr>
        <w:t>mg/m</w:t>
      </w:r>
      <w:r w:rsidRPr="00D442F1">
        <w:rPr>
          <w:sz w:val="22"/>
          <w:szCs w:val="22"/>
          <w:vertAlign w:val="superscript"/>
          <w:lang w:val="en-GB"/>
        </w:rPr>
        <w:t>2</w:t>
      </w:r>
      <w:r w:rsidRPr="00D442F1">
        <w:rPr>
          <w:sz w:val="22"/>
          <w:szCs w:val="22"/>
          <w:lang w:val="en-GB"/>
        </w:rPr>
        <w:t xml:space="preserve"> </w:t>
      </w:r>
      <w:r w:rsidRPr="00D442F1" w:rsidR="00860780">
        <w:rPr>
          <w:sz w:val="22"/>
          <w:szCs w:val="22"/>
          <w:lang w:val="en-GB"/>
        </w:rPr>
        <w:t>intravenous</w:t>
      </w:r>
      <w:r w:rsidRPr="00D442F1">
        <w:rPr>
          <w:sz w:val="22"/>
          <w:szCs w:val="22"/>
          <w:lang w:val="en-GB"/>
        </w:rPr>
        <w:t xml:space="preserve"> daily for 2</w:t>
      </w:r>
      <w:r w:rsidRPr="00D442F1">
        <w:rPr>
          <w:sz w:val="22"/>
          <w:szCs w:val="22"/>
          <w:lang w:val="en-GB"/>
        </w:rPr>
        <w:t> </w:t>
      </w:r>
      <w:r w:rsidRPr="00D442F1">
        <w:rPr>
          <w:sz w:val="22"/>
          <w:szCs w:val="22"/>
          <w:lang w:val="en-GB"/>
        </w:rPr>
        <w:t>days).</w:t>
      </w:r>
    </w:p>
    <w:p w:rsidR="001C44BF" w:rsidRPr="00D442F1" w:rsidP="00166894" w14:paraId="0F34A963" w14:textId="77777777">
      <w:pPr>
        <w:pStyle w:val="Listlevel2"/>
        <w:widowControl w:val="0"/>
        <w:spacing w:before="0"/>
        <w:ind w:left="0" w:firstLine="0"/>
        <w:rPr>
          <w:sz w:val="22"/>
          <w:szCs w:val="22"/>
          <w:lang w:val="en-GB"/>
        </w:rPr>
      </w:pPr>
    </w:p>
    <w:p w:rsidR="00CE7CFA" w:rsidRPr="00D442F1" w:rsidP="00166894" w14:paraId="7252E72B" w14:textId="77777777">
      <w:pPr>
        <w:pStyle w:val="Listlevel2"/>
        <w:widowControl w:val="0"/>
        <w:spacing w:before="0"/>
        <w:ind w:left="0" w:firstLine="0"/>
        <w:rPr>
          <w:sz w:val="22"/>
          <w:szCs w:val="22"/>
          <w:lang w:val="en-GB"/>
        </w:rPr>
      </w:pPr>
      <w:r w:rsidRPr="00D442F1">
        <w:rPr>
          <w:sz w:val="22"/>
          <w:szCs w:val="22"/>
          <w:lang w:val="en-GB"/>
        </w:rPr>
        <w:t xml:space="preserve">Lymphodepleting chemotherapy may be omitted if a patient’s white blood cell (WBC) count is </w:t>
      </w:r>
      <w:r w:rsidRPr="00D442F1" w:rsidR="00EA428C">
        <w:rPr>
          <w:sz w:val="22"/>
          <w:szCs w:val="22"/>
          <w:lang w:val="en-GB"/>
        </w:rPr>
        <w:t>≤1,000 cells/µ</w:t>
      </w:r>
      <w:r w:rsidRPr="00D442F1">
        <w:rPr>
          <w:sz w:val="22"/>
          <w:szCs w:val="22"/>
          <w:lang w:val="en-GB"/>
        </w:rPr>
        <w:t>L within 1 week prior to Kymriah infusion.</w:t>
      </w:r>
    </w:p>
    <w:p w:rsidR="00CE7CFA" w:rsidRPr="00D442F1" w:rsidP="00166894" w14:paraId="717B6344" w14:textId="77777777">
      <w:pPr>
        <w:widowControl w:val="0"/>
        <w:tabs>
          <w:tab w:val="clear" w:pos="567"/>
        </w:tabs>
        <w:spacing w:line="240" w:lineRule="auto"/>
        <w:rPr>
          <w:szCs w:val="22"/>
        </w:rPr>
      </w:pPr>
    </w:p>
    <w:p w:rsidR="00CE7CFA" w:rsidRPr="00D442F1" w:rsidP="00166894" w14:paraId="259C1147" w14:textId="77777777">
      <w:pPr>
        <w:keepNext/>
        <w:widowControl w:val="0"/>
        <w:tabs>
          <w:tab w:val="clear" w:pos="567"/>
        </w:tabs>
        <w:spacing w:line="240" w:lineRule="auto"/>
        <w:rPr>
          <w:i/>
          <w:szCs w:val="22"/>
          <w:u w:val="single"/>
        </w:rPr>
      </w:pPr>
      <w:r w:rsidRPr="00D442F1">
        <w:rPr>
          <w:i/>
          <w:szCs w:val="22"/>
          <w:u w:val="single"/>
        </w:rPr>
        <w:t>Pre</w:t>
      </w:r>
      <w:r w:rsidRPr="00D442F1">
        <w:rPr>
          <w:i/>
          <w:szCs w:val="22"/>
          <w:u w:val="single"/>
        </w:rPr>
        <w:noBreakHyphen/>
        <w:t>medication</w:t>
      </w:r>
    </w:p>
    <w:p w:rsidR="00CE7CFA" w:rsidRPr="00D442F1" w:rsidP="00166894" w14:paraId="6F4FA815" w14:textId="77777777">
      <w:pPr>
        <w:widowControl w:val="0"/>
        <w:tabs>
          <w:tab w:val="clear" w:pos="567"/>
        </w:tabs>
        <w:spacing w:line="240" w:lineRule="auto"/>
      </w:pPr>
      <w:r w:rsidRPr="00D442F1">
        <w:t>To minimise potential acute infusion reactions, it is recommended that patients be pre</w:t>
      </w:r>
      <w:r w:rsidRPr="00D442F1">
        <w:noBreakHyphen/>
        <w:t>medicated with paracetamol and diphenhydramine or another H1 antihistamine within approximately 30 to 60 minutes prior to Kymriah infusion. Corticosteroids should not be used at any time except in the case of a life</w:t>
      </w:r>
      <w:r w:rsidRPr="00D442F1">
        <w:noBreakHyphen/>
        <w:t>threatening emergency (see section 4.4).</w:t>
      </w:r>
    </w:p>
    <w:p w:rsidR="0056433B" w:rsidRPr="00D442F1" w:rsidP="00166894" w14:paraId="5DF01EEB" w14:textId="77777777">
      <w:pPr>
        <w:pStyle w:val="Listlevel2"/>
        <w:widowControl w:val="0"/>
        <w:spacing w:before="0"/>
        <w:ind w:left="0" w:firstLine="0"/>
        <w:rPr>
          <w:sz w:val="22"/>
          <w:szCs w:val="22"/>
          <w:lang w:val="en-GB"/>
        </w:rPr>
      </w:pPr>
    </w:p>
    <w:p w:rsidR="0056433B" w:rsidRPr="00D442F1" w:rsidP="00166894" w14:paraId="5FDF0FC9" w14:textId="77777777">
      <w:pPr>
        <w:pStyle w:val="Nottoc-headings"/>
        <w:keepLines w:val="0"/>
        <w:widowControl w:val="0"/>
        <w:spacing w:before="0" w:after="0"/>
        <w:rPr>
          <w:rFonts w:ascii="Times New Roman" w:hAnsi="Times New Roman" w:cs="Times New Roman"/>
          <w:b w:val="0"/>
          <w:sz w:val="22"/>
          <w:szCs w:val="22"/>
          <w:u w:val="single"/>
          <w:lang w:val="en-GB"/>
        </w:rPr>
      </w:pPr>
      <w:r w:rsidRPr="00D442F1">
        <w:rPr>
          <w:rFonts w:ascii="Times New Roman" w:hAnsi="Times New Roman" w:cs="Times New Roman"/>
          <w:b w:val="0"/>
          <w:sz w:val="22"/>
          <w:szCs w:val="22"/>
          <w:u w:val="single"/>
          <w:lang w:val="en-GB"/>
        </w:rPr>
        <w:t>Clinical assessment prior to infusion</w:t>
      </w:r>
    </w:p>
    <w:p w:rsidR="0056433B" w:rsidRPr="00D442F1" w:rsidP="00166894" w14:paraId="0B6D79E0" w14:textId="77777777">
      <w:pPr>
        <w:keepNext/>
        <w:widowControl w:val="0"/>
        <w:spacing w:line="240" w:lineRule="auto"/>
      </w:pPr>
    </w:p>
    <w:p w:rsidR="00CE7CFA" w:rsidRPr="00D442F1" w:rsidP="00166894" w14:paraId="01E9306A" w14:textId="77777777">
      <w:pPr>
        <w:widowControl w:val="0"/>
        <w:spacing w:line="240" w:lineRule="auto"/>
        <w:rPr>
          <w:szCs w:val="22"/>
        </w:rPr>
      </w:pPr>
      <w:r w:rsidRPr="00D442F1">
        <w:t>Kymriah treatment should be delayed in some patient groups at risk</w:t>
      </w:r>
      <w:r w:rsidRPr="00D442F1" w:rsidR="008B2933">
        <w:t xml:space="preserve"> (</w:t>
      </w:r>
      <w:r w:rsidRPr="00D442F1">
        <w:t>see section</w:t>
      </w:r>
      <w:r w:rsidRPr="00D442F1" w:rsidR="008B2933">
        <w:t> </w:t>
      </w:r>
      <w:r w:rsidRPr="00D442F1">
        <w:t>4.4</w:t>
      </w:r>
      <w:r w:rsidRPr="00D442F1" w:rsidR="008B2933">
        <w:t>)</w:t>
      </w:r>
      <w:r w:rsidRPr="00D442F1">
        <w:t>.</w:t>
      </w:r>
    </w:p>
    <w:p w:rsidR="00205642" w:rsidRPr="00D442F1" w:rsidP="00166894" w14:paraId="69F30229" w14:textId="77777777">
      <w:pPr>
        <w:pStyle w:val="Listlevel2"/>
        <w:widowControl w:val="0"/>
        <w:spacing w:before="0"/>
        <w:ind w:left="0" w:firstLine="0"/>
        <w:rPr>
          <w:sz w:val="22"/>
          <w:szCs w:val="22"/>
          <w:lang w:val="en-GB"/>
        </w:rPr>
      </w:pPr>
    </w:p>
    <w:p w:rsidR="004F559A" w:rsidRPr="00D442F1" w:rsidP="00166894" w14:paraId="2AA6CCD1" w14:textId="77777777">
      <w:pPr>
        <w:keepNext/>
        <w:widowControl w:val="0"/>
        <w:tabs>
          <w:tab w:val="clear" w:pos="567"/>
        </w:tabs>
        <w:spacing w:line="240" w:lineRule="auto"/>
        <w:rPr>
          <w:i/>
          <w:szCs w:val="22"/>
          <w:u w:val="single"/>
        </w:rPr>
      </w:pPr>
      <w:r w:rsidRPr="00D442F1">
        <w:rPr>
          <w:i/>
          <w:szCs w:val="22"/>
          <w:u w:val="single"/>
        </w:rPr>
        <w:t>Monitoring after infusion</w:t>
      </w:r>
    </w:p>
    <w:p w:rsidR="004F559A" w:rsidRPr="00D442F1" w:rsidP="00166894" w14:paraId="5C0C4A50" w14:textId="77777777">
      <w:pPr>
        <w:widowControl w:val="0"/>
        <w:numPr>
          <w:ilvl w:val="0"/>
          <w:numId w:val="33"/>
        </w:numPr>
        <w:tabs>
          <w:tab w:val="clear" w:pos="567"/>
        </w:tabs>
        <w:spacing w:line="240" w:lineRule="auto"/>
        <w:ind w:left="567" w:hanging="567"/>
        <w:rPr>
          <w:szCs w:val="22"/>
        </w:rPr>
      </w:pPr>
      <w:r w:rsidRPr="00D442F1">
        <w:rPr>
          <w:szCs w:val="22"/>
        </w:rPr>
        <w:t xml:space="preserve">Patients should be monitored daily for the first 10 days following infusion for signs and symptoms of potential </w:t>
      </w:r>
      <w:r w:rsidRPr="00D442F1">
        <w:rPr>
          <w:noProof/>
          <w:szCs w:val="22"/>
        </w:rPr>
        <w:t>cytokine release syndrome</w:t>
      </w:r>
      <w:r w:rsidRPr="00D442F1">
        <w:rPr>
          <w:szCs w:val="22"/>
        </w:rPr>
        <w:t>, neurological events and other toxicities. Physicians should consider hospitalisation for the first 10 days post infusion</w:t>
      </w:r>
      <w:r w:rsidRPr="00D442F1" w:rsidR="00790540">
        <w:rPr>
          <w:lang w:eastAsia="zh-CN"/>
        </w:rPr>
        <w:t xml:space="preserve"> or at the first signs/symptoms of </w:t>
      </w:r>
      <w:r w:rsidRPr="00D442F1" w:rsidR="00073695">
        <w:rPr>
          <w:noProof/>
          <w:szCs w:val="22"/>
        </w:rPr>
        <w:t>cytokine release syndrome</w:t>
      </w:r>
      <w:r w:rsidRPr="00D442F1" w:rsidR="00790540">
        <w:rPr>
          <w:lang w:eastAsia="zh-CN"/>
        </w:rPr>
        <w:t xml:space="preserve"> and/or neurological events</w:t>
      </w:r>
      <w:r w:rsidRPr="00D442F1">
        <w:rPr>
          <w:szCs w:val="22"/>
        </w:rPr>
        <w:t>.</w:t>
      </w:r>
    </w:p>
    <w:p w:rsidR="004F559A" w:rsidRPr="00D442F1" w:rsidP="00166894" w14:paraId="5E8BB77A" w14:textId="77777777">
      <w:pPr>
        <w:widowControl w:val="0"/>
        <w:numPr>
          <w:ilvl w:val="0"/>
          <w:numId w:val="33"/>
        </w:numPr>
        <w:tabs>
          <w:tab w:val="clear" w:pos="567"/>
        </w:tabs>
        <w:spacing w:line="240" w:lineRule="auto"/>
        <w:ind w:left="567" w:hanging="567"/>
        <w:rPr>
          <w:szCs w:val="22"/>
        </w:rPr>
      </w:pPr>
      <w:r w:rsidRPr="00D442F1">
        <w:rPr>
          <w:szCs w:val="22"/>
        </w:rPr>
        <w:t>After the first 10 days following the infusion, the patient should be monitored at the physician’s discretion.</w:t>
      </w:r>
    </w:p>
    <w:p w:rsidR="004F559A" w:rsidRPr="00D442F1" w:rsidP="00166894" w14:paraId="310AAA0C" w14:textId="77777777">
      <w:pPr>
        <w:widowControl w:val="0"/>
        <w:numPr>
          <w:ilvl w:val="0"/>
          <w:numId w:val="33"/>
        </w:numPr>
        <w:tabs>
          <w:tab w:val="clear" w:pos="567"/>
        </w:tabs>
        <w:spacing w:line="240" w:lineRule="auto"/>
        <w:ind w:left="567" w:hanging="567"/>
        <w:rPr>
          <w:noProof/>
          <w:szCs w:val="22"/>
        </w:rPr>
      </w:pPr>
      <w:r w:rsidRPr="00D442F1">
        <w:rPr>
          <w:szCs w:val="22"/>
        </w:rPr>
        <w:t xml:space="preserve">Patients should be instructed to remain within proximity </w:t>
      </w:r>
      <w:r w:rsidRPr="00D442F1" w:rsidR="00780789">
        <w:rPr>
          <w:szCs w:val="22"/>
        </w:rPr>
        <w:t>(within 2</w:t>
      </w:r>
      <w:r w:rsidRPr="00D442F1" w:rsidR="003B6ABF">
        <w:rPr>
          <w:szCs w:val="22"/>
        </w:rPr>
        <w:t> </w:t>
      </w:r>
      <w:r w:rsidRPr="00D442F1" w:rsidR="00780789">
        <w:rPr>
          <w:szCs w:val="22"/>
        </w:rPr>
        <w:t xml:space="preserve">hours of travel) </w:t>
      </w:r>
      <w:r w:rsidRPr="00D442F1">
        <w:rPr>
          <w:szCs w:val="22"/>
        </w:rPr>
        <w:t>of a qualified clinical facility for at least 4 weeks following infusion.</w:t>
      </w:r>
    </w:p>
    <w:p w:rsidR="00EF0F02" w:rsidRPr="00D442F1" w:rsidP="00166894" w14:paraId="012A6954" w14:textId="77777777">
      <w:pPr>
        <w:widowControl w:val="0"/>
        <w:tabs>
          <w:tab w:val="clear" w:pos="567"/>
        </w:tabs>
        <w:spacing w:line="240" w:lineRule="auto"/>
        <w:rPr>
          <w:szCs w:val="22"/>
        </w:rPr>
      </w:pPr>
    </w:p>
    <w:p w:rsidR="00415CD8" w:rsidRPr="00D442F1" w:rsidP="00166894" w14:paraId="53175C42" w14:textId="77777777">
      <w:pPr>
        <w:keepNext/>
        <w:widowControl w:val="0"/>
        <w:tabs>
          <w:tab w:val="clear" w:pos="567"/>
        </w:tabs>
        <w:spacing w:line="240" w:lineRule="auto"/>
        <w:rPr>
          <w:bCs/>
          <w:iCs/>
          <w:szCs w:val="22"/>
        </w:rPr>
      </w:pPr>
      <w:r w:rsidRPr="00D442F1">
        <w:rPr>
          <w:szCs w:val="22"/>
          <w:u w:val="single"/>
        </w:rPr>
        <w:t>Special population</w:t>
      </w:r>
      <w:r w:rsidRPr="00D442F1" w:rsidR="00A713A7">
        <w:rPr>
          <w:szCs w:val="22"/>
          <w:u w:val="single"/>
        </w:rPr>
        <w:t>s</w:t>
      </w:r>
    </w:p>
    <w:p w:rsidR="00720E39" w:rsidRPr="00D442F1" w:rsidP="00166894" w14:paraId="423B3847" w14:textId="77777777">
      <w:pPr>
        <w:keepNext/>
        <w:widowControl w:val="0"/>
        <w:tabs>
          <w:tab w:val="clear" w:pos="567"/>
        </w:tabs>
        <w:spacing w:line="240" w:lineRule="auto"/>
        <w:rPr>
          <w:bCs/>
          <w:iCs/>
          <w:szCs w:val="22"/>
        </w:rPr>
      </w:pPr>
    </w:p>
    <w:p w:rsidR="005D5182" w:rsidRPr="00D442F1" w:rsidP="00166894" w14:paraId="74EADB19" w14:textId="77777777">
      <w:pPr>
        <w:keepNext/>
        <w:widowControl w:val="0"/>
        <w:tabs>
          <w:tab w:val="clear" w:pos="567"/>
        </w:tabs>
        <w:spacing w:line="240" w:lineRule="auto"/>
        <w:rPr>
          <w:bCs/>
          <w:i/>
          <w:iCs/>
          <w:szCs w:val="22"/>
          <w:u w:val="single"/>
        </w:rPr>
      </w:pPr>
      <w:r w:rsidRPr="00D442F1">
        <w:rPr>
          <w:bCs/>
          <w:i/>
          <w:iCs/>
          <w:szCs w:val="22"/>
          <w:u w:val="single"/>
        </w:rPr>
        <w:t>Paediatric population</w:t>
      </w:r>
    </w:p>
    <w:p w:rsidR="00A10870" w:rsidRPr="00D442F1" w:rsidP="00166894" w14:paraId="70E45014" w14:textId="77777777">
      <w:pPr>
        <w:keepNext/>
        <w:widowControl w:val="0"/>
        <w:tabs>
          <w:tab w:val="clear" w:pos="567"/>
        </w:tabs>
        <w:spacing w:line="240" w:lineRule="auto"/>
        <w:rPr>
          <w:bCs/>
          <w:iCs/>
          <w:szCs w:val="22"/>
        </w:rPr>
      </w:pPr>
      <w:r w:rsidRPr="00D442F1">
        <w:rPr>
          <w:bCs/>
          <w:i/>
          <w:iCs/>
          <w:szCs w:val="22"/>
        </w:rPr>
        <w:t>B-cell ALL</w:t>
      </w:r>
      <w:r w:rsidRPr="00D442F1">
        <w:rPr>
          <w:bCs/>
          <w:iCs/>
          <w:szCs w:val="22"/>
        </w:rPr>
        <w:t>: No formal studies have been performed in paediatric patients below 3</w:t>
      </w:r>
      <w:r w:rsidRPr="00D442F1" w:rsidR="00652ED7">
        <w:rPr>
          <w:bCs/>
          <w:iCs/>
          <w:szCs w:val="22"/>
        </w:rPr>
        <w:t> </w:t>
      </w:r>
      <w:r w:rsidRPr="00D442F1">
        <w:rPr>
          <w:bCs/>
          <w:iCs/>
          <w:szCs w:val="22"/>
        </w:rPr>
        <w:t>years of age.</w:t>
      </w:r>
    </w:p>
    <w:p w:rsidR="005D5182" w:rsidRPr="00D442F1" w:rsidP="00166894" w14:paraId="01E1152B" w14:textId="77777777">
      <w:pPr>
        <w:pStyle w:val="Text"/>
        <w:widowControl w:val="0"/>
        <w:spacing w:before="0"/>
        <w:jc w:val="left"/>
        <w:rPr>
          <w:sz w:val="22"/>
          <w:szCs w:val="22"/>
          <w:lang w:val="en-GB"/>
        </w:rPr>
      </w:pPr>
      <w:r w:rsidRPr="00D442F1">
        <w:rPr>
          <w:i/>
          <w:sz w:val="22"/>
          <w:szCs w:val="22"/>
          <w:lang w:val="en-GB"/>
        </w:rPr>
        <w:t>DLBCL</w:t>
      </w:r>
      <w:r w:rsidRPr="00D442F1">
        <w:rPr>
          <w:sz w:val="22"/>
          <w:szCs w:val="22"/>
          <w:lang w:val="en-GB"/>
        </w:rPr>
        <w:t xml:space="preserve">: </w:t>
      </w:r>
      <w:r w:rsidRPr="00D442F1" w:rsidR="00106DE5">
        <w:rPr>
          <w:sz w:val="22"/>
          <w:szCs w:val="22"/>
          <w:lang w:val="en-GB"/>
        </w:rPr>
        <w:t xml:space="preserve">The safety and efficacy of Kymriah in children </w:t>
      </w:r>
      <w:r w:rsidRPr="00D442F1" w:rsidR="00A10870">
        <w:rPr>
          <w:sz w:val="22"/>
          <w:szCs w:val="22"/>
          <w:lang w:val="en-GB"/>
        </w:rPr>
        <w:t xml:space="preserve">and adolescents </w:t>
      </w:r>
      <w:r w:rsidRPr="00D442F1" w:rsidR="00106DE5">
        <w:rPr>
          <w:sz w:val="22"/>
          <w:szCs w:val="22"/>
          <w:lang w:val="en-GB"/>
        </w:rPr>
        <w:t>below 18 years of age have not yet been established. No data are available.</w:t>
      </w:r>
    </w:p>
    <w:p w:rsidR="005D5182" w:rsidRPr="00D442F1" w:rsidP="00166894" w14:paraId="32F5B683" w14:textId="77777777">
      <w:pPr>
        <w:pStyle w:val="Text"/>
        <w:widowControl w:val="0"/>
        <w:spacing w:before="0"/>
        <w:jc w:val="left"/>
        <w:rPr>
          <w:bCs/>
          <w:iCs/>
          <w:sz w:val="22"/>
          <w:szCs w:val="22"/>
        </w:rPr>
      </w:pPr>
    </w:p>
    <w:p w:rsidR="005D5182" w:rsidRPr="00D442F1" w:rsidP="00166894" w14:paraId="176799A9" w14:textId="77777777">
      <w:pPr>
        <w:keepNext/>
        <w:widowControl w:val="0"/>
        <w:tabs>
          <w:tab w:val="clear" w:pos="567"/>
        </w:tabs>
        <w:spacing w:line="240" w:lineRule="auto"/>
        <w:rPr>
          <w:bCs/>
          <w:i/>
          <w:iCs/>
          <w:szCs w:val="22"/>
        </w:rPr>
      </w:pPr>
      <w:r w:rsidRPr="00D442F1">
        <w:rPr>
          <w:bCs/>
          <w:i/>
          <w:iCs/>
          <w:szCs w:val="22"/>
          <w:u w:val="single"/>
        </w:rPr>
        <w:t>Elderly</w:t>
      </w:r>
    </w:p>
    <w:p w:rsidR="006D1E53" w:rsidRPr="00D442F1" w:rsidP="00166894" w14:paraId="7C7E993F" w14:textId="77777777">
      <w:pPr>
        <w:pStyle w:val="Listlevel2"/>
        <w:widowControl w:val="0"/>
        <w:spacing w:before="0"/>
        <w:ind w:left="0" w:firstLine="0"/>
        <w:rPr>
          <w:bCs/>
          <w:iCs/>
          <w:sz w:val="22"/>
          <w:szCs w:val="22"/>
          <w:lang w:val="en-GB"/>
        </w:rPr>
      </w:pPr>
      <w:r w:rsidRPr="00D442F1">
        <w:rPr>
          <w:i/>
          <w:sz w:val="22"/>
          <w:szCs w:val="22"/>
          <w:lang w:val="en-GB"/>
        </w:rPr>
        <w:t>B</w:t>
      </w:r>
      <w:r w:rsidRPr="00D442F1" w:rsidR="00591100">
        <w:rPr>
          <w:i/>
          <w:sz w:val="22"/>
          <w:szCs w:val="22"/>
          <w:lang w:val="en-GB"/>
        </w:rPr>
        <w:noBreakHyphen/>
      </w:r>
      <w:r w:rsidRPr="00D442F1">
        <w:rPr>
          <w:i/>
          <w:sz w:val="22"/>
          <w:szCs w:val="22"/>
          <w:lang w:val="en-GB"/>
        </w:rPr>
        <w:t>cell ALL</w:t>
      </w:r>
      <w:r w:rsidRPr="00D442F1" w:rsidR="00690B4B">
        <w:rPr>
          <w:sz w:val="22"/>
          <w:szCs w:val="22"/>
          <w:lang w:val="en-GB"/>
        </w:rPr>
        <w:t>:</w:t>
      </w:r>
      <w:r w:rsidRPr="00D442F1" w:rsidR="005D5182">
        <w:rPr>
          <w:sz w:val="22"/>
          <w:szCs w:val="22"/>
          <w:lang w:val="en-GB"/>
        </w:rPr>
        <w:t xml:space="preserve"> </w:t>
      </w:r>
      <w:r w:rsidRPr="00D442F1">
        <w:rPr>
          <w:bCs/>
          <w:iCs/>
          <w:sz w:val="22"/>
          <w:szCs w:val="22"/>
          <w:lang w:val="en-GB"/>
        </w:rPr>
        <w:t xml:space="preserve">The </w:t>
      </w:r>
      <w:r w:rsidRPr="00D442F1" w:rsidR="00294991">
        <w:rPr>
          <w:bCs/>
          <w:iCs/>
          <w:sz w:val="22"/>
          <w:szCs w:val="22"/>
          <w:lang w:val="en-GB"/>
        </w:rPr>
        <w:t>safety and efficacy of Kymriah</w:t>
      </w:r>
      <w:r w:rsidRPr="00D442F1">
        <w:rPr>
          <w:bCs/>
          <w:iCs/>
          <w:sz w:val="22"/>
          <w:szCs w:val="22"/>
          <w:lang w:val="en-GB"/>
        </w:rPr>
        <w:t xml:space="preserve"> in this population ha</w:t>
      </w:r>
      <w:r w:rsidRPr="00D442F1" w:rsidR="0032236F">
        <w:rPr>
          <w:bCs/>
          <w:iCs/>
          <w:sz w:val="22"/>
          <w:szCs w:val="22"/>
          <w:lang w:val="en-GB"/>
        </w:rPr>
        <w:t>ve</w:t>
      </w:r>
      <w:r w:rsidRPr="00D442F1">
        <w:rPr>
          <w:bCs/>
          <w:iCs/>
          <w:sz w:val="22"/>
          <w:szCs w:val="22"/>
          <w:lang w:val="en-GB"/>
        </w:rPr>
        <w:t xml:space="preserve"> not been established.</w:t>
      </w:r>
    </w:p>
    <w:p w:rsidR="00690B4B" w:rsidRPr="00D442F1" w:rsidP="00166894" w14:paraId="1FC9F036" w14:textId="77777777">
      <w:pPr>
        <w:pStyle w:val="Listlevel2"/>
        <w:widowControl w:val="0"/>
        <w:spacing w:before="0"/>
        <w:ind w:left="0" w:firstLine="0"/>
        <w:rPr>
          <w:bCs/>
          <w:iCs/>
          <w:sz w:val="22"/>
          <w:szCs w:val="22"/>
          <w:lang w:val="en-GB"/>
        </w:rPr>
      </w:pPr>
      <w:r w:rsidRPr="00D442F1">
        <w:rPr>
          <w:i/>
          <w:sz w:val="22"/>
          <w:szCs w:val="22"/>
          <w:lang w:val="en-GB"/>
        </w:rPr>
        <w:t>DLBCL</w:t>
      </w:r>
      <w:r w:rsidRPr="00D442F1">
        <w:rPr>
          <w:sz w:val="22"/>
          <w:szCs w:val="22"/>
          <w:lang w:val="en-GB"/>
        </w:rPr>
        <w:t>:</w:t>
      </w:r>
      <w:r w:rsidRPr="00D442F1">
        <w:rPr>
          <w:sz w:val="22"/>
          <w:szCs w:val="22"/>
          <w:lang w:val="en-GB"/>
        </w:rPr>
        <w:t xml:space="preserve"> </w:t>
      </w:r>
      <w:r w:rsidRPr="00D442F1">
        <w:rPr>
          <w:bCs/>
          <w:iCs/>
          <w:sz w:val="22"/>
          <w:szCs w:val="22"/>
          <w:lang w:val="en-GB"/>
        </w:rPr>
        <w:t xml:space="preserve">No dose adjustment </w:t>
      </w:r>
      <w:r w:rsidRPr="00D442F1">
        <w:rPr>
          <w:sz w:val="22"/>
          <w:szCs w:val="22"/>
          <w:lang w:val="en-GB"/>
        </w:rPr>
        <w:t>is required in patients over 65</w:t>
      </w:r>
      <w:r w:rsidRPr="00D442F1" w:rsidR="005D7A64">
        <w:rPr>
          <w:sz w:val="22"/>
          <w:szCs w:val="22"/>
          <w:lang w:val="en-GB"/>
        </w:rPr>
        <w:t> </w:t>
      </w:r>
      <w:r w:rsidRPr="00D442F1">
        <w:rPr>
          <w:sz w:val="22"/>
          <w:szCs w:val="22"/>
          <w:lang w:val="en-GB"/>
        </w:rPr>
        <w:t>years</w:t>
      </w:r>
      <w:r w:rsidRPr="00D442F1">
        <w:rPr>
          <w:bCs/>
          <w:sz w:val="22"/>
          <w:szCs w:val="22"/>
          <w:lang w:val="en-GB"/>
        </w:rPr>
        <w:t xml:space="preserve"> of age.</w:t>
      </w:r>
    </w:p>
    <w:p w:rsidR="006D1E53" w:rsidRPr="00D442F1" w:rsidP="00166894" w14:paraId="211117DE" w14:textId="77777777">
      <w:pPr>
        <w:widowControl w:val="0"/>
        <w:tabs>
          <w:tab w:val="clear" w:pos="567"/>
        </w:tabs>
        <w:spacing w:line="240" w:lineRule="auto"/>
        <w:rPr>
          <w:bCs/>
          <w:iCs/>
          <w:szCs w:val="22"/>
        </w:rPr>
      </w:pPr>
    </w:p>
    <w:p w:rsidR="002E2CD6" w:rsidRPr="00D442F1" w:rsidP="00166894" w14:paraId="27CD67BB" w14:textId="77777777">
      <w:pPr>
        <w:keepNext/>
        <w:keepLines/>
        <w:widowControl w:val="0"/>
        <w:tabs>
          <w:tab w:val="clear" w:pos="567"/>
        </w:tabs>
        <w:spacing w:line="240" w:lineRule="auto"/>
        <w:rPr>
          <w:bCs/>
          <w:i/>
          <w:iCs/>
          <w:szCs w:val="22"/>
          <w:u w:val="single"/>
        </w:rPr>
      </w:pPr>
      <w:r w:rsidRPr="00D442F1">
        <w:rPr>
          <w:bCs/>
          <w:i/>
          <w:iCs/>
          <w:szCs w:val="22"/>
          <w:u w:val="single"/>
        </w:rPr>
        <w:t xml:space="preserve">Patients seropositive for </w:t>
      </w:r>
      <w:r w:rsidRPr="00D442F1" w:rsidR="008036AE">
        <w:rPr>
          <w:bCs/>
          <w:i/>
          <w:iCs/>
          <w:szCs w:val="22"/>
          <w:u w:val="single"/>
        </w:rPr>
        <w:t>h</w:t>
      </w:r>
      <w:r w:rsidRPr="00D442F1" w:rsidR="0022630A">
        <w:rPr>
          <w:bCs/>
          <w:i/>
          <w:iCs/>
          <w:szCs w:val="22"/>
          <w:u w:val="single"/>
        </w:rPr>
        <w:t>epatitis B virus (</w:t>
      </w:r>
      <w:r w:rsidRPr="00D442F1">
        <w:rPr>
          <w:bCs/>
          <w:i/>
          <w:iCs/>
          <w:szCs w:val="22"/>
          <w:u w:val="single"/>
        </w:rPr>
        <w:t>HBV</w:t>
      </w:r>
      <w:r w:rsidRPr="00D442F1" w:rsidR="0022630A">
        <w:rPr>
          <w:bCs/>
          <w:i/>
          <w:iCs/>
          <w:szCs w:val="22"/>
          <w:u w:val="single"/>
        </w:rPr>
        <w:t>)</w:t>
      </w:r>
      <w:r w:rsidRPr="00D442F1">
        <w:rPr>
          <w:bCs/>
          <w:i/>
          <w:iCs/>
          <w:szCs w:val="22"/>
          <w:u w:val="single"/>
        </w:rPr>
        <w:t xml:space="preserve">, </w:t>
      </w:r>
      <w:r w:rsidRPr="00D442F1" w:rsidR="0022630A">
        <w:rPr>
          <w:bCs/>
          <w:i/>
          <w:iCs/>
          <w:szCs w:val="22"/>
          <w:u w:val="single"/>
        </w:rPr>
        <w:t>hepatitis C virus (</w:t>
      </w:r>
      <w:r w:rsidRPr="00D442F1">
        <w:rPr>
          <w:bCs/>
          <w:i/>
          <w:iCs/>
          <w:szCs w:val="22"/>
          <w:u w:val="single"/>
        </w:rPr>
        <w:t>HCV</w:t>
      </w:r>
      <w:r w:rsidRPr="00D442F1" w:rsidR="0022630A">
        <w:rPr>
          <w:bCs/>
          <w:i/>
          <w:iCs/>
          <w:szCs w:val="22"/>
          <w:u w:val="single"/>
        </w:rPr>
        <w:t>)</w:t>
      </w:r>
      <w:r w:rsidRPr="00D442F1">
        <w:rPr>
          <w:bCs/>
          <w:i/>
          <w:iCs/>
          <w:szCs w:val="22"/>
          <w:u w:val="single"/>
        </w:rPr>
        <w:t xml:space="preserve">, or </w:t>
      </w:r>
      <w:r w:rsidRPr="00D442F1" w:rsidR="0022630A">
        <w:rPr>
          <w:bCs/>
          <w:i/>
          <w:iCs/>
          <w:szCs w:val="22"/>
          <w:u w:val="single"/>
        </w:rPr>
        <w:t>human immunodeficiency virus (</w:t>
      </w:r>
      <w:r w:rsidRPr="00D442F1">
        <w:rPr>
          <w:bCs/>
          <w:i/>
          <w:iCs/>
          <w:szCs w:val="22"/>
          <w:u w:val="single"/>
        </w:rPr>
        <w:t>HIV</w:t>
      </w:r>
      <w:r w:rsidRPr="00D442F1" w:rsidR="0022630A">
        <w:rPr>
          <w:bCs/>
          <w:i/>
          <w:iCs/>
          <w:szCs w:val="22"/>
          <w:u w:val="single"/>
        </w:rPr>
        <w:t>)</w:t>
      </w:r>
    </w:p>
    <w:p w:rsidR="002E2CD6" w:rsidRPr="00D442F1" w:rsidP="00E97AB3" w14:paraId="0E1140BC" w14:textId="5CAD92C4">
      <w:pPr>
        <w:widowControl w:val="0"/>
        <w:tabs>
          <w:tab w:val="clear" w:pos="567"/>
        </w:tabs>
        <w:spacing w:line="240" w:lineRule="auto"/>
        <w:rPr>
          <w:bCs/>
          <w:iCs/>
          <w:szCs w:val="22"/>
        </w:rPr>
      </w:pPr>
      <w:r w:rsidRPr="00D442F1">
        <w:rPr>
          <w:bCs/>
          <w:iCs/>
          <w:szCs w:val="22"/>
        </w:rPr>
        <w:t xml:space="preserve">There is no experience with manufacturing Kymriah for patients </w:t>
      </w:r>
      <w:r w:rsidRPr="00D442F1">
        <w:rPr>
          <w:bCs/>
          <w:iCs/>
          <w:szCs w:val="22"/>
        </w:rPr>
        <w:t xml:space="preserve">with a positive test for </w:t>
      </w:r>
      <w:r w:rsidRPr="00D442F1" w:rsidR="00F0547F">
        <w:rPr>
          <w:bCs/>
          <w:iCs/>
          <w:szCs w:val="22"/>
        </w:rPr>
        <w:t xml:space="preserve">HIV, </w:t>
      </w:r>
      <w:r w:rsidRPr="00D442F1">
        <w:rPr>
          <w:bCs/>
          <w:iCs/>
          <w:szCs w:val="22"/>
        </w:rPr>
        <w:t xml:space="preserve">active HBV, </w:t>
      </w:r>
      <w:r w:rsidRPr="00D442F1" w:rsidR="00F0547F">
        <w:rPr>
          <w:bCs/>
          <w:iCs/>
          <w:szCs w:val="22"/>
        </w:rPr>
        <w:t xml:space="preserve">or active </w:t>
      </w:r>
      <w:r w:rsidRPr="00D442F1">
        <w:rPr>
          <w:bCs/>
          <w:iCs/>
          <w:szCs w:val="22"/>
        </w:rPr>
        <w:t>HCV</w:t>
      </w:r>
      <w:r w:rsidRPr="00D442F1" w:rsidR="00A35613">
        <w:rPr>
          <w:bCs/>
          <w:iCs/>
          <w:szCs w:val="22"/>
        </w:rPr>
        <w:t xml:space="preserve"> infection</w:t>
      </w:r>
      <w:r w:rsidRPr="00D442F1">
        <w:rPr>
          <w:bCs/>
          <w:iCs/>
          <w:szCs w:val="22"/>
        </w:rPr>
        <w:t xml:space="preserve">. </w:t>
      </w:r>
      <w:r w:rsidRPr="00D442F1" w:rsidR="00A35613">
        <w:rPr>
          <w:bCs/>
          <w:iCs/>
          <w:szCs w:val="22"/>
        </w:rPr>
        <w:t>L</w:t>
      </w:r>
      <w:r w:rsidRPr="00D442F1">
        <w:rPr>
          <w:bCs/>
          <w:iCs/>
          <w:szCs w:val="22"/>
        </w:rPr>
        <w:t>eukapheresis material from these patients</w:t>
      </w:r>
      <w:r w:rsidRPr="00D442F1">
        <w:rPr>
          <w:bCs/>
          <w:iCs/>
          <w:szCs w:val="22"/>
        </w:rPr>
        <w:t xml:space="preserve"> will not be accepted for Kymriah manufacturing.</w:t>
      </w:r>
      <w:r w:rsidRPr="00D442F1" w:rsidR="00E97AB3">
        <w:rPr>
          <w:bCs/>
          <w:iCs/>
          <w:szCs w:val="22"/>
        </w:rPr>
        <w:t xml:space="preserve"> </w:t>
      </w:r>
      <w:r w:rsidRPr="00D442F1" w:rsidR="00E97AB3">
        <w:t>Screening for HBV, HCV, and HIV must be performed in accordance with clinical guidelines before collection of cells for manufacturing.</w:t>
      </w:r>
    </w:p>
    <w:p w:rsidR="002E2CD6" w:rsidRPr="00D442F1" w:rsidP="00166894" w14:paraId="46ED30EE" w14:textId="77777777">
      <w:pPr>
        <w:widowControl w:val="0"/>
        <w:tabs>
          <w:tab w:val="clear" w:pos="567"/>
        </w:tabs>
        <w:spacing w:line="240" w:lineRule="auto"/>
        <w:rPr>
          <w:bCs/>
          <w:iCs/>
          <w:szCs w:val="22"/>
        </w:rPr>
      </w:pPr>
    </w:p>
    <w:p w:rsidR="00EC6ABA" w:rsidRPr="00D442F1" w:rsidP="00166894" w14:paraId="147B02FD" w14:textId="77777777">
      <w:pPr>
        <w:keepNext/>
        <w:widowControl w:val="0"/>
        <w:tabs>
          <w:tab w:val="clear" w:pos="567"/>
        </w:tabs>
        <w:spacing w:line="240" w:lineRule="auto"/>
        <w:rPr>
          <w:szCs w:val="22"/>
          <w:u w:val="single"/>
        </w:rPr>
      </w:pPr>
      <w:r w:rsidRPr="00D442F1">
        <w:rPr>
          <w:szCs w:val="22"/>
          <w:u w:val="single"/>
        </w:rPr>
        <w:t>Method of administration</w:t>
      </w:r>
    </w:p>
    <w:p w:rsidR="003425D9" w:rsidRPr="00D442F1" w:rsidP="00166894" w14:paraId="4E2E664C" w14:textId="77777777">
      <w:pPr>
        <w:keepNext/>
        <w:widowControl w:val="0"/>
        <w:tabs>
          <w:tab w:val="clear" w:pos="567"/>
        </w:tabs>
        <w:spacing w:line="240" w:lineRule="auto"/>
        <w:rPr>
          <w:szCs w:val="22"/>
          <w:u w:val="single"/>
        </w:rPr>
      </w:pPr>
    </w:p>
    <w:p w:rsidR="003425D9" w:rsidRPr="00D442F1" w:rsidP="00166894" w14:paraId="651748E6" w14:textId="77777777">
      <w:pPr>
        <w:widowControl w:val="0"/>
        <w:tabs>
          <w:tab w:val="clear" w:pos="567"/>
        </w:tabs>
        <w:spacing w:line="240" w:lineRule="auto"/>
        <w:rPr>
          <w:szCs w:val="22"/>
        </w:rPr>
      </w:pPr>
      <w:r w:rsidRPr="00D442F1">
        <w:rPr>
          <w:szCs w:val="22"/>
        </w:rPr>
        <w:t>Kymriah is for intravenous use only.</w:t>
      </w:r>
    </w:p>
    <w:p w:rsidR="00D408D1" w:rsidRPr="00D442F1" w:rsidP="00166894" w14:paraId="495490D9" w14:textId="77777777">
      <w:pPr>
        <w:pStyle w:val="CommentText"/>
        <w:widowControl w:val="0"/>
        <w:rPr>
          <w:sz w:val="22"/>
          <w:szCs w:val="22"/>
        </w:rPr>
      </w:pPr>
    </w:p>
    <w:p w:rsidR="00D408D1" w:rsidRPr="00385FB9" w:rsidP="00166894" w14:paraId="4C45A0E2" w14:textId="77777777">
      <w:pPr>
        <w:pStyle w:val="CommentText"/>
        <w:keepNext/>
        <w:widowControl w:val="0"/>
        <w:rPr>
          <w:i/>
          <w:sz w:val="22"/>
          <w:szCs w:val="22"/>
          <w:u w:val="single"/>
        </w:rPr>
      </w:pPr>
      <w:r w:rsidRPr="00D442F1">
        <w:rPr>
          <w:i/>
          <w:sz w:val="22"/>
          <w:szCs w:val="22"/>
          <w:u w:val="single"/>
        </w:rPr>
        <w:t xml:space="preserve">Precautions to be taken before </w:t>
      </w:r>
      <w:r w:rsidRPr="00385FB9">
        <w:rPr>
          <w:i/>
          <w:sz w:val="22"/>
          <w:szCs w:val="22"/>
          <w:u w:val="single"/>
        </w:rPr>
        <w:t>handling or administering the medicinal product</w:t>
      </w:r>
    </w:p>
    <w:p w:rsidR="00D408D1" w:rsidRPr="00D442F1" w:rsidP="00166894" w14:paraId="2639E5F4" w14:textId="09E44C43">
      <w:pPr>
        <w:widowControl w:val="0"/>
        <w:tabs>
          <w:tab w:val="clear" w:pos="567"/>
        </w:tabs>
        <w:spacing w:line="240" w:lineRule="auto"/>
        <w:rPr>
          <w:szCs w:val="22"/>
        </w:rPr>
      </w:pPr>
      <w:r w:rsidRPr="00385FB9">
        <w:rPr>
          <w:szCs w:val="22"/>
        </w:rPr>
        <w:t xml:space="preserve">This medicinal product </w:t>
      </w:r>
      <w:r w:rsidRPr="00385FB9">
        <w:rPr>
          <w:szCs w:val="22"/>
        </w:rPr>
        <w:t xml:space="preserve">contains </w:t>
      </w:r>
      <w:r w:rsidRPr="00385FB9">
        <w:rPr>
          <w:szCs w:val="22"/>
        </w:rPr>
        <w:t xml:space="preserve">genetically modified </w:t>
      </w:r>
      <w:r w:rsidRPr="00385FB9">
        <w:rPr>
          <w:szCs w:val="22"/>
        </w:rPr>
        <w:t>human blood cells. Healthcare professionals handling Kymriah should take appropriate precautions (wearing gloves and glasses) to avoid potential transmission of infectious diseases</w:t>
      </w:r>
      <w:r w:rsidRPr="00385FB9" w:rsidR="001A2112">
        <w:rPr>
          <w:szCs w:val="22"/>
        </w:rPr>
        <w:t xml:space="preserve"> as for an</w:t>
      </w:r>
      <w:r w:rsidRPr="00D442F1" w:rsidR="001A2112">
        <w:rPr>
          <w:szCs w:val="22"/>
        </w:rPr>
        <w:t>y human-derived material</w:t>
      </w:r>
      <w:r w:rsidRPr="00D442F1">
        <w:rPr>
          <w:szCs w:val="22"/>
        </w:rPr>
        <w:t>.</w:t>
      </w:r>
    </w:p>
    <w:p w:rsidR="0047687D" w:rsidRPr="00D442F1" w:rsidP="00166894" w14:paraId="1637920B" w14:textId="77777777">
      <w:pPr>
        <w:widowControl w:val="0"/>
        <w:tabs>
          <w:tab w:val="clear" w:pos="567"/>
        </w:tabs>
        <w:spacing w:line="240" w:lineRule="auto"/>
        <w:rPr>
          <w:szCs w:val="22"/>
        </w:rPr>
      </w:pPr>
    </w:p>
    <w:p w:rsidR="00DD275D" w:rsidRPr="00D442F1" w:rsidP="00166894" w14:paraId="6CEA5FA6" w14:textId="77777777">
      <w:pPr>
        <w:keepNext/>
        <w:widowControl w:val="0"/>
        <w:tabs>
          <w:tab w:val="clear" w:pos="567"/>
        </w:tabs>
        <w:spacing w:line="240" w:lineRule="auto"/>
        <w:rPr>
          <w:szCs w:val="22"/>
          <w:u w:val="single"/>
        </w:rPr>
      </w:pPr>
      <w:r w:rsidRPr="00D442F1">
        <w:rPr>
          <w:i/>
          <w:szCs w:val="22"/>
          <w:u w:val="single"/>
        </w:rPr>
        <w:t>Preparation for infusion</w:t>
      </w:r>
    </w:p>
    <w:p w:rsidR="005D5182" w:rsidRPr="00D442F1" w:rsidP="00166894" w14:paraId="76645139" w14:textId="77777777">
      <w:pPr>
        <w:widowControl w:val="0"/>
        <w:tabs>
          <w:tab w:val="clear" w:pos="567"/>
        </w:tabs>
        <w:spacing w:line="240" w:lineRule="auto"/>
        <w:rPr>
          <w:szCs w:val="22"/>
        </w:rPr>
      </w:pPr>
      <w:r w:rsidRPr="00D442F1">
        <w:rPr>
          <w:szCs w:val="22"/>
        </w:rPr>
        <w:t xml:space="preserve">Prior to Kymriah infusion, </w:t>
      </w:r>
      <w:r w:rsidRPr="00D442F1">
        <w:rPr>
          <w:szCs w:val="22"/>
        </w:rPr>
        <w:t xml:space="preserve">it must be confirmed that </w:t>
      </w:r>
      <w:r w:rsidRPr="00D442F1">
        <w:rPr>
          <w:szCs w:val="22"/>
        </w:rPr>
        <w:t>the patient</w:t>
      </w:r>
      <w:r w:rsidRPr="00D442F1" w:rsidR="0032236F">
        <w:rPr>
          <w:szCs w:val="22"/>
        </w:rPr>
        <w:t>’</w:t>
      </w:r>
      <w:r w:rsidRPr="00D442F1">
        <w:rPr>
          <w:szCs w:val="22"/>
        </w:rPr>
        <w:t xml:space="preserve">s identity </w:t>
      </w:r>
      <w:r w:rsidRPr="00D442F1">
        <w:rPr>
          <w:szCs w:val="22"/>
        </w:rPr>
        <w:t>matches the essential unique patient information on the infusion bag(s).</w:t>
      </w:r>
    </w:p>
    <w:p w:rsidR="00B23E1E" w:rsidRPr="00D442F1" w:rsidP="00166894" w14:paraId="018CE388" w14:textId="77777777">
      <w:pPr>
        <w:widowControl w:val="0"/>
        <w:tabs>
          <w:tab w:val="clear" w:pos="567"/>
        </w:tabs>
        <w:spacing w:line="240" w:lineRule="auto"/>
        <w:rPr>
          <w:szCs w:val="22"/>
        </w:rPr>
      </w:pPr>
    </w:p>
    <w:p w:rsidR="00B23E1E" w:rsidRPr="00D442F1" w:rsidP="00166894" w14:paraId="15019A92" w14:textId="77777777">
      <w:pPr>
        <w:widowControl w:val="0"/>
        <w:tabs>
          <w:tab w:val="clear" w:pos="567"/>
        </w:tabs>
        <w:spacing w:line="240" w:lineRule="auto"/>
        <w:rPr>
          <w:szCs w:val="22"/>
        </w:rPr>
      </w:pPr>
      <w:r w:rsidRPr="00D442F1">
        <w:t xml:space="preserve">The timing of thaw of Kymriah and infusion should be coordinated. </w:t>
      </w:r>
      <w:r w:rsidRPr="00D442F1" w:rsidR="001A51CF">
        <w:rPr>
          <w:szCs w:val="22"/>
        </w:rPr>
        <w:t xml:space="preserve">Please refer to section 6.6 for details on inspection and thawing of the infusion bag. </w:t>
      </w:r>
      <w:r w:rsidRPr="00D442F1" w:rsidR="00E17DE0">
        <w:t>T</w:t>
      </w:r>
      <w:r w:rsidRPr="00D442F1">
        <w:t xml:space="preserve">he infusion </w:t>
      </w:r>
      <w:r w:rsidRPr="00D442F1" w:rsidR="001A51CF">
        <w:t xml:space="preserve">start </w:t>
      </w:r>
      <w:r w:rsidRPr="00D442F1">
        <w:t xml:space="preserve">time </w:t>
      </w:r>
      <w:r w:rsidRPr="00D442F1" w:rsidR="00E17DE0">
        <w:t xml:space="preserve">should be confirmed </w:t>
      </w:r>
      <w:r w:rsidRPr="00D442F1">
        <w:t xml:space="preserve">in advance and </w:t>
      </w:r>
      <w:r w:rsidRPr="00D442F1" w:rsidR="00E17DE0">
        <w:t xml:space="preserve">adjusted </w:t>
      </w:r>
      <w:r w:rsidRPr="00D442F1">
        <w:t>for thaw so that Kymriah is available for infusion when the recipient is ready. Once Kymriah has been thawed and is at room temperature</w:t>
      </w:r>
      <w:r w:rsidRPr="00D442F1" w:rsidR="001A7FC6">
        <w:t xml:space="preserve"> </w:t>
      </w:r>
      <w:r w:rsidRPr="00D442F1" w:rsidR="004B0108">
        <w:rPr>
          <w:szCs w:val="22"/>
        </w:rPr>
        <w:t>(20</w:t>
      </w:r>
      <w:r w:rsidRPr="00D442F1" w:rsidR="00EA428C">
        <w:rPr>
          <w:szCs w:val="22"/>
        </w:rPr>
        <w:t xml:space="preserve">°C </w:t>
      </w:r>
      <w:r w:rsidRPr="00D442F1" w:rsidR="004B0108">
        <w:rPr>
          <w:szCs w:val="22"/>
        </w:rPr>
        <w:noBreakHyphen/>
        <w:t>25°C)</w:t>
      </w:r>
      <w:r w:rsidRPr="00D442F1">
        <w:t>, it should be infused within 30</w:t>
      </w:r>
      <w:r w:rsidRPr="00D442F1" w:rsidR="00E17DE0">
        <w:t> </w:t>
      </w:r>
      <w:r w:rsidRPr="00D442F1">
        <w:t>minutes to maintain maximum product viability,</w:t>
      </w:r>
      <w:r w:rsidRPr="00D442F1">
        <w:rPr>
          <w:szCs w:val="24"/>
        </w:rPr>
        <w:t xml:space="preserve"> including any interruption during the infusion</w:t>
      </w:r>
      <w:r w:rsidRPr="00D442F1">
        <w:rPr>
          <w:szCs w:val="22"/>
        </w:rPr>
        <w:t>.</w:t>
      </w:r>
    </w:p>
    <w:p w:rsidR="000E14F1" w:rsidRPr="00D442F1" w:rsidP="00166894" w14:paraId="7993956C" w14:textId="77777777">
      <w:pPr>
        <w:widowControl w:val="0"/>
        <w:tabs>
          <w:tab w:val="clear" w:pos="567"/>
        </w:tabs>
        <w:spacing w:line="240" w:lineRule="auto"/>
        <w:rPr>
          <w:szCs w:val="22"/>
        </w:rPr>
      </w:pPr>
    </w:p>
    <w:p w:rsidR="00B23E1E" w:rsidRPr="00D442F1" w:rsidP="00166894" w14:paraId="2DD85964" w14:textId="77777777">
      <w:pPr>
        <w:keepNext/>
        <w:widowControl w:val="0"/>
        <w:tabs>
          <w:tab w:val="clear" w:pos="567"/>
        </w:tabs>
        <w:spacing w:line="240" w:lineRule="auto"/>
        <w:rPr>
          <w:i/>
          <w:szCs w:val="22"/>
          <w:u w:val="single"/>
        </w:rPr>
      </w:pPr>
      <w:r w:rsidRPr="00D442F1">
        <w:rPr>
          <w:i/>
          <w:szCs w:val="22"/>
          <w:u w:val="single"/>
        </w:rPr>
        <w:t>Administration</w:t>
      </w:r>
    </w:p>
    <w:p w:rsidR="00B23E1E" w:rsidRPr="00D442F1" w:rsidP="00166894" w14:paraId="5FEA2B04" w14:textId="77777777">
      <w:pPr>
        <w:widowControl w:val="0"/>
        <w:tabs>
          <w:tab w:val="clear" w:pos="567"/>
        </w:tabs>
        <w:spacing w:line="240" w:lineRule="auto"/>
        <w:rPr>
          <w:szCs w:val="22"/>
        </w:rPr>
      </w:pPr>
      <w:r w:rsidRPr="00D442F1">
        <w:rPr>
          <w:szCs w:val="22"/>
        </w:rPr>
        <w:t>Kymriah should be administered as an</w:t>
      </w:r>
      <w:r w:rsidRPr="00D442F1" w:rsidR="00494988">
        <w:rPr>
          <w:szCs w:val="22"/>
        </w:rPr>
        <w:t xml:space="preserve"> intravenous</w:t>
      </w:r>
      <w:r w:rsidRPr="00D442F1">
        <w:rPr>
          <w:szCs w:val="22"/>
        </w:rPr>
        <w:t xml:space="preserve"> infusion through latex</w:t>
      </w:r>
      <w:r w:rsidRPr="00D442F1" w:rsidR="00591100">
        <w:rPr>
          <w:szCs w:val="22"/>
        </w:rPr>
        <w:noBreakHyphen/>
      </w:r>
      <w:r w:rsidRPr="00D442F1">
        <w:rPr>
          <w:szCs w:val="22"/>
        </w:rPr>
        <w:t xml:space="preserve">free </w:t>
      </w:r>
      <w:r w:rsidRPr="00D442F1" w:rsidR="00494988">
        <w:rPr>
          <w:szCs w:val="22"/>
        </w:rPr>
        <w:t>intravenous</w:t>
      </w:r>
      <w:r w:rsidRPr="00D442F1">
        <w:rPr>
          <w:szCs w:val="22"/>
        </w:rPr>
        <w:t xml:space="preserve"> tubing without a leukocyte depleting filter, </w:t>
      </w:r>
      <w:r w:rsidRPr="00D442F1" w:rsidR="00494988">
        <w:rPr>
          <w:szCs w:val="22"/>
        </w:rPr>
        <w:t xml:space="preserve">at </w:t>
      </w:r>
      <w:r w:rsidRPr="00D442F1">
        <w:rPr>
          <w:szCs w:val="22"/>
        </w:rPr>
        <w:t>approximately</w:t>
      </w:r>
      <w:r w:rsidRPr="00D442F1" w:rsidR="00EA196C">
        <w:rPr>
          <w:szCs w:val="22"/>
        </w:rPr>
        <w:t xml:space="preserve"> </w:t>
      </w:r>
      <w:r w:rsidRPr="00D442F1">
        <w:rPr>
          <w:szCs w:val="22"/>
        </w:rPr>
        <w:t>10 to 20</w:t>
      </w:r>
      <w:r w:rsidRPr="00D442F1" w:rsidR="007B0EB4">
        <w:rPr>
          <w:szCs w:val="22"/>
        </w:rPr>
        <w:t> </w:t>
      </w:r>
      <w:r w:rsidRPr="00D442F1">
        <w:rPr>
          <w:szCs w:val="22"/>
        </w:rPr>
        <w:t>mL per minute by gravity flow.</w:t>
      </w:r>
      <w:r w:rsidRPr="00D442F1" w:rsidR="00494988">
        <w:rPr>
          <w:szCs w:val="22"/>
        </w:rPr>
        <w:t xml:space="preserve"> All contents of the infusion </w:t>
      </w:r>
      <w:r w:rsidRPr="00D442F1" w:rsidR="002D794F">
        <w:rPr>
          <w:szCs w:val="22"/>
        </w:rPr>
        <w:t xml:space="preserve">bag(s) </w:t>
      </w:r>
      <w:r w:rsidRPr="00D442F1" w:rsidR="00494988">
        <w:rPr>
          <w:szCs w:val="22"/>
        </w:rPr>
        <w:t xml:space="preserve">should be infused. </w:t>
      </w:r>
      <w:r w:rsidRPr="00D442F1" w:rsidR="002E6C6E">
        <w:rPr>
          <w:szCs w:val="22"/>
        </w:rPr>
        <w:t>S</w:t>
      </w:r>
      <w:r w:rsidRPr="00D442F1" w:rsidR="001A7FC6">
        <w:rPr>
          <w:szCs w:val="22"/>
        </w:rPr>
        <w:t>odium chloride 9</w:t>
      </w:r>
      <w:r w:rsidRPr="00D442F1" w:rsidR="00652ED7">
        <w:rPr>
          <w:szCs w:val="22"/>
        </w:rPr>
        <w:t> </w:t>
      </w:r>
      <w:r w:rsidRPr="00D442F1" w:rsidR="001A7FC6">
        <w:rPr>
          <w:szCs w:val="22"/>
        </w:rPr>
        <w:t>mg/mL (0.9%) solution for injection</w:t>
      </w:r>
      <w:r w:rsidRPr="00D442F1">
        <w:rPr>
          <w:szCs w:val="22"/>
        </w:rPr>
        <w:t xml:space="preserve"> should be used to prime the tubing prior to infusion </w:t>
      </w:r>
      <w:r w:rsidRPr="00D442F1" w:rsidR="007B0EB4">
        <w:rPr>
          <w:szCs w:val="22"/>
        </w:rPr>
        <w:t xml:space="preserve">and to </w:t>
      </w:r>
      <w:r w:rsidRPr="00D442F1">
        <w:rPr>
          <w:szCs w:val="22"/>
        </w:rPr>
        <w:t>rinse it after</w:t>
      </w:r>
      <w:r w:rsidRPr="00D442F1" w:rsidR="007B0EB4">
        <w:rPr>
          <w:szCs w:val="22"/>
        </w:rPr>
        <w:t xml:space="preserve"> infusion</w:t>
      </w:r>
      <w:r w:rsidRPr="00D442F1">
        <w:rPr>
          <w:szCs w:val="22"/>
        </w:rPr>
        <w:t xml:space="preserve">. When the full volume of Kymriah has been infused, </w:t>
      </w:r>
      <w:r w:rsidRPr="00D442F1" w:rsidR="007B0EB4">
        <w:rPr>
          <w:szCs w:val="22"/>
        </w:rPr>
        <w:t xml:space="preserve">the </w:t>
      </w:r>
      <w:r w:rsidRPr="00D442F1" w:rsidR="001A19D0">
        <w:rPr>
          <w:szCs w:val="22"/>
        </w:rPr>
        <w:t xml:space="preserve">infusion bag </w:t>
      </w:r>
      <w:r w:rsidRPr="00D442F1">
        <w:rPr>
          <w:szCs w:val="22"/>
        </w:rPr>
        <w:t>should be rinsed with 10 to 30</w:t>
      </w:r>
      <w:r w:rsidRPr="00D442F1" w:rsidR="007B0EB4">
        <w:rPr>
          <w:szCs w:val="22"/>
        </w:rPr>
        <w:t> </w:t>
      </w:r>
      <w:r w:rsidRPr="00D442F1">
        <w:rPr>
          <w:szCs w:val="22"/>
        </w:rPr>
        <w:t xml:space="preserve">mL </w:t>
      </w:r>
      <w:r w:rsidRPr="00D442F1" w:rsidR="001A7FC6">
        <w:rPr>
          <w:szCs w:val="22"/>
        </w:rPr>
        <w:t>sodium chloride 9</w:t>
      </w:r>
      <w:r w:rsidRPr="00D442F1" w:rsidR="00652ED7">
        <w:rPr>
          <w:szCs w:val="22"/>
        </w:rPr>
        <w:t> </w:t>
      </w:r>
      <w:r w:rsidRPr="00D442F1" w:rsidR="001A7FC6">
        <w:rPr>
          <w:szCs w:val="22"/>
        </w:rPr>
        <w:t>mg/mL (0.9%) solution for injection</w:t>
      </w:r>
      <w:r w:rsidRPr="00D442F1" w:rsidR="00652ED7">
        <w:rPr>
          <w:szCs w:val="22"/>
        </w:rPr>
        <w:t xml:space="preserve"> </w:t>
      </w:r>
      <w:r w:rsidRPr="00D442F1">
        <w:rPr>
          <w:szCs w:val="22"/>
        </w:rPr>
        <w:t xml:space="preserve">by back priming to </w:t>
      </w:r>
      <w:r w:rsidRPr="00D442F1" w:rsidR="00652ED7">
        <w:rPr>
          <w:szCs w:val="22"/>
        </w:rPr>
        <w:t>en</w:t>
      </w:r>
      <w:r w:rsidRPr="00D442F1">
        <w:rPr>
          <w:szCs w:val="22"/>
        </w:rPr>
        <w:t>sure as many cells as possible are infused into the patient.</w:t>
      </w:r>
    </w:p>
    <w:p w:rsidR="00960A20" w:rsidRPr="00D442F1" w:rsidP="00166894" w14:paraId="3581228D" w14:textId="77777777">
      <w:pPr>
        <w:widowControl w:val="0"/>
        <w:tabs>
          <w:tab w:val="clear" w:pos="567"/>
        </w:tabs>
        <w:spacing w:line="240" w:lineRule="auto"/>
        <w:rPr>
          <w:szCs w:val="22"/>
        </w:rPr>
      </w:pPr>
    </w:p>
    <w:p w:rsidR="00745405" w:rsidRPr="00D442F1" w:rsidP="00166894" w14:paraId="36175CDB" w14:textId="3B14B5D8">
      <w:pPr>
        <w:widowControl w:val="0"/>
        <w:tabs>
          <w:tab w:val="clear" w:pos="567"/>
        </w:tabs>
        <w:spacing w:line="240" w:lineRule="auto"/>
        <w:rPr>
          <w:szCs w:val="22"/>
        </w:rPr>
      </w:pPr>
      <w:r w:rsidRPr="00D442F1">
        <w:t>If the volume of Kymriah to be administered is ≤20 mL, intravenous push may be used as an alternative method of administration.</w:t>
      </w:r>
    </w:p>
    <w:p w:rsidR="002E6C6E" w:rsidRPr="00D442F1" w:rsidP="00166894" w14:paraId="39520B09" w14:textId="77777777">
      <w:pPr>
        <w:widowControl w:val="0"/>
        <w:tabs>
          <w:tab w:val="clear" w:pos="567"/>
        </w:tabs>
        <w:spacing w:line="240" w:lineRule="auto"/>
        <w:rPr>
          <w:szCs w:val="22"/>
        </w:rPr>
      </w:pPr>
    </w:p>
    <w:p w:rsidR="006F20BF" w:rsidRPr="00D442F1" w:rsidP="00166894" w14:paraId="1B7E2B11" w14:textId="77777777">
      <w:pPr>
        <w:widowControl w:val="0"/>
        <w:tabs>
          <w:tab w:val="clear" w:pos="567"/>
        </w:tabs>
        <w:spacing w:line="240" w:lineRule="auto"/>
        <w:rPr>
          <w:szCs w:val="22"/>
        </w:rPr>
      </w:pPr>
      <w:r w:rsidRPr="00D442F1">
        <w:rPr>
          <w:szCs w:val="22"/>
        </w:rPr>
        <w:t>For special precautions for disposal see section 6.6.</w:t>
      </w:r>
    </w:p>
    <w:p w:rsidR="006F20BF" w:rsidRPr="00D442F1" w:rsidP="00166894" w14:paraId="5246FA00" w14:textId="77777777">
      <w:pPr>
        <w:widowControl w:val="0"/>
        <w:tabs>
          <w:tab w:val="clear" w:pos="567"/>
        </w:tabs>
        <w:spacing w:line="240" w:lineRule="auto"/>
        <w:rPr>
          <w:szCs w:val="22"/>
        </w:rPr>
      </w:pPr>
    </w:p>
    <w:p w:rsidR="00221843" w:rsidRPr="00D442F1" w:rsidP="00166894" w14:paraId="07F1AF24" w14:textId="77777777">
      <w:pPr>
        <w:keepNext/>
        <w:widowControl w:val="0"/>
        <w:tabs>
          <w:tab w:val="clear" w:pos="567"/>
        </w:tabs>
        <w:spacing w:line="240" w:lineRule="auto"/>
        <w:ind w:left="567" w:hanging="567"/>
        <w:rPr>
          <w:noProof/>
          <w:szCs w:val="22"/>
        </w:rPr>
      </w:pPr>
      <w:r w:rsidRPr="00D442F1">
        <w:rPr>
          <w:b/>
          <w:noProof/>
          <w:szCs w:val="22"/>
        </w:rPr>
        <w:t>4.3</w:t>
      </w:r>
      <w:r w:rsidRPr="00D442F1">
        <w:rPr>
          <w:b/>
          <w:noProof/>
          <w:szCs w:val="22"/>
        </w:rPr>
        <w:tab/>
        <w:t>Contraindications</w:t>
      </w:r>
    </w:p>
    <w:p w:rsidR="00221843" w:rsidRPr="00D442F1" w:rsidP="00166894" w14:paraId="5DD8A316" w14:textId="77777777">
      <w:pPr>
        <w:keepNext/>
        <w:widowControl w:val="0"/>
        <w:tabs>
          <w:tab w:val="clear" w:pos="567"/>
        </w:tabs>
        <w:spacing w:line="240" w:lineRule="auto"/>
        <w:rPr>
          <w:noProof/>
          <w:szCs w:val="22"/>
        </w:rPr>
      </w:pPr>
    </w:p>
    <w:p w:rsidR="00221843" w:rsidRPr="00D442F1" w:rsidP="00166894" w14:paraId="5AF566DF" w14:textId="77777777">
      <w:pPr>
        <w:widowControl w:val="0"/>
        <w:tabs>
          <w:tab w:val="clear" w:pos="567"/>
        </w:tabs>
        <w:spacing w:line="240" w:lineRule="auto"/>
        <w:rPr>
          <w:noProof/>
          <w:szCs w:val="22"/>
        </w:rPr>
      </w:pPr>
      <w:r w:rsidRPr="00D442F1">
        <w:rPr>
          <w:noProof/>
          <w:szCs w:val="22"/>
        </w:rPr>
        <w:t>Hypersensitivity to the active substance or to any of the excipients listed in section</w:t>
      </w:r>
      <w:r w:rsidRPr="00D442F1" w:rsidR="00447260">
        <w:rPr>
          <w:noProof/>
          <w:szCs w:val="22"/>
        </w:rPr>
        <w:t> </w:t>
      </w:r>
      <w:r w:rsidRPr="00D442F1">
        <w:rPr>
          <w:noProof/>
          <w:szCs w:val="22"/>
        </w:rPr>
        <w:t>6.1.</w:t>
      </w:r>
    </w:p>
    <w:p w:rsidR="00652ED7" w:rsidRPr="00D442F1" w:rsidP="00166894" w14:paraId="137857B9" w14:textId="77777777">
      <w:pPr>
        <w:widowControl w:val="0"/>
        <w:tabs>
          <w:tab w:val="clear" w:pos="567"/>
        </w:tabs>
        <w:spacing w:line="240" w:lineRule="auto"/>
        <w:rPr>
          <w:rFonts w:eastAsia="Calibri"/>
          <w:szCs w:val="22"/>
        </w:rPr>
      </w:pPr>
    </w:p>
    <w:p w:rsidR="00A10870" w:rsidRPr="00D442F1" w:rsidP="00166894" w14:paraId="0ACA1E77" w14:textId="77777777">
      <w:pPr>
        <w:widowControl w:val="0"/>
        <w:tabs>
          <w:tab w:val="clear" w:pos="567"/>
        </w:tabs>
        <w:spacing w:line="240" w:lineRule="auto"/>
        <w:rPr>
          <w:noProof/>
          <w:szCs w:val="22"/>
        </w:rPr>
      </w:pPr>
      <w:r w:rsidRPr="00D442F1">
        <w:rPr>
          <w:rFonts w:eastAsia="Calibri"/>
          <w:szCs w:val="22"/>
        </w:rPr>
        <w:t>Contraindications of the lymphodepleting chemotherapy must be considered.</w:t>
      </w:r>
    </w:p>
    <w:p w:rsidR="00221843" w:rsidRPr="00D442F1" w:rsidP="00166894" w14:paraId="06FF6EEF" w14:textId="77777777">
      <w:pPr>
        <w:widowControl w:val="0"/>
        <w:tabs>
          <w:tab w:val="clear" w:pos="567"/>
        </w:tabs>
        <w:spacing w:line="240" w:lineRule="auto"/>
        <w:rPr>
          <w:noProof/>
          <w:szCs w:val="22"/>
        </w:rPr>
      </w:pPr>
    </w:p>
    <w:p w:rsidR="00812D16" w:rsidRPr="00385FB9" w:rsidP="00166894" w14:paraId="104F870A" w14:textId="77777777">
      <w:pPr>
        <w:keepNext/>
        <w:widowControl w:val="0"/>
        <w:tabs>
          <w:tab w:val="clear" w:pos="567"/>
        </w:tabs>
        <w:spacing w:line="240" w:lineRule="auto"/>
        <w:ind w:left="567" w:hanging="567"/>
        <w:rPr>
          <w:noProof/>
          <w:szCs w:val="22"/>
        </w:rPr>
      </w:pPr>
      <w:r w:rsidRPr="00D442F1">
        <w:rPr>
          <w:b/>
          <w:noProof/>
          <w:szCs w:val="22"/>
        </w:rPr>
        <w:t>4.4</w:t>
      </w:r>
      <w:r w:rsidRPr="00D442F1">
        <w:rPr>
          <w:b/>
          <w:noProof/>
          <w:szCs w:val="22"/>
        </w:rPr>
        <w:tab/>
      </w:r>
      <w:r w:rsidRPr="00385FB9">
        <w:rPr>
          <w:b/>
          <w:noProof/>
          <w:szCs w:val="22"/>
        </w:rPr>
        <w:t>Special warnings and precautions for use</w:t>
      </w:r>
    </w:p>
    <w:p w:rsidR="00812D16" w:rsidRPr="00385FB9" w:rsidP="00166894" w14:paraId="55FC57A8" w14:textId="77777777">
      <w:pPr>
        <w:keepNext/>
        <w:widowControl w:val="0"/>
        <w:tabs>
          <w:tab w:val="clear" w:pos="567"/>
        </w:tabs>
        <w:spacing w:line="240" w:lineRule="auto"/>
        <w:ind w:left="567" w:hanging="567"/>
        <w:rPr>
          <w:noProof/>
          <w:szCs w:val="22"/>
        </w:rPr>
      </w:pPr>
    </w:p>
    <w:p w:rsidR="00D34D80" w:rsidRPr="00385FB9" w:rsidP="00D34D80" w14:paraId="2C3A9054" w14:textId="77777777">
      <w:pPr>
        <w:keepNext/>
        <w:tabs>
          <w:tab w:val="clear" w:pos="567"/>
          <w:tab w:val="left" w:pos="720"/>
        </w:tabs>
        <w:spacing w:line="240" w:lineRule="auto"/>
        <w:rPr>
          <w:noProof/>
          <w:u w:val="single"/>
        </w:rPr>
      </w:pPr>
      <w:r w:rsidRPr="00385FB9">
        <w:rPr>
          <w:noProof/>
          <w:u w:val="single"/>
        </w:rPr>
        <w:t>Traceability</w:t>
      </w:r>
    </w:p>
    <w:p w:rsidR="00D34D80" w:rsidRPr="00385FB9" w:rsidP="00D34D80" w14:paraId="5DBFBAE2" w14:textId="77777777">
      <w:pPr>
        <w:keepNext/>
        <w:tabs>
          <w:tab w:val="clear" w:pos="567"/>
          <w:tab w:val="left" w:pos="720"/>
        </w:tabs>
        <w:spacing w:line="240" w:lineRule="auto"/>
      </w:pPr>
    </w:p>
    <w:p w:rsidR="00C405D0" w:rsidRPr="00385FB9" w:rsidP="00D34D80" w14:paraId="30F447B4" w14:textId="3F380F7D">
      <w:pPr>
        <w:tabs>
          <w:tab w:val="clear" w:pos="567"/>
          <w:tab w:val="left" w:pos="720"/>
        </w:tabs>
        <w:spacing w:line="240" w:lineRule="auto"/>
        <w:rPr>
          <w:szCs w:val="22"/>
        </w:rPr>
      </w:pPr>
      <w:r w:rsidRPr="00385FB9">
        <w:rPr>
          <w:lang w:val="en-US"/>
        </w:rPr>
        <w:t>To ensure traceability the name of the product, the batch number and the name of the treated patient should be kept for a period of 30 years.</w:t>
      </w:r>
    </w:p>
    <w:p w:rsidR="00D34D80" w:rsidRPr="00385FB9" w:rsidP="00D267F2" w14:paraId="0B2FC3C1" w14:textId="77777777">
      <w:pPr>
        <w:widowControl w:val="0"/>
        <w:tabs>
          <w:tab w:val="clear" w:pos="567"/>
        </w:tabs>
        <w:spacing w:line="240" w:lineRule="auto"/>
        <w:rPr>
          <w:u w:val="single"/>
        </w:rPr>
      </w:pPr>
    </w:p>
    <w:p w:rsidR="004F559A" w:rsidRPr="00385FB9" w:rsidP="00166894" w14:paraId="4CBBBDBE" w14:textId="6A8F013F">
      <w:pPr>
        <w:keepNext/>
        <w:widowControl w:val="0"/>
        <w:tabs>
          <w:tab w:val="clear" w:pos="567"/>
        </w:tabs>
        <w:spacing w:line="240" w:lineRule="auto"/>
        <w:rPr>
          <w:u w:val="single"/>
        </w:rPr>
      </w:pPr>
      <w:r w:rsidRPr="00385FB9">
        <w:rPr>
          <w:u w:val="single"/>
        </w:rPr>
        <w:t>Reasons to delay treatment</w:t>
      </w:r>
    </w:p>
    <w:p w:rsidR="004F559A" w:rsidRPr="00385FB9" w:rsidP="00166894" w14:paraId="596B0993" w14:textId="77777777">
      <w:pPr>
        <w:keepNext/>
        <w:widowControl w:val="0"/>
        <w:tabs>
          <w:tab w:val="clear" w:pos="567"/>
        </w:tabs>
        <w:spacing w:line="240" w:lineRule="auto"/>
      </w:pPr>
    </w:p>
    <w:p w:rsidR="00515A78" w:rsidRPr="00385FB9" w:rsidP="00166894" w14:paraId="7A5B274A" w14:textId="77777777">
      <w:pPr>
        <w:keepNext/>
        <w:keepLines/>
        <w:widowControl w:val="0"/>
        <w:tabs>
          <w:tab w:val="clear" w:pos="567"/>
        </w:tabs>
        <w:spacing w:line="240" w:lineRule="auto"/>
      </w:pPr>
      <w:r w:rsidRPr="00385FB9">
        <w:t>Due to the risks associated with Kymriah treatment, infusion should be delayed if a patient has any of the following conditions:</w:t>
      </w:r>
    </w:p>
    <w:p w:rsidR="00515A78" w:rsidRPr="00D442F1" w:rsidP="00166894" w14:paraId="15FF2863" w14:textId="77777777">
      <w:pPr>
        <w:widowControl w:val="0"/>
        <w:tabs>
          <w:tab w:val="clear" w:pos="567"/>
        </w:tabs>
        <w:spacing w:line="240" w:lineRule="auto"/>
        <w:ind w:left="567" w:hanging="567"/>
      </w:pPr>
      <w:r w:rsidRPr="00385FB9">
        <w:t>-</w:t>
      </w:r>
      <w:r w:rsidRPr="00385FB9">
        <w:tab/>
        <w:t>Unresolved serious adverse reactions (especially pulmonary reactions, cardiac reactions or hypotension) from preceding</w:t>
      </w:r>
      <w:r w:rsidRPr="00D442F1">
        <w:t xml:space="preserve"> chemotherapies.</w:t>
      </w:r>
    </w:p>
    <w:p w:rsidR="00515A78" w:rsidRPr="00D442F1" w:rsidP="00166894" w14:paraId="78BD2405" w14:textId="77777777">
      <w:pPr>
        <w:widowControl w:val="0"/>
        <w:tabs>
          <w:tab w:val="clear" w:pos="567"/>
        </w:tabs>
        <w:spacing w:line="240" w:lineRule="auto"/>
        <w:ind w:left="567" w:hanging="567"/>
      </w:pPr>
      <w:r w:rsidRPr="00D442F1">
        <w:t>-</w:t>
      </w:r>
      <w:r w:rsidRPr="00D442F1">
        <w:tab/>
        <w:t>Active uncontrolled infection.</w:t>
      </w:r>
    </w:p>
    <w:p w:rsidR="00515A78" w:rsidRPr="00D442F1" w:rsidP="00166894" w14:paraId="0B1BCDA7" w14:textId="77777777">
      <w:pPr>
        <w:widowControl w:val="0"/>
        <w:tabs>
          <w:tab w:val="clear" w:pos="567"/>
        </w:tabs>
        <w:spacing w:line="240" w:lineRule="auto"/>
        <w:ind w:left="567" w:hanging="567"/>
      </w:pPr>
      <w:r w:rsidRPr="00D442F1">
        <w:t>-</w:t>
      </w:r>
      <w:r w:rsidRPr="00D442F1">
        <w:tab/>
        <w:t>Active graft</w:t>
      </w:r>
      <w:r w:rsidRPr="00D442F1" w:rsidR="005441E9">
        <w:noBreakHyphen/>
      </w:r>
      <w:r w:rsidRPr="00D442F1">
        <w:t>versus</w:t>
      </w:r>
      <w:r w:rsidRPr="00D442F1" w:rsidR="005441E9">
        <w:noBreakHyphen/>
      </w:r>
      <w:r w:rsidRPr="00D442F1">
        <w:t>host disease (GVHD).</w:t>
      </w:r>
    </w:p>
    <w:p w:rsidR="00D6252C" w:rsidRPr="00D442F1" w:rsidP="00D6252C" w14:paraId="44AD40A1" w14:textId="77777777">
      <w:pPr>
        <w:widowControl w:val="0"/>
        <w:tabs>
          <w:tab w:val="clear" w:pos="567"/>
        </w:tabs>
        <w:spacing w:line="240" w:lineRule="auto"/>
        <w:ind w:left="567" w:hanging="567"/>
      </w:pPr>
      <w:r w:rsidRPr="00D442F1">
        <w:t>-</w:t>
      </w:r>
      <w:r w:rsidRPr="00D442F1">
        <w:tab/>
        <w:t xml:space="preserve">Significant clinical worsening of leukaemia burden or </w:t>
      </w:r>
      <w:r w:rsidRPr="00D442F1" w:rsidR="00202BBA">
        <w:t xml:space="preserve">rapid progression of </w:t>
      </w:r>
      <w:r w:rsidRPr="00D442F1">
        <w:t>lymphoma following lymphodepleting chemotherapy.</w:t>
      </w:r>
    </w:p>
    <w:p w:rsidR="00A1469C" w:rsidRPr="00D442F1" w:rsidP="00166894" w14:paraId="0BB17A3F" w14:textId="77777777">
      <w:pPr>
        <w:widowControl w:val="0"/>
        <w:tabs>
          <w:tab w:val="clear" w:pos="567"/>
        </w:tabs>
        <w:spacing w:line="240" w:lineRule="auto"/>
        <w:ind w:left="567" w:hanging="567"/>
      </w:pPr>
    </w:p>
    <w:p w:rsidR="004F559A" w:rsidRPr="00D442F1" w:rsidP="00166894" w14:paraId="32AB87D2" w14:textId="77777777">
      <w:pPr>
        <w:keepNext/>
        <w:widowControl w:val="0"/>
        <w:tabs>
          <w:tab w:val="clear" w:pos="567"/>
        </w:tabs>
        <w:spacing w:line="240" w:lineRule="auto"/>
        <w:ind w:left="567" w:hanging="567"/>
        <w:rPr>
          <w:u w:val="single"/>
        </w:rPr>
      </w:pPr>
      <w:r w:rsidRPr="00D442F1">
        <w:rPr>
          <w:u w:val="single"/>
        </w:rPr>
        <w:t>Blood, organ, tissue and cell donation</w:t>
      </w:r>
    </w:p>
    <w:p w:rsidR="004F559A" w:rsidRPr="00D442F1" w:rsidP="00166894" w14:paraId="79866152" w14:textId="77777777">
      <w:pPr>
        <w:keepNext/>
        <w:widowControl w:val="0"/>
        <w:tabs>
          <w:tab w:val="clear" w:pos="567"/>
        </w:tabs>
        <w:spacing w:line="240" w:lineRule="auto"/>
        <w:ind w:left="567" w:hanging="567"/>
      </w:pPr>
    </w:p>
    <w:p w:rsidR="00670D6D" w:rsidRPr="00D442F1" w:rsidP="00166894" w14:paraId="3350856B" w14:textId="37BEABC2">
      <w:pPr>
        <w:widowControl w:val="0"/>
        <w:tabs>
          <w:tab w:val="clear" w:pos="567"/>
        </w:tabs>
        <w:spacing w:line="240" w:lineRule="auto"/>
        <w:ind w:left="567" w:hanging="567"/>
      </w:pPr>
      <w:r w:rsidRPr="00D442F1">
        <w:t>Patients treated with Kymriah should not donate blood, organs, tissues</w:t>
      </w:r>
      <w:r w:rsidRPr="00D442F1" w:rsidR="00D6252C">
        <w:t xml:space="preserve"> </w:t>
      </w:r>
      <w:r w:rsidRPr="00D442F1" w:rsidR="003E7FCA">
        <w:t>or</w:t>
      </w:r>
      <w:r w:rsidRPr="00D442F1">
        <w:t xml:space="preserve"> cells.</w:t>
      </w:r>
    </w:p>
    <w:p w:rsidR="00232915" w:rsidRPr="00D442F1" w:rsidP="00166894" w14:paraId="331B32D0" w14:textId="77777777">
      <w:pPr>
        <w:widowControl w:val="0"/>
        <w:tabs>
          <w:tab w:val="clear" w:pos="567"/>
        </w:tabs>
        <w:spacing w:line="240" w:lineRule="auto"/>
        <w:rPr>
          <w:noProof/>
          <w:szCs w:val="22"/>
        </w:rPr>
      </w:pPr>
    </w:p>
    <w:p w:rsidR="00232915" w:rsidRPr="00D442F1" w:rsidP="00166894" w14:paraId="35792058" w14:textId="77777777">
      <w:pPr>
        <w:keepNext/>
        <w:widowControl w:val="0"/>
        <w:tabs>
          <w:tab w:val="clear" w:pos="567"/>
        </w:tabs>
        <w:autoSpaceDE w:val="0"/>
        <w:autoSpaceDN w:val="0"/>
        <w:adjustRightInd w:val="0"/>
        <w:spacing w:line="240" w:lineRule="auto"/>
        <w:rPr>
          <w:szCs w:val="22"/>
          <w:u w:val="single"/>
        </w:rPr>
      </w:pPr>
      <w:r w:rsidRPr="00D442F1">
        <w:rPr>
          <w:szCs w:val="22"/>
          <w:u w:val="single"/>
        </w:rPr>
        <w:t>Active central nervous system (CNS) leukaemia or lymphoma</w:t>
      </w:r>
    </w:p>
    <w:p w:rsidR="00232915" w:rsidRPr="00D442F1" w:rsidP="00166894" w14:paraId="02DA8E17" w14:textId="77777777">
      <w:pPr>
        <w:keepNext/>
        <w:widowControl w:val="0"/>
        <w:tabs>
          <w:tab w:val="clear" w:pos="567"/>
        </w:tabs>
        <w:autoSpaceDE w:val="0"/>
        <w:autoSpaceDN w:val="0"/>
        <w:adjustRightInd w:val="0"/>
        <w:spacing w:line="240" w:lineRule="auto"/>
        <w:rPr>
          <w:szCs w:val="22"/>
        </w:rPr>
      </w:pPr>
    </w:p>
    <w:p w:rsidR="00232915" w:rsidRPr="00D442F1" w:rsidP="00166894" w14:paraId="1589ABB9" w14:textId="6B5F9303">
      <w:pPr>
        <w:widowControl w:val="0"/>
        <w:tabs>
          <w:tab w:val="clear" w:pos="567"/>
        </w:tabs>
        <w:spacing w:line="240" w:lineRule="auto"/>
        <w:rPr>
          <w:szCs w:val="22"/>
        </w:rPr>
      </w:pPr>
      <w:r w:rsidRPr="00D442F1">
        <w:rPr>
          <w:szCs w:val="22"/>
        </w:rPr>
        <w:t xml:space="preserve">There is limited experience of use of Kymriah in patients with active CNS leukaemia </w:t>
      </w:r>
      <w:r w:rsidRPr="00D442F1">
        <w:rPr>
          <w:rFonts w:ascii="TimesNewRomanPSMT,Times New Rom" w:eastAsia="TimesNewRomanPSMT,Times New Rom" w:hAnsi="TimesNewRomanPSMT,Times New Rom" w:cs="TimesNewRomanPSMT,Times New Rom"/>
        </w:rPr>
        <w:t>and active CNS lymphoma.</w:t>
      </w:r>
      <w:r w:rsidRPr="00D442F1">
        <w:rPr>
          <w:szCs w:val="22"/>
        </w:rPr>
        <w:t xml:space="preserve"> Therefore</w:t>
      </w:r>
      <w:r w:rsidR="00B729F0">
        <w:rPr>
          <w:szCs w:val="22"/>
        </w:rPr>
        <w:t>,</w:t>
      </w:r>
      <w:r w:rsidRPr="00D442F1">
        <w:rPr>
          <w:szCs w:val="22"/>
        </w:rPr>
        <w:t xml:space="preserve"> the risk/benefit of Kymriah has not been established in these populations.</w:t>
      </w:r>
    </w:p>
    <w:p w:rsidR="000F7665" w:rsidRPr="00D442F1" w:rsidP="00166894" w14:paraId="5D8DA7DB" w14:textId="77777777">
      <w:pPr>
        <w:widowControl w:val="0"/>
        <w:tabs>
          <w:tab w:val="clear" w:pos="567"/>
        </w:tabs>
        <w:spacing w:line="240" w:lineRule="auto"/>
        <w:rPr>
          <w:noProof/>
          <w:szCs w:val="22"/>
        </w:rPr>
      </w:pPr>
    </w:p>
    <w:p w:rsidR="00670D6D" w:rsidRPr="00D442F1" w:rsidP="00166894" w14:paraId="1E6D70A0" w14:textId="77777777">
      <w:pPr>
        <w:keepNext/>
        <w:widowControl w:val="0"/>
        <w:tabs>
          <w:tab w:val="clear" w:pos="567"/>
        </w:tabs>
        <w:spacing w:line="240" w:lineRule="auto"/>
        <w:rPr>
          <w:noProof/>
          <w:szCs w:val="22"/>
          <w:u w:val="single"/>
        </w:rPr>
      </w:pPr>
      <w:r w:rsidRPr="00D442F1">
        <w:rPr>
          <w:noProof/>
          <w:szCs w:val="22"/>
          <w:u w:val="single"/>
        </w:rPr>
        <w:t>Cytokine release syndrome</w:t>
      </w:r>
    </w:p>
    <w:p w:rsidR="0088559B" w:rsidRPr="00D442F1" w:rsidP="00166894" w14:paraId="67866B76" w14:textId="77777777">
      <w:pPr>
        <w:keepNext/>
        <w:widowControl w:val="0"/>
        <w:tabs>
          <w:tab w:val="clear" w:pos="567"/>
        </w:tabs>
        <w:spacing w:line="240" w:lineRule="auto"/>
        <w:rPr>
          <w:noProof/>
          <w:szCs w:val="22"/>
        </w:rPr>
      </w:pPr>
    </w:p>
    <w:p w:rsidR="00C13BC9" w:rsidRPr="00D442F1" w:rsidP="00166894" w14:paraId="2AD576B2" w14:textId="4C863FAE">
      <w:pPr>
        <w:widowControl w:val="0"/>
        <w:tabs>
          <w:tab w:val="clear" w:pos="567"/>
        </w:tabs>
        <w:spacing w:line="240" w:lineRule="auto"/>
        <w:rPr>
          <w:noProof/>
          <w:szCs w:val="22"/>
        </w:rPr>
      </w:pPr>
      <w:r w:rsidRPr="00D442F1">
        <w:rPr>
          <w:noProof/>
          <w:szCs w:val="22"/>
        </w:rPr>
        <w:t>C</w:t>
      </w:r>
      <w:r w:rsidRPr="00D442F1" w:rsidR="00670D6D">
        <w:rPr>
          <w:noProof/>
          <w:szCs w:val="22"/>
        </w:rPr>
        <w:t>ytokine release syndrome</w:t>
      </w:r>
      <w:r w:rsidRPr="00D442F1" w:rsidR="001B2CFC">
        <w:rPr>
          <w:noProof/>
          <w:szCs w:val="22"/>
        </w:rPr>
        <w:t>, including</w:t>
      </w:r>
      <w:r w:rsidRPr="00D442F1" w:rsidR="00324FF4">
        <w:rPr>
          <w:noProof/>
          <w:szCs w:val="22"/>
        </w:rPr>
        <w:t xml:space="preserve"> fatal or</w:t>
      </w:r>
      <w:r w:rsidRPr="00D442F1" w:rsidR="001B2CFC">
        <w:rPr>
          <w:noProof/>
          <w:szCs w:val="22"/>
        </w:rPr>
        <w:t xml:space="preserve"> life</w:t>
      </w:r>
      <w:r w:rsidRPr="00D442F1" w:rsidR="00591100">
        <w:rPr>
          <w:noProof/>
          <w:szCs w:val="22"/>
        </w:rPr>
        <w:noBreakHyphen/>
      </w:r>
      <w:r w:rsidRPr="00D442F1" w:rsidR="001B2CFC">
        <w:rPr>
          <w:noProof/>
          <w:szCs w:val="22"/>
        </w:rPr>
        <w:t>threatening</w:t>
      </w:r>
      <w:r w:rsidRPr="00D442F1">
        <w:rPr>
          <w:noProof/>
          <w:szCs w:val="22"/>
        </w:rPr>
        <w:t xml:space="preserve"> events</w:t>
      </w:r>
      <w:r w:rsidRPr="00D442F1" w:rsidR="001B2CFC">
        <w:rPr>
          <w:noProof/>
          <w:szCs w:val="22"/>
        </w:rPr>
        <w:t>,</w:t>
      </w:r>
      <w:r w:rsidRPr="00D442F1" w:rsidR="00670D6D">
        <w:rPr>
          <w:noProof/>
          <w:szCs w:val="22"/>
        </w:rPr>
        <w:t xml:space="preserve"> has been</w:t>
      </w:r>
      <w:r w:rsidRPr="00D442F1" w:rsidR="00346E08">
        <w:rPr>
          <w:noProof/>
          <w:szCs w:val="22"/>
        </w:rPr>
        <w:t xml:space="preserve"> frequently</w:t>
      </w:r>
      <w:r w:rsidRPr="00D442F1" w:rsidR="00324FF4">
        <w:rPr>
          <w:noProof/>
          <w:szCs w:val="22"/>
        </w:rPr>
        <w:t xml:space="preserve"> </w:t>
      </w:r>
      <w:r w:rsidRPr="00D442F1" w:rsidR="00670D6D">
        <w:rPr>
          <w:noProof/>
          <w:szCs w:val="22"/>
        </w:rPr>
        <w:t>observed after Kymriah infusion</w:t>
      </w:r>
      <w:r w:rsidRPr="00D442F1" w:rsidR="00324FF4">
        <w:rPr>
          <w:noProof/>
          <w:szCs w:val="22"/>
        </w:rPr>
        <w:t xml:space="preserve"> (see section 4.8)</w:t>
      </w:r>
      <w:r w:rsidRPr="00D442F1" w:rsidR="00670D6D">
        <w:rPr>
          <w:noProof/>
          <w:szCs w:val="22"/>
        </w:rPr>
        <w:t xml:space="preserve">. </w:t>
      </w:r>
      <w:r w:rsidRPr="00D442F1" w:rsidR="00DD49D5">
        <w:rPr>
          <w:noProof/>
          <w:szCs w:val="22"/>
        </w:rPr>
        <w:t xml:space="preserve">In </w:t>
      </w:r>
      <w:r w:rsidRPr="00D442F1" w:rsidR="001B2CFC">
        <w:rPr>
          <w:noProof/>
          <w:szCs w:val="22"/>
        </w:rPr>
        <w:t xml:space="preserve">almost all </w:t>
      </w:r>
      <w:r w:rsidRPr="00D442F1" w:rsidR="00DD49D5">
        <w:rPr>
          <w:noProof/>
          <w:szCs w:val="22"/>
        </w:rPr>
        <w:t xml:space="preserve">cases, development </w:t>
      </w:r>
      <w:r w:rsidRPr="00D442F1" w:rsidR="00670D6D">
        <w:rPr>
          <w:noProof/>
          <w:szCs w:val="22"/>
        </w:rPr>
        <w:t xml:space="preserve">of </w:t>
      </w:r>
      <w:r w:rsidRPr="00D442F1" w:rsidR="00C6018F">
        <w:rPr>
          <w:noProof/>
          <w:szCs w:val="22"/>
        </w:rPr>
        <w:t>cytokine release syndrome</w:t>
      </w:r>
      <w:r w:rsidRPr="00D442F1" w:rsidR="00670D6D">
        <w:rPr>
          <w:noProof/>
          <w:szCs w:val="22"/>
        </w:rPr>
        <w:t xml:space="preserve"> occu</w:t>
      </w:r>
      <w:r w:rsidRPr="00D442F1" w:rsidR="0015684E">
        <w:rPr>
          <w:noProof/>
          <w:szCs w:val="22"/>
        </w:rPr>
        <w:t>r</w:t>
      </w:r>
      <w:r w:rsidRPr="00D442F1" w:rsidR="00670D6D">
        <w:rPr>
          <w:noProof/>
          <w:szCs w:val="22"/>
        </w:rPr>
        <w:t xml:space="preserve">red </w:t>
      </w:r>
      <w:r w:rsidRPr="00D442F1" w:rsidR="001B2CFC">
        <w:rPr>
          <w:noProof/>
          <w:szCs w:val="22"/>
        </w:rPr>
        <w:t>between 1 to</w:t>
      </w:r>
      <w:r w:rsidRPr="00D442F1" w:rsidR="00DD49D5">
        <w:rPr>
          <w:noProof/>
          <w:szCs w:val="22"/>
        </w:rPr>
        <w:t xml:space="preserve"> 10</w:t>
      </w:r>
      <w:r w:rsidRPr="00D442F1" w:rsidR="002F759C">
        <w:rPr>
          <w:noProof/>
          <w:szCs w:val="22"/>
        </w:rPr>
        <w:t> </w:t>
      </w:r>
      <w:r w:rsidRPr="00D442F1" w:rsidR="00670D6D">
        <w:rPr>
          <w:noProof/>
          <w:szCs w:val="22"/>
        </w:rPr>
        <w:t xml:space="preserve">days </w:t>
      </w:r>
      <w:r w:rsidRPr="00D442F1" w:rsidR="00996A48">
        <w:rPr>
          <w:noProof/>
          <w:szCs w:val="22"/>
        </w:rPr>
        <w:t>(median onset 3</w:t>
      </w:r>
      <w:r w:rsidRPr="00D442F1" w:rsidR="002F759C">
        <w:rPr>
          <w:noProof/>
          <w:szCs w:val="22"/>
        </w:rPr>
        <w:t> </w:t>
      </w:r>
      <w:r w:rsidRPr="00D442F1" w:rsidR="00996A48">
        <w:rPr>
          <w:noProof/>
          <w:szCs w:val="22"/>
        </w:rPr>
        <w:t xml:space="preserve">days) </w:t>
      </w:r>
      <w:r w:rsidRPr="00D442F1" w:rsidR="00670D6D">
        <w:rPr>
          <w:noProof/>
          <w:szCs w:val="22"/>
        </w:rPr>
        <w:t xml:space="preserve">after </w:t>
      </w:r>
      <w:r w:rsidRPr="00D442F1" w:rsidR="00996A48">
        <w:rPr>
          <w:noProof/>
          <w:szCs w:val="22"/>
        </w:rPr>
        <w:t xml:space="preserve">Kymriah </w:t>
      </w:r>
      <w:r w:rsidRPr="00D442F1" w:rsidR="00670D6D">
        <w:rPr>
          <w:noProof/>
          <w:szCs w:val="22"/>
        </w:rPr>
        <w:t>infusion</w:t>
      </w:r>
      <w:r w:rsidRPr="00D442F1" w:rsidR="00996A48">
        <w:t xml:space="preserve">. The median time to resolution of </w:t>
      </w:r>
      <w:r w:rsidRPr="00D442F1" w:rsidR="00C6018F">
        <w:rPr>
          <w:noProof/>
          <w:szCs w:val="22"/>
        </w:rPr>
        <w:t>cytokine release syndrome</w:t>
      </w:r>
      <w:r w:rsidRPr="00D442F1" w:rsidR="00996A48">
        <w:t xml:space="preserve"> was </w:t>
      </w:r>
      <w:r w:rsidRPr="00D442F1" w:rsidR="004271DD">
        <w:t>8 </w:t>
      </w:r>
      <w:r w:rsidRPr="00D442F1" w:rsidR="00996A48">
        <w:t>days</w:t>
      </w:r>
      <w:r w:rsidRPr="00D442F1" w:rsidR="00670D6D">
        <w:rPr>
          <w:noProof/>
          <w:szCs w:val="22"/>
        </w:rPr>
        <w:t>.</w:t>
      </w:r>
    </w:p>
    <w:p w:rsidR="00C13BC9" w:rsidRPr="00D442F1" w:rsidP="00166894" w14:paraId="5A37428F" w14:textId="77777777">
      <w:pPr>
        <w:widowControl w:val="0"/>
        <w:tabs>
          <w:tab w:val="clear" w:pos="567"/>
        </w:tabs>
        <w:spacing w:line="240" w:lineRule="auto"/>
        <w:rPr>
          <w:noProof/>
          <w:szCs w:val="22"/>
        </w:rPr>
      </w:pPr>
    </w:p>
    <w:p w:rsidR="001F0C8C" w:rsidRPr="00D442F1" w:rsidP="00166894" w14:paraId="1501551F" w14:textId="0C8F6C88">
      <w:pPr>
        <w:widowControl w:val="0"/>
        <w:tabs>
          <w:tab w:val="clear" w:pos="567"/>
        </w:tabs>
        <w:spacing w:line="240" w:lineRule="auto"/>
        <w:rPr>
          <w:noProof/>
          <w:szCs w:val="22"/>
        </w:rPr>
      </w:pPr>
      <w:r w:rsidRPr="00D442F1">
        <w:rPr>
          <w:noProof/>
          <w:szCs w:val="22"/>
        </w:rPr>
        <w:t xml:space="preserve">Symptoms of </w:t>
      </w:r>
      <w:r w:rsidRPr="00D442F1" w:rsidR="00C6018F">
        <w:rPr>
          <w:noProof/>
          <w:szCs w:val="22"/>
        </w:rPr>
        <w:t>cytokine release syndrome</w:t>
      </w:r>
      <w:r w:rsidRPr="00D442F1">
        <w:rPr>
          <w:noProof/>
          <w:szCs w:val="22"/>
        </w:rPr>
        <w:t xml:space="preserve"> may include high fever, rigors, myalgia, arthralgia, nausea, vomiting, diarrh</w:t>
      </w:r>
      <w:r w:rsidRPr="00D442F1" w:rsidR="002F759C">
        <w:rPr>
          <w:noProof/>
          <w:szCs w:val="22"/>
        </w:rPr>
        <w:t>o</w:t>
      </w:r>
      <w:r w:rsidRPr="00D442F1">
        <w:rPr>
          <w:noProof/>
          <w:szCs w:val="22"/>
        </w:rPr>
        <w:t>ea, diaphoresis, rash, anorexia, fatigue, headache, hypotension, dyspn</w:t>
      </w:r>
      <w:r w:rsidRPr="00D442F1" w:rsidR="002F759C">
        <w:rPr>
          <w:noProof/>
          <w:szCs w:val="22"/>
        </w:rPr>
        <w:t>o</w:t>
      </w:r>
      <w:r w:rsidRPr="00D442F1">
        <w:rPr>
          <w:noProof/>
          <w:szCs w:val="22"/>
        </w:rPr>
        <w:t>ea, tachypn</w:t>
      </w:r>
      <w:r w:rsidRPr="00D442F1" w:rsidR="002F759C">
        <w:rPr>
          <w:noProof/>
          <w:szCs w:val="22"/>
        </w:rPr>
        <w:t>o</w:t>
      </w:r>
      <w:r w:rsidRPr="00D442F1">
        <w:rPr>
          <w:noProof/>
          <w:szCs w:val="22"/>
        </w:rPr>
        <w:t xml:space="preserve">ea, and hypoxia. </w:t>
      </w:r>
      <w:r w:rsidRPr="00D442F1" w:rsidR="0023107D">
        <w:rPr>
          <w:noProof/>
          <w:szCs w:val="22"/>
        </w:rPr>
        <w:t>Organ dysfunction</w:t>
      </w:r>
      <w:r w:rsidRPr="00D442F1">
        <w:rPr>
          <w:noProof/>
          <w:szCs w:val="22"/>
        </w:rPr>
        <w:t>, including cardiac insufficiency and arrhythmia, renal insufficiency</w:t>
      </w:r>
      <w:r w:rsidRPr="00D442F1" w:rsidR="00102841">
        <w:rPr>
          <w:noProof/>
          <w:szCs w:val="22"/>
        </w:rPr>
        <w:t xml:space="preserve"> and liver injury </w:t>
      </w:r>
      <w:r w:rsidRPr="00D442F1" w:rsidR="0023107D">
        <w:rPr>
          <w:noProof/>
          <w:szCs w:val="22"/>
        </w:rPr>
        <w:t>with accompanying</w:t>
      </w:r>
      <w:r w:rsidRPr="00D442F1" w:rsidR="00102841">
        <w:rPr>
          <w:noProof/>
          <w:szCs w:val="22"/>
        </w:rPr>
        <w:t xml:space="preserve"> </w:t>
      </w:r>
      <w:r w:rsidRPr="00D442F1">
        <w:rPr>
          <w:noProof/>
          <w:szCs w:val="22"/>
        </w:rPr>
        <w:t xml:space="preserve">elevated aspartate aminotransferase (AST), elevated alanine aminotransferase (ALT) </w:t>
      </w:r>
      <w:r w:rsidRPr="00D442F1" w:rsidR="0023107D">
        <w:rPr>
          <w:noProof/>
          <w:szCs w:val="22"/>
        </w:rPr>
        <w:t xml:space="preserve">or </w:t>
      </w:r>
      <w:r w:rsidRPr="00D442F1">
        <w:rPr>
          <w:noProof/>
          <w:szCs w:val="22"/>
        </w:rPr>
        <w:t xml:space="preserve">elevated </w:t>
      </w:r>
      <w:r w:rsidRPr="00D442F1" w:rsidR="00102841">
        <w:rPr>
          <w:noProof/>
          <w:szCs w:val="22"/>
        </w:rPr>
        <w:t xml:space="preserve">total </w:t>
      </w:r>
      <w:r w:rsidRPr="00D442F1">
        <w:rPr>
          <w:noProof/>
          <w:szCs w:val="22"/>
        </w:rPr>
        <w:t xml:space="preserve">bilirubin </w:t>
      </w:r>
      <w:r w:rsidRPr="00D442F1" w:rsidR="0023107D">
        <w:rPr>
          <w:noProof/>
          <w:szCs w:val="22"/>
        </w:rPr>
        <w:t>may also be</w:t>
      </w:r>
      <w:r w:rsidRPr="00D442F1">
        <w:rPr>
          <w:noProof/>
          <w:szCs w:val="22"/>
        </w:rPr>
        <w:t xml:space="preserve"> observed. In some cases, disseminated intravascular coagulation (DIC) with low fibrinogen levels, capillary leak syndrome (CLS), macrophage activation syndrome (MAS) </w:t>
      </w:r>
      <w:r w:rsidRPr="00D442F1" w:rsidR="0023107D">
        <w:rPr>
          <w:noProof/>
          <w:szCs w:val="22"/>
        </w:rPr>
        <w:t>and haemophagocytic lymphohistiocytosis(HLH) may occur</w:t>
      </w:r>
      <w:r w:rsidRPr="00D442F1">
        <w:rPr>
          <w:noProof/>
          <w:szCs w:val="22"/>
        </w:rPr>
        <w:t xml:space="preserve"> in the setting of </w:t>
      </w:r>
      <w:r w:rsidRPr="00D442F1" w:rsidR="00C6018F">
        <w:rPr>
          <w:noProof/>
          <w:szCs w:val="22"/>
        </w:rPr>
        <w:t>cytokine release syndrome</w:t>
      </w:r>
      <w:r w:rsidRPr="00D442F1">
        <w:rPr>
          <w:noProof/>
          <w:szCs w:val="22"/>
        </w:rPr>
        <w:t>. Patients should be closely monitored for signs or symptoms of these events</w:t>
      </w:r>
      <w:r w:rsidRPr="00D442F1" w:rsidR="002F759C">
        <w:rPr>
          <w:noProof/>
          <w:szCs w:val="22"/>
        </w:rPr>
        <w:t>,</w:t>
      </w:r>
      <w:r w:rsidRPr="00D442F1" w:rsidR="00802A49">
        <w:rPr>
          <w:noProof/>
          <w:szCs w:val="22"/>
        </w:rPr>
        <w:t xml:space="preserve"> including fever</w:t>
      </w:r>
      <w:r w:rsidRPr="00D442F1">
        <w:rPr>
          <w:noProof/>
          <w:szCs w:val="22"/>
        </w:rPr>
        <w:t>.</w:t>
      </w:r>
    </w:p>
    <w:p w:rsidR="001F0C8C" w:rsidRPr="00D442F1" w:rsidP="00166894" w14:paraId="6F2B52B0" w14:textId="77777777">
      <w:pPr>
        <w:widowControl w:val="0"/>
        <w:tabs>
          <w:tab w:val="clear" w:pos="567"/>
        </w:tabs>
        <w:spacing w:line="240" w:lineRule="auto"/>
        <w:rPr>
          <w:noProof/>
          <w:szCs w:val="22"/>
        </w:rPr>
      </w:pPr>
    </w:p>
    <w:p w:rsidR="001F0C8C" w:rsidRPr="00D442F1" w:rsidP="00166894" w14:paraId="6C100E44" w14:textId="5BAB1605">
      <w:pPr>
        <w:widowControl w:val="0"/>
        <w:tabs>
          <w:tab w:val="clear" w:pos="567"/>
        </w:tabs>
        <w:spacing w:line="240" w:lineRule="auto"/>
        <w:rPr>
          <w:noProof/>
          <w:szCs w:val="22"/>
        </w:rPr>
      </w:pPr>
      <w:r w:rsidRPr="00D442F1">
        <w:rPr>
          <w:noProof/>
          <w:szCs w:val="22"/>
        </w:rPr>
        <w:t xml:space="preserve">Risk factors for severe </w:t>
      </w:r>
      <w:r w:rsidRPr="00D442F1" w:rsidR="00C6018F">
        <w:rPr>
          <w:noProof/>
          <w:szCs w:val="22"/>
        </w:rPr>
        <w:t>cytokine release syndrome</w:t>
      </w:r>
      <w:r w:rsidRPr="00D442F1">
        <w:rPr>
          <w:noProof/>
          <w:szCs w:val="22"/>
        </w:rPr>
        <w:t xml:space="preserve"> in paediatric and young adult B</w:t>
      </w:r>
      <w:r w:rsidRPr="00D442F1">
        <w:rPr>
          <w:noProof/>
          <w:szCs w:val="22"/>
        </w:rPr>
        <w:noBreakHyphen/>
        <w:t xml:space="preserve">cell ALL patients </w:t>
      </w:r>
      <w:r w:rsidRPr="00D442F1" w:rsidR="00346E08">
        <w:rPr>
          <w:noProof/>
          <w:szCs w:val="22"/>
        </w:rPr>
        <w:t xml:space="preserve">are: </w:t>
      </w:r>
      <w:r w:rsidRPr="00D442F1">
        <w:rPr>
          <w:noProof/>
          <w:szCs w:val="22"/>
        </w:rPr>
        <w:t>high pre</w:t>
      </w:r>
      <w:r w:rsidRPr="00D442F1">
        <w:rPr>
          <w:noProof/>
          <w:szCs w:val="22"/>
        </w:rPr>
        <w:noBreakHyphen/>
        <w:t xml:space="preserve">infusion tumour burden, uncontrolled or accelerating tumour burden following lymphodepleting chemotherapy, active infection and early onset of fever or </w:t>
      </w:r>
      <w:r w:rsidRPr="00D442F1" w:rsidR="00C6018F">
        <w:rPr>
          <w:noProof/>
          <w:szCs w:val="22"/>
        </w:rPr>
        <w:t>cytokine release syndrome</w:t>
      </w:r>
      <w:r w:rsidRPr="00D442F1">
        <w:rPr>
          <w:noProof/>
          <w:szCs w:val="22"/>
        </w:rPr>
        <w:t xml:space="preserve"> following Kymriah infusion. </w:t>
      </w:r>
      <w:r w:rsidRPr="00D442F1" w:rsidR="00C10B5F">
        <w:rPr>
          <w:noProof/>
          <w:szCs w:val="22"/>
        </w:rPr>
        <w:t>High tumo</w:t>
      </w:r>
      <w:r w:rsidRPr="00D442F1" w:rsidR="0086266E">
        <w:rPr>
          <w:noProof/>
          <w:szCs w:val="22"/>
        </w:rPr>
        <w:t>u</w:t>
      </w:r>
      <w:r w:rsidRPr="00D442F1" w:rsidR="00C10B5F">
        <w:rPr>
          <w:noProof/>
          <w:szCs w:val="22"/>
        </w:rPr>
        <w:t>r burden prior to Kymriah infusion was identified as a r</w:t>
      </w:r>
      <w:r w:rsidRPr="00D442F1">
        <w:rPr>
          <w:noProof/>
          <w:szCs w:val="22"/>
        </w:rPr>
        <w:t xml:space="preserve">isk factor for developing severe </w:t>
      </w:r>
      <w:r w:rsidRPr="00D442F1" w:rsidR="00C6018F">
        <w:rPr>
          <w:noProof/>
          <w:szCs w:val="22"/>
        </w:rPr>
        <w:t>cytokine release syndrome</w:t>
      </w:r>
      <w:r w:rsidRPr="00D442F1">
        <w:rPr>
          <w:noProof/>
          <w:szCs w:val="22"/>
        </w:rPr>
        <w:t xml:space="preserve"> in adult DLBCL patients.</w:t>
      </w:r>
    </w:p>
    <w:p w:rsidR="001F0C8C" w:rsidRPr="00D442F1" w:rsidP="00166894" w14:paraId="3F0028EF" w14:textId="77777777">
      <w:pPr>
        <w:widowControl w:val="0"/>
        <w:tabs>
          <w:tab w:val="clear" w:pos="567"/>
        </w:tabs>
        <w:spacing w:line="240" w:lineRule="auto"/>
        <w:rPr>
          <w:noProof/>
          <w:szCs w:val="22"/>
        </w:rPr>
      </w:pPr>
    </w:p>
    <w:p w:rsidR="00D02E2B" w:rsidRPr="00D442F1" w:rsidP="00166894" w14:paraId="042F37C3" w14:textId="77777777">
      <w:pPr>
        <w:widowControl w:val="0"/>
        <w:tabs>
          <w:tab w:val="clear" w:pos="567"/>
        </w:tabs>
        <w:spacing w:line="240" w:lineRule="auto"/>
        <w:rPr>
          <w:noProof/>
          <w:szCs w:val="22"/>
        </w:rPr>
      </w:pPr>
      <w:r w:rsidRPr="00D442F1">
        <w:rPr>
          <w:noProof/>
          <w:szCs w:val="22"/>
        </w:rPr>
        <w:t xml:space="preserve">In all indications, appropriate prophylactic and therapeutic treatment for infections should be provided, and complete resolution of any existing infections should be ensured. Infections may also occur during </w:t>
      </w:r>
      <w:r w:rsidRPr="00D442F1" w:rsidR="00C6018F">
        <w:rPr>
          <w:noProof/>
          <w:szCs w:val="22"/>
        </w:rPr>
        <w:t>cytokine release syndrome</w:t>
      </w:r>
      <w:r w:rsidRPr="00D442F1">
        <w:rPr>
          <w:noProof/>
          <w:szCs w:val="22"/>
        </w:rPr>
        <w:t xml:space="preserve"> and may increase the risk of a fatal event.</w:t>
      </w:r>
    </w:p>
    <w:p w:rsidR="00670D6D" w:rsidRPr="00D442F1" w:rsidP="00166894" w14:paraId="227AECA3" w14:textId="77777777">
      <w:pPr>
        <w:widowControl w:val="0"/>
        <w:tabs>
          <w:tab w:val="clear" w:pos="567"/>
        </w:tabs>
        <w:spacing w:line="240" w:lineRule="auto"/>
        <w:rPr>
          <w:noProof/>
          <w:szCs w:val="22"/>
        </w:rPr>
      </w:pPr>
    </w:p>
    <w:p w:rsidR="00670D6D" w:rsidRPr="00D442F1" w:rsidP="00166894" w14:paraId="60D4F6EA" w14:textId="77777777">
      <w:pPr>
        <w:keepNext/>
        <w:widowControl w:val="0"/>
        <w:tabs>
          <w:tab w:val="clear" w:pos="567"/>
        </w:tabs>
        <w:spacing w:line="240" w:lineRule="auto"/>
        <w:rPr>
          <w:i/>
          <w:noProof/>
          <w:szCs w:val="22"/>
          <w:u w:val="single"/>
        </w:rPr>
      </w:pPr>
      <w:r w:rsidRPr="00D442F1">
        <w:rPr>
          <w:i/>
          <w:noProof/>
          <w:szCs w:val="22"/>
          <w:u w:val="single"/>
        </w:rPr>
        <w:t xml:space="preserve">Management of </w:t>
      </w:r>
      <w:r w:rsidRPr="00D442F1" w:rsidR="00C6018F">
        <w:rPr>
          <w:i/>
          <w:noProof/>
          <w:szCs w:val="22"/>
          <w:u w:val="single"/>
        </w:rPr>
        <w:t>cytokine release syndrome</w:t>
      </w:r>
      <w:r w:rsidRPr="00D442F1">
        <w:rPr>
          <w:i/>
          <w:noProof/>
          <w:szCs w:val="22"/>
          <w:u w:val="single"/>
        </w:rPr>
        <w:t xml:space="preserve"> associated with Kymriah</w:t>
      </w:r>
    </w:p>
    <w:p w:rsidR="00013C36" w:rsidRPr="00D442F1" w:rsidP="00166894" w14:paraId="651156B5" w14:textId="3A22060E">
      <w:pPr>
        <w:widowControl w:val="0"/>
        <w:tabs>
          <w:tab w:val="clear" w:pos="567"/>
        </w:tabs>
        <w:spacing w:line="240" w:lineRule="auto"/>
        <w:rPr>
          <w:noProof/>
          <w:szCs w:val="22"/>
        </w:rPr>
      </w:pPr>
      <w:r w:rsidRPr="00D442F1">
        <w:rPr>
          <w:noProof/>
          <w:szCs w:val="22"/>
        </w:rPr>
        <w:t>Cytokine release syndrome</w:t>
      </w:r>
      <w:r w:rsidRPr="00D442F1" w:rsidR="00670D6D">
        <w:rPr>
          <w:noProof/>
          <w:szCs w:val="22"/>
        </w:rPr>
        <w:t xml:space="preserve"> </w:t>
      </w:r>
      <w:r w:rsidRPr="00D442F1" w:rsidR="00102841">
        <w:rPr>
          <w:noProof/>
          <w:szCs w:val="22"/>
        </w:rPr>
        <w:t xml:space="preserve">should be </w:t>
      </w:r>
      <w:r w:rsidRPr="00385FB9" w:rsidR="00670D6D">
        <w:rPr>
          <w:noProof/>
          <w:szCs w:val="22"/>
        </w:rPr>
        <w:t>managed solely based on</w:t>
      </w:r>
      <w:r w:rsidRPr="00385FB9" w:rsidR="00102841">
        <w:rPr>
          <w:noProof/>
          <w:szCs w:val="22"/>
        </w:rPr>
        <w:t xml:space="preserve"> the patient’s</w:t>
      </w:r>
      <w:r w:rsidRPr="00385FB9" w:rsidR="00670D6D">
        <w:rPr>
          <w:noProof/>
          <w:szCs w:val="22"/>
        </w:rPr>
        <w:t xml:space="preserve"> clinical presentation and according to the </w:t>
      </w:r>
      <w:r w:rsidRPr="00385FB9">
        <w:rPr>
          <w:noProof/>
          <w:szCs w:val="22"/>
        </w:rPr>
        <w:t>cytokine release syndrome</w:t>
      </w:r>
      <w:r w:rsidRPr="00385FB9" w:rsidR="00670D6D">
        <w:rPr>
          <w:noProof/>
          <w:szCs w:val="22"/>
        </w:rPr>
        <w:t xml:space="preserve"> management algorithm provided in </w:t>
      </w:r>
      <w:r w:rsidRPr="00385FB9" w:rsidR="00160E86">
        <w:rPr>
          <w:noProof/>
          <w:szCs w:val="22"/>
        </w:rPr>
        <w:t>T</w:t>
      </w:r>
      <w:r w:rsidRPr="00385FB9" w:rsidR="00D60A62">
        <w:rPr>
          <w:noProof/>
          <w:szCs w:val="22"/>
        </w:rPr>
        <w:t>able</w:t>
      </w:r>
      <w:r w:rsidRPr="00385FB9" w:rsidR="002F759C">
        <w:rPr>
          <w:noProof/>
          <w:szCs w:val="22"/>
        </w:rPr>
        <w:t> </w:t>
      </w:r>
      <w:r w:rsidRPr="00385FB9" w:rsidR="00670D6D">
        <w:rPr>
          <w:noProof/>
          <w:szCs w:val="22"/>
        </w:rPr>
        <w:t>1. Anti</w:t>
      </w:r>
      <w:r w:rsidRPr="00385FB9" w:rsidR="00591100">
        <w:rPr>
          <w:noProof/>
          <w:szCs w:val="22"/>
        </w:rPr>
        <w:noBreakHyphen/>
      </w:r>
      <w:r w:rsidRPr="00385FB9" w:rsidR="00670D6D">
        <w:rPr>
          <w:noProof/>
          <w:szCs w:val="22"/>
        </w:rPr>
        <w:t>IL</w:t>
      </w:r>
      <w:r w:rsidRPr="00385FB9" w:rsidR="00591100">
        <w:rPr>
          <w:noProof/>
          <w:szCs w:val="22"/>
        </w:rPr>
        <w:noBreakHyphen/>
      </w:r>
      <w:r w:rsidRPr="00385FB9" w:rsidR="00670D6D">
        <w:rPr>
          <w:noProof/>
          <w:szCs w:val="22"/>
        </w:rPr>
        <w:t>6 based therap</w:t>
      </w:r>
      <w:r w:rsidRPr="00385FB9" w:rsidR="003373B9">
        <w:rPr>
          <w:noProof/>
          <w:szCs w:val="22"/>
        </w:rPr>
        <w:t>y</w:t>
      </w:r>
      <w:r w:rsidRPr="00385FB9" w:rsidR="00670D6D">
        <w:rPr>
          <w:noProof/>
          <w:szCs w:val="22"/>
        </w:rPr>
        <w:t xml:space="preserve"> such as tocilizumab ha</w:t>
      </w:r>
      <w:r w:rsidRPr="00385FB9" w:rsidR="003373B9">
        <w:rPr>
          <w:noProof/>
          <w:szCs w:val="22"/>
        </w:rPr>
        <w:t>s</w:t>
      </w:r>
      <w:r w:rsidRPr="00385FB9" w:rsidR="00670D6D">
        <w:rPr>
          <w:noProof/>
          <w:szCs w:val="22"/>
        </w:rPr>
        <w:t xml:space="preserve"> been administered for moderate or severe </w:t>
      </w:r>
      <w:r w:rsidRPr="00385FB9">
        <w:rPr>
          <w:noProof/>
          <w:szCs w:val="22"/>
        </w:rPr>
        <w:t>cytokine release syndrome</w:t>
      </w:r>
      <w:r w:rsidRPr="00385FB9" w:rsidR="00670D6D">
        <w:rPr>
          <w:noProof/>
          <w:szCs w:val="22"/>
        </w:rPr>
        <w:t xml:space="preserve"> associated with Kymriah</w:t>
      </w:r>
      <w:r w:rsidRPr="00385FB9" w:rsidR="00102841">
        <w:rPr>
          <w:noProof/>
          <w:szCs w:val="22"/>
        </w:rPr>
        <w:t>.</w:t>
      </w:r>
      <w:r w:rsidRPr="00385FB9" w:rsidR="00670D6D">
        <w:rPr>
          <w:noProof/>
          <w:szCs w:val="22"/>
        </w:rPr>
        <w:t xml:space="preserve"> </w:t>
      </w:r>
      <w:r w:rsidRPr="00385FB9" w:rsidR="00B729F0">
        <w:rPr>
          <w:noProof/>
          <w:szCs w:val="22"/>
        </w:rPr>
        <w:t>One</w:t>
      </w:r>
      <w:r w:rsidRPr="00385FB9" w:rsidR="00E7138A">
        <w:rPr>
          <w:noProof/>
          <w:szCs w:val="22"/>
        </w:rPr>
        <w:t xml:space="preserve"> dose of </w:t>
      </w:r>
      <w:r w:rsidRPr="00385FB9" w:rsidR="00905D16">
        <w:rPr>
          <w:noProof/>
          <w:szCs w:val="22"/>
        </w:rPr>
        <w:t>tocilizumab</w:t>
      </w:r>
      <w:r w:rsidRPr="00385FB9" w:rsidR="00102841">
        <w:rPr>
          <w:noProof/>
          <w:szCs w:val="22"/>
        </w:rPr>
        <w:t xml:space="preserve"> per patient</w:t>
      </w:r>
      <w:r w:rsidRPr="00385FB9" w:rsidR="00C10B5F">
        <w:rPr>
          <w:noProof/>
          <w:szCs w:val="22"/>
        </w:rPr>
        <w:t xml:space="preserve"> </w:t>
      </w:r>
      <w:r w:rsidRPr="00385FB9" w:rsidR="00905D16">
        <w:rPr>
          <w:noProof/>
          <w:szCs w:val="22"/>
        </w:rPr>
        <w:t>must</w:t>
      </w:r>
      <w:r w:rsidRPr="00385FB9" w:rsidR="00670D6D">
        <w:rPr>
          <w:noProof/>
          <w:szCs w:val="22"/>
        </w:rPr>
        <w:t xml:space="preserve"> be on site and available for administration prior to Kymriah infusion. </w:t>
      </w:r>
      <w:r w:rsidRPr="00385FB9" w:rsidR="00DF037A">
        <w:rPr>
          <w:noProof/>
          <w:szCs w:val="22"/>
        </w:rPr>
        <w:t>The t</w:t>
      </w:r>
      <w:r w:rsidRPr="00385FB9" w:rsidR="00D6745E">
        <w:rPr>
          <w:noProof/>
          <w:szCs w:val="22"/>
        </w:rPr>
        <w:t xml:space="preserve">reatment centre should </w:t>
      </w:r>
      <w:r w:rsidRPr="00385FB9" w:rsidR="0074273C">
        <w:rPr>
          <w:noProof/>
          <w:szCs w:val="22"/>
        </w:rPr>
        <w:t>have access to</w:t>
      </w:r>
      <w:r w:rsidRPr="00385FB9" w:rsidR="00D6745E">
        <w:rPr>
          <w:noProof/>
          <w:szCs w:val="22"/>
        </w:rPr>
        <w:t xml:space="preserve"> additional doses of tocilizumab</w:t>
      </w:r>
      <w:r w:rsidRPr="00385FB9" w:rsidR="005F12AF">
        <w:rPr>
          <w:noProof/>
          <w:szCs w:val="22"/>
        </w:rPr>
        <w:t xml:space="preserve"> within 8</w:t>
      </w:r>
      <w:r w:rsidRPr="00385FB9" w:rsidR="00D267F2">
        <w:rPr>
          <w:noProof/>
          <w:szCs w:val="22"/>
        </w:rPr>
        <w:t> </w:t>
      </w:r>
      <w:r w:rsidRPr="00385FB9" w:rsidR="005F12AF">
        <w:rPr>
          <w:noProof/>
          <w:szCs w:val="22"/>
        </w:rPr>
        <w:t>hours</w:t>
      </w:r>
      <w:r w:rsidRPr="00385FB9" w:rsidR="00D6745E">
        <w:rPr>
          <w:noProof/>
          <w:szCs w:val="22"/>
        </w:rPr>
        <w:t xml:space="preserve">. </w:t>
      </w:r>
      <w:r w:rsidRPr="00385FB9" w:rsidR="00670D6D">
        <w:rPr>
          <w:noProof/>
          <w:szCs w:val="22"/>
        </w:rPr>
        <w:t>Corticosteroids may be administered in cases of life</w:t>
      </w:r>
      <w:r w:rsidRPr="00385FB9" w:rsidR="00591100">
        <w:rPr>
          <w:noProof/>
          <w:szCs w:val="22"/>
        </w:rPr>
        <w:noBreakHyphen/>
      </w:r>
      <w:r w:rsidRPr="00385FB9" w:rsidR="00670D6D">
        <w:rPr>
          <w:noProof/>
          <w:szCs w:val="22"/>
        </w:rPr>
        <w:t>threatening emergencies.</w:t>
      </w:r>
      <w:r w:rsidRPr="00385FB9" w:rsidR="00346E08">
        <w:rPr>
          <w:noProof/>
          <w:szCs w:val="22"/>
        </w:rPr>
        <w:t xml:space="preserve"> Tisagenlecleucel continues to expand and</w:t>
      </w:r>
      <w:r w:rsidRPr="00D442F1" w:rsidR="00346E08">
        <w:rPr>
          <w:noProof/>
          <w:szCs w:val="22"/>
        </w:rPr>
        <w:t xml:space="preserve"> persist following administration of tocilizumab and corticosteroids.</w:t>
      </w:r>
      <w:r w:rsidRPr="00D442F1" w:rsidR="007F4572">
        <w:t xml:space="preserve"> Patients with medically significant cardiac dysfunction should be managed by standards of critical care and measures such as </w:t>
      </w:r>
      <w:r w:rsidRPr="00D442F1" w:rsidR="00346E08">
        <w:t>e</w:t>
      </w:r>
      <w:r w:rsidRPr="00D442F1" w:rsidR="007F4572">
        <w:t xml:space="preserve">chocardiography should be considered. </w:t>
      </w:r>
      <w:r w:rsidRPr="00D442F1" w:rsidR="00670D6D">
        <w:rPr>
          <w:noProof/>
          <w:szCs w:val="22"/>
        </w:rPr>
        <w:t>Tumo</w:t>
      </w:r>
      <w:r w:rsidRPr="00D442F1" w:rsidR="002F759C">
        <w:rPr>
          <w:noProof/>
          <w:szCs w:val="22"/>
        </w:rPr>
        <w:t>u</w:t>
      </w:r>
      <w:r w:rsidRPr="00D442F1" w:rsidR="00670D6D">
        <w:rPr>
          <w:noProof/>
          <w:szCs w:val="22"/>
        </w:rPr>
        <w:t xml:space="preserve">r </w:t>
      </w:r>
      <w:r w:rsidRPr="00D442F1" w:rsidR="002F759C">
        <w:rPr>
          <w:noProof/>
          <w:szCs w:val="22"/>
        </w:rPr>
        <w:t>n</w:t>
      </w:r>
      <w:r w:rsidRPr="00D442F1" w:rsidR="00670D6D">
        <w:rPr>
          <w:noProof/>
          <w:szCs w:val="22"/>
        </w:rPr>
        <w:t xml:space="preserve">ecrosis </w:t>
      </w:r>
      <w:r w:rsidRPr="00D442F1" w:rsidR="002F759C">
        <w:rPr>
          <w:noProof/>
          <w:szCs w:val="22"/>
        </w:rPr>
        <w:t>f</w:t>
      </w:r>
      <w:r w:rsidRPr="00D442F1" w:rsidR="00670D6D">
        <w:rPr>
          <w:noProof/>
          <w:szCs w:val="22"/>
        </w:rPr>
        <w:t>actor (TNF) antagonists are not recommended for management of Kymriah</w:t>
      </w:r>
      <w:r w:rsidRPr="00D442F1" w:rsidR="00591100">
        <w:rPr>
          <w:noProof/>
          <w:szCs w:val="22"/>
        </w:rPr>
        <w:noBreakHyphen/>
      </w:r>
      <w:r w:rsidRPr="00D442F1" w:rsidR="00670D6D">
        <w:rPr>
          <w:noProof/>
          <w:szCs w:val="22"/>
        </w:rPr>
        <w:t xml:space="preserve">associated </w:t>
      </w:r>
      <w:r w:rsidRPr="00D442F1">
        <w:rPr>
          <w:noProof/>
          <w:szCs w:val="22"/>
        </w:rPr>
        <w:t>cytokine release syndrome</w:t>
      </w:r>
      <w:r w:rsidRPr="00D442F1" w:rsidR="00670D6D">
        <w:rPr>
          <w:noProof/>
          <w:szCs w:val="22"/>
        </w:rPr>
        <w:t>.</w:t>
      </w:r>
    </w:p>
    <w:p w:rsidR="00670D6D" w:rsidRPr="00D442F1" w:rsidP="00166894" w14:paraId="65384694" w14:textId="77777777">
      <w:pPr>
        <w:widowControl w:val="0"/>
        <w:tabs>
          <w:tab w:val="clear" w:pos="567"/>
        </w:tabs>
        <w:spacing w:line="240" w:lineRule="auto"/>
        <w:rPr>
          <w:noProof/>
          <w:szCs w:val="22"/>
        </w:rPr>
      </w:pPr>
    </w:p>
    <w:p w:rsidR="00013C36" w:rsidRPr="00D442F1" w:rsidP="00166894" w14:paraId="3AF87A07" w14:textId="77777777">
      <w:pPr>
        <w:keepNext/>
        <w:keepLines/>
        <w:widowControl w:val="0"/>
        <w:tabs>
          <w:tab w:val="clear" w:pos="567"/>
        </w:tabs>
        <w:spacing w:line="240" w:lineRule="auto"/>
        <w:ind w:left="1134" w:hanging="1134"/>
        <w:rPr>
          <w:b/>
          <w:noProof/>
          <w:szCs w:val="22"/>
        </w:rPr>
      </w:pPr>
      <w:r w:rsidRPr="00D442F1">
        <w:rPr>
          <w:b/>
          <w:noProof/>
          <w:szCs w:val="22"/>
        </w:rPr>
        <w:t>Table</w:t>
      </w:r>
      <w:r w:rsidRPr="00D442F1" w:rsidR="00B2704A">
        <w:rPr>
          <w:b/>
          <w:noProof/>
          <w:szCs w:val="22"/>
        </w:rPr>
        <w:t> </w:t>
      </w:r>
      <w:r w:rsidRPr="00D442F1">
        <w:rPr>
          <w:b/>
          <w:noProof/>
          <w:szCs w:val="22"/>
        </w:rPr>
        <w:t>1</w:t>
      </w:r>
      <w:r w:rsidRPr="00D442F1">
        <w:rPr>
          <w:b/>
          <w:noProof/>
          <w:szCs w:val="22"/>
        </w:rPr>
        <w:tab/>
      </w:r>
      <w:r w:rsidRPr="00D442F1" w:rsidR="00C6018F">
        <w:rPr>
          <w:b/>
          <w:noProof/>
          <w:szCs w:val="22"/>
        </w:rPr>
        <w:t>Cytokine release syndrome</w:t>
      </w:r>
      <w:r w:rsidRPr="00D442F1">
        <w:rPr>
          <w:b/>
          <w:noProof/>
          <w:szCs w:val="22"/>
        </w:rPr>
        <w:t xml:space="preserve"> management algorithm</w:t>
      </w:r>
    </w:p>
    <w:p w:rsidR="0088559B" w:rsidRPr="00D442F1" w:rsidP="00166894" w14:paraId="696E2559" w14:textId="77777777">
      <w:pPr>
        <w:keepNext/>
        <w:keepLines/>
        <w:widowControl w:val="0"/>
        <w:tabs>
          <w:tab w:val="clear" w:pos="567"/>
        </w:tabs>
        <w:spacing w:line="240" w:lineRule="auto"/>
        <w:rPr>
          <w:noProof/>
          <w:szCs w:val="22"/>
        </w:rPr>
      </w:pP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40"/>
        <w:gridCol w:w="5255"/>
      </w:tblGrid>
      <w:tr w14:paraId="4C6F5203" w14:textId="77777777" w:rsidTr="00A8730C">
        <w:tblPrEx>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Pr>
        <w:tc>
          <w:tcPr>
            <w:tcW w:w="2111" w:type="pct"/>
            <w:tcBorders>
              <w:top w:val="single" w:sz="4" w:space="0" w:color="auto"/>
              <w:left w:val="single" w:sz="4" w:space="0" w:color="auto"/>
              <w:bottom w:val="single" w:sz="4" w:space="0" w:color="auto"/>
              <w:right w:val="single" w:sz="4" w:space="0" w:color="auto"/>
            </w:tcBorders>
            <w:shd w:val="clear" w:color="auto" w:fill="auto"/>
            <w:vAlign w:val="center"/>
          </w:tcPr>
          <w:p w:rsidR="00A8730C" w:rsidRPr="00D442F1" w:rsidP="00166894" w14:paraId="419BBA1F" w14:textId="77777777">
            <w:pPr>
              <w:keepNext/>
              <w:keepLines/>
              <w:widowControl w:val="0"/>
              <w:tabs>
                <w:tab w:val="clear" w:pos="567"/>
              </w:tabs>
              <w:spacing w:line="240" w:lineRule="auto"/>
              <w:rPr>
                <w:b/>
                <w:noProof/>
                <w:szCs w:val="22"/>
              </w:rPr>
            </w:pPr>
            <w:r w:rsidRPr="00D442F1">
              <w:rPr>
                <w:b/>
                <w:noProof/>
                <w:szCs w:val="22"/>
              </w:rPr>
              <w:t>Cytokine release syndrome</w:t>
            </w:r>
            <w:r w:rsidRPr="00D442F1">
              <w:rPr>
                <w:b/>
                <w:noProof/>
                <w:szCs w:val="22"/>
              </w:rPr>
              <w:t xml:space="preserve"> severity</w:t>
            </w:r>
          </w:p>
        </w:tc>
        <w:tc>
          <w:tcPr>
            <w:tcW w:w="2889" w:type="pct"/>
            <w:tcBorders>
              <w:top w:val="single" w:sz="4" w:space="0" w:color="auto"/>
              <w:left w:val="single" w:sz="4" w:space="0" w:color="auto"/>
              <w:bottom w:val="single" w:sz="4" w:space="0" w:color="auto"/>
              <w:right w:val="single" w:sz="4" w:space="0" w:color="auto"/>
            </w:tcBorders>
            <w:shd w:val="clear" w:color="auto" w:fill="auto"/>
          </w:tcPr>
          <w:p w:rsidR="00A8730C" w:rsidRPr="00D442F1" w:rsidP="00166894" w14:paraId="0E401B98" w14:textId="77777777">
            <w:pPr>
              <w:keepNext/>
              <w:keepLines/>
              <w:widowControl w:val="0"/>
              <w:tabs>
                <w:tab w:val="clear" w:pos="567"/>
              </w:tabs>
              <w:spacing w:line="240" w:lineRule="auto"/>
              <w:rPr>
                <w:b/>
                <w:noProof/>
                <w:szCs w:val="22"/>
              </w:rPr>
            </w:pPr>
            <w:r w:rsidRPr="00D442F1">
              <w:rPr>
                <w:b/>
                <w:noProof/>
                <w:szCs w:val="22"/>
              </w:rPr>
              <w:t>Management</w:t>
            </w:r>
          </w:p>
        </w:tc>
      </w:tr>
      <w:tr w14:paraId="6CD378F9" w14:textId="77777777" w:rsidTr="008825BF">
        <w:tblPrEx>
          <w:tblW w:w="5019" w:type="pct"/>
          <w:tblLook w:val="04A0"/>
        </w:tblPrEx>
        <w:trPr>
          <w:cantSplit/>
        </w:trPr>
        <w:tc>
          <w:tcPr>
            <w:tcW w:w="2111" w:type="pct"/>
            <w:tcBorders>
              <w:top w:val="single" w:sz="4" w:space="0" w:color="auto"/>
              <w:left w:val="single" w:sz="4" w:space="0" w:color="auto"/>
              <w:bottom w:val="single" w:sz="4" w:space="0" w:color="auto"/>
              <w:right w:val="single" w:sz="4" w:space="0" w:color="auto"/>
            </w:tcBorders>
            <w:shd w:val="clear" w:color="auto" w:fill="auto"/>
          </w:tcPr>
          <w:p w:rsidR="00A8730C" w:rsidRPr="00D442F1" w:rsidP="00166894" w14:paraId="65AA14FB" w14:textId="77777777">
            <w:pPr>
              <w:keepNext/>
              <w:keepLines/>
              <w:widowControl w:val="0"/>
              <w:tabs>
                <w:tab w:val="clear" w:pos="567"/>
              </w:tabs>
              <w:spacing w:line="240" w:lineRule="auto"/>
              <w:rPr>
                <w:noProof/>
                <w:szCs w:val="22"/>
              </w:rPr>
            </w:pPr>
            <w:r w:rsidRPr="00D442F1">
              <w:rPr>
                <w:b/>
                <w:i/>
                <w:noProof/>
                <w:szCs w:val="22"/>
              </w:rPr>
              <w:t>Prodromal syndrome</w:t>
            </w:r>
            <w:r w:rsidRPr="00D442F1">
              <w:rPr>
                <w:noProof/>
                <w:szCs w:val="22"/>
              </w:rPr>
              <w:t>:</w:t>
            </w:r>
          </w:p>
          <w:p w:rsidR="00A8730C" w:rsidRPr="00D442F1" w:rsidP="00166894" w14:paraId="48F3BD7F" w14:textId="77777777">
            <w:pPr>
              <w:keepNext/>
              <w:keepLines/>
              <w:widowControl w:val="0"/>
              <w:tabs>
                <w:tab w:val="clear" w:pos="567"/>
              </w:tabs>
              <w:spacing w:line="240" w:lineRule="auto"/>
              <w:rPr>
                <w:noProof/>
                <w:szCs w:val="22"/>
              </w:rPr>
            </w:pPr>
            <w:r w:rsidRPr="00D442F1">
              <w:rPr>
                <w:noProof/>
                <w:szCs w:val="22"/>
              </w:rPr>
              <w:t>Low</w:t>
            </w:r>
            <w:r w:rsidRPr="00D442F1">
              <w:rPr>
                <w:noProof/>
                <w:szCs w:val="22"/>
              </w:rPr>
              <w:noBreakHyphen/>
              <w:t>grade fever, fatigue, anorexia</w:t>
            </w:r>
          </w:p>
        </w:tc>
        <w:tc>
          <w:tcPr>
            <w:tcW w:w="2889" w:type="pct"/>
            <w:tcBorders>
              <w:top w:val="single" w:sz="4" w:space="0" w:color="auto"/>
              <w:left w:val="single" w:sz="4" w:space="0" w:color="auto"/>
              <w:bottom w:val="single" w:sz="4" w:space="0" w:color="auto"/>
              <w:right w:val="single" w:sz="4" w:space="0" w:color="auto"/>
            </w:tcBorders>
            <w:shd w:val="clear" w:color="auto" w:fill="auto"/>
          </w:tcPr>
          <w:p w:rsidR="00A8730C" w:rsidRPr="00D442F1" w:rsidP="00166894" w14:paraId="49B98295" w14:textId="77777777">
            <w:pPr>
              <w:keepNext/>
              <w:keepLines/>
              <w:widowControl w:val="0"/>
              <w:tabs>
                <w:tab w:val="clear" w:pos="567"/>
              </w:tabs>
              <w:spacing w:line="240" w:lineRule="auto"/>
              <w:rPr>
                <w:noProof/>
                <w:szCs w:val="22"/>
              </w:rPr>
            </w:pPr>
            <w:r w:rsidRPr="00D442F1">
              <w:rPr>
                <w:noProof/>
                <w:szCs w:val="22"/>
              </w:rPr>
              <w:t>Observe in person; exclude infection; administer antibiotics per local guidelines if neutropenic; provide symptomatic support.</w:t>
            </w:r>
          </w:p>
        </w:tc>
      </w:tr>
      <w:tr w14:paraId="5ED0E9E5" w14:textId="77777777" w:rsidTr="00A8730C">
        <w:tblPrEx>
          <w:tblW w:w="5019" w:type="pct"/>
          <w:tblLook w:val="04A0"/>
        </w:tblPrEx>
        <w:trPr>
          <w:cantSplit/>
        </w:trPr>
        <w:tc>
          <w:tcPr>
            <w:tcW w:w="2111" w:type="pct"/>
            <w:tcBorders>
              <w:top w:val="single" w:sz="4" w:space="0" w:color="auto"/>
              <w:left w:val="single" w:sz="4" w:space="0" w:color="auto"/>
              <w:bottom w:val="single" w:sz="4" w:space="0" w:color="auto"/>
              <w:right w:val="single" w:sz="4" w:space="0" w:color="auto"/>
            </w:tcBorders>
            <w:shd w:val="clear" w:color="auto" w:fill="auto"/>
            <w:vAlign w:val="center"/>
          </w:tcPr>
          <w:p w:rsidR="00A8730C" w:rsidRPr="00D442F1" w:rsidP="00166894" w14:paraId="07D4E96A" w14:textId="77777777">
            <w:pPr>
              <w:keepNext/>
              <w:keepLines/>
              <w:widowControl w:val="0"/>
              <w:tabs>
                <w:tab w:val="clear" w:pos="567"/>
              </w:tabs>
              <w:spacing w:line="240" w:lineRule="auto"/>
              <w:rPr>
                <w:noProof/>
                <w:szCs w:val="22"/>
              </w:rPr>
            </w:pPr>
            <w:r w:rsidRPr="00D442F1">
              <w:rPr>
                <w:b/>
                <w:i/>
                <w:noProof/>
                <w:szCs w:val="22"/>
              </w:rPr>
              <w:t>Cytokine release syndrome</w:t>
            </w:r>
            <w:r w:rsidRPr="00D442F1">
              <w:rPr>
                <w:b/>
                <w:i/>
                <w:noProof/>
                <w:szCs w:val="22"/>
              </w:rPr>
              <w:t xml:space="preserve"> requiring mild intervention </w:t>
            </w:r>
            <w:r w:rsidRPr="00D442F1">
              <w:rPr>
                <w:b/>
                <w:i/>
                <w:noProof/>
                <w:szCs w:val="22"/>
              </w:rPr>
              <w:noBreakHyphen/>
              <w:t xml:space="preserve"> one or more of the following</w:t>
            </w:r>
            <w:r w:rsidRPr="00D442F1">
              <w:rPr>
                <w:noProof/>
                <w:szCs w:val="22"/>
              </w:rPr>
              <w:t>:</w:t>
            </w:r>
          </w:p>
          <w:p w:rsidR="00A8730C" w:rsidRPr="00D442F1" w:rsidP="00166894" w14:paraId="0E0B2BDA" w14:textId="77777777">
            <w:pPr>
              <w:keepNext/>
              <w:keepLines/>
              <w:widowControl w:val="0"/>
              <w:numPr>
                <w:ilvl w:val="0"/>
                <w:numId w:val="28"/>
              </w:numPr>
              <w:tabs>
                <w:tab w:val="clear" w:pos="567"/>
              </w:tabs>
              <w:spacing w:line="240" w:lineRule="auto"/>
              <w:rPr>
                <w:noProof/>
                <w:szCs w:val="22"/>
              </w:rPr>
            </w:pPr>
            <w:r w:rsidRPr="00D442F1">
              <w:rPr>
                <w:noProof/>
                <w:szCs w:val="22"/>
              </w:rPr>
              <w:t>High fever</w:t>
            </w:r>
          </w:p>
          <w:p w:rsidR="00A8730C" w:rsidRPr="00D442F1" w:rsidP="00166894" w14:paraId="5D9E0157" w14:textId="77777777">
            <w:pPr>
              <w:keepNext/>
              <w:keepLines/>
              <w:widowControl w:val="0"/>
              <w:numPr>
                <w:ilvl w:val="0"/>
                <w:numId w:val="28"/>
              </w:numPr>
              <w:tabs>
                <w:tab w:val="clear" w:pos="567"/>
              </w:tabs>
              <w:spacing w:line="240" w:lineRule="auto"/>
              <w:rPr>
                <w:noProof/>
                <w:szCs w:val="22"/>
              </w:rPr>
            </w:pPr>
            <w:r w:rsidRPr="00D442F1">
              <w:rPr>
                <w:noProof/>
                <w:szCs w:val="22"/>
              </w:rPr>
              <w:t>Hypoxia</w:t>
            </w:r>
          </w:p>
          <w:p w:rsidR="00A8730C" w:rsidRPr="00D442F1" w:rsidP="00166894" w14:paraId="11A65AD3" w14:textId="77777777">
            <w:pPr>
              <w:keepNext/>
              <w:keepLines/>
              <w:widowControl w:val="0"/>
              <w:numPr>
                <w:ilvl w:val="0"/>
                <w:numId w:val="28"/>
              </w:numPr>
              <w:tabs>
                <w:tab w:val="clear" w:pos="567"/>
              </w:tabs>
              <w:spacing w:line="240" w:lineRule="auto"/>
              <w:rPr>
                <w:noProof/>
                <w:szCs w:val="22"/>
              </w:rPr>
            </w:pPr>
            <w:r w:rsidRPr="00D442F1">
              <w:rPr>
                <w:noProof/>
                <w:szCs w:val="22"/>
              </w:rPr>
              <w:t>Mild hypotension</w:t>
            </w:r>
          </w:p>
        </w:tc>
        <w:tc>
          <w:tcPr>
            <w:tcW w:w="2889" w:type="pct"/>
            <w:tcBorders>
              <w:top w:val="single" w:sz="4" w:space="0" w:color="auto"/>
              <w:left w:val="single" w:sz="4" w:space="0" w:color="auto"/>
              <w:bottom w:val="single" w:sz="4" w:space="0" w:color="auto"/>
              <w:right w:val="single" w:sz="4" w:space="0" w:color="auto"/>
            </w:tcBorders>
            <w:shd w:val="clear" w:color="auto" w:fill="auto"/>
          </w:tcPr>
          <w:p w:rsidR="00A8730C" w:rsidRPr="00D442F1" w:rsidP="00166894" w14:paraId="35F6F990" w14:textId="77777777">
            <w:pPr>
              <w:keepNext/>
              <w:keepLines/>
              <w:widowControl w:val="0"/>
              <w:tabs>
                <w:tab w:val="clear" w:pos="567"/>
              </w:tabs>
              <w:spacing w:line="240" w:lineRule="auto"/>
              <w:rPr>
                <w:noProof/>
                <w:szCs w:val="22"/>
              </w:rPr>
            </w:pPr>
            <w:r w:rsidRPr="00D442F1">
              <w:rPr>
                <w:noProof/>
                <w:szCs w:val="22"/>
              </w:rPr>
              <w:t>Administer antipyretics, oxygen, intravenous fluids and/or low</w:t>
            </w:r>
            <w:r w:rsidRPr="00D442F1">
              <w:rPr>
                <w:noProof/>
                <w:szCs w:val="22"/>
              </w:rPr>
              <w:noBreakHyphen/>
              <w:t>dose vasopressors as needed.</w:t>
            </w:r>
          </w:p>
        </w:tc>
      </w:tr>
      <w:tr w14:paraId="38B44A80" w14:textId="77777777" w:rsidTr="00A8730C">
        <w:tblPrEx>
          <w:tblW w:w="5019" w:type="pct"/>
          <w:tblLook w:val="04A0"/>
        </w:tblPrEx>
        <w:trPr>
          <w:cantSplit/>
        </w:trPr>
        <w:tc>
          <w:tcPr>
            <w:tcW w:w="2111" w:type="pct"/>
            <w:tcBorders>
              <w:top w:val="single" w:sz="4" w:space="0" w:color="auto"/>
              <w:left w:val="single" w:sz="4" w:space="0" w:color="auto"/>
              <w:bottom w:val="single" w:sz="4" w:space="0" w:color="auto"/>
              <w:right w:val="single" w:sz="4" w:space="0" w:color="auto"/>
            </w:tcBorders>
            <w:shd w:val="clear" w:color="auto" w:fill="auto"/>
          </w:tcPr>
          <w:p w:rsidR="00A8730C" w:rsidRPr="00D442F1" w:rsidP="00166894" w14:paraId="0FA9D534" w14:textId="77777777">
            <w:pPr>
              <w:keepNext/>
              <w:keepLines/>
              <w:widowControl w:val="0"/>
              <w:tabs>
                <w:tab w:val="clear" w:pos="567"/>
              </w:tabs>
              <w:spacing w:line="240" w:lineRule="auto"/>
              <w:rPr>
                <w:noProof/>
                <w:szCs w:val="22"/>
              </w:rPr>
            </w:pPr>
            <w:r w:rsidRPr="00D442F1">
              <w:rPr>
                <w:b/>
                <w:i/>
                <w:noProof/>
                <w:szCs w:val="22"/>
              </w:rPr>
              <w:t>Cytokine release syndrome</w:t>
            </w:r>
            <w:r w:rsidRPr="00D442F1">
              <w:rPr>
                <w:b/>
                <w:i/>
                <w:noProof/>
                <w:szCs w:val="22"/>
              </w:rPr>
              <w:t xml:space="preserve"> requiring moderate to aggressive intervention </w:t>
            </w:r>
            <w:r w:rsidRPr="00D442F1">
              <w:rPr>
                <w:b/>
                <w:i/>
                <w:noProof/>
                <w:szCs w:val="22"/>
              </w:rPr>
              <w:noBreakHyphen/>
              <w:t xml:space="preserve"> one or more of the following</w:t>
            </w:r>
            <w:r w:rsidRPr="00D442F1">
              <w:rPr>
                <w:noProof/>
                <w:szCs w:val="22"/>
              </w:rPr>
              <w:t>:</w:t>
            </w:r>
          </w:p>
          <w:p w:rsidR="00A8730C" w:rsidRPr="00D442F1" w:rsidP="00166894" w14:paraId="0164EBA9" w14:textId="77777777">
            <w:pPr>
              <w:keepNext/>
              <w:keepLines/>
              <w:widowControl w:val="0"/>
              <w:numPr>
                <w:ilvl w:val="0"/>
                <w:numId w:val="28"/>
              </w:numPr>
              <w:tabs>
                <w:tab w:val="clear" w:pos="567"/>
              </w:tabs>
              <w:spacing w:line="240" w:lineRule="auto"/>
              <w:rPr>
                <w:noProof/>
                <w:szCs w:val="22"/>
              </w:rPr>
            </w:pPr>
            <w:r w:rsidRPr="00D442F1">
              <w:rPr>
                <w:noProof/>
                <w:szCs w:val="22"/>
              </w:rPr>
              <w:t>Haemodynamic instability despite intravenous fluids and vasopressor support</w:t>
            </w:r>
          </w:p>
          <w:p w:rsidR="00A8730C" w:rsidRPr="00D442F1" w:rsidP="00166894" w14:paraId="17B1559D" w14:textId="77777777">
            <w:pPr>
              <w:keepNext/>
              <w:keepLines/>
              <w:widowControl w:val="0"/>
              <w:numPr>
                <w:ilvl w:val="0"/>
                <w:numId w:val="28"/>
              </w:numPr>
              <w:tabs>
                <w:tab w:val="clear" w:pos="567"/>
              </w:tabs>
              <w:spacing w:line="240" w:lineRule="auto"/>
              <w:rPr>
                <w:noProof/>
                <w:szCs w:val="22"/>
              </w:rPr>
            </w:pPr>
            <w:r w:rsidRPr="00D442F1">
              <w:rPr>
                <w:noProof/>
                <w:szCs w:val="22"/>
              </w:rPr>
              <w:t>Worsening respiratory distress, including pulmonary infiltrates, increasing oxygen requirement including high</w:t>
            </w:r>
            <w:r w:rsidRPr="00D442F1">
              <w:rPr>
                <w:noProof/>
                <w:szCs w:val="22"/>
              </w:rPr>
              <w:noBreakHyphen/>
              <w:t>flow oxygen and/or need for mechanical ventilation</w:t>
            </w:r>
          </w:p>
          <w:p w:rsidR="00A8730C" w:rsidRPr="00D442F1" w:rsidP="00166894" w14:paraId="092E29C1" w14:textId="77777777">
            <w:pPr>
              <w:keepNext/>
              <w:keepLines/>
              <w:widowControl w:val="0"/>
              <w:numPr>
                <w:ilvl w:val="0"/>
                <w:numId w:val="28"/>
              </w:numPr>
              <w:tabs>
                <w:tab w:val="clear" w:pos="567"/>
              </w:tabs>
              <w:spacing w:line="240" w:lineRule="auto"/>
              <w:rPr>
                <w:noProof/>
                <w:szCs w:val="22"/>
              </w:rPr>
            </w:pPr>
            <w:r w:rsidRPr="00D442F1">
              <w:rPr>
                <w:noProof/>
                <w:szCs w:val="22"/>
              </w:rPr>
              <w:t>Rapid clinical deterioration</w:t>
            </w:r>
          </w:p>
        </w:tc>
        <w:tc>
          <w:tcPr>
            <w:tcW w:w="2889" w:type="pct"/>
            <w:tcBorders>
              <w:top w:val="single" w:sz="4" w:space="0" w:color="auto"/>
              <w:left w:val="single" w:sz="4" w:space="0" w:color="auto"/>
              <w:bottom w:val="single" w:sz="4" w:space="0" w:color="auto"/>
              <w:right w:val="single" w:sz="4" w:space="0" w:color="auto"/>
            </w:tcBorders>
            <w:shd w:val="clear" w:color="auto" w:fill="auto"/>
          </w:tcPr>
          <w:p w:rsidR="00A8730C" w:rsidRPr="00D442F1" w:rsidP="00166894" w14:paraId="4B047531" w14:textId="77777777">
            <w:pPr>
              <w:keepNext/>
              <w:keepLines/>
              <w:widowControl w:val="0"/>
              <w:numPr>
                <w:ilvl w:val="0"/>
                <w:numId w:val="29"/>
              </w:numPr>
              <w:tabs>
                <w:tab w:val="clear" w:pos="567"/>
              </w:tabs>
              <w:spacing w:line="240" w:lineRule="auto"/>
              <w:rPr>
                <w:noProof/>
                <w:szCs w:val="22"/>
              </w:rPr>
            </w:pPr>
            <w:r w:rsidRPr="00D442F1">
              <w:rPr>
                <w:noProof/>
                <w:szCs w:val="22"/>
              </w:rPr>
              <w:t>Administer high</w:t>
            </w:r>
            <w:r w:rsidRPr="00D442F1">
              <w:rPr>
                <w:noProof/>
                <w:szCs w:val="22"/>
              </w:rPr>
              <w:noBreakHyphen/>
              <w:t>dose or multiple vasopressors, oxygen, mechanical ventilation and/or other supportive care as needed.</w:t>
            </w:r>
          </w:p>
          <w:p w:rsidR="00A8730C" w:rsidRPr="00D442F1" w:rsidP="00166894" w14:paraId="0510B11C" w14:textId="77777777">
            <w:pPr>
              <w:keepNext/>
              <w:keepLines/>
              <w:widowControl w:val="0"/>
              <w:tabs>
                <w:tab w:val="clear" w:pos="567"/>
              </w:tabs>
              <w:spacing w:line="240" w:lineRule="auto"/>
              <w:rPr>
                <w:noProof/>
                <w:szCs w:val="22"/>
              </w:rPr>
            </w:pPr>
          </w:p>
          <w:p w:rsidR="00A8730C" w:rsidRPr="00D442F1" w:rsidP="00166894" w14:paraId="6C6721F0" w14:textId="77777777">
            <w:pPr>
              <w:keepNext/>
              <w:keepLines/>
              <w:widowControl w:val="0"/>
              <w:numPr>
                <w:ilvl w:val="0"/>
                <w:numId w:val="29"/>
              </w:numPr>
              <w:tabs>
                <w:tab w:val="clear" w:pos="567"/>
              </w:tabs>
              <w:spacing w:line="240" w:lineRule="auto"/>
              <w:rPr>
                <w:noProof/>
                <w:szCs w:val="22"/>
              </w:rPr>
            </w:pPr>
            <w:r w:rsidRPr="00D442F1">
              <w:rPr>
                <w:noProof/>
                <w:szCs w:val="22"/>
              </w:rPr>
              <w:t>Administer tocilizumab.</w:t>
            </w:r>
          </w:p>
          <w:p w:rsidR="00A8730C" w:rsidRPr="00D442F1" w:rsidP="00166894" w14:paraId="4B8DD8D1" w14:textId="77777777">
            <w:pPr>
              <w:keepNext/>
              <w:keepLines/>
              <w:widowControl w:val="0"/>
              <w:numPr>
                <w:ilvl w:val="0"/>
                <w:numId w:val="27"/>
              </w:numPr>
              <w:tabs>
                <w:tab w:val="clear" w:pos="567"/>
              </w:tabs>
              <w:spacing w:line="240" w:lineRule="auto"/>
              <w:ind w:left="586" w:hanging="287"/>
              <w:rPr>
                <w:noProof/>
                <w:szCs w:val="22"/>
              </w:rPr>
            </w:pPr>
            <w:r w:rsidRPr="00D442F1">
              <w:rPr>
                <w:noProof/>
                <w:szCs w:val="22"/>
              </w:rPr>
              <w:t>Patient weight less than 30 kg: 12 mg/kg intravenously over 1 hour</w:t>
            </w:r>
          </w:p>
          <w:p w:rsidR="00A8730C" w:rsidRPr="00D442F1" w:rsidP="00166894" w14:paraId="1BC3A1AB" w14:textId="77777777">
            <w:pPr>
              <w:keepNext/>
              <w:keepLines/>
              <w:widowControl w:val="0"/>
              <w:numPr>
                <w:ilvl w:val="0"/>
                <w:numId w:val="27"/>
              </w:numPr>
              <w:tabs>
                <w:tab w:val="clear" w:pos="567"/>
              </w:tabs>
              <w:spacing w:line="240" w:lineRule="auto"/>
              <w:ind w:left="586" w:hanging="287"/>
              <w:rPr>
                <w:noProof/>
                <w:szCs w:val="22"/>
              </w:rPr>
            </w:pPr>
            <w:r w:rsidRPr="00D442F1">
              <w:rPr>
                <w:noProof/>
                <w:szCs w:val="22"/>
              </w:rPr>
              <w:t>Patient weight ≥30 kg: 8 mg/kg intravenously over 1 hour (maximum dose 800 mg)</w:t>
            </w:r>
          </w:p>
          <w:p w:rsidR="00A8730C" w:rsidRPr="00D442F1" w:rsidP="00166894" w14:paraId="3B1DEB7F" w14:textId="77777777">
            <w:pPr>
              <w:keepNext/>
              <w:keepLines/>
              <w:widowControl w:val="0"/>
              <w:tabs>
                <w:tab w:val="clear" w:pos="567"/>
              </w:tabs>
              <w:spacing w:line="240" w:lineRule="auto"/>
              <w:rPr>
                <w:noProof/>
                <w:szCs w:val="22"/>
              </w:rPr>
            </w:pPr>
          </w:p>
          <w:p w:rsidR="00A8730C" w:rsidRPr="00D442F1" w:rsidP="00166894" w14:paraId="05E040D4" w14:textId="77777777">
            <w:pPr>
              <w:keepNext/>
              <w:keepLines/>
              <w:widowControl w:val="0"/>
              <w:tabs>
                <w:tab w:val="clear" w:pos="567"/>
              </w:tabs>
              <w:spacing w:line="240" w:lineRule="auto"/>
              <w:rPr>
                <w:noProof/>
                <w:szCs w:val="22"/>
              </w:rPr>
            </w:pPr>
            <w:r w:rsidRPr="00D442F1">
              <w:rPr>
                <w:noProof/>
                <w:szCs w:val="22"/>
              </w:rPr>
              <w:t>Repeat tocilizumab as needed at a minimum interval of 8 hours if there is no clinical improvement.</w:t>
            </w:r>
          </w:p>
          <w:p w:rsidR="00A8730C" w:rsidRPr="00D442F1" w:rsidP="00166894" w14:paraId="0723C8C1" w14:textId="77777777">
            <w:pPr>
              <w:keepNext/>
              <w:keepLines/>
              <w:widowControl w:val="0"/>
              <w:tabs>
                <w:tab w:val="clear" w:pos="567"/>
              </w:tabs>
              <w:spacing w:line="240" w:lineRule="auto"/>
              <w:rPr>
                <w:noProof/>
                <w:szCs w:val="22"/>
              </w:rPr>
            </w:pPr>
          </w:p>
          <w:p w:rsidR="00A8730C" w:rsidRPr="00D442F1" w:rsidP="00166894" w14:paraId="02D94F63" w14:textId="77777777">
            <w:pPr>
              <w:keepNext/>
              <w:keepLines/>
              <w:widowControl w:val="0"/>
              <w:tabs>
                <w:tab w:val="clear" w:pos="567"/>
              </w:tabs>
              <w:spacing w:line="240" w:lineRule="auto"/>
              <w:rPr>
                <w:noProof/>
                <w:szCs w:val="22"/>
              </w:rPr>
            </w:pPr>
            <w:r w:rsidRPr="00D442F1">
              <w:rPr>
                <w:noProof/>
                <w:szCs w:val="22"/>
              </w:rPr>
              <w:t xml:space="preserve">If no response to second dose of tocilizumab, consider a third dose of tocilizumab or pursue alternative measures for treatment of </w:t>
            </w:r>
            <w:r w:rsidRPr="00D442F1" w:rsidR="00C6018F">
              <w:rPr>
                <w:noProof/>
                <w:szCs w:val="22"/>
              </w:rPr>
              <w:t>cytokine release syndrome</w:t>
            </w:r>
            <w:r w:rsidRPr="00D442F1">
              <w:rPr>
                <w:noProof/>
                <w:szCs w:val="22"/>
              </w:rPr>
              <w:t>.</w:t>
            </w:r>
          </w:p>
          <w:p w:rsidR="00A8730C" w:rsidRPr="00D442F1" w:rsidP="00166894" w14:paraId="65C73013" w14:textId="77777777">
            <w:pPr>
              <w:keepNext/>
              <w:keepLines/>
              <w:widowControl w:val="0"/>
              <w:tabs>
                <w:tab w:val="clear" w:pos="567"/>
              </w:tabs>
              <w:spacing w:line="240" w:lineRule="auto"/>
              <w:rPr>
                <w:noProof/>
                <w:szCs w:val="22"/>
              </w:rPr>
            </w:pPr>
          </w:p>
          <w:p w:rsidR="00A8730C" w:rsidRPr="00D442F1" w:rsidP="00166894" w14:paraId="258C4211" w14:textId="77777777">
            <w:pPr>
              <w:keepNext/>
              <w:keepLines/>
              <w:widowControl w:val="0"/>
              <w:tabs>
                <w:tab w:val="clear" w:pos="567"/>
              </w:tabs>
              <w:spacing w:line="240" w:lineRule="auto"/>
              <w:rPr>
                <w:noProof/>
                <w:szCs w:val="22"/>
              </w:rPr>
            </w:pPr>
            <w:r w:rsidRPr="00D442F1">
              <w:rPr>
                <w:noProof/>
                <w:szCs w:val="22"/>
              </w:rPr>
              <w:t>Limit to a maximum total of 4 tocilizumab doses.</w:t>
            </w:r>
          </w:p>
          <w:p w:rsidR="00A8730C" w:rsidRPr="00D442F1" w:rsidP="00166894" w14:paraId="10CF45A5" w14:textId="77777777">
            <w:pPr>
              <w:keepNext/>
              <w:keepLines/>
              <w:widowControl w:val="0"/>
              <w:tabs>
                <w:tab w:val="clear" w:pos="567"/>
              </w:tabs>
              <w:spacing w:line="240" w:lineRule="auto"/>
              <w:rPr>
                <w:noProof/>
                <w:szCs w:val="22"/>
              </w:rPr>
            </w:pPr>
          </w:p>
          <w:p w:rsidR="00A8730C" w:rsidRPr="00D442F1" w:rsidP="00166894" w14:paraId="7AAF78A5" w14:textId="77777777">
            <w:pPr>
              <w:keepNext/>
              <w:keepLines/>
              <w:widowControl w:val="0"/>
              <w:numPr>
                <w:ilvl w:val="0"/>
                <w:numId w:val="30"/>
              </w:numPr>
              <w:tabs>
                <w:tab w:val="clear" w:pos="567"/>
              </w:tabs>
              <w:spacing w:line="240" w:lineRule="auto"/>
              <w:rPr>
                <w:noProof/>
                <w:szCs w:val="22"/>
              </w:rPr>
            </w:pPr>
            <w:r w:rsidRPr="00D442F1">
              <w:rPr>
                <w:noProof/>
                <w:szCs w:val="22"/>
              </w:rPr>
              <w:t>If no clinical improvement within 12 to 18 hours of the first tocilizumab dose, or worsening at any time, administer methylprednisolone 2 mg/kg as an initial dose, then 2 mg/kg per day until vasopressors and high</w:t>
            </w:r>
            <w:r w:rsidRPr="00D442F1">
              <w:rPr>
                <w:noProof/>
                <w:szCs w:val="22"/>
              </w:rPr>
              <w:noBreakHyphen/>
              <w:t>flow oxygen are no longer needed, then taper.</w:t>
            </w:r>
          </w:p>
        </w:tc>
      </w:tr>
    </w:tbl>
    <w:p w:rsidR="00D60A62" w:rsidRPr="00D442F1" w:rsidP="00166894" w14:paraId="779AF460" w14:textId="77777777">
      <w:pPr>
        <w:widowControl w:val="0"/>
        <w:tabs>
          <w:tab w:val="clear" w:pos="567"/>
        </w:tabs>
        <w:spacing w:line="240" w:lineRule="auto"/>
        <w:rPr>
          <w:noProof/>
          <w:szCs w:val="22"/>
          <w:lang w:val="en-US"/>
        </w:rPr>
      </w:pPr>
    </w:p>
    <w:p w:rsidR="00731730" w:rsidRPr="00D442F1" w:rsidP="00166894" w14:paraId="0E9E0BF3" w14:textId="77777777">
      <w:pPr>
        <w:keepNext/>
        <w:widowControl w:val="0"/>
        <w:tabs>
          <w:tab w:val="clear" w:pos="567"/>
        </w:tabs>
        <w:spacing w:line="240" w:lineRule="auto"/>
        <w:rPr>
          <w:noProof/>
          <w:szCs w:val="22"/>
        </w:rPr>
      </w:pPr>
      <w:r w:rsidRPr="00D442F1">
        <w:rPr>
          <w:noProof/>
          <w:szCs w:val="22"/>
          <w:u w:val="single"/>
        </w:rPr>
        <w:t xml:space="preserve">Neurological </w:t>
      </w:r>
      <w:r w:rsidRPr="00D442F1" w:rsidR="002F00E7">
        <w:rPr>
          <w:noProof/>
          <w:szCs w:val="22"/>
          <w:u w:val="single"/>
        </w:rPr>
        <w:t>adverse reactions</w:t>
      </w:r>
    </w:p>
    <w:p w:rsidR="00766AB3" w:rsidRPr="00D442F1" w:rsidP="00166894" w14:paraId="603D3388" w14:textId="77777777">
      <w:pPr>
        <w:keepNext/>
        <w:widowControl w:val="0"/>
        <w:tabs>
          <w:tab w:val="clear" w:pos="567"/>
        </w:tabs>
        <w:spacing w:line="240" w:lineRule="auto"/>
        <w:rPr>
          <w:szCs w:val="22"/>
        </w:rPr>
      </w:pPr>
    </w:p>
    <w:p w:rsidR="000D6808" w:rsidRPr="00D442F1" w:rsidP="00166894" w14:paraId="26EEC279" w14:textId="637883BC">
      <w:pPr>
        <w:widowControl w:val="0"/>
        <w:tabs>
          <w:tab w:val="clear" w:pos="567"/>
        </w:tabs>
        <w:spacing w:line="240" w:lineRule="auto"/>
        <w:rPr>
          <w:szCs w:val="22"/>
        </w:rPr>
      </w:pPr>
      <w:r w:rsidRPr="00D442F1">
        <w:rPr>
          <w:szCs w:val="22"/>
        </w:rPr>
        <w:t xml:space="preserve">Neurological </w:t>
      </w:r>
      <w:r w:rsidRPr="00D442F1" w:rsidR="008D67EA">
        <w:rPr>
          <w:szCs w:val="22"/>
        </w:rPr>
        <w:t>events</w:t>
      </w:r>
      <w:r w:rsidRPr="00D442F1">
        <w:rPr>
          <w:szCs w:val="22"/>
        </w:rPr>
        <w:t>, in particular encephalopathy</w:t>
      </w:r>
      <w:r w:rsidRPr="00D442F1" w:rsidR="005B3AA7">
        <w:rPr>
          <w:szCs w:val="22"/>
        </w:rPr>
        <w:t>, confusional state</w:t>
      </w:r>
      <w:r w:rsidRPr="00D442F1">
        <w:rPr>
          <w:szCs w:val="22"/>
        </w:rPr>
        <w:t xml:space="preserve"> or delirium, occur</w:t>
      </w:r>
      <w:r w:rsidRPr="00D442F1" w:rsidR="005B3AA7">
        <w:rPr>
          <w:szCs w:val="22"/>
        </w:rPr>
        <w:t xml:space="preserve"> frequently</w:t>
      </w:r>
      <w:r w:rsidRPr="00D442F1">
        <w:rPr>
          <w:szCs w:val="22"/>
        </w:rPr>
        <w:t xml:space="preserve"> with Kymriah and can be severe or life</w:t>
      </w:r>
      <w:r w:rsidRPr="00D442F1" w:rsidR="00591100">
        <w:rPr>
          <w:szCs w:val="22"/>
        </w:rPr>
        <w:noBreakHyphen/>
      </w:r>
      <w:r w:rsidRPr="00D442F1">
        <w:rPr>
          <w:szCs w:val="22"/>
        </w:rPr>
        <w:t>threatening</w:t>
      </w:r>
      <w:r w:rsidRPr="00D442F1" w:rsidR="005B3AA7">
        <w:rPr>
          <w:szCs w:val="22"/>
        </w:rPr>
        <w:t xml:space="preserve"> (see section 4.8)</w:t>
      </w:r>
      <w:r w:rsidRPr="00D442F1">
        <w:rPr>
          <w:szCs w:val="22"/>
        </w:rPr>
        <w:t xml:space="preserve">. </w:t>
      </w:r>
      <w:r w:rsidRPr="00D442F1" w:rsidR="005B3AA7">
        <w:rPr>
          <w:szCs w:val="22"/>
        </w:rPr>
        <w:t>Other manifestations included</w:t>
      </w:r>
      <w:r w:rsidRPr="00D442F1" w:rsidR="005B3AA7">
        <w:rPr>
          <w:szCs w:val="22"/>
          <w:lang w:val="en-US"/>
        </w:rPr>
        <w:t xml:space="preserve"> </w:t>
      </w:r>
      <w:r w:rsidRPr="00D442F1" w:rsidR="00D6745E">
        <w:rPr>
          <w:szCs w:val="22"/>
          <w:lang w:val="en-US"/>
        </w:rPr>
        <w:t xml:space="preserve">depressed level of consciousness, </w:t>
      </w:r>
      <w:r w:rsidRPr="00D442F1" w:rsidR="005B3AA7">
        <w:rPr>
          <w:szCs w:val="22"/>
          <w:lang w:val="en-US"/>
        </w:rPr>
        <w:t>seizures, aphasia and speech disorder</w:t>
      </w:r>
      <w:r w:rsidRPr="00D442F1" w:rsidR="005B3AA7">
        <w:rPr>
          <w:szCs w:val="22"/>
        </w:rPr>
        <w:t xml:space="preserve">. </w:t>
      </w:r>
      <w:r w:rsidRPr="00D442F1">
        <w:rPr>
          <w:szCs w:val="22"/>
        </w:rPr>
        <w:t>The majority of neurological</w:t>
      </w:r>
      <w:r w:rsidRPr="00D442F1" w:rsidR="008D67EA">
        <w:rPr>
          <w:szCs w:val="22"/>
        </w:rPr>
        <w:t xml:space="preserve"> events</w:t>
      </w:r>
      <w:r w:rsidRPr="00D442F1">
        <w:rPr>
          <w:szCs w:val="22"/>
        </w:rPr>
        <w:t xml:space="preserve"> occurred within 8</w:t>
      </w:r>
      <w:r w:rsidRPr="00D442F1" w:rsidR="00766AB3">
        <w:rPr>
          <w:szCs w:val="22"/>
        </w:rPr>
        <w:t> </w:t>
      </w:r>
      <w:r w:rsidRPr="00D442F1">
        <w:rPr>
          <w:szCs w:val="22"/>
        </w:rPr>
        <w:t>weeks following Kymri</w:t>
      </w:r>
      <w:r w:rsidRPr="00D442F1" w:rsidR="00A57600">
        <w:rPr>
          <w:szCs w:val="22"/>
        </w:rPr>
        <w:t xml:space="preserve">ah infusion and were transient. The median time to onset of </w:t>
      </w:r>
      <w:r w:rsidRPr="00D442F1" w:rsidR="0071449C">
        <w:rPr>
          <w:szCs w:val="22"/>
        </w:rPr>
        <w:t xml:space="preserve">the first </w:t>
      </w:r>
      <w:r w:rsidRPr="00D442F1" w:rsidR="00A57600">
        <w:rPr>
          <w:szCs w:val="22"/>
        </w:rPr>
        <w:t xml:space="preserve">neurological events was </w:t>
      </w:r>
      <w:r w:rsidRPr="00D442F1" w:rsidR="0093232E">
        <w:rPr>
          <w:szCs w:val="22"/>
        </w:rPr>
        <w:t>8</w:t>
      </w:r>
      <w:r w:rsidRPr="00D442F1" w:rsidR="00A57600">
        <w:rPr>
          <w:szCs w:val="22"/>
        </w:rPr>
        <w:t> days in B</w:t>
      </w:r>
      <w:r w:rsidRPr="00D442F1" w:rsidR="00A57600">
        <w:rPr>
          <w:szCs w:val="22"/>
        </w:rPr>
        <w:noBreakHyphen/>
        <w:t xml:space="preserve">cell ALL and </w:t>
      </w:r>
      <w:r w:rsidRPr="00D442F1" w:rsidR="0093232E">
        <w:rPr>
          <w:szCs w:val="22"/>
        </w:rPr>
        <w:t>6</w:t>
      </w:r>
      <w:r w:rsidRPr="00D442F1" w:rsidR="00A57600">
        <w:rPr>
          <w:szCs w:val="22"/>
        </w:rPr>
        <w:t> days in</w:t>
      </w:r>
      <w:r w:rsidRPr="00D442F1" w:rsidR="00AC5A4D">
        <w:rPr>
          <w:szCs w:val="22"/>
        </w:rPr>
        <w:t xml:space="preserve"> DLBCL</w:t>
      </w:r>
      <w:r w:rsidRPr="00D442F1" w:rsidR="005B3AA7">
        <w:rPr>
          <w:szCs w:val="22"/>
        </w:rPr>
        <w:t>. The median time to resolution was 7 days for B</w:t>
      </w:r>
      <w:r w:rsidRPr="00D442F1" w:rsidR="005B3AA7">
        <w:rPr>
          <w:szCs w:val="22"/>
        </w:rPr>
        <w:noBreakHyphen/>
        <w:t>cell ALL and 1</w:t>
      </w:r>
      <w:r w:rsidRPr="00D442F1" w:rsidR="00D6745E">
        <w:rPr>
          <w:szCs w:val="22"/>
        </w:rPr>
        <w:t>3</w:t>
      </w:r>
      <w:r w:rsidRPr="00D442F1" w:rsidR="005B3AA7">
        <w:rPr>
          <w:szCs w:val="22"/>
        </w:rPr>
        <w:t> days for DLBCL.</w:t>
      </w:r>
      <w:r w:rsidRPr="00D442F1" w:rsidR="00D04FCF">
        <w:rPr>
          <w:szCs w:val="22"/>
        </w:rPr>
        <w:t xml:space="preserve"> </w:t>
      </w:r>
      <w:r w:rsidRPr="00D442F1" w:rsidR="005B3AA7">
        <w:rPr>
          <w:szCs w:val="22"/>
        </w:rPr>
        <w:t>N</w:t>
      </w:r>
      <w:r w:rsidRPr="00D442F1">
        <w:rPr>
          <w:szCs w:val="22"/>
        </w:rPr>
        <w:t xml:space="preserve">eurological </w:t>
      </w:r>
      <w:r w:rsidRPr="00D442F1" w:rsidR="008D67EA">
        <w:rPr>
          <w:szCs w:val="22"/>
        </w:rPr>
        <w:t xml:space="preserve">events </w:t>
      </w:r>
      <w:r w:rsidRPr="00D442F1">
        <w:rPr>
          <w:szCs w:val="22"/>
        </w:rPr>
        <w:t xml:space="preserve">can be concurrent with </w:t>
      </w:r>
      <w:r w:rsidRPr="00D442F1" w:rsidR="00C6018F">
        <w:rPr>
          <w:szCs w:val="22"/>
        </w:rPr>
        <w:t>c</w:t>
      </w:r>
      <w:r w:rsidRPr="00D442F1" w:rsidR="00C6018F">
        <w:rPr>
          <w:noProof/>
          <w:szCs w:val="22"/>
        </w:rPr>
        <w:t>ytokine release syndrome</w:t>
      </w:r>
      <w:r w:rsidRPr="00D442F1">
        <w:rPr>
          <w:szCs w:val="22"/>
        </w:rPr>
        <w:t xml:space="preserve">, following resolution of </w:t>
      </w:r>
      <w:r w:rsidRPr="00D442F1" w:rsidR="00C6018F">
        <w:rPr>
          <w:szCs w:val="22"/>
        </w:rPr>
        <w:t>c</w:t>
      </w:r>
      <w:r w:rsidRPr="00D442F1" w:rsidR="00C6018F">
        <w:rPr>
          <w:noProof/>
          <w:szCs w:val="22"/>
        </w:rPr>
        <w:t>ytokine release syndrome</w:t>
      </w:r>
      <w:r w:rsidRPr="00D442F1">
        <w:rPr>
          <w:szCs w:val="22"/>
        </w:rPr>
        <w:t xml:space="preserve"> or in the absence of </w:t>
      </w:r>
      <w:r w:rsidRPr="00D442F1" w:rsidR="00C6018F">
        <w:rPr>
          <w:szCs w:val="22"/>
        </w:rPr>
        <w:t>c</w:t>
      </w:r>
      <w:r w:rsidRPr="00D442F1" w:rsidR="00C6018F">
        <w:rPr>
          <w:noProof/>
          <w:szCs w:val="22"/>
        </w:rPr>
        <w:t>ytokine release syndrome</w:t>
      </w:r>
      <w:r w:rsidRPr="00D442F1">
        <w:rPr>
          <w:szCs w:val="22"/>
        </w:rPr>
        <w:t>.</w:t>
      </w:r>
    </w:p>
    <w:p w:rsidR="000D6808" w:rsidRPr="00D442F1" w:rsidP="00166894" w14:paraId="30A75C2C" w14:textId="77777777">
      <w:pPr>
        <w:widowControl w:val="0"/>
        <w:tabs>
          <w:tab w:val="clear" w:pos="567"/>
        </w:tabs>
        <w:spacing w:line="240" w:lineRule="auto"/>
        <w:rPr>
          <w:szCs w:val="22"/>
        </w:rPr>
      </w:pPr>
    </w:p>
    <w:p w:rsidR="003E043C" w:rsidRPr="00D442F1" w:rsidP="00166894" w14:paraId="1F87D103" w14:textId="77777777">
      <w:pPr>
        <w:widowControl w:val="0"/>
        <w:tabs>
          <w:tab w:val="clear" w:pos="567"/>
        </w:tabs>
        <w:spacing w:line="240" w:lineRule="auto"/>
        <w:rPr>
          <w:szCs w:val="22"/>
        </w:rPr>
      </w:pPr>
      <w:r w:rsidRPr="00D442F1">
        <w:rPr>
          <w:szCs w:val="22"/>
        </w:rPr>
        <w:t xml:space="preserve">Patients should be monitored for neurological events. </w:t>
      </w:r>
      <w:r w:rsidRPr="00D442F1" w:rsidR="00AF0DDD">
        <w:rPr>
          <w:szCs w:val="22"/>
        </w:rPr>
        <w:t>In case of neurological events, patients should be diagnostically worked up and managed depending on the underlying pathophysiology and in accordance with local standard of care</w:t>
      </w:r>
      <w:r w:rsidRPr="00D442F1">
        <w:rPr>
          <w:szCs w:val="22"/>
        </w:rPr>
        <w:t>.</w:t>
      </w:r>
    </w:p>
    <w:p w:rsidR="00731730" w:rsidRPr="00D442F1" w:rsidP="00166894" w14:paraId="386A2F71" w14:textId="77777777">
      <w:pPr>
        <w:widowControl w:val="0"/>
        <w:tabs>
          <w:tab w:val="clear" w:pos="567"/>
        </w:tabs>
        <w:spacing w:line="240" w:lineRule="auto"/>
        <w:rPr>
          <w:noProof/>
          <w:szCs w:val="22"/>
        </w:rPr>
      </w:pPr>
    </w:p>
    <w:p w:rsidR="00731730" w:rsidRPr="00D442F1" w:rsidP="00166894" w14:paraId="5CAAC33D" w14:textId="77777777">
      <w:pPr>
        <w:keepNext/>
        <w:widowControl w:val="0"/>
        <w:tabs>
          <w:tab w:val="clear" w:pos="567"/>
        </w:tabs>
        <w:spacing w:line="240" w:lineRule="auto"/>
        <w:rPr>
          <w:noProof/>
          <w:szCs w:val="22"/>
        </w:rPr>
      </w:pPr>
      <w:r w:rsidRPr="00D442F1">
        <w:rPr>
          <w:noProof/>
          <w:szCs w:val="22"/>
          <w:u w:val="single"/>
        </w:rPr>
        <w:t>Infections and febrile neutropenia</w:t>
      </w:r>
    </w:p>
    <w:p w:rsidR="00766AB3" w:rsidRPr="00D442F1" w:rsidP="00166894" w14:paraId="1E10D60D" w14:textId="77777777">
      <w:pPr>
        <w:keepNext/>
        <w:widowControl w:val="0"/>
        <w:tabs>
          <w:tab w:val="clear" w:pos="567"/>
        </w:tabs>
        <w:spacing w:line="240" w:lineRule="auto"/>
        <w:rPr>
          <w:noProof/>
          <w:szCs w:val="22"/>
        </w:rPr>
      </w:pPr>
    </w:p>
    <w:p w:rsidR="00731730" w:rsidRPr="00D442F1" w:rsidP="00166894" w14:paraId="06F070DD" w14:textId="77777777">
      <w:pPr>
        <w:widowControl w:val="0"/>
        <w:tabs>
          <w:tab w:val="clear" w:pos="567"/>
        </w:tabs>
        <w:spacing w:line="240" w:lineRule="auto"/>
        <w:rPr>
          <w:noProof/>
          <w:szCs w:val="22"/>
        </w:rPr>
      </w:pPr>
      <w:r w:rsidRPr="00D442F1">
        <w:rPr>
          <w:noProof/>
          <w:szCs w:val="22"/>
        </w:rPr>
        <w:t xml:space="preserve">Patients with active, uncontrolled infection should not start Kymriah treatment until the infection is resolved. Prior to Kymriah infusion, infection prophylaxis should follow </w:t>
      </w:r>
      <w:r w:rsidRPr="00D442F1" w:rsidR="00DF37DD">
        <w:rPr>
          <w:noProof/>
          <w:szCs w:val="22"/>
        </w:rPr>
        <w:t xml:space="preserve">standard </w:t>
      </w:r>
      <w:r w:rsidRPr="00D442F1">
        <w:rPr>
          <w:noProof/>
          <w:szCs w:val="22"/>
        </w:rPr>
        <w:t>guidelines based on the degree of preceding immunosuppression.</w:t>
      </w:r>
    </w:p>
    <w:p w:rsidR="00731730" w:rsidRPr="00D442F1" w:rsidP="00166894" w14:paraId="51269458" w14:textId="77777777">
      <w:pPr>
        <w:widowControl w:val="0"/>
        <w:tabs>
          <w:tab w:val="clear" w:pos="567"/>
        </w:tabs>
        <w:spacing w:line="240" w:lineRule="auto"/>
        <w:rPr>
          <w:noProof/>
          <w:szCs w:val="22"/>
        </w:rPr>
      </w:pPr>
    </w:p>
    <w:p w:rsidR="00731730" w:rsidRPr="00D442F1" w:rsidP="00166894" w14:paraId="5015C770" w14:textId="77777777">
      <w:pPr>
        <w:widowControl w:val="0"/>
        <w:tabs>
          <w:tab w:val="clear" w:pos="567"/>
        </w:tabs>
        <w:spacing w:line="240" w:lineRule="auto"/>
        <w:rPr>
          <w:noProof/>
          <w:szCs w:val="22"/>
        </w:rPr>
      </w:pPr>
      <w:r w:rsidRPr="00D442F1">
        <w:rPr>
          <w:noProof/>
          <w:szCs w:val="22"/>
        </w:rPr>
        <w:t>Serious infections</w:t>
      </w:r>
      <w:r w:rsidRPr="00D442F1" w:rsidR="004F2BE3">
        <w:rPr>
          <w:noProof/>
          <w:szCs w:val="22"/>
        </w:rPr>
        <w:t>, including life</w:t>
      </w:r>
      <w:r w:rsidRPr="00D442F1" w:rsidR="00591100">
        <w:rPr>
          <w:noProof/>
          <w:szCs w:val="22"/>
        </w:rPr>
        <w:noBreakHyphen/>
      </w:r>
      <w:r w:rsidRPr="00D442F1" w:rsidR="004F2BE3">
        <w:rPr>
          <w:noProof/>
          <w:szCs w:val="22"/>
        </w:rPr>
        <w:t>threatening or fatal infections, occurred</w:t>
      </w:r>
      <w:r w:rsidRPr="00D442F1" w:rsidR="00DC499A">
        <w:rPr>
          <w:noProof/>
          <w:szCs w:val="22"/>
        </w:rPr>
        <w:t xml:space="preserve"> frequently</w:t>
      </w:r>
      <w:r w:rsidRPr="00D442F1">
        <w:rPr>
          <w:noProof/>
          <w:szCs w:val="22"/>
        </w:rPr>
        <w:t xml:space="preserve"> </w:t>
      </w:r>
      <w:r w:rsidRPr="00D442F1" w:rsidR="00F1247A">
        <w:rPr>
          <w:noProof/>
          <w:szCs w:val="22"/>
        </w:rPr>
        <w:t>i</w:t>
      </w:r>
      <w:r w:rsidRPr="00D442F1">
        <w:rPr>
          <w:noProof/>
          <w:szCs w:val="22"/>
        </w:rPr>
        <w:t>n patients after Kymriah infusion</w:t>
      </w:r>
      <w:r w:rsidRPr="00D442F1" w:rsidR="00DC499A">
        <w:rPr>
          <w:noProof/>
          <w:szCs w:val="22"/>
        </w:rPr>
        <w:t xml:space="preserve"> (see section</w:t>
      </w:r>
      <w:r w:rsidRPr="00D442F1" w:rsidR="00C957EB">
        <w:rPr>
          <w:noProof/>
          <w:szCs w:val="22"/>
        </w:rPr>
        <w:t> </w:t>
      </w:r>
      <w:r w:rsidRPr="00D442F1" w:rsidR="00DC499A">
        <w:rPr>
          <w:noProof/>
          <w:szCs w:val="22"/>
        </w:rPr>
        <w:t>4.8)</w:t>
      </w:r>
      <w:r w:rsidRPr="00D442F1">
        <w:rPr>
          <w:noProof/>
          <w:szCs w:val="22"/>
        </w:rPr>
        <w:t xml:space="preserve">. Patients should be monitored for signs and symptoms of infection and treated appropriately. As appropriate, prophylactic antibiotics should be administered and surveillance testing </w:t>
      </w:r>
      <w:r w:rsidRPr="00D442F1" w:rsidR="00766AB3">
        <w:rPr>
          <w:noProof/>
          <w:szCs w:val="22"/>
        </w:rPr>
        <w:t xml:space="preserve">should be employed </w:t>
      </w:r>
      <w:r w:rsidRPr="00D442F1">
        <w:rPr>
          <w:noProof/>
          <w:szCs w:val="22"/>
        </w:rPr>
        <w:t xml:space="preserve">prior to and during treatment with Kymriah. Infections are known to complicate the course and management of concurrent </w:t>
      </w:r>
      <w:r w:rsidRPr="00D442F1" w:rsidR="00C6018F">
        <w:rPr>
          <w:szCs w:val="22"/>
        </w:rPr>
        <w:t>c</w:t>
      </w:r>
      <w:r w:rsidRPr="00D442F1" w:rsidR="00C6018F">
        <w:rPr>
          <w:noProof/>
          <w:szCs w:val="22"/>
        </w:rPr>
        <w:t>ytokine release syndrome</w:t>
      </w:r>
      <w:r w:rsidRPr="00D442F1">
        <w:rPr>
          <w:noProof/>
          <w:szCs w:val="22"/>
        </w:rPr>
        <w:t>.</w:t>
      </w:r>
    </w:p>
    <w:p w:rsidR="00731730" w:rsidRPr="00D442F1" w:rsidP="00166894" w14:paraId="6E90FADC" w14:textId="77777777">
      <w:pPr>
        <w:widowControl w:val="0"/>
        <w:tabs>
          <w:tab w:val="clear" w:pos="567"/>
        </w:tabs>
        <w:spacing w:line="240" w:lineRule="auto"/>
        <w:rPr>
          <w:noProof/>
          <w:szCs w:val="22"/>
        </w:rPr>
      </w:pPr>
    </w:p>
    <w:p w:rsidR="00731730" w:rsidRPr="00D442F1" w:rsidP="00166894" w14:paraId="4AF4CEB2" w14:textId="77777777">
      <w:pPr>
        <w:widowControl w:val="0"/>
        <w:tabs>
          <w:tab w:val="clear" w:pos="567"/>
        </w:tabs>
        <w:spacing w:line="240" w:lineRule="auto"/>
        <w:rPr>
          <w:noProof/>
          <w:szCs w:val="22"/>
        </w:rPr>
      </w:pPr>
      <w:r w:rsidRPr="00D442F1">
        <w:rPr>
          <w:noProof/>
          <w:szCs w:val="22"/>
        </w:rPr>
        <w:t>Febrile neutropenia was</w:t>
      </w:r>
      <w:r w:rsidRPr="00D442F1" w:rsidR="00DC499A">
        <w:rPr>
          <w:noProof/>
          <w:szCs w:val="22"/>
        </w:rPr>
        <w:t xml:space="preserve"> frequently</w:t>
      </w:r>
      <w:r w:rsidRPr="00D442F1">
        <w:rPr>
          <w:noProof/>
          <w:szCs w:val="22"/>
        </w:rPr>
        <w:t xml:space="preserve"> </w:t>
      </w:r>
      <w:r w:rsidRPr="00D442F1" w:rsidR="00F1247A">
        <w:rPr>
          <w:noProof/>
          <w:szCs w:val="22"/>
        </w:rPr>
        <w:t>o</w:t>
      </w:r>
      <w:r w:rsidRPr="00D442F1">
        <w:rPr>
          <w:noProof/>
          <w:szCs w:val="22"/>
        </w:rPr>
        <w:t>bserved in patients after Kymriah infusion</w:t>
      </w:r>
      <w:r w:rsidRPr="00D442F1" w:rsidR="00DC499A">
        <w:rPr>
          <w:noProof/>
          <w:szCs w:val="22"/>
        </w:rPr>
        <w:t xml:space="preserve"> (see section</w:t>
      </w:r>
      <w:r w:rsidRPr="00D442F1" w:rsidR="00C957EB">
        <w:rPr>
          <w:noProof/>
          <w:szCs w:val="22"/>
        </w:rPr>
        <w:t> </w:t>
      </w:r>
      <w:r w:rsidRPr="00D442F1" w:rsidR="00DC499A">
        <w:rPr>
          <w:noProof/>
          <w:szCs w:val="22"/>
        </w:rPr>
        <w:t xml:space="preserve">4.8) </w:t>
      </w:r>
      <w:r w:rsidRPr="00D442F1">
        <w:rPr>
          <w:noProof/>
          <w:szCs w:val="22"/>
        </w:rPr>
        <w:t xml:space="preserve">and may be concurrent with </w:t>
      </w:r>
      <w:r w:rsidRPr="00D442F1" w:rsidR="00C6018F">
        <w:rPr>
          <w:szCs w:val="22"/>
        </w:rPr>
        <w:t>c</w:t>
      </w:r>
      <w:r w:rsidRPr="00D442F1" w:rsidR="00C6018F">
        <w:rPr>
          <w:noProof/>
          <w:szCs w:val="22"/>
        </w:rPr>
        <w:t>ytokine release syndrome</w:t>
      </w:r>
      <w:r w:rsidRPr="00D442F1">
        <w:rPr>
          <w:noProof/>
          <w:szCs w:val="22"/>
        </w:rPr>
        <w:t>. In the event of febrile neutropenia, infection should be evaluated and managed appropriately with broad</w:t>
      </w:r>
      <w:r w:rsidRPr="00D442F1" w:rsidR="00591100">
        <w:rPr>
          <w:noProof/>
          <w:szCs w:val="22"/>
        </w:rPr>
        <w:noBreakHyphen/>
      </w:r>
      <w:r w:rsidRPr="00D442F1">
        <w:rPr>
          <w:noProof/>
          <w:szCs w:val="22"/>
        </w:rPr>
        <w:t>spectrum antibiotics, fluids and other supportive care, as medically indicated.</w:t>
      </w:r>
    </w:p>
    <w:p w:rsidR="00731730" w:rsidRPr="00D442F1" w:rsidP="00166894" w14:paraId="2CAA5769" w14:textId="77777777">
      <w:pPr>
        <w:widowControl w:val="0"/>
        <w:tabs>
          <w:tab w:val="clear" w:pos="567"/>
        </w:tabs>
        <w:spacing w:line="240" w:lineRule="auto"/>
        <w:rPr>
          <w:noProof/>
          <w:szCs w:val="22"/>
        </w:rPr>
      </w:pPr>
    </w:p>
    <w:p w:rsidR="00731730" w:rsidRPr="00D442F1" w:rsidP="00166894" w14:paraId="1DE81B55" w14:textId="77777777">
      <w:pPr>
        <w:widowControl w:val="0"/>
        <w:tabs>
          <w:tab w:val="clear" w:pos="567"/>
        </w:tabs>
        <w:spacing w:line="240" w:lineRule="auto"/>
        <w:rPr>
          <w:noProof/>
          <w:szCs w:val="22"/>
        </w:rPr>
      </w:pPr>
      <w:r w:rsidRPr="00D442F1">
        <w:rPr>
          <w:noProof/>
          <w:szCs w:val="22"/>
        </w:rPr>
        <w:t xml:space="preserve">In patients achieving complete remission following Kymriah, resulting low immunoglobulin levels can increase the risk for infections. </w:t>
      </w:r>
      <w:r w:rsidRPr="00D442F1" w:rsidR="000961AA">
        <w:rPr>
          <w:noProof/>
          <w:szCs w:val="22"/>
        </w:rPr>
        <w:t>A</w:t>
      </w:r>
      <w:r w:rsidRPr="00D442F1">
        <w:rPr>
          <w:noProof/>
          <w:szCs w:val="22"/>
        </w:rPr>
        <w:t xml:space="preserve">ttention to signs and symptoms of infection should be implemented </w:t>
      </w:r>
      <w:r w:rsidRPr="00D442F1" w:rsidR="00766AB3">
        <w:rPr>
          <w:noProof/>
          <w:szCs w:val="22"/>
        </w:rPr>
        <w:t xml:space="preserve">according to </w:t>
      </w:r>
      <w:r w:rsidRPr="00D442F1">
        <w:rPr>
          <w:noProof/>
          <w:szCs w:val="22"/>
        </w:rPr>
        <w:t xml:space="preserve">age and </w:t>
      </w:r>
      <w:r w:rsidRPr="00D442F1" w:rsidR="00DF37DD">
        <w:rPr>
          <w:noProof/>
          <w:szCs w:val="22"/>
        </w:rPr>
        <w:t xml:space="preserve">standard </w:t>
      </w:r>
      <w:r w:rsidRPr="00D442F1">
        <w:rPr>
          <w:noProof/>
          <w:szCs w:val="22"/>
        </w:rPr>
        <w:t>specific guidelines.</w:t>
      </w:r>
    </w:p>
    <w:p w:rsidR="00731730" w:rsidRPr="00D442F1" w:rsidP="00166894" w14:paraId="6C6D4A97" w14:textId="77777777">
      <w:pPr>
        <w:widowControl w:val="0"/>
        <w:tabs>
          <w:tab w:val="clear" w:pos="567"/>
        </w:tabs>
        <w:spacing w:line="240" w:lineRule="auto"/>
        <w:rPr>
          <w:noProof/>
          <w:szCs w:val="22"/>
        </w:rPr>
      </w:pPr>
    </w:p>
    <w:p w:rsidR="00731730" w:rsidRPr="00D442F1" w:rsidP="00166894" w14:paraId="37D38455" w14:textId="77777777">
      <w:pPr>
        <w:keepNext/>
        <w:widowControl w:val="0"/>
        <w:tabs>
          <w:tab w:val="clear" w:pos="567"/>
        </w:tabs>
        <w:spacing w:line="240" w:lineRule="auto"/>
        <w:rPr>
          <w:noProof/>
          <w:szCs w:val="22"/>
        </w:rPr>
      </w:pPr>
      <w:r w:rsidRPr="00D442F1">
        <w:rPr>
          <w:noProof/>
          <w:szCs w:val="22"/>
          <w:u w:val="single"/>
        </w:rPr>
        <w:t>Prolonged cytopenias</w:t>
      </w:r>
    </w:p>
    <w:p w:rsidR="00766AB3" w:rsidRPr="00D442F1" w:rsidP="00166894" w14:paraId="488885EC" w14:textId="77777777">
      <w:pPr>
        <w:keepNext/>
        <w:widowControl w:val="0"/>
        <w:tabs>
          <w:tab w:val="clear" w:pos="567"/>
        </w:tabs>
        <w:spacing w:line="240" w:lineRule="auto"/>
        <w:rPr>
          <w:noProof/>
          <w:szCs w:val="22"/>
        </w:rPr>
      </w:pPr>
    </w:p>
    <w:p w:rsidR="00731730" w:rsidRPr="00D442F1" w:rsidP="00166894" w14:paraId="38868ECB" w14:textId="77777777">
      <w:pPr>
        <w:widowControl w:val="0"/>
        <w:tabs>
          <w:tab w:val="clear" w:pos="567"/>
        </w:tabs>
        <w:spacing w:line="240" w:lineRule="auto"/>
        <w:rPr>
          <w:noProof/>
          <w:szCs w:val="22"/>
        </w:rPr>
      </w:pPr>
      <w:r w:rsidRPr="00D442F1">
        <w:rPr>
          <w:noProof/>
          <w:szCs w:val="22"/>
        </w:rPr>
        <w:t xml:space="preserve">Patients may continue to exhibit cytopenias for several weeks following </w:t>
      </w:r>
      <w:r w:rsidRPr="00D442F1" w:rsidR="00D6745E">
        <w:rPr>
          <w:noProof/>
          <w:szCs w:val="22"/>
        </w:rPr>
        <w:t xml:space="preserve">lymphodepleting chemotherapy and </w:t>
      </w:r>
      <w:r w:rsidRPr="00D442F1">
        <w:rPr>
          <w:noProof/>
          <w:szCs w:val="22"/>
        </w:rPr>
        <w:t xml:space="preserve">Kymriah </w:t>
      </w:r>
      <w:r w:rsidRPr="00D442F1" w:rsidR="00766AB3">
        <w:rPr>
          <w:noProof/>
          <w:szCs w:val="22"/>
        </w:rPr>
        <w:t xml:space="preserve">infusion </w:t>
      </w:r>
      <w:r w:rsidRPr="00D442F1">
        <w:rPr>
          <w:noProof/>
          <w:szCs w:val="22"/>
        </w:rPr>
        <w:t xml:space="preserve">and should be managed </w:t>
      </w:r>
      <w:r w:rsidRPr="00D442F1" w:rsidR="00766AB3">
        <w:rPr>
          <w:noProof/>
          <w:szCs w:val="22"/>
        </w:rPr>
        <w:t xml:space="preserve">according to </w:t>
      </w:r>
      <w:r w:rsidRPr="00D442F1" w:rsidR="00F45424">
        <w:rPr>
          <w:noProof/>
          <w:szCs w:val="22"/>
        </w:rPr>
        <w:t xml:space="preserve">standard </w:t>
      </w:r>
      <w:r w:rsidRPr="00D442F1">
        <w:rPr>
          <w:noProof/>
          <w:szCs w:val="22"/>
        </w:rPr>
        <w:t>guidelines. The majority of patients who had cytopenias at day</w:t>
      </w:r>
      <w:r w:rsidRPr="00D442F1" w:rsidR="00766AB3">
        <w:rPr>
          <w:noProof/>
          <w:szCs w:val="22"/>
        </w:rPr>
        <w:t> </w:t>
      </w:r>
      <w:r w:rsidRPr="00D442F1">
        <w:rPr>
          <w:noProof/>
          <w:szCs w:val="22"/>
        </w:rPr>
        <w:t>28 following Kymriah treatment resolved to Grade</w:t>
      </w:r>
      <w:r w:rsidRPr="00D442F1" w:rsidR="00766AB3">
        <w:rPr>
          <w:noProof/>
          <w:szCs w:val="22"/>
        </w:rPr>
        <w:t> </w:t>
      </w:r>
      <w:r w:rsidRPr="00D442F1">
        <w:rPr>
          <w:noProof/>
          <w:szCs w:val="22"/>
        </w:rPr>
        <w:t xml:space="preserve">2 or below within three months </w:t>
      </w:r>
      <w:r w:rsidRPr="00D442F1" w:rsidR="006D6857">
        <w:rPr>
          <w:noProof/>
          <w:szCs w:val="22"/>
        </w:rPr>
        <w:t xml:space="preserve">after </w:t>
      </w:r>
      <w:r w:rsidRPr="00D442F1">
        <w:rPr>
          <w:noProof/>
          <w:szCs w:val="22"/>
        </w:rPr>
        <w:t>treatment. Prolonged neutropenia has been associated with increased risk of infection. Myeloid growth factors</w:t>
      </w:r>
      <w:r w:rsidRPr="00D442F1" w:rsidR="000961AA">
        <w:rPr>
          <w:noProof/>
          <w:szCs w:val="22"/>
        </w:rPr>
        <w:t>, particularly granulocyte macrophage</w:t>
      </w:r>
      <w:r w:rsidRPr="00D442F1" w:rsidR="000961AA">
        <w:rPr>
          <w:noProof/>
          <w:szCs w:val="22"/>
        </w:rPr>
        <w:noBreakHyphen/>
        <w:t>colony stimulating factor (GM</w:t>
      </w:r>
      <w:r w:rsidRPr="00D442F1" w:rsidR="000961AA">
        <w:rPr>
          <w:noProof/>
          <w:szCs w:val="22"/>
        </w:rPr>
        <w:noBreakHyphen/>
        <w:t xml:space="preserve">CSF), have the potential to worsen </w:t>
      </w:r>
      <w:r w:rsidRPr="00D442F1" w:rsidR="00C6018F">
        <w:rPr>
          <w:szCs w:val="22"/>
        </w:rPr>
        <w:t>c</w:t>
      </w:r>
      <w:r w:rsidRPr="00D442F1" w:rsidR="00C6018F">
        <w:rPr>
          <w:noProof/>
          <w:szCs w:val="22"/>
        </w:rPr>
        <w:t>ytokine release syndrome</w:t>
      </w:r>
      <w:r w:rsidRPr="00D442F1" w:rsidR="000961AA">
        <w:rPr>
          <w:noProof/>
          <w:szCs w:val="22"/>
        </w:rPr>
        <w:t xml:space="preserve"> symptoms and</w:t>
      </w:r>
      <w:r w:rsidRPr="00D442F1">
        <w:rPr>
          <w:noProof/>
          <w:szCs w:val="22"/>
        </w:rPr>
        <w:t xml:space="preserve"> are not recommended </w:t>
      </w:r>
      <w:r w:rsidRPr="00D442F1" w:rsidR="006D6857">
        <w:rPr>
          <w:noProof/>
          <w:szCs w:val="22"/>
        </w:rPr>
        <w:t>during the first</w:t>
      </w:r>
      <w:r w:rsidRPr="00D442F1" w:rsidR="000961AA">
        <w:rPr>
          <w:noProof/>
          <w:szCs w:val="22"/>
        </w:rPr>
        <w:t xml:space="preserve"> 3 </w:t>
      </w:r>
      <w:r w:rsidRPr="00D442F1" w:rsidR="006D6857">
        <w:rPr>
          <w:noProof/>
          <w:szCs w:val="22"/>
        </w:rPr>
        <w:t xml:space="preserve">weeks after Kymriah infusion or </w:t>
      </w:r>
      <w:r w:rsidRPr="00D442F1">
        <w:rPr>
          <w:noProof/>
          <w:szCs w:val="22"/>
        </w:rPr>
        <w:t xml:space="preserve">until </w:t>
      </w:r>
      <w:r w:rsidRPr="00D442F1" w:rsidR="00C6018F">
        <w:rPr>
          <w:szCs w:val="22"/>
        </w:rPr>
        <w:t>c</w:t>
      </w:r>
      <w:r w:rsidRPr="00D442F1" w:rsidR="00C6018F">
        <w:rPr>
          <w:noProof/>
          <w:szCs w:val="22"/>
        </w:rPr>
        <w:t>ytokine release syndrome</w:t>
      </w:r>
      <w:r w:rsidRPr="00D442F1">
        <w:rPr>
          <w:noProof/>
          <w:szCs w:val="22"/>
        </w:rPr>
        <w:t xml:space="preserve"> has resolved</w:t>
      </w:r>
      <w:r w:rsidRPr="00D442F1" w:rsidR="00B26529">
        <w:rPr>
          <w:noProof/>
          <w:szCs w:val="22"/>
        </w:rPr>
        <w:t>.</w:t>
      </w:r>
    </w:p>
    <w:p w:rsidR="00B26529" w:rsidRPr="00D442F1" w:rsidP="00166894" w14:paraId="1D20D658" w14:textId="77777777">
      <w:pPr>
        <w:widowControl w:val="0"/>
        <w:tabs>
          <w:tab w:val="clear" w:pos="567"/>
        </w:tabs>
        <w:spacing w:line="240" w:lineRule="auto"/>
        <w:rPr>
          <w:noProof/>
          <w:szCs w:val="22"/>
        </w:rPr>
      </w:pPr>
    </w:p>
    <w:p w:rsidR="00AF0DDD" w:rsidRPr="00D442F1" w:rsidP="00166894" w14:paraId="0FCBA438" w14:textId="77777777">
      <w:pPr>
        <w:keepNext/>
        <w:widowControl w:val="0"/>
        <w:tabs>
          <w:tab w:val="clear" w:pos="567"/>
        </w:tabs>
        <w:spacing w:line="240" w:lineRule="auto"/>
        <w:rPr>
          <w:noProof/>
          <w:szCs w:val="22"/>
        </w:rPr>
      </w:pPr>
      <w:r w:rsidRPr="00D442F1">
        <w:rPr>
          <w:noProof/>
          <w:szCs w:val="22"/>
          <w:u w:val="single"/>
        </w:rPr>
        <w:t>Secondary malignancies</w:t>
      </w:r>
    </w:p>
    <w:p w:rsidR="00AF0DDD" w:rsidRPr="00D442F1" w:rsidP="00166894" w14:paraId="1267BF4E" w14:textId="77777777">
      <w:pPr>
        <w:keepNext/>
        <w:widowControl w:val="0"/>
        <w:tabs>
          <w:tab w:val="clear" w:pos="567"/>
        </w:tabs>
        <w:spacing w:line="240" w:lineRule="auto"/>
        <w:rPr>
          <w:noProof/>
          <w:szCs w:val="22"/>
        </w:rPr>
      </w:pPr>
    </w:p>
    <w:p w:rsidR="00AF0DDD" w:rsidRPr="00D442F1" w:rsidP="00166894" w14:paraId="3122C756" w14:textId="77777777">
      <w:pPr>
        <w:widowControl w:val="0"/>
        <w:tabs>
          <w:tab w:val="clear" w:pos="567"/>
        </w:tabs>
        <w:spacing w:line="240" w:lineRule="auto"/>
        <w:rPr>
          <w:noProof/>
          <w:szCs w:val="22"/>
        </w:rPr>
      </w:pPr>
      <w:r w:rsidRPr="00D442F1">
        <w:rPr>
          <w:noProof/>
          <w:szCs w:val="22"/>
        </w:rPr>
        <w:t>Patients treated with Kymriah may develop secondary malignancies or recurrence of their cancer</w:t>
      </w:r>
      <w:r w:rsidRPr="00D442F1" w:rsidR="008079EC">
        <w:rPr>
          <w:noProof/>
          <w:szCs w:val="22"/>
        </w:rPr>
        <w:t>.</w:t>
      </w:r>
      <w:r w:rsidRPr="00D442F1">
        <w:rPr>
          <w:noProof/>
          <w:szCs w:val="22"/>
        </w:rPr>
        <w:t xml:space="preserve"> </w:t>
      </w:r>
      <w:r w:rsidRPr="00D442F1" w:rsidR="00136D62">
        <w:rPr>
          <w:noProof/>
          <w:szCs w:val="22"/>
        </w:rPr>
        <w:t>They should be monitored l</w:t>
      </w:r>
      <w:r w:rsidRPr="00D442F1">
        <w:rPr>
          <w:noProof/>
          <w:szCs w:val="22"/>
        </w:rPr>
        <w:t>ife</w:t>
      </w:r>
      <w:r w:rsidRPr="00D442F1">
        <w:rPr>
          <w:noProof/>
          <w:szCs w:val="22"/>
        </w:rPr>
        <w:noBreakHyphen/>
        <w:t>long for secondary malignancies. In the event that a secondary malignancy occurs, the company</w:t>
      </w:r>
      <w:r w:rsidRPr="00D442F1" w:rsidR="00136D62">
        <w:rPr>
          <w:noProof/>
          <w:szCs w:val="22"/>
        </w:rPr>
        <w:t xml:space="preserve"> should</w:t>
      </w:r>
      <w:r w:rsidRPr="00D442F1">
        <w:rPr>
          <w:noProof/>
          <w:szCs w:val="22"/>
        </w:rPr>
        <w:t xml:space="preserve"> be contacted to obtain instructions on patient samples to collect for testing.</w:t>
      </w:r>
    </w:p>
    <w:p w:rsidR="00AF0DDD" w:rsidRPr="00D442F1" w:rsidP="00166894" w14:paraId="1E460A55" w14:textId="77777777">
      <w:pPr>
        <w:widowControl w:val="0"/>
        <w:tabs>
          <w:tab w:val="clear" w:pos="567"/>
        </w:tabs>
        <w:spacing w:line="240" w:lineRule="auto"/>
        <w:rPr>
          <w:noProof/>
          <w:szCs w:val="22"/>
        </w:rPr>
      </w:pPr>
    </w:p>
    <w:p w:rsidR="00B26529" w:rsidRPr="00D442F1" w:rsidP="00166894" w14:paraId="00071B6D" w14:textId="77777777">
      <w:pPr>
        <w:keepNext/>
        <w:widowControl w:val="0"/>
        <w:tabs>
          <w:tab w:val="clear" w:pos="567"/>
        </w:tabs>
        <w:spacing w:line="240" w:lineRule="auto"/>
        <w:rPr>
          <w:noProof/>
          <w:szCs w:val="22"/>
        </w:rPr>
      </w:pPr>
      <w:r w:rsidRPr="00D442F1">
        <w:rPr>
          <w:noProof/>
          <w:szCs w:val="22"/>
          <w:u w:val="single"/>
        </w:rPr>
        <w:t>Hypogammaglobulin</w:t>
      </w:r>
      <w:r w:rsidRPr="00D442F1" w:rsidR="00766AB3">
        <w:rPr>
          <w:noProof/>
          <w:szCs w:val="22"/>
          <w:u w:val="single"/>
        </w:rPr>
        <w:t>a</w:t>
      </w:r>
      <w:r w:rsidRPr="00D442F1">
        <w:rPr>
          <w:noProof/>
          <w:szCs w:val="22"/>
          <w:u w:val="single"/>
        </w:rPr>
        <w:t>emia</w:t>
      </w:r>
    </w:p>
    <w:p w:rsidR="00766AB3" w:rsidRPr="00D442F1" w:rsidP="00166894" w14:paraId="2BB3CF15" w14:textId="77777777">
      <w:pPr>
        <w:keepNext/>
        <w:widowControl w:val="0"/>
        <w:tabs>
          <w:tab w:val="clear" w:pos="567"/>
        </w:tabs>
        <w:spacing w:line="240" w:lineRule="auto"/>
        <w:rPr>
          <w:noProof/>
          <w:szCs w:val="22"/>
        </w:rPr>
      </w:pPr>
    </w:p>
    <w:p w:rsidR="00B26529" w:rsidRPr="00385FB9" w:rsidP="00166894" w14:paraId="2C1C3219" w14:textId="2162B3C4">
      <w:pPr>
        <w:widowControl w:val="0"/>
        <w:tabs>
          <w:tab w:val="clear" w:pos="567"/>
        </w:tabs>
        <w:spacing w:line="240" w:lineRule="auto"/>
        <w:rPr>
          <w:noProof/>
          <w:szCs w:val="22"/>
        </w:rPr>
      </w:pPr>
      <w:r w:rsidRPr="00D442F1">
        <w:rPr>
          <w:noProof/>
          <w:szCs w:val="22"/>
        </w:rPr>
        <w:t>Hypogammaglobulin</w:t>
      </w:r>
      <w:r w:rsidRPr="00D442F1" w:rsidR="00766AB3">
        <w:rPr>
          <w:noProof/>
          <w:szCs w:val="22"/>
        </w:rPr>
        <w:t>a</w:t>
      </w:r>
      <w:r w:rsidRPr="00D442F1">
        <w:rPr>
          <w:noProof/>
          <w:szCs w:val="22"/>
        </w:rPr>
        <w:t>emia and agammaglobulin</w:t>
      </w:r>
      <w:r w:rsidRPr="00D442F1" w:rsidR="00766AB3">
        <w:rPr>
          <w:noProof/>
          <w:szCs w:val="22"/>
        </w:rPr>
        <w:t>a</w:t>
      </w:r>
      <w:r w:rsidRPr="00D442F1">
        <w:rPr>
          <w:noProof/>
          <w:szCs w:val="22"/>
        </w:rPr>
        <w:t xml:space="preserve">emia </w:t>
      </w:r>
      <w:r w:rsidRPr="00D442F1" w:rsidR="00F91091">
        <w:rPr>
          <w:noProof/>
          <w:szCs w:val="22"/>
        </w:rPr>
        <w:t>can occur</w:t>
      </w:r>
      <w:r w:rsidRPr="00D442F1">
        <w:rPr>
          <w:noProof/>
          <w:szCs w:val="22"/>
        </w:rPr>
        <w:t xml:space="preserve"> in patients after Kymriah infusion. </w:t>
      </w:r>
      <w:r w:rsidRPr="00D442F1" w:rsidR="00F91091">
        <w:t>I</w:t>
      </w:r>
      <w:r w:rsidRPr="00D442F1" w:rsidR="00F91091">
        <w:rPr>
          <w:szCs w:val="22"/>
        </w:rPr>
        <w:t xml:space="preserve">mmunoglobulin levels </w:t>
      </w:r>
      <w:r w:rsidRPr="00385FB9" w:rsidR="00F91091">
        <w:rPr>
          <w:szCs w:val="22"/>
        </w:rPr>
        <w:t>should be monitored after treatment with Kymriah</w:t>
      </w:r>
      <w:r w:rsidRPr="00385FB9" w:rsidR="004F4361">
        <w:rPr>
          <w:szCs w:val="22"/>
        </w:rPr>
        <w:t>. In patients with low immunoglobulin levels pre</w:t>
      </w:r>
      <w:r w:rsidRPr="00385FB9" w:rsidR="004F4361">
        <w:rPr>
          <w:szCs w:val="22"/>
        </w:rPr>
        <w:noBreakHyphen/>
        <w:t>emptive measures such as</w:t>
      </w:r>
      <w:r w:rsidRPr="00385FB9" w:rsidR="004F4361">
        <w:rPr>
          <w:noProof/>
          <w:szCs w:val="22"/>
        </w:rPr>
        <w:t xml:space="preserve"> </w:t>
      </w:r>
      <w:r w:rsidRPr="00385FB9" w:rsidR="00F91091">
        <w:rPr>
          <w:szCs w:val="22"/>
        </w:rPr>
        <w:t>infection</w:t>
      </w:r>
      <w:r w:rsidRPr="00385FB9">
        <w:rPr>
          <w:noProof/>
          <w:szCs w:val="22"/>
        </w:rPr>
        <w:t xml:space="preserve"> precautions, antibiotic prophylaxis and immunoglobulin replacement </w:t>
      </w:r>
      <w:r w:rsidRPr="00385FB9" w:rsidR="003B0C1B">
        <w:rPr>
          <w:noProof/>
          <w:szCs w:val="22"/>
        </w:rPr>
        <w:t xml:space="preserve">should be taken </w:t>
      </w:r>
      <w:r w:rsidRPr="00385FB9" w:rsidR="00766AB3">
        <w:rPr>
          <w:noProof/>
          <w:szCs w:val="22"/>
        </w:rPr>
        <w:t xml:space="preserve">according to </w:t>
      </w:r>
      <w:r w:rsidRPr="00385FB9">
        <w:rPr>
          <w:noProof/>
          <w:szCs w:val="22"/>
        </w:rPr>
        <w:t xml:space="preserve">age and </w:t>
      </w:r>
      <w:r w:rsidRPr="00385FB9" w:rsidR="0046760C">
        <w:rPr>
          <w:noProof/>
          <w:szCs w:val="22"/>
        </w:rPr>
        <w:t xml:space="preserve">standard </w:t>
      </w:r>
      <w:r w:rsidRPr="00385FB9">
        <w:rPr>
          <w:noProof/>
          <w:szCs w:val="22"/>
        </w:rPr>
        <w:t>guidelines.</w:t>
      </w:r>
    </w:p>
    <w:p w:rsidR="00B26529" w:rsidRPr="00385FB9" w:rsidP="00166894" w14:paraId="50BAA58C" w14:textId="7B9A8AB8">
      <w:pPr>
        <w:widowControl w:val="0"/>
        <w:tabs>
          <w:tab w:val="clear" w:pos="567"/>
        </w:tabs>
        <w:spacing w:line="240" w:lineRule="auto"/>
        <w:rPr>
          <w:noProof/>
          <w:szCs w:val="22"/>
        </w:rPr>
      </w:pPr>
    </w:p>
    <w:p w:rsidR="00B26529" w:rsidRPr="00385FB9" w:rsidP="00166894" w14:paraId="4D39463D" w14:textId="77777777">
      <w:pPr>
        <w:keepNext/>
        <w:widowControl w:val="0"/>
        <w:tabs>
          <w:tab w:val="clear" w:pos="567"/>
        </w:tabs>
        <w:spacing w:line="240" w:lineRule="auto"/>
        <w:rPr>
          <w:noProof/>
          <w:szCs w:val="22"/>
        </w:rPr>
      </w:pPr>
      <w:r w:rsidRPr="00385FB9">
        <w:rPr>
          <w:noProof/>
          <w:szCs w:val="22"/>
          <w:u w:val="single"/>
        </w:rPr>
        <w:t>Tumo</w:t>
      </w:r>
      <w:r w:rsidRPr="00385FB9" w:rsidR="00766AB3">
        <w:rPr>
          <w:noProof/>
          <w:szCs w:val="22"/>
          <w:u w:val="single"/>
        </w:rPr>
        <w:t>u</w:t>
      </w:r>
      <w:r w:rsidRPr="00385FB9">
        <w:rPr>
          <w:noProof/>
          <w:szCs w:val="22"/>
          <w:u w:val="single"/>
        </w:rPr>
        <w:t>r lysis syndrome</w:t>
      </w:r>
      <w:r w:rsidRPr="00385FB9" w:rsidR="00086361">
        <w:rPr>
          <w:noProof/>
          <w:szCs w:val="22"/>
          <w:u w:val="single"/>
        </w:rPr>
        <w:t xml:space="preserve"> (TLS)</w:t>
      </w:r>
    </w:p>
    <w:p w:rsidR="00766AB3" w:rsidRPr="00385FB9" w:rsidP="00166894" w14:paraId="294874B1" w14:textId="77777777">
      <w:pPr>
        <w:keepNext/>
        <w:widowControl w:val="0"/>
        <w:tabs>
          <w:tab w:val="clear" w:pos="567"/>
        </w:tabs>
        <w:spacing w:line="240" w:lineRule="auto"/>
        <w:rPr>
          <w:noProof/>
          <w:szCs w:val="22"/>
        </w:rPr>
      </w:pPr>
    </w:p>
    <w:p w:rsidR="00B26529" w:rsidRPr="00D442F1" w:rsidP="00166894" w14:paraId="5BB17EAB" w14:textId="77777777">
      <w:pPr>
        <w:widowControl w:val="0"/>
        <w:tabs>
          <w:tab w:val="clear" w:pos="567"/>
        </w:tabs>
        <w:spacing w:line="240" w:lineRule="auto"/>
        <w:rPr>
          <w:noProof/>
          <w:szCs w:val="22"/>
        </w:rPr>
      </w:pPr>
      <w:r w:rsidRPr="00385FB9">
        <w:rPr>
          <w:noProof/>
          <w:szCs w:val="22"/>
        </w:rPr>
        <w:t xml:space="preserve">TLS, which may be severe, has </w:t>
      </w:r>
      <w:r w:rsidRPr="00385FB9" w:rsidR="00661C22">
        <w:rPr>
          <w:noProof/>
          <w:szCs w:val="22"/>
        </w:rPr>
        <w:t xml:space="preserve">occasionally </w:t>
      </w:r>
      <w:r w:rsidRPr="00385FB9">
        <w:rPr>
          <w:noProof/>
          <w:szCs w:val="22"/>
        </w:rPr>
        <w:t>been observed. To minimi</w:t>
      </w:r>
      <w:r w:rsidRPr="00385FB9" w:rsidR="00766AB3">
        <w:rPr>
          <w:noProof/>
          <w:szCs w:val="22"/>
        </w:rPr>
        <w:t>s</w:t>
      </w:r>
      <w:r w:rsidRPr="00385FB9">
        <w:rPr>
          <w:noProof/>
          <w:szCs w:val="22"/>
        </w:rPr>
        <w:t>e risk of TLS, patients with elevated uric acid or high tumo</w:t>
      </w:r>
      <w:r w:rsidRPr="00385FB9" w:rsidR="00766AB3">
        <w:rPr>
          <w:noProof/>
          <w:szCs w:val="22"/>
        </w:rPr>
        <w:t>u</w:t>
      </w:r>
      <w:r w:rsidRPr="00385FB9">
        <w:rPr>
          <w:noProof/>
          <w:szCs w:val="22"/>
        </w:rPr>
        <w:t xml:space="preserve">r burden should receive allopurinol, or an alternative prophylaxis, prior to Kymriah infusion. Signs and symptoms of TLS should be monitored and events managed according to </w:t>
      </w:r>
      <w:r w:rsidRPr="00385FB9" w:rsidR="00DF37DD">
        <w:rPr>
          <w:noProof/>
          <w:szCs w:val="22"/>
        </w:rPr>
        <w:t xml:space="preserve">standard </w:t>
      </w:r>
      <w:r w:rsidRPr="00385FB9">
        <w:rPr>
          <w:noProof/>
          <w:szCs w:val="22"/>
        </w:rPr>
        <w:t>guidelines.</w:t>
      </w:r>
    </w:p>
    <w:p w:rsidR="000C4839" w:rsidRPr="00D442F1" w:rsidP="00166894" w14:paraId="43555431" w14:textId="77777777">
      <w:pPr>
        <w:widowControl w:val="0"/>
        <w:tabs>
          <w:tab w:val="clear" w:pos="567"/>
        </w:tabs>
        <w:spacing w:line="240" w:lineRule="auto"/>
        <w:rPr>
          <w:noProof/>
          <w:szCs w:val="22"/>
        </w:rPr>
      </w:pPr>
    </w:p>
    <w:p w:rsidR="00192A0C" w:rsidRPr="00D442F1" w:rsidP="00166894" w14:paraId="3B8BAF1F" w14:textId="77777777">
      <w:pPr>
        <w:keepNext/>
        <w:widowControl w:val="0"/>
        <w:tabs>
          <w:tab w:val="clear" w:pos="567"/>
        </w:tabs>
        <w:spacing w:line="240" w:lineRule="auto"/>
        <w:rPr>
          <w:noProof/>
          <w:szCs w:val="22"/>
          <w:u w:val="single"/>
        </w:rPr>
      </w:pPr>
      <w:r w:rsidRPr="00D442F1">
        <w:rPr>
          <w:noProof/>
          <w:szCs w:val="22"/>
          <w:u w:val="single"/>
        </w:rPr>
        <w:t>Concomitant disease</w:t>
      </w:r>
    </w:p>
    <w:p w:rsidR="00192A0C" w:rsidRPr="00D442F1" w:rsidP="00166894" w14:paraId="78CA1180" w14:textId="77777777">
      <w:pPr>
        <w:keepNext/>
        <w:widowControl w:val="0"/>
        <w:tabs>
          <w:tab w:val="clear" w:pos="567"/>
        </w:tabs>
        <w:spacing w:line="240" w:lineRule="auto"/>
        <w:rPr>
          <w:noProof/>
          <w:szCs w:val="22"/>
        </w:rPr>
      </w:pPr>
    </w:p>
    <w:p w:rsidR="00192A0C" w:rsidRPr="00D442F1" w:rsidP="00166894" w14:paraId="7B0E4226" w14:textId="77777777">
      <w:pPr>
        <w:widowControl w:val="0"/>
        <w:tabs>
          <w:tab w:val="clear" w:pos="567"/>
        </w:tabs>
        <w:spacing w:line="240" w:lineRule="auto"/>
        <w:rPr>
          <w:noProof/>
          <w:szCs w:val="22"/>
        </w:rPr>
      </w:pPr>
      <w:r w:rsidRPr="00D442F1">
        <w:rPr>
          <w:noProof/>
          <w:szCs w:val="22"/>
        </w:rPr>
        <w:t>Patients with a history of active CNS disorder or inadequate renal</w:t>
      </w:r>
      <w:r w:rsidRPr="00D442F1" w:rsidR="00112D50">
        <w:rPr>
          <w:noProof/>
          <w:szCs w:val="22"/>
        </w:rPr>
        <w:t>, hepatic</w:t>
      </w:r>
      <w:r w:rsidRPr="00D442F1">
        <w:rPr>
          <w:noProof/>
          <w:szCs w:val="22"/>
        </w:rPr>
        <w:t>,</w:t>
      </w:r>
      <w:r w:rsidRPr="00D442F1" w:rsidR="00112D50">
        <w:rPr>
          <w:noProof/>
          <w:szCs w:val="22"/>
        </w:rPr>
        <w:t xml:space="preserve"> </w:t>
      </w:r>
      <w:r w:rsidRPr="00D442F1">
        <w:rPr>
          <w:noProof/>
          <w:szCs w:val="22"/>
        </w:rPr>
        <w:t>pulmonary or cardiac function were excluded from the studies. These patient are likely to be more vulnerable to the consequences of the adverse reactions described below and require special attention.</w:t>
      </w:r>
    </w:p>
    <w:p w:rsidR="00B26529" w:rsidRPr="00D442F1" w:rsidP="00166894" w14:paraId="6D0CA64F" w14:textId="77777777">
      <w:pPr>
        <w:widowControl w:val="0"/>
        <w:tabs>
          <w:tab w:val="clear" w:pos="567"/>
        </w:tabs>
        <w:spacing w:line="240" w:lineRule="auto"/>
        <w:rPr>
          <w:noProof/>
          <w:szCs w:val="22"/>
        </w:rPr>
      </w:pPr>
    </w:p>
    <w:p w:rsidR="00B26529" w:rsidRPr="00D442F1" w:rsidP="00166894" w14:paraId="1955244E" w14:textId="0B1BAEA0">
      <w:pPr>
        <w:keepNext/>
        <w:widowControl w:val="0"/>
        <w:tabs>
          <w:tab w:val="clear" w:pos="567"/>
        </w:tabs>
        <w:spacing w:line="240" w:lineRule="auto"/>
        <w:rPr>
          <w:noProof/>
          <w:szCs w:val="22"/>
        </w:rPr>
      </w:pPr>
      <w:r w:rsidRPr="00D442F1">
        <w:rPr>
          <w:noProof/>
          <w:szCs w:val="22"/>
          <w:u w:val="single"/>
        </w:rPr>
        <w:t xml:space="preserve">Prior </w:t>
      </w:r>
      <w:r w:rsidRPr="00D442F1" w:rsidR="00296DB7">
        <w:rPr>
          <w:noProof/>
          <w:szCs w:val="22"/>
          <w:u w:val="single"/>
        </w:rPr>
        <w:t>stem cell</w:t>
      </w:r>
      <w:r w:rsidRPr="00D442F1">
        <w:rPr>
          <w:noProof/>
          <w:szCs w:val="22"/>
          <w:u w:val="single"/>
        </w:rPr>
        <w:t xml:space="preserve"> transplant</w:t>
      </w:r>
      <w:r w:rsidRPr="00D442F1" w:rsidR="00296DB7">
        <w:rPr>
          <w:noProof/>
          <w:szCs w:val="22"/>
          <w:u w:val="single"/>
        </w:rPr>
        <w:t>ation</w:t>
      </w:r>
    </w:p>
    <w:p w:rsidR="00EB448D" w:rsidRPr="00D442F1" w:rsidP="00166894" w14:paraId="725E84B2" w14:textId="77777777">
      <w:pPr>
        <w:keepNext/>
        <w:widowControl w:val="0"/>
        <w:tabs>
          <w:tab w:val="clear" w:pos="567"/>
        </w:tabs>
        <w:spacing w:line="240" w:lineRule="auto"/>
        <w:rPr>
          <w:noProof/>
          <w:szCs w:val="22"/>
        </w:rPr>
      </w:pPr>
    </w:p>
    <w:p w:rsidR="00B26529" w:rsidRPr="00385FB9" w:rsidP="00166894" w14:paraId="2F15A1FE" w14:textId="77777777">
      <w:pPr>
        <w:widowControl w:val="0"/>
        <w:tabs>
          <w:tab w:val="clear" w:pos="567"/>
        </w:tabs>
        <w:spacing w:line="240" w:lineRule="auto"/>
        <w:rPr>
          <w:noProof/>
          <w:szCs w:val="22"/>
        </w:rPr>
      </w:pPr>
      <w:r w:rsidRPr="00D442F1">
        <w:rPr>
          <w:noProof/>
          <w:szCs w:val="22"/>
        </w:rPr>
        <w:t xml:space="preserve">It is not recommended that patients receive Kymriah within </w:t>
      </w:r>
      <w:r w:rsidRPr="00D442F1" w:rsidR="004F4361">
        <w:rPr>
          <w:noProof/>
          <w:szCs w:val="22"/>
        </w:rPr>
        <w:t>4</w:t>
      </w:r>
      <w:r w:rsidRPr="00D442F1" w:rsidR="00EB448D">
        <w:rPr>
          <w:noProof/>
          <w:szCs w:val="22"/>
        </w:rPr>
        <w:t> </w:t>
      </w:r>
      <w:r w:rsidRPr="00D442F1">
        <w:rPr>
          <w:noProof/>
          <w:szCs w:val="22"/>
        </w:rPr>
        <w:t>months of undergoing an allogeneic stem cell transplant (</w:t>
      </w:r>
      <w:r w:rsidRPr="00385FB9">
        <w:rPr>
          <w:noProof/>
          <w:szCs w:val="22"/>
        </w:rPr>
        <w:t>SCT) because of the potential risk of Kymriah worsening GVHD.</w:t>
      </w:r>
      <w:r w:rsidRPr="00385FB9" w:rsidR="004F4361">
        <w:rPr>
          <w:noProof/>
          <w:szCs w:val="22"/>
        </w:rPr>
        <w:t xml:space="preserve"> Leukapheresis for Kymriah manufacturing should be performed at least 12 weeks after allogeneic SCT.</w:t>
      </w:r>
    </w:p>
    <w:p w:rsidR="00B26529" w:rsidRPr="00385FB9" w:rsidP="00166894" w14:paraId="6BF45487" w14:textId="77777777">
      <w:pPr>
        <w:widowControl w:val="0"/>
        <w:tabs>
          <w:tab w:val="clear" w:pos="567"/>
        </w:tabs>
        <w:spacing w:line="240" w:lineRule="auto"/>
        <w:rPr>
          <w:noProof/>
          <w:szCs w:val="22"/>
          <w:u w:val="single"/>
        </w:rPr>
      </w:pPr>
    </w:p>
    <w:p w:rsidR="00395DC4" w:rsidRPr="00385FB9" w:rsidP="00166894" w14:paraId="175BB548" w14:textId="647B8F6D">
      <w:pPr>
        <w:keepNext/>
        <w:widowControl w:val="0"/>
        <w:tabs>
          <w:tab w:val="clear" w:pos="567"/>
        </w:tabs>
        <w:spacing w:line="240" w:lineRule="auto"/>
        <w:rPr>
          <w:noProof/>
          <w:szCs w:val="22"/>
          <w:u w:val="single"/>
        </w:rPr>
      </w:pPr>
      <w:r w:rsidRPr="00385FB9">
        <w:rPr>
          <w:noProof/>
          <w:szCs w:val="22"/>
          <w:u w:val="single"/>
        </w:rPr>
        <w:t>Serological testing</w:t>
      </w:r>
    </w:p>
    <w:p w:rsidR="00EB448D" w:rsidRPr="00385FB9" w:rsidP="00166894" w14:paraId="344656E9" w14:textId="77777777">
      <w:pPr>
        <w:keepNext/>
        <w:widowControl w:val="0"/>
        <w:tabs>
          <w:tab w:val="clear" w:pos="567"/>
        </w:tabs>
        <w:spacing w:line="240" w:lineRule="auto"/>
        <w:rPr>
          <w:noProof/>
          <w:szCs w:val="22"/>
        </w:rPr>
      </w:pPr>
    </w:p>
    <w:p w:rsidR="00C20D40" w:rsidRPr="00385FB9" w:rsidP="00166894" w14:paraId="20968676" w14:textId="77777777">
      <w:pPr>
        <w:widowControl w:val="0"/>
        <w:tabs>
          <w:tab w:val="clear" w:pos="567"/>
        </w:tabs>
        <w:spacing w:line="240" w:lineRule="auto"/>
      </w:pPr>
      <w:r w:rsidRPr="00385FB9">
        <w:t>There is currently no experience with manufacturing Kymriah for patients testing positive</w:t>
      </w:r>
      <w:r w:rsidRPr="00385FB9" w:rsidR="00DD542B">
        <w:t xml:space="preserve"> for </w:t>
      </w:r>
      <w:r w:rsidRPr="00385FB9">
        <w:t>HBV, HCV and HIV.</w:t>
      </w:r>
    </w:p>
    <w:p w:rsidR="00EB448D" w:rsidRPr="00385FB9" w:rsidP="00166894" w14:paraId="49B13283" w14:textId="77777777">
      <w:pPr>
        <w:widowControl w:val="0"/>
        <w:tabs>
          <w:tab w:val="clear" w:pos="567"/>
        </w:tabs>
        <w:spacing w:line="240" w:lineRule="auto"/>
      </w:pPr>
    </w:p>
    <w:p w:rsidR="00655DFD" w:rsidRPr="00385FB9" w:rsidP="00166894" w14:paraId="2DEB96AB" w14:textId="5E3CD19D">
      <w:pPr>
        <w:widowControl w:val="0"/>
        <w:tabs>
          <w:tab w:val="clear" w:pos="567"/>
        </w:tabs>
        <w:spacing w:line="240" w:lineRule="auto"/>
        <w:rPr>
          <w:szCs w:val="22"/>
        </w:rPr>
      </w:pPr>
      <w:r w:rsidRPr="00385FB9">
        <w:rPr>
          <w:szCs w:val="22"/>
        </w:rPr>
        <w:t>S</w:t>
      </w:r>
      <w:r w:rsidRPr="00385FB9" w:rsidR="000D1D18">
        <w:rPr>
          <w:szCs w:val="22"/>
        </w:rPr>
        <w:t xml:space="preserve">creening for HBV, HCV and HIV </w:t>
      </w:r>
      <w:r w:rsidRPr="00385FB9">
        <w:rPr>
          <w:szCs w:val="22"/>
        </w:rPr>
        <w:t xml:space="preserve">must be performed </w:t>
      </w:r>
      <w:r w:rsidRPr="00385FB9" w:rsidR="000D1D18">
        <w:rPr>
          <w:szCs w:val="22"/>
        </w:rPr>
        <w:t>in accordance with clinical guidelines before collection of cells for manufacturing.</w:t>
      </w:r>
      <w:r w:rsidRPr="00385FB9" w:rsidR="00B729F0">
        <w:t xml:space="preserve"> Hepatitis B virus (HBV) reactivation, can occur in patients treated with medicinal products directed against B cells and could result in fulminant hepatitis, hepatic failure and death.</w:t>
      </w:r>
    </w:p>
    <w:p w:rsidR="00655DFD" w:rsidRPr="00385FB9" w:rsidP="00166894" w14:paraId="41FFF81C" w14:textId="77777777">
      <w:pPr>
        <w:widowControl w:val="0"/>
        <w:tabs>
          <w:tab w:val="clear" w:pos="567"/>
        </w:tabs>
        <w:spacing w:line="240" w:lineRule="auto"/>
        <w:rPr>
          <w:szCs w:val="22"/>
        </w:rPr>
      </w:pPr>
    </w:p>
    <w:p w:rsidR="00655DFD" w:rsidRPr="00385FB9" w:rsidP="00166894" w14:paraId="13DE29C9" w14:textId="77777777">
      <w:pPr>
        <w:pStyle w:val="Text"/>
        <w:keepNext/>
        <w:widowControl w:val="0"/>
        <w:spacing w:before="0"/>
        <w:jc w:val="left"/>
        <w:rPr>
          <w:sz w:val="22"/>
          <w:szCs w:val="22"/>
          <w:u w:val="single"/>
          <w:lang w:val="en-GB"/>
        </w:rPr>
      </w:pPr>
      <w:r w:rsidRPr="00385FB9">
        <w:rPr>
          <w:sz w:val="22"/>
          <w:szCs w:val="22"/>
          <w:u w:val="single"/>
          <w:lang w:val="en-GB"/>
        </w:rPr>
        <w:t>Prior treatment with anti</w:t>
      </w:r>
      <w:r w:rsidRPr="00385FB9" w:rsidR="008079EC">
        <w:rPr>
          <w:sz w:val="22"/>
          <w:szCs w:val="22"/>
          <w:u w:val="single"/>
          <w:lang w:val="en-GB"/>
        </w:rPr>
        <w:noBreakHyphen/>
      </w:r>
      <w:r w:rsidRPr="00385FB9">
        <w:rPr>
          <w:sz w:val="22"/>
          <w:szCs w:val="22"/>
          <w:u w:val="single"/>
          <w:lang w:val="en-GB"/>
        </w:rPr>
        <w:t>CD19 therapy</w:t>
      </w:r>
    </w:p>
    <w:p w:rsidR="00655DFD" w:rsidRPr="00385FB9" w:rsidP="00166894" w14:paraId="4CF5AECE" w14:textId="77777777">
      <w:pPr>
        <w:pStyle w:val="Text"/>
        <w:keepNext/>
        <w:widowControl w:val="0"/>
        <w:spacing w:before="0"/>
        <w:jc w:val="left"/>
        <w:rPr>
          <w:sz w:val="22"/>
          <w:szCs w:val="22"/>
          <w:lang w:val="en-GB"/>
        </w:rPr>
      </w:pPr>
    </w:p>
    <w:p w:rsidR="00655DFD" w:rsidRPr="00385FB9" w:rsidP="00166894" w14:paraId="083FE3D0" w14:textId="77777777">
      <w:pPr>
        <w:pStyle w:val="Text"/>
        <w:widowControl w:val="0"/>
        <w:spacing w:before="0"/>
        <w:jc w:val="left"/>
        <w:rPr>
          <w:sz w:val="22"/>
          <w:szCs w:val="22"/>
          <w:lang w:val="en-GB"/>
        </w:rPr>
      </w:pPr>
      <w:r w:rsidRPr="00385FB9">
        <w:rPr>
          <w:sz w:val="22"/>
          <w:szCs w:val="22"/>
          <w:lang w:val="en-GB"/>
        </w:rPr>
        <w:t>There is limited experience with Kymriah in patients exposed to prior CD19</w:t>
      </w:r>
      <w:r w:rsidRPr="00385FB9">
        <w:rPr>
          <w:sz w:val="22"/>
          <w:szCs w:val="22"/>
          <w:lang w:val="en-GB"/>
        </w:rPr>
        <w:noBreakHyphen/>
        <w:t>directed therapy. Kymriah is not recommended if the patient has relapsed with CD19</w:t>
      </w:r>
      <w:r w:rsidRPr="00385FB9">
        <w:rPr>
          <w:sz w:val="22"/>
          <w:szCs w:val="22"/>
          <w:lang w:val="en-GB"/>
        </w:rPr>
        <w:noBreakHyphen/>
        <w:t>negative leukaemia after prior anti</w:t>
      </w:r>
      <w:r w:rsidRPr="00385FB9">
        <w:rPr>
          <w:sz w:val="22"/>
          <w:szCs w:val="22"/>
          <w:lang w:val="en-GB"/>
        </w:rPr>
        <w:noBreakHyphen/>
        <w:t>CD19 therapy.</w:t>
      </w:r>
    </w:p>
    <w:p w:rsidR="000D1D18" w:rsidRPr="00385FB9" w:rsidP="00166894" w14:paraId="16136746" w14:textId="77777777">
      <w:pPr>
        <w:widowControl w:val="0"/>
        <w:tabs>
          <w:tab w:val="clear" w:pos="567"/>
        </w:tabs>
        <w:spacing w:line="240" w:lineRule="auto"/>
        <w:rPr>
          <w:noProof/>
          <w:szCs w:val="22"/>
        </w:rPr>
      </w:pPr>
    </w:p>
    <w:p w:rsidR="00B26529" w:rsidRPr="00D442F1" w:rsidP="00166894" w14:paraId="016DB190" w14:textId="77777777">
      <w:pPr>
        <w:keepNext/>
        <w:widowControl w:val="0"/>
        <w:tabs>
          <w:tab w:val="clear" w:pos="567"/>
        </w:tabs>
        <w:spacing w:line="240" w:lineRule="auto"/>
        <w:rPr>
          <w:noProof/>
          <w:szCs w:val="22"/>
        </w:rPr>
      </w:pPr>
      <w:r w:rsidRPr="00385FB9">
        <w:rPr>
          <w:noProof/>
          <w:szCs w:val="22"/>
          <w:u w:val="single"/>
        </w:rPr>
        <w:t>Interference with serological testing</w:t>
      </w:r>
    </w:p>
    <w:p w:rsidR="008C7F2C" w:rsidRPr="00D442F1" w:rsidP="00166894" w14:paraId="68419F93" w14:textId="77777777">
      <w:pPr>
        <w:keepNext/>
        <w:widowControl w:val="0"/>
        <w:tabs>
          <w:tab w:val="clear" w:pos="567"/>
        </w:tabs>
        <w:spacing w:line="240" w:lineRule="auto"/>
        <w:rPr>
          <w:noProof/>
          <w:szCs w:val="22"/>
        </w:rPr>
      </w:pPr>
    </w:p>
    <w:p w:rsidR="00B26529" w:rsidRPr="00D442F1" w:rsidP="00166894" w14:paraId="3893C86F" w14:textId="77777777">
      <w:pPr>
        <w:widowControl w:val="0"/>
        <w:tabs>
          <w:tab w:val="clear" w:pos="567"/>
        </w:tabs>
        <w:spacing w:line="240" w:lineRule="auto"/>
        <w:rPr>
          <w:noProof/>
          <w:szCs w:val="22"/>
        </w:rPr>
      </w:pPr>
      <w:r w:rsidRPr="00D442F1">
        <w:rPr>
          <w:noProof/>
          <w:szCs w:val="22"/>
        </w:rPr>
        <w:t>Due to limited</w:t>
      </w:r>
      <w:r w:rsidRPr="00D442F1" w:rsidR="00A76E6B">
        <w:rPr>
          <w:noProof/>
          <w:szCs w:val="22"/>
        </w:rPr>
        <w:t xml:space="preserve"> and</w:t>
      </w:r>
      <w:r w:rsidRPr="00D442F1">
        <w:rPr>
          <w:noProof/>
          <w:szCs w:val="22"/>
        </w:rPr>
        <w:t xml:space="preserve"> short spans of identical genetic information between the lentiviral vector used to create Kymriah and HIV, some commercial HIV nucleic acid tests (NAT) may give a false positive result.</w:t>
      </w:r>
    </w:p>
    <w:p w:rsidR="00B26529" w:rsidRPr="00D442F1" w:rsidP="00166894" w14:paraId="187D1D33" w14:textId="77777777">
      <w:pPr>
        <w:widowControl w:val="0"/>
        <w:tabs>
          <w:tab w:val="clear" w:pos="567"/>
        </w:tabs>
        <w:spacing w:line="240" w:lineRule="auto"/>
        <w:rPr>
          <w:noProof/>
          <w:szCs w:val="22"/>
        </w:rPr>
      </w:pPr>
    </w:p>
    <w:p w:rsidR="002F00E7" w:rsidRPr="00D442F1" w:rsidP="00166894" w14:paraId="12D5DCF6" w14:textId="77777777">
      <w:pPr>
        <w:pStyle w:val="Default"/>
        <w:keepNext/>
        <w:widowControl w:val="0"/>
        <w:rPr>
          <w:sz w:val="22"/>
          <w:szCs w:val="22"/>
          <w:u w:val="single"/>
        </w:rPr>
      </w:pPr>
      <w:r w:rsidRPr="00D442F1">
        <w:rPr>
          <w:sz w:val="22"/>
          <w:szCs w:val="22"/>
          <w:u w:val="single"/>
        </w:rPr>
        <w:t xml:space="preserve">Sodium </w:t>
      </w:r>
      <w:r w:rsidRPr="00D442F1" w:rsidR="00954375">
        <w:rPr>
          <w:sz w:val="22"/>
          <w:szCs w:val="22"/>
          <w:u w:val="single"/>
        </w:rPr>
        <w:t xml:space="preserve">and potassium </w:t>
      </w:r>
      <w:r w:rsidRPr="00D442F1">
        <w:rPr>
          <w:sz w:val="22"/>
          <w:szCs w:val="22"/>
          <w:u w:val="single"/>
        </w:rPr>
        <w:t>content</w:t>
      </w:r>
    </w:p>
    <w:p w:rsidR="002F00E7" w:rsidRPr="00D442F1" w:rsidP="00166894" w14:paraId="318A7C05" w14:textId="77777777">
      <w:pPr>
        <w:pStyle w:val="Default"/>
        <w:keepNext/>
        <w:widowControl w:val="0"/>
        <w:rPr>
          <w:sz w:val="22"/>
          <w:szCs w:val="22"/>
        </w:rPr>
      </w:pPr>
    </w:p>
    <w:p w:rsidR="00954375" w:rsidRPr="00D442F1" w:rsidP="00166894" w14:paraId="28C49D91" w14:textId="77777777">
      <w:pPr>
        <w:pStyle w:val="EMEAEnBodyText"/>
        <w:widowControl w:val="0"/>
        <w:autoSpaceDE w:val="0"/>
        <w:autoSpaceDN w:val="0"/>
        <w:adjustRightInd w:val="0"/>
        <w:spacing w:before="0" w:after="0"/>
        <w:jc w:val="left"/>
        <w:rPr>
          <w:szCs w:val="22"/>
        </w:rPr>
      </w:pPr>
      <w:r w:rsidRPr="00D442F1">
        <w:rPr>
          <w:szCs w:val="22"/>
        </w:rPr>
        <w:t>This medicinal product contains 24.3 to 121.5 mg sodium per dose, equivalent to 1 to 6% of the WHO recommended maximum daily intake of 2 g sodium for an adult.</w:t>
      </w:r>
    </w:p>
    <w:p w:rsidR="00954375" w:rsidRPr="00D442F1" w:rsidP="00166894" w14:paraId="19DD7DAC" w14:textId="77777777">
      <w:pPr>
        <w:pStyle w:val="EMEAEnBodyText"/>
        <w:widowControl w:val="0"/>
        <w:autoSpaceDE w:val="0"/>
        <w:autoSpaceDN w:val="0"/>
        <w:adjustRightInd w:val="0"/>
        <w:spacing w:before="0" w:after="0"/>
        <w:jc w:val="left"/>
        <w:rPr>
          <w:szCs w:val="22"/>
        </w:rPr>
      </w:pPr>
    </w:p>
    <w:p w:rsidR="008079EC" w:rsidRPr="00D442F1" w:rsidP="00166894" w14:paraId="612AF996" w14:textId="77777777">
      <w:pPr>
        <w:pStyle w:val="EMEAEnBodyText"/>
        <w:widowControl w:val="0"/>
        <w:autoSpaceDE w:val="0"/>
        <w:autoSpaceDN w:val="0"/>
        <w:adjustRightInd w:val="0"/>
        <w:spacing w:before="0" w:after="0"/>
        <w:jc w:val="left"/>
        <w:rPr>
          <w:szCs w:val="22"/>
        </w:rPr>
      </w:pPr>
      <w:r w:rsidRPr="00D442F1">
        <w:rPr>
          <w:szCs w:val="22"/>
        </w:rPr>
        <w:t>This medicinal product contains potassium, less than 1 mmol (39 mg) per dose, i.e. essentially “potassium</w:t>
      </w:r>
      <w:r w:rsidRPr="00D442F1">
        <w:rPr>
          <w:szCs w:val="22"/>
        </w:rPr>
        <w:noBreakHyphen/>
        <w:t>free”.</w:t>
      </w:r>
    </w:p>
    <w:p w:rsidR="00954375" w:rsidRPr="00D442F1" w:rsidP="00166894" w14:paraId="48B5E1FB" w14:textId="77777777">
      <w:pPr>
        <w:widowControl w:val="0"/>
        <w:tabs>
          <w:tab w:val="clear" w:pos="567"/>
        </w:tabs>
        <w:spacing w:line="240" w:lineRule="auto"/>
        <w:rPr>
          <w:szCs w:val="22"/>
        </w:rPr>
      </w:pPr>
    </w:p>
    <w:p w:rsidR="00245A31" w:rsidRPr="00D442F1" w:rsidP="00166894" w14:paraId="04AB4902" w14:textId="77777777">
      <w:pPr>
        <w:pStyle w:val="EMEAEnBodyText"/>
        <w:keepNext/>
        <w:widowControl w:val="0"/>
        <w:autoSpaceDE w:val="0"/>
        <w:autoSpaceDN w:val="0"/>
        <w:adjustRightInd w:val="0"/>
        <w:spacing w:before="0" w:after="0"/>
        <w:jc w:val="left"/>
        <w:rPr>
          <w:szCs w:val="22"/>
          <w:u w:val="single"/>
          <w:lang w:val="en-GB"/>
        </w:rPr>
      </w:pPr>
      <w:r w:rsidRPr="00D442F1">
        <w:rPr>
          <w:szCs w:val="22"/>
          <w:u w:val="single"/>
          <w:lang w:val="en-GB"/>
        </w:rPr>
        <w:t>Content of dextran 40 and dimethyl sulfoxide (DMSO)</w:t>
      </w:r>
    </w:p>
    <w:p w:rsidR="00245A31" w:rsidRPr="00D442F1" w:rsidP="00166894" w14:paraId="3A1C77A4" w14:textId="77777777">
      <w:pPr>
        <w:pStyle w:val="EMEAEnBodyText"/>
        <w:keepNext/>
        <w:widowControl w:val="0"/>
        <w:autoSpaceDE w:val="0"/>
        <w:autoSpaceDN w:val="0"/>
        <w:adjustRightInd w:val="0"/>
        <w:spacing w:before="0" w:after="0"/>
        <w:jc w:val="left"/>
        <w:rPr>
          <w:szCs w:val="22"/>
          <w:lang w:val="en-GB"/>
        </w:rPr>
      </w:pPr>
    </w:p>
    <w:p w:rsidR="00433F54" w:rsidRPr="00D442F1" w:rsidP="00166894" w14:paraId="7126A4F8" w14:textId="209AA558">
      <w:pPr>
        <w:widowControl w:val="0"/>
        <w:tabs>
          <w:tab w:val="clear" w:pos="567"/>
        </w:tabs>
        <w:spacing w:line="240" w:lineRule="auto"/>
        <w:rPr>
          <w:noProof/>
          <w:szCs w:val="22"/>
        </w:rPr>
      </w:pPr>
      <w:r w:rsidRPr="00D442F1">
        <w:rPr>
          <w:szCs w:val="22"/>
        </w:rPr>
        <w:t xml:space="preserve">This medicinal product contains </w:t>
      </w:r>
      <w:r w:rsidRPr="00D442F1" w:rsidR="00A76E6B">
        <w:rPr>
          <w:szCs w:val="22"/>
        </w:rPr>
        <w:t>11 </w:t>
      </w:r>
      <w:r w:rsidRPr="00D442F1">
        <w:rPr>
          <w:szCs w:val="22"/>
        </w:rPr>
        <w:t>mg dextran 40 and 82.5 mg dimethyl sulfoxide (DMSO) per mL. Each of these excipients are known to possibly cause anaphylactic reaction following parenteral administration.</w:t>
      </w:r>
      <w:r w:rsidRPr="00D442F1">
        <w:rPr>
          <w:szCs w:val="22"/>
        </w:rPr>
        <w:t xml:space="preserve"> Patients not previously exposed to dextran</w:t>
      </w:r>
      <w:r w:rsidRPr="00D442F1" w:rsidR="00A011ED">
        <w:rPr>
          <w:szCs w:val="22"/>
        </w:rPr>
        <w:t xml:space="preserve"> and DMSO </w:t>
      </w:r>
      <w:r w:rsidRPr="00D442F1">
        <w:rPr>
          <w:szCs w:val="22"/>
        </w:rPr>
        <w:t>should be observed closely during the first minutes of the infusion period.</w:t>
      </w:r>
    </w:p>
    <w:p w:rsidR="00B26529" w:rsidRPr="00D442F1" w:rsidP="00166894" w14:paraId="7293A87D" w14:textId="77777777">
      <w:pPr>
        <w:widowControl w:val="0"/>
        <w:tabs>
          <w:tab w:val="clear" w:pos="567"/>
        </w:tabs>
        <w:spacing w:line="240" w:lineRule="auto"/>
        <w:rPr>
          <w:szCs w:val="22"/>
        </w:rPr>
      </w:pPr>
    </w:p>
    <w:p w:rsidR="00812D16" w:rsidRPr="00D442F1" w:rsidP="00166894" w14:paraId="25B3C0EB" w14:textId="77777777">
      <w:pPr>
        <w:keepNext/>
        <w:widowControl w:val="0"/>
        <w:tabs>
          <w:tab w:val="clear" w:pos="567"/>
        </w:tabs>
        <w:spacing w:line="240" w:lineRule="auto"/>
        <w:ind w:left="567" w:hanging="567"/>
        <w:outlineLvl w:val="0"/>
        <w:rPr>
          <w:noProof/>
          <w:szCs w:val="22"/>
        </w:rPr>
      </w:pPr>
      <w:r w:rsidRPr="00D442F1">
        <w:rPr>
          <w:b/>
          <w:noProof/>
          <w:szCs w:val="22"/>
        </w:rPr>
        <w:t>4.5</w:t>
      </w:r>
      <w:r w:rsidRPr="00D442F1">
        <w:rPr>
          <w:b/>
          <w:noProof/>
          <w:szCs w:val="22"/>
        </w:rPr>
        <w:tab/>
        <w:t>Interaction with other medicinal products and other forms of interaction</w:t>
      </w:r>
    </w:p>
    <w:p w:rsidR="00812D16" w:rsidRPr="00D442F1" w:rsidP="00166894" w14:paraId="7BFCB46F" w14:textId="77777777">
      <w:pPr>
        <w:keepNext/>
        <w:widowControl w:val="0"/>
        <w:tabs>
          <w:tab w:val="clear" w:pos="567"/>
        </w:tabs>
        <w:spacing w:line="240" w:lineRule="auto"/>
        <w:rPr>
          <w:noProof/>
          <w:szCs w:val="22"/>
        </w:rPr>
      </w:pPr>
    </w:p>
    <w:p w:rsidR="001F65E7" w:rsidRPr="00D442F1" w:rsidP="00166894" w14:paraId="28A307F4" w14:textId="77777777">
      <w:pPr>
        <w:widowControl w:val="0"/>
        <w:tabs>
          <w:tab w:val="clear" w:pos="567"/>
        </w:tabs>
        <w:spacing w:line="240" w:lineRule="auto"/>
        <w:rPr>
          <w:lang w:val="en-US"/>
        </w:rPr>
      </w:pPr>
      <w:r w:rsidRPr="00D442F1">
        <w:rPr>
          <w:noProof/>
          <w:szCs w:val="22"/>
          <w:shd w:val="clear" w:color="auto" w:fill="FFFFFF"/>
        </w:rPr>
        <w:t>No pharmacokinetic</w:t>
      </w:r>
      <w:r w:rsidRPr="00D442F1" w:rsidR="00245A31">
        <w:rPr>
          <w:noProof/>
          <w:szCs w:val="22"/>
          <w:shd w:val="clear" w:color="auto" w:fill="FFFFFF"/>
        </w:rPr>
        <w:t xml:space="preserve"> or pharmacodynamic</w:t>
      </w:r>
      <w:r w:rsidRPr="00D442F1">
        <w:rPr>
          <w:noProof/>
          <w:szCs w:val="22"/>
          <w:shd w:val="clear" w:color="auto" w:fill="FFFFFF"/>
        </w:rPr>
        <w:t xml:space="preserve"> drug interaction studies with tisagenlecleucel have been performed</w:t>
      </w:r>
      <w:r w:rsidRPr="00D442F1" w:rsidR="00EE1092">
        <w:t>.</w:t>
      </w:r>
      <w:r w:rsidRPr="00D442F1" w:rsidR="0015684E">
        <w:t xml:space="preserve"> </w:t>
      </w:r>
      <w:r w:rsidRPr="00D442F1">
        <w:rPr>
          <w:lang w:val="en-US"/>
        </w:rPr>
        <w:t>The co</w:t>
      </w:r>
      <w:r w:rsidRPr="00D442F1" w:rsidR="0015684E">
        <w:rPr>
          <w:lang w:val="en-US"/>
        </w:rPr>
        <w:noBreakHyphen/>
      </w:r>
      <w:r w:rsidRPr="00D442F1">
        <w:rPr>
          <w:lang w:val="en-US"/>
        </w:rPr>
        <w:t>administration of agents known to inhibit T</w:t>
      </w:r>
      <w:r w:rsidRPr="00D442F1" w:rsidR="0015684E">
        <w:rPr>
          <w:lang w:val="en-US"/>
        </w:rPr>
        <w:noBreakHyphen/>
      </w:r>
      <w:r w:rsidRPr="00D442F1">
        <w:rPr>
          <w:lang w:val="en-US"/>
        </w:rPr>
        <w:t>cell function has not been formally studied</w:t>
      </w:r>
      <w:r w:rsidRPr="00D442F1" w:rsidR="00517796">
        <w:rPr>
          <w:lang w:val="en-US"/>
        </w:rPr>
        <w:t>. A</w:t>
      </w:r>
      <w:r w:rsidRPr="00D442F1">
        <w:rPr>
          <w:lang w:val="en-US"/>
        </w:rPr>
        <w:t>dministration of low</w:t>
      </w:r>
      <w:r w:rsidRPr="00D442F1" w:rsidR="0015684E">
        <w:rPr>
          <w:lang w:val="en-US"/>
        </w:rPr>
        <w:noBreakHyphen/>
      </w:r>
      <w:r w:rsidRPr="00D442F1">
        <w:rPr>
          <w:lang w:val="en-US"/>
        </w:rPr>
        <w:t xml:space="preserve">dose steroids </w:t>
      </w:r>
      <w:r w:rsidRPr="00D442F1" w:rsidR="00517796">
        <w:rPr>
          <w:lang w:val="en-US"/>
        </w:rPr>
        <w:t xml:space="preserve">as </w:t>
      </w:r>
      <w:r w:rsidRPr="00D442F1">
        <w:rPr>
          <w:lang w:val="en-US"/>
        </w:rPr>
        <w:t xml:space="preserve">per the </w:t>
      </w:r>
      <w:r w:rsidRPr="00D442F1" w:rsidR="00032BE7">
        <w:rPr>
          <w:lang w:val="en-US"/>
        </w:rPr>
        <w:t>cytokine release syndrome</w:t>
      </w:r>
      <w:r w:rsidRPr="00D442F1">
        <w:rPr>
          <w:lang w:val="en-US"/>
        </w:rPr>
        <w:t xml:space="preserve"> treatment algorithm does not impact the expansion and persistence of CAR</w:t>
      </w:r>
      <w:r w:rsidRPr="00D442F1" w:rsidR="00517796">
        <w:rPr>
          <w:lang w:val="en-US"/>
        </w:rPr>
        <w:noBreakHyphen/>
      </w:r>
      <w:r w:rsidRPr="00D442F1">
        <w:rPr>
          <w:lang w:val="en-US"/>
        </w:rPr>
        <w:t>T cells.</w:t>
      </w:r>
      <w:r w:rsidRPr="00D442F1" w:rsidR="00517796">
        <w:rPr>
          <w:lang w:val="en-US"/>
        </w:rPr>
        <w:t xml:space="preserve"> </w:t>
      </w:r>
      <w:r w:rsidRPr="00D442F1">
        <w:rPr>
          <w:lang w:val="en-US"/>
        </w:rPr>
        <w:t>The co</w:t>
      </w:r>
      <w:r w:rsidRPr="00D442F1" w:rsidR="00517796">
        <w:rPr>
          <w:lang w:val="en-US"/>
        </w:rPr>
        <w:noBreakHyphen/>
      </w:r>
      <w:r w:rsidRPr="00D442F1">
        <w:rPr>
          <w:lang w:val="en-US"/>
        </w:rPr>
        <w:t>administration of agents known to stimulate T</w:t>
      </w:r>
      <w:r w:rsidRPr="00D442F1" w:rsidR="00517796">
        <w:rPr>
          <w:lang w:val="en-US"/>
        </w:rPr>
        <w:noBreakHyphen/>
      </w:r>
      <w:r w:rsidRPr="00D442F1">
        <w:rPr>
          <w:lang w:val="en-US"/>
        </w:rPr>
        <w:t>cell function has not been investigated and the effects are unknown.</w:t>
      </w:r>
    </w:p>
    <w:p w:rsidR="00FC7095" w:rsidRPr="00D442F1" w:rsidP="00166894" w14:paraId="1174D869" w14:textId="77777777">
      <w:pPr>
        <w:widowControl w:val="0"/>
        <w:tabs>
          <w:tab w:val="clear" w:pos="567"/>
        </w:tabs>
        <w:spacing w:line="240" w:lineRule="auto"/>
      </w:pPr>
    </w:p>
    <w:p w:rsidR="00FC7095" w:rsidRPr="00D442F1" w:rsidP="00166894" w14:paraId="4A9EF389" w14:textId="77777777">
      <w:pPr>
        <w:keepNext/>
        <w:widowControl w:val="0"/>
        <w:tabs>
          <w:tab w:val="clear" w:pos="567"/>
        </w:tabs>
        <w:spacing w:line="240" w:lineRule="auto"/>
        <w:rPr>
          <w:noProof/>
          <w:szCs w:val="22"/>
          <w:u w:val="single"/>
        </w:rPr>
      </w:pPr>
      <w:r w:rsidRPr="00D442F1">
        <w:rPr>
          <w:noProof/>
          <w:szCs w:val="22"/>
          <w:u w:val="single"/>
        </w:rPr>
        <w:t>Live vaccines</w:t>
      </w:r>
    </w:p>
    <w:p w:rsidR="00FC7095" w:rsidRPr="00D442F1" w:rsidP="00166894" w14:paraId="4EF19BDF" w14:textId="77777777">
      <w:pPr>
        <w:keepNext/>
        <w:widowControl w:val="0"/>
        <w:tabs>
          <w:tab w:val="clear" w:pos="567"/>
        </w:tabs>
        <w:spacing w:line="240" w:lineRule="auto"/>
        <w:rPr>
          <w:noProof/>
          <w:szCs w:val="22"/>
        </w:rPr>
      </w:pPr>
    </w:p>
    <w:p w:rsidR="00FC7095" w:rsidRPr="00D442F1" w:rsidP="00166894" w14:paraId="25F59055" w14:textId="2EB58595">
      <w:pPr>
        <w:widowControl w:val="0"/>
        <w:tabs>
          <w:tab w:val="clear" w:pos="567"/>
        </w:tabs>
        <w:spacing w:line="240" w:lineRule="auto"/>
        <w:rPr>
          <w:noProof/>
          <w:szCs w:val="22"/>
        </w:rPr>
      </w:pPr>
      <w:r w:rsidRPr="00D442F1">
        <w:rPr>
          <w:szCs w:val="22"/>
        </w:rPr>
        <w:t xml:space="preserve">The safety of immunisation with live vaccines during or following Kymriah treatment has not been studied. </w:t>
      </w:r>
      <w:r w:rsidRPr="00D442F1">
        <w:rPr>
          <w:noProof/>
          <w:szCs w:val="22"/>
        </w:rPr>
        <w:t>Vaccination with live vaccines is not recommended for at least 6 weeks prior to the start of lymphodepleting chemotherapy, during Kymriah treatment, and until immune recovery following treatment with Kymriah.</w:t>
      </w:r>
    </w:p>
    <w:p w:rsidR="00FC7095" w:rsidRPr="00D442F1" w:rsidP="00166894" w14:paraId="58AEC9F2" w14:textId="77777777">
      <w:pPr>
        <w:widowControl w:val="0"/>
        <w:tabs>
          <w:tab w:val="clear" w:pos="567"/>
        </w:tabs>
        <w:spacing w:line="240" w:lineRule="auto"/>
      </w:pPr>
    </w:p>
    <w:p w:rsidR="00812D16" w:rsidRPr="00D442F1" w:rsidP="00166894" w14:paraId="4486242D" w14:textId="77777777">
      <w:pPr>
        <w:keepNext/>
        <w:widowControl w:val="0"/>
        <w:tabs>
          <w:tab w:val="clear" w:pos="567"/>
        </w:tabs>
        <w:spacing w:line="240" w:lineRule="auto"/>
        <w:ind w:left="567" w:hanging="567"/>
        <w:outlineLvl w:val="0"/>
        <w:rPr>
          <w:noProof/>
          <w:szCs w:val="22"/>
        </w:rPr>
      </w:pPr>
      <w:r w:rsidRPr="00D442F1">
        <w:rPr>
          <w:b/>
          <w:noProof/>
          <w:szCs w:val="22"/>
        </w:rPr>
        <w:t>4.6</w:t>
      </w:r>
      <w:r w:rsidRPr="00D442F1">
        <w:rPr>
          <w:b/>
          <w:noProof/>
          <w:szCs w:val="22"/>
        </w:rPr>
        <w:tab/>
      </w:r>
      <w:r w:rsidRPr="00D442F1">
        <w:rPr>
          <w:b/>
          <w:bCs/>
          <w:szCs w:val="22"/>
        </w:rPr>
        <w:t>Fertility, p</w:t>
      </w:r>
      <w:r w:rsidRPr="00D442F1">
        <w:rPr>
          <w:b/>
          <w:noProof/>
          <w:szCs w:val="22"/>
        </w:rPr>
        <w:t>regnancy and lactation</w:t>
      </w:r>
    </w:p>
    <w:p w:rsidR="00812D16" w:rsidRPr="00D442F1" w:rsidP="00166894" w14:paraId="6926B553" w14:textId="77777777">
      <w:pPr>
        <w:keepNext/>
        <w:widowControl w:val="0"/>
        <w:tabs>
          <w:tab w:val="clear" w:pos="567"/>
        </w:tabs>
        <w:spacing w:line="240" w:lineRule="auto"/>
        <w:rPr>
          <w:noProof/>
          <w:szCs w:val="22"/>
        </w:rPr>
      </w:pPr>
    </w:p>
    <w:p w:rsidR="0088559B" w:rsidRPr="00D442F1" w:rsidP="00166894" w14:paraId="0D072F56" w14:textId="77777777">
      <w:pPr>
        <w:keepNext/>
        <w:widowControl w:val="0"/>
        <w:tabs>
          <w:tab w:val="clear" w:pos="567"/>
        </w:tabs>
        <w:spacing w:line="240" w:lineRule="auto"/>
        <w:rPr>
          <w:noProof/>
          <w:szCs w:val="22"/>
          <w:u w:val="single"/>
        </w:rPr>
      </w:pPr>
      <w:r w:rsidRPr="00D442F1">
        <w:rPr>
          <w:noProof/>
          <w:szCs w:val="22"/>
          <w:u w:val="single"/>
        </w:rPr>
        <w:t>Women of childbearing potential/Contraception in males and females</w:t>
      </w:r>
    </w:p>
    <w:p w:rsidR="00910395" w:rsidRPr="00D442F1" w:rsidP="00166894" w14:paraId="67AFA538" w14:textId="77777777">
      <w:pPr>
        <w:keepNext/>
        <w:widowControl w:val="0"/>
        <w:tabs>
          <w:tab w:val="clear" w:pos="567"/>
        </w:tabs>
        <w:spacing w:line="240" w:lineRule="auto"/>
        <w:rPr>
          <w:noProof/>
          <w:szCs w:val="22"/>
        </w:rPr>
      </w:pPr>
    </w:p>
    <w:p w:rsidR="0013020F" w:rsidRPr="00D442F1" w:rsidP="00166894" w14:paraId="58625146" w14:textId="77777777">
      <w:pPr>
        <w:widowControl w:val="0"/>
        <w:tabs>
          <w:tab w:val="clear" w:pos="567"/>
        </w:tabs>
        <w:spacing w:line="240" w:lineRule="auto"/>
        <w:rPr>
          <w:noProof/>
          <w:szCs w:val="22"/>
        </w:rPr>
      </w:pPr>
      <w:r w:rsidRPr="00D442F1">
        <w:rPr>
          <w:noProof/>
          <w:szCs w:val="22"/>
        </w:rPr>
        <w:t>Pregnancy status for females of</w:t>
      </w:r>
      <w:r w:rsidRPr="00D442F1" w:rsidR="00806316">
        <w:rPr>
          <w:noProof/>
          <w:szCs w:val="22"/>
        </w:rPr>
        <w:t xml:space="preserve"> child</w:t>
      </w:r>
      <w:r w:rsidRPr="00D442F1" w:rsidR="00806316">
        <w:rPr>
          <w:noProof/>
          <w:szCs w:val="22"/>
        </w:rPr>
        <w:noBreakHyphen/>
        <w:t>bearing age</w:t>
      </w:r>
      <w:r w:rsidRPr="00D442F1">
        <w:rPr>
          <w:noProof/>
          <w:szCs w:val="22"/>
        </w:rPr>
        <w:t xml:space="preserve"> should be verified prior to starting treatment with Kymriah.</w:t>
      </w:r>
    </w:p>
    <w:p w:rsidR="0013020F" w:rsidRPr="00D442F1" w:rsidP="00166894" w14:paraId="4ED4D4E7" w14:textId="77777777">
      <w:pPr>
        <w:widowControl w:val="0"/>
        <w:tabs>
          <w:tab w:val="clear" w:pos="567"/>
        </w:tabs>
        <w:spacing w:line="240" w:lineRule="auto"/>
        <w:rPr>
          <w:noProof/>
          <w:szCs w:val="22"/>
        </w:rPr>
      </w:pPr>
    </w:p>
    <w:p w:rsidR="00433F54" w:rsidRPr="00D442F1" w:rsidP="00166894" w14:paraId="55F88007" w14:textId="77777777">
      <w:pPr>
        <w:widowControl w:val="0"/>
        <w:tabs>
          <w:tab w:val="clear" w:pos="567"/>
        </w:tabs>
        <w:spacing w:line="240" w:lineRule="auto"/>
        <w:rPr>
          <w:noProof/>
          <w:szCs w:val="22"/>
        </w:rPr>
      </w:pPr>
      <w:r w:rsidRPr="00D442F1">
        <w:rPr>
          <w:noProof/>
          <w:szCs w:val="22"/>
        </w:rPr>
        <w:t>See the prescribing information for lymphodepleting chemotherapy for information on the need for effective contraception in patients who receive the lymphodepleting chemotherapy.</w:t>
      </w:r>
    </w:p>
    <w:p w:rsidR="00433F54" w:rsidRPr="00D442F1" w:rsidP="00166894" w14:paraId="39546BC7" w14:textId="77777777">
      <w:pPr>
        <w:widowControl w:val="0"/>
        <w:tabs>
          <w:tab w:val="clear" w:pos="567"/>
        </w:tabs>
        <w:spacing w:line="240" w:lineRule="auto"/>
        <w:rPr>
          <w:noProof/>
          <w:szCs w:val="22"/>
        </w:rPr>
      </w:pPr>
    </w:p>
    <w:p w:rsidR="00B10C54" w:rsidRPr="00D442F1" w:rsidP="00166894" w14:paraId="76B785F5" w14:textId="77777777">
      <w:pPr>
        <w:widowControl w:val="0"/>
        <w:tabs>
          <w:tab w:val="clear" w:pos="567"/>
        </w:tabs>
        <w:spacing w:line="240" w:lineRule="auto"/>
        <w:rPr>
          <w:noProof/>
          <w:szCs w:val="22"/>
        </w:rPr>
      </w:pPr>
      <w:r w:rsidRPr="00D442F1">
        <w:rPr>
          <w:noProof/>
          <w:szCs w:val="22"/>
        </w:rPr>
        <w:t>There are insufficient exposure data to provide a recommendation concerning duration of contraception following treatment with Kymriah.</w:t>
      </w:r>
    </w:p>
    <w:p w:rsidR="00B10C54" w:rsidRPr="00D442F1" w:rsidP="00166894" w14:paraId="799B11F2" w14:textId="77777777">
      <w:pPr>
        <w:widowControl w:val="0"/>
        <w:tabs>
          <w:tab w:val="clear" w:pos="567"/>
        </w:tabs>
        <w:spacing w:line="240" w:lineRule="auto"/>
        <w:rPr>
          <w:noProof/>
          <w:szCs w:val="22"/>
        </w:rPr>
      </w:pPr>
    </w:p>
    <w:p w:rsidR="00EE1092" w:rsidRPr="00D442F1" w:rsidP="00166894" w14:paraId="4D0C5A30" w14:textId="77777777">
      <w:pPr>
        <w:keepNext/>
        <w:widowControl w:val="0"/>
        <w:tabs>
          <w:tab w:val="clear" w:pos="567"/>
        </w:tabs>
        <w:spacing w:line="240" w:lineRule="auto"/>
        <w:rPr>
          <w:noProof/>
          <w:szCs w:val="22"/>
        </w:rPr>
      </w:pPr>
      <w:r w:rsidRPr="00D442F1">
        <w:rPr>
          <w:noProof/>
          <w:szCs w:val="22"/>
          <w:u w:val="single"/>
        </w:rPr>
        <w:t>Pregnancy</w:t>
      </w:r>
    </w:p>
    <w:p w:rsidR="00910395" w:rsidRPr="00D442F1" w:rsidP="00166894" w14:paraId="6DECC537" w14:textId="77777777">
      <w:pPr>
        <w:keepNext/>
        <w:widowControl w:val="0"/>
        <w:tabs>
          <w:tab w:val="clear" w:pos="567"/>
        </w:tabs>
        <w:spacing w:line="240" w:lineRule="auto"/>
        <w:rPr>
          <w:noProof/>
          <w:szCs w:val="22"/>
        </w:rPr>
      </w:pPr>
    </w:p>
    <w:p w:rsidR="00B10C54" w:rsidRPr="00D442F1" w:rsidP="00166894" w14:paraId="2F56D0C2" w14:textId="77777777">
      <w:pPr>
        <w:widowControl w:val="0"/>
        <w:tabs>
          <w:tab w:val="clear" w:pos="567"/>
        </w:tabs>
        <w:spacing w:line="240" w:lineRule="auto"/>
        <w:rPr>
          <w:noProof/>
          <w:szCs w:val="22"/>
        </w:rPr>
      </w:pPr>
      <w:r w:rsidRPr="00D442F1">
        <w:rPr>
          <w:noProof/>
          <w:szCs w:val="22"/>
        </w:rPr>
        <w:t>There are no data from the use of Kymriah in pregnant women.</w:t>
      </w:r>
      <w:r w:rsidRPr="00D442F1" w:rsidR="00C835D0">
        <w:rPr>
          <w:noProof/>
          <w:szCs w:val="22"/>
        </w:rPr>
        <w:t xml:space="preserve"> No animal studies have been conducted with Kymriah to assess whether it can cause foetal harm when administered to a pregnant woman (see section 5.3). </w:t>
      </w:r>
      <w:r w:rsidRPr="00D442F1" w:rsidR="00030EC3">
        <w:rPr>
          <w:noProof/>
          <w:szCs w:val="22"/>
        </w:rPr>
        <w:t>It is not known whether Kymriah has the potential to be transferred to the foetus via the placenta and could cause foetal toxicity</w:t>
      </w:r>
      <w:r w:rsidRPr="00D442F1" w:rsidR="00A1469C">
        <w:rPr>
          <w:noProof/>
          <w:szCs w:val="22"/>
        </w:rPr>
        <w:t>,</w:t>
      </w:r>
      <w:r w:rsidRPr="00D442F1" w:rsidR="00030EC3">
        <w:rPr>
          <w:noProof/>
          <w:szCs w:val="22"/>
        </w:rPr>
        <w:t xml:space="preserve"> including B</w:t>
      </w:r>
      <w:r w:rsidRPr="00D442F1" w:rsidR="00A1469C">
        <w:rPr>
          <w:noProof/>
          <w:szCs w:val="22"/>
        </w:rPr>
        <w:noBreakHyphen/>
      </w:r>
      <w:r w:rsidRPr="00D442F1" w:rsidR="00030EC3">
        <w:rPr>
          <w:noProof/>
          <w:szCs w:val="22"/>
        </w:rPr>
        <w:t>cell lymphocytopenia.</w:t>
      </w:r>
      <w:r w:rsidRPr="00D442F1">
        <w:rPr>
          <w:noProof/>
          <w:szCs w:val="22"/>
        </w:rPr>
        <w:t xml:space="preserve"> Kymriah is not recommended during pregnancy and in women of childbearing potential not using contraception.</w:t>
      </w:r>
    </w:p>
    <w:p w:rsidR="00395DC4" w:rsidRPr="00D442F1" w:rsidP="00166894" w14:paraId="30936D08" w14:textId="77777777">
      <w:pPr>
        <w:widowControl w:val="0"/>
        <w:tabs>
          <w:tab w:val="clear" w:pos="567"/>
        </w:tabs>
        <w:spacing w:line="240" w:lineRule="auto"/>
        <w:rPr>
          <w:noProof/>
          <w:szCs w:val="22"/>
        </w:rPr>
      </w:pPr>
    </w:p>
    <w:p w:rsidR="000F1EB9" w:rsidRPr="00D442F1" w:rsidP="00166894" w14:paraId="22CA9B7B" w14:textId="77777777">
      <w:pPr>
        <w:widowControl w:val="0"/>
        <w:tabs>
          <w:tab w:val="clear" w:pos="567"/>
        </w:tabs>
        <w:spacing w:line="240" w:lineRule="auto"/>
        <w:rPr>
          <w:noProof/>
          <w:szCs w:val="22"/>
        </w:rPr>
      </w:pPr>
      <w:r w:rsidRPr="00D442F1">
        <w:rPr>
          <w:noProof/>
          <w:szCs w:val="22"/>
        </w:rPr>
        <w:t>Pregnant wom</w:t>
      </w:r>
      <w:r w:rsidRPr="00D442F1" w:rsidR="00C0004E">
        <w:rPr>
          <w:noProof/>
          <w:szCs w:val="22"/>
        </w:rPr>
        <w:t>e</w:t>
      </w:r>
      <w:r w:rsidRPr="00D442F1">
        <w:rPr>
          <w:noProof/>
          <w:szCs w:val="22"/>
        </w:rPr>
        <w:t>n should be advised on t</w:t>
      </w:r>
      <w:r w:rsidRPr="00D442F1" w:rsidR="00806568">
        <w:rPr>
          <w:noProof/>
          <w:szCs w:val="22"/>
        </w:rPr>
        <w:t>he potential risks to the f</w:t>
      </w:r>
      <w:r w:rsidRPr="00D442F1" w:rsidR="008D34D5">
        <w:rPr>
          <w:noProof/>
          <w:szCs w:val="22"/>
        </w:rPr>
        <w:t>o</w:t>
      </w:r>
      <w:r w:rsidRPr="00D442F1" w:rsidR="00806568">
        <w:rPr>
          <w:noProof/>
          <w:szCs w:val="22"/>
        </w:rPr>
        <w:t>etus</w:t>
      </w:r>
      <w:r w:rsidRPr="00D442F1" w:rsidR="00433F54">
        <w:rPr>
          <w:noProof/>
          <w:szCs w:val="22"/>
        </w:rPr>
        <w:t>. P</w:t>
      </w:r>
      <w:r w:rsidRPr="00D442F1">
        <w:rPr>
          <w:noProof/>
          <w:szCs w:val="22"/>
        </w:rPr>
        <w:t xml:space="preserve">regnancy after Kymriah therapy should </w:t>
      </w:r>
      <w:r w:rsidRPr="00D442F1" w:rsidR="00433F54">
        <w:rPr>
          <w:noProof/>
          <w:szCs w:val="22"/>
        </w:rPr>
        <w:t xml:space="preserve">be </w:t>
      </w:r>
      <w:r w:rsidRPr="00D442F1">
        <w:rPr>
          <w:noProof/>
          <w:szCs w:val="22"/>
        </w:rPr>
        <w:t>discuss</w:t>
      </w:r>
      <w:r w:rsidRPr="00D442F1" w:rsidR="00433F54">
        <w:rPr>
          <w:noProof/>
          <w:szCs w:val="22"/>
        </w:rPr>
        <w:t>ed</w:t>
      </w:r>
      <w:r w:rsidRPr="00D442F1">
        <w:rPr>
          <w:noProof/>
          <w:szCs w:val="22"/>
        </w:rPr>
        <w:t xml:space="preserve"> with the treating physician.</w:t>
      </w:r>
      <w:r w:rsidRPr="00D442F1" w:rsidR="00A7378E">
        <w:rPr>
          <w:noProof/>
          <w:szCs w:val="22"/>
        </w:rPr>
        <w:t xml:space="preserve"> </w:t>
      </w:r>
      <w:r w:rsidRPr="00D442F1">
        <w:rPr>
          <w:noProof/>
          <w:szCs w:val="22"/>
        </w:rPr>
        <w:t>Pregnant women who have received Kymriah may have hypogammaglobulin</w:t>
      </w:r>
      <w:r w:rsidRPr="00D442F1" w:rsidR="00B4154A">
        <w:rPr>
          <w:noProof/>
          <w:szCs w:val="22"/>
        </w:rPr>
        <w:t xml:space="preserve">aemia. </w:t>
      </w:r>
      <w:r w:rsidRPr="00D442F1">
        <w:rPr>
          <w:noProof/>
          <w:szCs w:val="22"/>
        </w:rPr>
        <w:t>Assess</w:t>
      </w:r>
      <w:r w:rsidRPr="00D442F1" w:rsidR="009D22D3">
        <w:rPr>
          <w:noProof/>
          <w:szCs w:val="22"/>
        </w:rPr>
        <w:t>ment of</w:t>
      </w:r>
      <w:r w:rsidRPr="00D442F1">
        <w:rPr>
          <w:noProof/>
          <w:szCs w:val="22"/>
        </w:rPr>
        <w:t xml:space="preserve"> immunoglobulin levels </w:t>
      </w:r>
      <w:r w:rsidRPr="00D442F1" w:rsidR="009D22D3">
        <w:rPr>
          <w:noProof/>
          <w:szCs w:val="22"/>
        </w:rPr>
        <w:t xml:space="preserve">is indicated </w:t>
      </w:r>
      <w:r w:rsidRPr="00D442F1">
        <w:rPr>
          <w:noProof/>
          <w:szCs w:val="22"/>
        </w:rPr>
        <w:t>in newborns of mothers treated with Kymriah.</w:t>
      </w:r>
    </w:p>
    <w:p w:rsidR="00491881" w:rsidRPr="00D442F1" w:rsidP="00166894" w14:paraId="51BB93C7" w14:textId="77777777">
      <w:pPr>
        <w:widowControl w:val="0"/>
        <w:tabs>
          <w:tab w:val="clear" w:pos="567"/>
        </w:tabs>
        <w:spacing w:line="240" w:lineRule="auto"/>
        <w:rPr>
          <w:noProof/>
          <w:szCs w:val="22"/>
        </w:rPr>
      </w:pPr>
    </w:p>
    <w:p w:rsidR="006141C8" w:rsidRPr="00D442F1" w:rsidP="00166894" w14:paraId="242107D2" w14:textId="77777777">
      <w:pPr>
        <w:keepNext/>
        <w:widowControl w:val="0"/>
        <w:tabs>
          <w:tab w:val="clear" w:pos="567"/>
        </w:tabs>
        <w:spacing w:line="240" w:lineRule="auto"/>
        <w:rPr>
          <w:noProof/>
          <w:szCs w:val="22"/>
        </w:rPr>
      </w:pPr>
      <w:r w:rsidRPr="00D442F1">
        <w:rPr>
          <w:noProof/>
          <w:szCs w:val="22"/>
          <w:u w:val="single"/>
        </w:rPr>
        <w:t>Breast</w:t>
      </w:r>
      <w:r w:rsidRPr="00D442F1" w:rsidR="00591100">
        <w:rPr>
          <w:noProof/>
          <w:szCs w:val="22"/>
          <w:u w:val="single"/>
        </w:rPr>
        <w:noBreakHyphen/>
      </w:r>
      <w:r w:rsidRPr="00D442F1">
        <w:rPr>
          <w:noProof/>
          <w:szCs w:val="22"/>
          <w:u w:val="single"/>
        </w:rPr>
        <w:t>feeding</w:t>
      </w:r>
    </w:p>
    <w:p w:rsidR="009D22D3" w:rsidRPr="00D442F1" w:rsidP="00166894" w14:paraId="2235C48E" w14:textId="77777777">
      <w:pPr>
        <w:keepNext/>
        <w:widowControl w:val="0"/>
        <w:tabs>
          <w:tab w:val="clear" w:pos="567"/>
        </w:tabs>
        <w:spacing w:line="240" w:lineRule="auto"/>
        <w:rPr>
          <w:noProof/>
          <w:szCs w:val="22"/>
        </w:rPr>
      </w:pPr>
    </w:p>
    <w:p w:rsidR="00D261C0" w:rsidRPr="00D442F1" w:rsidP="00166894" w14:paraId="03C23715" w14:textId="77777777">
      <w:pPr>
        <w:widowControl w:val="0"/>
        <w:tabs>
          <w:tab w:val="clear" w:pos="567"/>
        </w:tabs>
        <w:spacing w:line="240" w:lineRule="auto"/>
        <w:rPr>
          <w:noProof/>
          <w:szCs w:val="22"/>
        </w:rPr>
      </w:pPr>
      <w:r w:rsidRPr="00D442F1">
        <w:rPr>
          <w:noProof/>
          <w:szCs w:val="22"/>
        </w:rPr>
        <w:t xml:space="preserve">It is unknown whether Kymriah cells are excreted in human milk. A risk to the </w:t>
      </w:r>
      <w:r w:rsidRPr="00D442F1" w:rsidR="00C835D0">
        <w:rPr>
          <w:noProof/>
          <w:szCs w:val="22"/>
        </w:rPr>
        <w:t>breast</w:t>
      </w:r>
      <w:r w:rsidRPr="00D442F1" w:rsidR="00C835D0">
        <w:rPr>
          <w:noProof/>
          <w:szCs w:val="22"/>
        </w:rPr>
        <w:noBreakHyphen/>
        <w:t xml:space="preserve">fed </w:t>
      </w:r>
      <w:r w:rsidRPr="00D442F1">
        <w:rPr>
          <w:noProof/>
          <w:szCs w:val="22"/>
        </w:rPr>
        <w:t xml:space="preserve">infant </w:t>
      </w:r>
      <w:r w:rsidRPr="00D442F1" w:rsidR="009000AA">
        <w:rPr>
          <w:noProof/>
          <w:szCs w:val="22"/>
        </w:rPr>
        <w:t>cannot</w:t>
      </w:r>
      <w:r w:rsidRPr="00D442F1">
        <w:rPr>
          <w:noProof/>
          <w:szCs w:val="22"/>
        </w:rPr>
        <w:t xml:space="preserve"> be excluded. Women who are breast</w:t>
      </w:r>
      <w:r w:rsidRPr="00D442F1">
        <w:rPr>
          <w:noProof/>
          <w:szCs w:val="22"/>
        </w:rPr>
        <w:noBreakHyphen/>
        <w:t>feeding should be advised of the potential risk to the breast</w:t>
      </w:r>
      <w:r w:rsidRPr="00D442F1">
        <w:rPr>
          <w:noProof/>
          <w:szCs w:val="22"/>
        </w:rPr>
        <w:noBreakHyphen/>
        <w:t>fed infant.</w:t>
      </w:r>
    </w:p>
    <w:p w:rsidR="009D22D3" w:rsidRPr="00D442F1" w:rsidP="00166894" w14:paraId="4CC7DCA5" w14:textId="77777777">
      <w:pPr>
        <w:widowControl w:val="0"/>
        <w:tabs>
          <w:tab w:val="clear" w:pos="567"/>
        </w:tabs>
        <w:spacing w:line="240" w:lineRule="auto"/>
        <w:rPr>
          <w:noProof/>
          <w:szCs w:val="22"/>
        </w:rPr>
      </w:pPr>
    </w:p>
    <w:p w:rsidR="006141C8" w:rsidRPr="00D442F1" w:rsidP="00166894" w14:paraId="2A6892BD" w14:textId="77777777">
      <w:pPr>
        <w:widowControl w:val="0"/>
        <w:tabs>
          <w:tab w:val="clear" w:pos="567"/>
        </w:tabs>
        <w:spacing w:line="240" w:lineRule="auto"/>
        <w:rPr>
          <w:noProof/>
          <w:szCs w:val="22"/>
        </w:rPr>
      </w:pPr>
      <w:r w:rsidRPr="00D442F1">
        <w:rPr>
          <w:noProof/>
          <w:szCs w:val="22"/>
        </w:rPr>
        <w:t>Following administration of Kymriah, breast</w:t>
      </w:r>
      <w:r w:rsidRPr="00D442F1" w:rsidR="00591100">
        <w:rPr>
          <w:noProof/>
          <w:szCs w:val="22"/>
        </w:rPr>
        <w:noBreakHyphen/>
      </w:r>
      <w:r w:rsidRPr="00D442F1">
        <w:rPr>
          <w:noProof/>
          <w:szCs w:val="22"/>
        </w:rPr>
        <w:t>feeding should be discussed with the treating physician.</w:t>
      </w:r>
    </w:p>
    <w:p w:rsidR="006141C8" w:rsidRPr="00D442F1" w:rsidP="00166894" w14:paraId="08D22C9D" w14:textId="77777777">
      <w:pPr>
        <w:widowControl w:val="0"/>
        <w:tabs>
          <w:tab w:val="clear" w:pos="567"/>
        </w:tabs>
        <w:spacing w:line="240" w:lineRule="auto"/>
        <w:rPr>
          <w:noProof/>
          <w:szCs w:val="22"/>
        </w:rPr>
      </w:pPr>
    </w:p>
    <w:p w:rsidR="006141C8" w:rsidRPr="00D442F1" w:rsidP="00166894" w14:paraId="02062F3F" w14:textId="77777777">
      <w:pPr>
        <w:keepNext/>
        <w:widowControl w:val="0"/>
        <w:tabs>
          <w:tab w:val="clear" w:pos="567"/>
        </w:tabs>
        <w:spacing w:line="240" w:lineRule="auto"/>
        <w:rPr>
          <w:noProof/>
          <w:szCs w:val="22"/>
        </w:rPr>
      </w:pPr>
      <w:r w:rsidRPr="00D442F1">
        <w:rPr>
          <w:noProof/>
          <w:szCs w:val="22"/>
          <w:u w:val="single"/>
        </w:rPr>
        <w:t>Fertility</w:t>
      </w:r>
    </w:p>
    <w:p w:rsidR="009D22D3" w:rsidRPr="00D442F1" w:rsidP="00166894" w14:paraId="424F3DCE" w14:textId="77777777">
      <w:pPr>
        <w:keepNext/>
        <w:widowControl w:val="0"/>
        <w:tabs>
          <w:tab w:val="clear" w:pos="567"/>
        </w:tabs>
        <w:spacing w:line="240" w:lineRule="auto"/>
        <w:rPr>
          <w:noProof/>
          <w:szCs w:val="22"/>
        </w:rPr>
      </w:pPr>
    </w:p>
    <w:p w:rsidR="006141C8" w:rsidRPr="00D442F1" w:rsidP="00166894" w14:paraId="7502F156" w14:textId="77777777">
      <w:pPr>
        <w:widowControl w:val="0"/>
        <w:tabs>
          <w:tab w:val="clear" w:pos="567"/>
        </w:tabs>
        <w:spacing w:line="240" w:lineRule="auto"/>
        <w:rPr>
          <w:noProof/>
          <w:szCs w:val="22"/>
        </w:rPr>
      </w:pPr>
      <w:r w:rsidRPr="00D442F1">
        <w:rPr>
          <w:noProof/>
          <w:szCs w:val="22"/>
        </w:rPr>
        <w:t xml:space="preserve">There </w:t>
      </w:r>
      <w:r w:rsidRPr="00D442F1" w:rsidR="00531FD4">
        <w:rPr>
          <w:noProof/>
          <w:szCs w:val="22"/>
        </w:rPr>
        <w:t>are</w:t>
      </w:r>
      <w:r w:rsidRPr="00D442F1">
        <w:rPr>
          <w:noProof/>
          <w:szCs w:val="22"/>
        </w:rPr>
        <w:t xml:space="preserve"> no data on the effect of Kymriah on fertility.</w:t>
      </w:r>
      <w:r w:rsidRPr="00D442F1" w:rsidR="004F3ED2">
        <w:rPr>
          <w:noProof/>
          <w:szCs w:val="22"/>
        </w:rPr>
        <w:t xml:space="preserve"> Effects of Kymriah on male and female fertility have not been evaluated in animal studies.</w:t>
      </w:r>
    </w:p>
    <w:p w:rsidR="00812D16" w:rsidRPr="00D442F1" w:rsidP="00166894" w14:paraId="0CF1577F" w14:textId="77777777">
      <w:pPr>
        <w:widowControl w:val="0"/>
        <w:tabs>
          <w:tab w:val="clear" w:pos="567"/>
        </w:tabs>
        <w:spacing w:line="240" w:lineRule="auto"/>
        <w:rPr>
          <w:noProof/>
          <w:szCs w:val="22"/>
        </w:rPr>
      </w:pPr>
    </w:p>
    <w:p w:rsidR="00812D16" w:rsidRPr="00D442F1" w:rsidP="00166894" w14:paraId="21B6624E" w14:textId="77777777">
      <w:pPr>
        <w:keepNext/>
        <w:widowControl w:val="0"/>
        <w:tabs>
          <w:tab w:val="clear" w:pos="567"/>
        </w:tabs>
        <w:spacing w:line="240" w:lineRule="auto"/>
        <w:ind w:left="567" w:hanging="567"/>
        <w:outlineLvl w:val="0"/>
        <w:rPr>
          <w:noProof/>
          <w:szCs w:val="22"/>
        </w:rPr>
      </w:pPr>
      <w:r w:rsidRPr="00D442F1">
        <w:rPr>
          <w:b/>
          <w:noProof/>
          <w:szCs w:val="22"/>
        </w:rPr>
        <w:t>4.7</w:t>
      </w:r>
      <w:r w:rsidRPr="00D442F1">
        <w:rPr>
          <w:b/>
          <w:noProof/>
          <w:szCs w:val="22"/>
        </w:rPr>
        <w:tab/>
        <w:t>Effects on ability to drive and use machines</w:t>
      </w:r>
    </w:p>
    <w:p w:rsidR="00812D16" w:rsidRPr="00D442F1" w:rsidP="00166894" w14:paraId="6CE60288" w14:textId="77777777">
      <w:pPr>
        <w:keepNext/>
        <w:widowControl w:val="0"/>
        <w:tabs>
          <w:tab w:val="clear" w:pos="567"/>
        </w:tabs>
        <w:spacing w:line="240" w:lineRule="auto"/>
        <w:rPr>
          <w:noProof/>
          <w:szCs w:val="22"/>
        </w:rPr>
      </w:pPr>
    </w:p>
    <w:p w:rsidR="004F3ED2" w:rsidRPr="00D442F1" w:rsidP="00166894" w14:paraId="4EFBFE16" w14:textId="77777777">
      <w:pPr>
        <w:widowControl w:val="0"/>
        <w:tabs>
          <w:tab w:val="clear" w:pos="567"/>
        </w:tabs>
        <w:spacing w:line="240" w:lineRule="auto"/>
        <w:rPr>
          <w:noProof/>
          <w:szCs w:val="22"/>
        </w:rPr>
      </w:pPr>
      <w:r w:rsidRPr="00D442F1">
        <w:rPr>
          <w:noProof/>
          <w:szCs w:val="22"/>
        </w:rPr>
        <w:t xml:space="preserve">Kymriah </w:t>
      </w:r>
      <w:r w:rsidRPr="00D442F1" w:rsidR="0059581D">
        <w:rPr>
          <w:noProof/>
          <w:szCs w:val="22"/>
        </w:rPr>
        <w:t>has</w:t>
      </w:r>
      <w:r w:rsidRPr="00D442F1" w:rsidR="00686F3A">
        <w:rPr>
          <w:noProof/>
          <w:szCs w:val="22"/>
        </w:rPr>
        <w:t xml:space="preserve"> </w:t>
      </w:r>
      <w:r w:rsidRPr="00D442F1">
        <w:rPr>
          <w:noProof/>
          <w:szCs w:val="22"/>
        </w:rPr>
        <w:t>major influence on the ability to drive and use machines.</w:t>
      </w:r>
    </w:p>
    <w:p w:rsidR="004F3ED2" w:rsidRPr="00D442F1" w:rsidP="00166894" w14:paraId="344F7460" w14:textId="77777777">
      <w:pPr>
        <w:widowControl w:val="0"/>
        <w:tabs>
          <w:tab w:val="clear" w:pos="567"/>
        </w:tabs>
        <w:spacing w:line="240" w:lineRule="auto"/>
        <w:rPr>
          <w:noProof/>
          <w:szCs w:val="22"/>
        </w:rPr>
      </w:pPr>
    </w:p>
    <w:p w:rsidR="00812D16" w:rsidRPr="00D442F1" w:rsidP="00166894" w14:paraId="67304D4E" w14:textId="77777777">
      <w:pPr>
        <w:widowControl w:val="0"/>
        <w:tabs>
          <w:tab w:val="clear" w:pos="567"/>
        </w:tabs>
        <w:spacing w:line="240" w:lineRule="auto"/>
        <w:rPr>
          <w:noProof/>
          <w:szCs w:val="22"/>
        </w:rPr>
      </w:pPr>
      <w:r w:rsidRPr="00D442F1">
        <w:rPr>
          <w:noProof/>
          <w:szCs w:val="22"/>
        </w:rPr>
        <w:t>Due to the potential for neurologic</w:t>
      </w:r>
      <w:r w:rsidRPr="00D442F1" w:rsidR="00A874D2">
        <w:rPr>
          <w:noProof/>
          <w:szCs w:val="22"/>
        </w:rPr>
        <w:t>al</w:t>
      </w:r>
      <w:r w:rsidRPr="00D442F1">
        <w:rPr>
          <w:noProof/>
          <w:szCs w:val="22"/>
        </w:rPr>
        <w:t xml:space="preserve"> events, including altered mental status or seizures, patients receiving Kymriah are at risk for altered or decreased consciousness or coordination in the 8</w:t>
      </w:r>
      <w:r w:rsidRPr="00D442F1" w:rsidR="009D22D3">
        <w:rPr>
          <w:noProof/>
          <w:szCs w:val="22"/>
        </w:rPr>
        <w:t> </w:t>
      </w:r>
      <w:r w:rsidRPr="00D442F1">
        <w:rPr>
          <w:noProof/>
          <w:szCs w:val="22"/>
        </w:rPr>
        <w:t>weeks following infusion.</w:t>
      </w:r>
    </w:p>
    <w:p w:rsidR="00A765F1" w:rsidRPr="00D442F1" w:rsidP="00166894" w14:paraId="43129FA6" w14:textId="77777777">
      <w:pPr>
        <w:widowControl w:val="0"/>
        <w:tabs>
          <w:tab w:val="clear" w:pos="567"/>
        </w:tabs>
        <w:spacing w:line="240" w:lineRule="auto"/>
        <w:rPr>
          <w:noProof/>
          <w:szCs w:val="22"/>
        </w:rPr>
      </w:pPr>
    </w:p>
    <w:p w:rsidR="00812D16" w:rsidRPr="00D442F1" w:rsidP="00166894" w14:paraId="3C8375E0" w14:textId="77777777">
      <w:pPr>
        <w:keepNext/>
        <w:widowControl w:val="0"/>
        <w:tabs>
          <w:tab w:val="clear" w:pos="567"/>
        </w:tabs>
        <w:spacing w:line="240" w:lineRule="auto"/>
        <w:ind w:left="567" w:hanging="567"/>
        <w:outlineLvl w:val="0"/>
        <w:rPr>
          <w:b/>
          <w:noProof/>
          <w:szCs w:val="22"/>
        </w:rPr>
      </w:pPr>
      <w:r w:rsidRPr="00D442F1">
        <w:rPr>
          <w:b/>
          <w:noProof/>
          <w:szCs w:val="22"/>
        </w:rPr>
        <w:t>4.8</w:t>
      </w:r>
      <w:r w:rsidRPr="00D442F1">
        <w:rPr>
          <w:b/>
          <w:noProof/>
          <w:szCs w:val="22"/>
        </w:rPr>
        <w:tab/>
      </w:r>
      <w:r w:rsidRPr="00D442F1">
        <w:rPr>
          <w:b/>
          <w:noProof/>
          <w:szCs w:val="22"/>
        </w:rPr>
        <w:t>Undesirable effects</w:t>
      </w:r>
    </w:p>
    <w:p w:rsidR="008D1AF1" w:rsidRPr="00D442F1" w:rsidP="00166894" w14:paraId="1A4DF2A9" w14:textId="77777777">
      <w:pPr>
        <w:keepNext/>
        <w:widowControl w:val="0"/>
        <w:tabs>
          <w:tab w:val="clear" w:pos="567"/>
        </w:tabs>
        <w:autoSpaceDE w:val="0"/>
        <w:autoSpaceDN w:val="0"/>
        <w:adjustRightInd w:val="0"/>
        <w:spacing w:line="240" w:lineRule="auto"/>
        <w:rPr>
          <w:noProof/>
          <w:szCs w:val="22"/>
        </w:rPr>
      </w:pPr>
    </w:p>
    <w:p w:rsidR="00686F3A" w:rsidRPr="00D442F1" w:rsidP="00166894" w14:paraId="3B630088" w14:textId="77777777">
      <w:pPr>
        <w:keepNext/>
        <w:widowControl w:val="0"/>
        <w:tabs>
          <w:tab w:val="clear" w:pos="567"/>
        </w:tabs>
        <w:autoSpaceDE w:val="0"/>
        <w:autoSpaceDN w:val="0"/>
        <w:adjustRightInd w:val="0"/>
        <w:spacing w:line="240" w:lineRule="auto"/>
        <w:rPr>
          <w:noProof/>
          <w:szCs w:val="22"/>
          <w:u w:val="single"/>
        </w:rPr>
      </w:pPr>
      <w:r w:rsidRPr="00D442F1">
        <w:rPr>
          <w:noProof/>
          <w:szCs w:val="22"/>
          <w:u w:val="single"/>
        </w:rPr>
        <w:t>Summary of the safety profile</w:t>
      </w:r>
    </w:p>
    <w:p w:rsidR="00686F3A" w:rsidRPr="00D442F1" w:rsidP="00166894" w14:paraId="601831A7" w14:textId="77777777">
      <w:pPr>
        <w:keepNext/>
        <w:widowControl w:val="0"/>
        <w:tabs>
          <w:tab w:val="clear" w:pos="567"/>
        </w:tabs>
        <w:autoSpaceDE w:val="0"/>
        <w:autoSpaceDN w:val="0"/>
        <w:adjustRightInd w:val="0"/>
        <w:spacing w:line="240" w:lineRule="auto"/>
        <w:rPr>
          <w:noProof/>
          <w:szCs w:val="22"/>
        </w:rPr>
      </w:pPr>
    </w:p>
    <w:p w:rsidR="0085353F" w:rsidRPr="00D442F1" w:rsidP="0085353F" w14:paraId="1B35C21D" w14:textId="77777777">
      <w:pPr>
        <w:autoSpaceDE w:val="0"/>
        <w:autoSpaceDN w:val="0"/>
        <w:adjustRightInd w:val="0"/>
      </w:pPr>
      <w:r w:rsidRPr="00D442F1">
        <w:rPr>
          <w:szCs w:val="24"/>
        </w:rPr>
        <w:t>Safety assessment was based on a total of 194</w:t>
      </w:r>
      <w:r w:rsidRPr="00D442F1" w:rsidR="00A17759">
        <w:rPr>
          <w:szCs w:val="24"/>
        </w:rPr>
        <w:t> </w:t>
      </w:r>
      <w:r w:rsidRPr="00D442F1">
        <w:rPr>
          <w:szCs w:val="24"/>
        </w:rPr>
        <w:t>patients (with p</w:t>
      </w:r>
      <w:r w:rsidRPr="00D442F1" w:rsidR="00A17759">
        <w:rPr>
          <w:szCs w:val="24"/>
        </w:rPr>
        <w:t>a</w:t>
      </w:r>
      <w:r w:rsidRPr="00D442F1">
        <w:rPr>
          <w:szCs w:val="24"/>
        </w:rPr>
        <w:t xml:space="preserve">ediatric and young adult B-cell ALL and DLBCL) </w:t>
      </w:r>
      <w:r w:rsidRPr="00D442F1" w:rsidR="00A17759">
        <w:rPr>
          <w:szCs w:val="24"/>
        </w:rPr>
        <w:t xml:space="preserve">who </w:t>
      </w:r>
      <w:r w:rsidRPr="00D442F1">
        <w:rPr>
          <w:szCs w:val="24"/>
        </w:rPr>
        <w:t>receiv</w:t>
      </w:r>
      <w:r w:rsidRPr="00D442F1" w:rsidR="00A17759">
        <w:rPr>
          <w:szCs w:val="24"/>
        </w:rPr>
        <w:t>ed</w:t>
      </w:r>
      <w:r w:rsidRPr="00D442F1">
        <w:rPr>
          <w:szCs w:val="24"/>
        </w:rPr>
        <w:t xml:space="preserve"> Kymriah in two multi-cent</w:t>
      </w:r>
      <w:r w:rsidRPr="00D442F1" w:rsidR="00A17759">
        <w:rPr>
          <w:szCs w:val="24"/>
        </w:rPr>
        <w:t>re</w:t>
      </w:r>
      <w:r w:rsidRPr="00D442F1">
        <w:rPr>
          <w:szCs w:val="24"/>
        </w:rPr>
        <w:t xml:space="preserve"> pivotal clinical studies.</w:t>
      </w:r>
    </w:p>
    <w:p w:rsidR="0085353F" w:rsidRPr="00D442F1" w:rsidP="00A17759" w14:paraId="7864A255" w14:textId="77777777">
      <w:pPr>
        <w:widowControl w:val="0"/>
        <w:tabs>
          <w:tab w:val="clear" w:pos="567"/>
        </w:tabs>
        <w:autoSpaceDE w:val="0"/>
        <w:autoSpaceDN w:val="0"/>
        <w:adjustRightInd w:val="0"/>
        <w:spacing w:line="240" w:lineRule="auto"/>
        <w:rPr>
          <w:i/>
          <w:noProof/>
          <w:szCs w:val="22"/>
          <w:u w:val="single"/>
        </w:rPr>
      </w:pPr>
    </w:p>
    <w:p w:rsidR="0013020F" w:rsidRPr="00D442F1" w:rsidP="00A17759" w14:paraId="47B481E0" w14:textId="77777777">
      <w:pPr>
        <w:keepNext/>
        <w:widowControl w:val="0"/>
        <w:tabs>
          <w:tab w:val="clear" w:pos="567"/>
        </w:tabs>
        <w:autoSpaceDE w:val="0"/>
        <w:autoSpaceDN w:val="0"/>
        <w:adjustRightInd w:val="0"/>
        <w:spacing w:line="240" w:lineRule="auto"/>
        <w:rPr>
          <w:i/>
          <w:noProof/>
          <w:szCs w:val="22"/>
          <w:u w:val="single"/>
        </w:rPr>
      </w:pPr>
      <w:r w:rsidRPr="00D442F1">
        <w:rPr>
          <w:i/>
          <w:noProof/>
          <w:szCs w:val="22"/>
          <w:u w:val="single"/>
        </w:rPr>
        <w:t>B</w:t>
      </w:r>
      <w:r w:rsidRPr="00D442F1" w:rsidR="00517796">
        <w:rPr>
          <w:i/>
          <w:noProof/>
          <w:szCs w:val="22"/>
          <w:u w:val="single"/>
        </w:rPr>
        <w:noBreakHyphen/>
      </w:r>
      <w:r w:rsidRPr="00D442F1">
        <w:rPr>
          <w:i/>
          <w:noProof/>
          <w:szCs w:val="22"/>
          <w:u w:val="single"/>
        </w:rPr>
        <w:t>cell ALL</w:t>
      </w:r>
    </w:p>
    <w:p w:rsidR="0085353F" w:rsidRPr="00D442F1" w:rsidP="00A17759" w14:paraId="72E756E6" w14:textId="77777777">
      <w:pPr>
        <w:pStyle w:val="Text"/>
        <w:spacing w:before="0"/>
        <w:rPr>
          <w:rFonts w:eastAsia="Times New Roman"/>
          <w:noProof/>
          <w:sz w:val="22"/>
          <w:szCs w:val="22"/>
          <w:lang w:val="en-GB" w:eastAsia="en-US"/>
        </w:rPr>
      </w:pPr>
      <w:r w:rsidRPr="00D442F1">
        <w:rPr>
          <w:rFonts w:eastAsia="Times New Roman"/>
          <w:noProof/>
          <w:sz w:val="22"/>
          <w:szCs w:val="22"/>
          <w:lang w:val="en-GB" w:eastAsia="en-US"/>
        </w:rPr>
        <w:t>The adverse reactions described in this section were characteri</w:t>
      </w:r>
      <w:r w:rsidRPr="00D442F1" w:rsidR="00A17759">
        <w:rPr>
          <w:rFonts w:eastAsia="Times New Roman"/>
          <w:noProof/>
          <w:sz w:val="22"/>
          <w:szCs w:val="22"/>
          <w:lang w:val="en-GB" w:eastAsia="en-US"/>
        </w:rPr>
        <w:t>s</w:t>
      </w:r>
      <w:r w:rsidRPr="00D442F1">
        <w:rPr>
          <w:rFonts w:eastAsia="Times New Roman"/>
          <w:noProof/>
          <w:sz w:val="22"/>
          <w:szCs w:val="22"/>
          <w:lang w:val="en-GB" w:eastAsia="en-US"/>
        </w:rPr>
        <w:t>ed in 79</w:t>
      </w:r>
      <w:r w:rsidRPr="00D442F1" w:rsidR="00A17759">
        <w:rPr>
          <w:rFonts w:eastAsia="Times New Roman"/>
          <w:noProof/>
          <w:sz w:val="22"/>
          <w:szCs w:val="22"/>
          <w:lang w:val="en-GB" w:eastAsia="en-US"/>
        </w:rPr>
        <w:t> </w:t>
      </w:r>
      <w:r w:rsidRPr="00D442F1">
        <w:rPr>
          <w:rFonts w:eastAsia="Times New Roman"/>
          <w:noProof/>
          <w:sz w:val="22"/>
          <w:szCs w:val="22"/>
          <w:lang w:val="en-GB" w:eastAsia="en-US"/>
        </w:rPr>
        <w:t>patients infused with Kymriah in the multi-cent</w:t>
      </w:r>
      <w:r w:rsidRPr="00D442F1" w:rsidR="00A17759">
        <w:rPr>
          <w:rFonts w:eastAsia="Times New Roman"/>
          <w:noProof/>
          <w:sz w:val="22"/>
          <w:szCs w:val="22"/>
          <w:lang w:val="en-GB" w:eastAsia="en-US"/>
        </w:rPr>
        <w:t>re</w:t>
      </w:r>
      <w:r w:rsidRPr="00D442F1">
        <w:rPr>
          <w:rFonts w:eastAsia="Times New Roman"/>
          <w:noProof/>
          <w:sz w:val="22"/>
          <w:szCs w:val="22"/>
          <w:lang w:val="en-GB" w:eastAsia="en-US"/>
        </w:rPr>
        <w:t>, pivotal clinical study CCTL019B2202.</w:t>
      </w:r>
    </w:p>
    <w:p w:rsidR="0085353F" w:rsidRPr="00D442F1" w:rsidP="00A17759" w14:paraId="2FFD9E4E" w14:textId="77777777">
      <w:pPr>
        <w:widowControl w:val="0"/>
        <w:tabs>
          <w:tab w:val="clear" w:pos="567"/>
        </w:tabs>
        <w:autoSpaceDE w:val="0"/>
        <w:autoSpaceDN w:val="0"/>
        <w:adjustRightInd w:val="0"/>
        <w:spacing w:line="240" w:lineRule="auto"/>
        <w:rPr>
          <w:noProof/>
          <w:szCs w:val="22"/>
        </w:rPr>
      </w:pPr>
    </w:p>
    <w:p w:rsidR="003E043C" w:rsidRPr="00D442F1" w:rsidP="00A17759" w14:paraId="2FAEEDC7" w14:textId="12D9256A">
      <w:pPr>
        <w:widowControl w:val="0"/>
        <w:tabs>
          <w:tab w:val="clear" w:pos="567"/>
        </w:tabs>
        <w:autoSpaceDE w:val="0"/>
        <w:autoSpaceDN w:val="0"/>
        <w:adjustRightInd w:val="0"/>
        <w:spacing w:line="240" w:lineRule="auto"/>
        <w:rPr>
          <w:noProof/>
          <w:szCs w:val="22"/>
        </w:rPr>
      </w:pPr>
      <w:r w:rsidRPr="00D442F1">
        <w:rPr>
          <w:noProof/>
          <w:szCs w:val="22"/>
        </w:rPr>
        <w:t>The most common non</w:t>
      </w:r>
      <w:r w:rsidRPr="00D442F1" w:rsidR="00591100">
        <w:rPr>
          <w:noProof/>
          <w:szCs w:val="22"/>
        </w:rPr>
        <w:noBreakHyphen/>
      </w:r>
      <w:r w:rsidRPr="00D442F1">
        <w:rPr>
          <w:noProof/>
          <w:szCs w:val="22"/>
        </w:rPr>
        <w:t>haematological adverse reactions were cytokine release syndrome (</w:t>
      </w:r>
      <w:r w:rsidRPr="00D442F1" w:rsidR="004F3ED2">
        <w:rPr>
          <w:noProof/>
          <w:szCs w:val="22"/>
        </w:rPr>
        <w:t>77</w:t>
      </w:r>
      <w:r w:rsidRPr="00D442F1">
        <w:rPr>
          <w:noProof/>
          <w:szCs w:val="22"/>
        </w:rPr>
        <w:t xml:space="preserve">%), </w:t>
      </w:r>
      <w:r w:rsidRPr="00D442F1" w:rsidR="00FC36ED">
        <w:rPr>
          <w:noProof/>
          <w:szCs w:val="22"/>
        </w:rPr>
        <w:t>infections (7</w:t>
      </w:r>
      <w:r w:rsidRPr="00D442F1" w:rsidR="00854F81">
        <w:rPr>
          <w:noProof/>
          <w:szCs w:val="22"/>
        </w:rPr>
        <w:t>3</w:t>
      </w:r>
      <w:r w:rsidRPr="00D442F1" w:rsidR="00FC36ED">
        <w:rPr>
          <w:noProof/>
          <w:szCs w:val="22"/>
        </w:rPr>
        <w:t>%), hypogammaglobulinaemia</w:t>
      </w:r>
      <w:r w:rsidRPr="00D442F1">
        <w:rPr>
          <w:noProof/>
          <w:szCs w:val="22"/>
        </w:rPr>
        <w:t xml:space="preserve"> (</w:t>
      </w:r>
      <w:r w:rsidRPr="00D442F1" w:rsidR="0085353F">
        <w:rPr>
          <w:noProof/>
          <w:szCs w:val="22"/>
        </w:rPr>
        <w:t>53</w:t>
      </w:r>
      <w:r w:rsidRPr="00D442F1">
        <w:rPr>
          <w:noProof/>
          <w:szCs w:val="22"/>
        </w:rPr>
        <w:t>%), pyrexia (</w:t>
      </w:r>
      <w:r w:rsidRPr="00D442F1" w:rsidR="00F46C49">
        <w:rPr>
          <w:noProof/>
          <w:szCs w:val="22"/>
        </w:rPr>
        <w:t>42</w:t>
      </w:r>
      <w:r w:rsidRPr="00D442F1">
        <w:rPr>
          <w:noProof/>
          <w:szCs w:val="22"/>
        </w:rPr>
        <w:t>%) and decreased appetite (</w:t>
      </w:r>
      <w:r w:rsidRPr="00D442F1" w:rsidR="00F46C49">
        <w:rPr>
          <w:noProof/>
          <w:szCs w:val="22"/>
        </w:rPr>
        <w:t>38</w:t>
      </w:r>
      <w:r w:rsidRPr="00D442F1">
        <w:rPr>
          <w:noProof/>
          <w:szCs w:val="22"/>
        </w:rPr>
        <w:t>%).</w:t>
      </w:r>
    </w:p>
    <w:p w:rsidR="00337C0B" w:rsidRPr="00D442F1" w:rsidP="00166894" w14:paraId="64E4C428" w14:textId="77777777">
      <w:pPr>
        <w:widowControl w:val="0"/>
        <w:tabs>
          <w:tab w:val="clear" w:pos="567"/>
        </w:tabs>
        <w:autoSpaceDE w:val="0"/>
        <w:autoSpaceDN w:val="0"/>
        <w:adjustRightInd w:val="0"/>
        <w:spacing w:line="240" w:lineRule="auto"/>
        <w:rPr>
          <w:noProof/>
          <w:szCs w:val="22"/>
        </w:rPr>
      </w:pPr>
    </w:p>
    <w:p w:rsidR="00F46C49" w:rsidRPr="00D442F1" w:rsidP="00166894" w14:paraId="37461CB5" w14:textId="77777777">
      <w:pPr>
        <w:widowControl w:val="0"/>
        <w:tabs>
          <w:tab w:val="clear" w:pos="567"/>
        </w:tabs>
        <w:autoSpaceDE w:val="0"/>
        <w:autoSpaceDN w:val="0"/>
        <w:adjustRightInd w:val="0"/>
        <w:spacing w:line="240" w:lineRule="auto"/>
      </w:pPr>
      <w:r w:rsidRPr="00D442F1">
        <w:t>The most common haematological adverse reactions were decreased white blood cells (100%), decreased haemoglobin (100%), decreased neutrophils (100%), decreased lymphocytes (100%) and decreased platelets (97%).</w:t>
      </w:r>
    </w:p>
    <w:p w:rsidR="00F46C49" w:rsidRPr="00D442F1" w:rsidP="00166894" w14:paraId="17C80DFE" w14:textId="77777777">
      <w:pPr>
        <w:widowControl w:val="0"/>
        <w:tabs>
          <w:tab w:val="clear" w:pos="567"/>
        </w:tabs>
        <w:autoSpaceDE w:val="0"/>
        <w:autoSpaceDN w:val="0"/>
        <w:adjustRightInd w:val="0"/>
        <w:spacing w:line="240" w:lineRule="auto"/>
        <w:rPr>
          <w:noProof/>
          <w:szCs w:val="22"/>
        </w:rPr>
      </w:pPr>
    </w:p>
    <w:p w:rsidR="00810365" w:rsidRPr="00D442F1" w:rsidP="00166894" w14:paraId="70CD92A0" w14:textId="6C7BAC74">
      <w:pPr>
        <w:widowControl w:val="0"/>
        <w:tabs>
          <w:tab w:val="clear" w:pos="567"/>
        </w:tabs>
        <w:autoSpaceDE w:val="0"/>
        <w:autoSpaceDN w:val="0"/>
        <w:adjustRightInd w:val="0"/>
        <w:spacing w:line="240" w:lineRule="auto"/>
        <w:rPr>
          <w:noProof/>
          <w:szCs w:val="22"/>
        </w:rPr>
      </w:pPr>
      <w:r w:rsidRPr="00D442F1">
        <w:rPr>
          <w:noProof/>
          <w:szCs w:val="22"/>
        </w:rPr>
        <w:t>Grade</w:t>
      </w:r>
      <w:r w:rsidRPr="00D442F1" w:rsidR="009D22D3">
        <w:rPr>
          <w:noProof/>
          <w:szCs w:val="22"/>
        </w:rPr>
        <w:t> </w:t>
      </w:r>
      <w:r w:rsidRPr="00D442F1">
        <w:rPr>
          <w:noProof/>
          <w:szCs w:val="22"/>
        </w:rPr>
        <w:t>3 and</w:t>
      </w:r>
      <w:r w:rsidRPr="00D442F1" w:rsidR="009D22D3">
        <w:rPr>
          <w:noProof/>
          <w:szCs w:val="22"/>
        </w:rPr>
        <w:t xml:space="preserve"> </w:t>
      </w:r>
      <w:r w:rsidRPr="00D442F1">
        <w:rPr>
          <w:noProof/>
          <w:szCs w:val="22"/>
        </w:rPr>
        <w:t xml:space="preserve">4 adverse reactions were reported in </w:t>
      </w:r>
      <w:r w:rsidRPr="00D442F1" w:rsidR="00152F10">
        <w:rPr>
          <w:noProof/>
          <w:szCs w:val="22"/>
        </w:rPr>
        <w:t>89</w:t>
      </w:r>
      <w:r w:rsidRPr="00D442F1">
        <w:rPr>
          <w:noProof/>
          <w:szCs w:val="22"/>
        </w:rPr>
        <w:t>% of patients.</w:t>
      </w:r>
      <w:r w:rsidRPr="00D442F1" w:rsidR="000B49E3">
        <w:rPr>
          <w:noProof/>
          <w:szCs w:val="22"/>
        </w:rPr>
        <w:t xml:space="preserve"> </w:t>
      </w:r>
      <w:r w:rsidRPr="00D442F1">
        <w:rPr>
          <w:noProof/>
          <w:szCs w:val="22"/>
        </w:rPr>
        <w:t>The most common Grade</w:t>
      </w:r>
      <w:r w:rsidRPr="00D442F1" w:rsidR="009D22D3">
        <w:rPr>
          <w:noProof/>
          <w:szCs w:val="22"/>
        </w:rPr>
        <w:t> </w:t>
      </w:r>
      <w:r w:rsidRPr="00D442F1">
        <w:rPr>
          <w:noProof/>
          <w:szCs w:val="22"/>
        </w:rPr>
        <w:t>3 and 4 non</w:t>
      </w:r>
      <w:r w:rsidRPr="00D442F1" w:rsidR="00591100">
        <w:rPr>
          <w:noProof/>
          <w:szCs w:val="22"/>
        </w:rPr>
        <w:noBreakHyphen/>
      </w:r>
      <w:r w:rsidRPr="00D442F1">
        <w:rPr>
          <w:noProof/>
          <w:szCs w:val="22"/>
        </w:rPr>
        <w:t xml:space="preserve">haematological adverse reaction </w:t>
      </w:r>
      <w:r w:rsidRPr="00D442F1" w:rsidR="00FC36ED">
        <w:rPr>
          <w:noProof/>
          <w:szCs w:val="22"/>
        </w:rPr>
        <w:t xml:space="preserve">was </w:t>
      </w:r>
      <w:r w:rsidRPr="00D442F1" w:rsidR="00FC36ED">
        <w:rPr>
          <w:szCs w:val="22"/>
        </w:rPr>
        <w:t>c</w:t>
      </w:r>
      <w:r w:rsidRPr="00D442F1" w:rsidR="00FC36ED">
        <w:rPr>
          <w:noProof/>
          <w:szCs w:val="22"/>
        </w:rPr>
        <w:t>ytokine release syndrome (48%).</w:t>
      </w:r>
    </w:p>
    <w:p w:rsidR="00810365" w:rsidRPr="00D442F1" w:rsidP="00166894" w14:paraId="197EFDA9" w14:textId="77777777">
      <w:pPr>
        <w:widowControl w:val="0"/>
        <w:tabs>
          <w:tab w:val="clear" w:pos="567"/>
        </w:tabs>
        <w:autoSpaceDE w:val="0"/>
        <w:autoSpaceDN w:val="0"/>
        <w:adjustRightInd w:val="0"/>
        <w:spacing w:line="240" w:lineRule="auto"/>
        <w:rPr>
          <w:noProof/>
          <w:szCs w:val="22"/>
        </w:rPr>
      </w:pPr>
    </w:p>
    <w:p w:rsidR="00982C12" w:rsidRPr="00D442F1" w:rsidP="00166894" w14:paraId="37D607D9" w14:textId="7731E23D">
      <w:pPr>
        <w:widowControl w:val="0"/>
        <w:tabs>
          <w:tab w:val="clear" w:pos="567"/>
        </w:tabs>
        <w:autoSpaceDE w:val="0"/>
        <w:autoSpaceDN w:val="0"/>
        <w:adjustRightInd w:val="0"/>
        <w:spacing w:line="240" w:lineRule="auto"/>
        <w:rPr>
          <w:noProof/>
          <w:szCs w:val="22"/>
        </w:rPr>
      </w:pPr>
      <w:r w:rsidRPr="00D442F1">
        <w:rPr>
          <w:noProof/>
          <w:szCs w:val="22"/>
        </w:rPr>
        <w:t>The most common Grade</w:t>
      </w:r>
      <w:r w:rsidRPr="00D442F1" w:rsidR="009D22D3">
        <w:rPr>
          <w:noProof/>
          <w:szCs w:val="22"/>
        </w:rPr>
        <w:t> </w:t>
      </w:r>
      <w:r w:rsidRPr="00D442F1">
        <w:rPr>
          <w:noProof/>
          <w:szCs w:val="22"/>
        </w:rPr>
        <w:t>3 and 4 haematological laboratory abnormalities were white blood cells decreased (</w:t>
      </w:r>
      <w:r w:rsidRPr="00D442F1" w:rsidR="00152F10">
        <w:rPr>
          <w:noProof/>
          <w:szCs w:val="22"/>
        </w:rPr>
        <w:t>97</w:t>
      </w:r>
      <w:r w:rsidRPr="00D442F1">
        <w:rPr>
          <w:noProof/>
          <w:szCs w:val="22"/>
        </w:rPr>
        <w:t xml:space="preserve">%), </w:t>
      </w:r>
      <w:r w:rsidRPr="00D442F1" w:rsidR="00152F10">
        <w:rPr>
          <w:noProof/>
          <w:szCs w:val="22"/>
        </w:rPr>
        <w:t xml:space="preserve">lymphocytes decreased (96%), </w:t>
      </w:r>
      <w:r w:rsidRPr="00D442F1">
        <w:rPr>
          <w:noProof/>
          <w:szCs w:val="22"/>
        </w:rPr>
        <w:t>neutrophils decreased (</w:t>
      </w:r>
      <w:r w:rsidRPr="00D442F1" w:rsidR="004F3ED2">
        <w:rPr>
          <w:noProof/>
          <w:szCs w:val="22"/>
        </w:rPr>
        <w:t>95</w:t>
      </w:r>
      <w:r w:rsidRPr="00D442F1">
        <w:rPr>
          <w:noProof/>
          <w:szCs w:val="22"/>
        </w:rPr>
        <w:t>%), platelets decreased (77%)</w:t>
      </w:r>
      <w:r w:rsidRPr="00D442F1" w:rsidR="00DE1472">
        <w:rPr>
          <w:noProof/>
          <w:szCs w:val="22"/>
        </w:rPr>
        <w:t xml:space="preserve"> </w:t>
      </w:r>
      <w:r w:rsidRPr="00D442F1">
        <w:rPr>
          <w:noProof/>
          <w:szCs w:val="22"/>
        </w:rPr>
        <w:t>and haemoglobin decreased (</w:t>
      </w:r>
      <w:r w:rsidRPr="00D442F1" w:rsidR="00152F10">
        <w:rPr>
          <w:noProof/>
          <w:szCs w:val="22"/>
        </w:rPr>
        <w:t>48</w:t>
      </w:r>
      <w:r w:rsidRPr="00D442F1">
        <w:rPr>
          <w:noProof/>
          <w:szCs w:val="22"/>
        </w:rPr>
        <w:t>%).</w:t>
      </w:r>
    </w:p>
    <w:p w:rsidR="000B49E3" w:rsidRPr="00D442F1" w:rsidP="00166894" w14:paraId="28F7E64D" w14:textId="77777777">
      <w:pPr>
        <w:widowControl w:val="0"/>
        <w:tabs>
          <w:tab w:val="clear" w:pos="567"/>
        </w:tabs>
        <w:autoSpaceDE w:val="0"/>
        <w:autoSpaceDN w:val="0"/>
        <w:adjustRightInd w:val="0"/>
        <w:spacing w:line="240" w:lineRule="auto"/>
        <w:rPr>
          <w:noProof/>
          <w:szCs w:val="22"/>
        </w:rPr>
      </w:pPr>
    </w:p>
    <w:p w:rsidR="00DB6324" w:rsidRPr="00D442F1" w:rsidP="00166894" w14:paraId="494AE2FA" w14:textId="4371084F">
      <w:pPr>
        <w:widowControl w:val="0"/>
        <w:tabs>
          <w:tab w:val="clear" w:pos="567"/>
        </w:tabs>
        <w:autoSpaceDE w:val="0"/>
        <w:autoSpaceDN w:val="0"/>
        <w:adjustRightInd w:val="0"/>
        <w:spacing w:line="240" w:lineRule="auto"/>
        <w:rPr>
          <w:noProof/>
          <w:szCs w:val="22"/>
        </w:rPr>
      </w:pPr>
      <w:r w:rsidRPr="00D442F1">
        <w:rPr>
          <w:noProof/>
          <w:szCs w:val="22"/>
        </w:rPr>
        <w:t>Grade</w:t>
      </w:r>
      <w:r w:rsidRPr="00D442F1" w:rsidR="009D22D3">
        <w:rPr>
          <w:noProof/>
          <w:szCs w:val="22"/>
        </w:rPr>
        <w:t> </w:t>
      </w:r>
      <w:r w:rsidRPr="00D442F1">
        <w:rPr>
          <w:noProof/>
          <w:szCs w:val="22"/>
        </w:rPr>
        <w:t xml:space="preserve">3 </w:t>
      </w:r>
      <w:r w:rsidRPr="00D442F1" w:rsidR="00DE4965">
        <w:rPr>
          <w:noProof/>
          <w:szCs w:val="22"/>
        </w:rPr>
        <w:t xml:space="preserve">and </w:t>
      </w:r>
      <w:r w:rsidRPr="00D442F1">
        <w:rPr>
          <w:noProof/>
          <w:szCs w:val="22"/>
        </w:rPr>
        <w:t>4 adverse</w:t>
      </w:r>
      <w:r w:rsidRPr="00D442F1" w:rsidR="00147FE3">
        <w:rPr>
          <w:noProof/>
          <w:szCs w:val="22"/>
        </w:rPr>
        <w:t xml:space="preserve"> reactions</w:t>
      </w:r>
      <w:r w:rsidRPr="00D442F1">
        <w:rPr>
          <w:noProof/>
          <w:szCs w:val="22"/>
        </w:rPr>
        <w:t xml:space="preserve"> were more often observed within the initial 8</w:t>
      </w:r>
      <w:r w:rsidRPr="00D442F1" w:rsidR="009D22D3">
        <w:rPr>
          <w:noProof/>
          <w:szCs w:val="22"/>
        </w:rPr>
        <w:t> </w:t>
      </w:r>
      <w:r w:rsidRPr="00D442F1">
        <w:rPr>
          <w:noProof/>
          <w:szCs w:val="22"/>
        </w:rPr>
        <w:t>weeks post</w:t>
      </w:r>
      <w:r w:rsidRPr="00D442F1" w:rsidR="00591100">
        <w:rPr>
          <w:noProof/>
          <w:szCs w:val="22"/>
        </w:rPr>
        <w:noBreakHyphen/>
      </w:r>
      <w:r w:rsidRPr="00D442F1">
        <w:rPr>
          <w:noProof/>
          <w:szCs w:val="22"/>
        </w:rPr>
        <w:t>infusion (</w:t>
      </w:r>
      <w:r w:rsidRPr="00D442F1" w:rsidR="00152F10">
        <w:rPr>
          <w:noProof/>
          <w:szCs w:val="22"/>
        </w:rPr>
        <w:t>82</w:t>
      </w:r>
      <w:r w:rsidRPr="00D442F1">
        <w:rPr>
          <w:noProof/>
          <w:szCs w:val="22"/>
        </w:rPr>
        <w:t>% of patients) compared to after 8</w:t>
      </w:r>
      <w:r w:rsidRPr="00D442F1" w:rsidR="009D22D3">
        <w:rPr>
          <w:noProof/>
          <w:szCs w:val="22"/>
        </w:rPr>
        <w:t> </w:t>
      </w:r>
      <w:r w:rsidRPr="00D442F1">
        <w:rPr>
          <w:noProof/>
          <w:szCs w:val="22"/>
        </w:rPr>
        <w:t>weeks post</w:t>
      </w:r>
      <w:r w:rsidRPr="00D442F1" w:rsidR="00591100">
        <w:rPr>
          <w:noProof/>
          <w:szCs w:val="22"/>
        </w:rPr>
        <w:noBreakHyphen/>
      </w:r>
      <w:r w:rsidRPr="00D442F1">
        <w:rPr>
          <w:noProof/>
          <w:szCs w:val="22"/>
        </w:rPr>
        <w:t>infusion (</w:t>
      </w:r>
      <w:r w:rsidRPr="00D442F1" w:rsidR="00152F10">
        <w:rPr>
          <w:noProof/>
          <w:szCs w:val="22"/>
        </w:rPr>
        <w:t>51</w:t>
      </w:r>
      <w:r w:rsidRPr="00D442F1">
        <w:rPr>
          <w:noProof/>
          <w:szCs w:val="22"/>
        </w:rPr>
        <w:t>% of patients).</w:t>
      </w:r>
    </w:p>
    <w:p w:rsidR="00937D01" w:rsidRPr="00D442F1" w:rsidP="00166894" w14:paraId="58F263D7" w14:textId="77777777">
      <w:pPr>
        <w:widowControl w:val="0"/>
        <w:tabs>
          <w:tab w:val="clear" w:pos="567"/>
        </w:tabs>
        <w:autoSpaceDE w:val="0"/>
        <w:autoSpaceDN w:val="0"/>
        <w:adjustRightInd w:val="0"/>
        <w:spacing w:line="240" w:lineRule="auto"/>
        <w:rPr>
          <w:i/>
          <w:noProof/>
          <w:szCs w:val="22"/>
          <w:u w:val="single"/>
        </w:rPr>
      </w:pPr>
    </w:p>
    <w:p w:rsidR="00937D01" w:rsidRPr="00D442F1" w:rsidP="00166894" w14:paraId="65ED12D5" w14:textId="77777777">
      <w:pPr>
        <w:keepNext/>
        <w:widowControl w:val="0"/>
        <w:tabs>
          <w:tab w:val="clear" w:pos="567"/>
        </w:tabs>
        <w:autoSpaceDE w:val="0"/>
        <w:autoSpaceDN w:val="0"/>
        <w:adjustRightInd w:val="0"/>
        <w:spacing w:line="240" w:lineRule="auto"/>
        <w:rPr>
          <w:i/>
          <w:noProof/>
          <w:szCs w:val="22"/>
          <w:u w:val="single"/>
        </w:rPr>
      </w:pPr>
      <w:r w:rsidRPr="00D442F1">
        <w:rPr>
          <w:i/>
          <w:noProof/>
          <w:szCs w:val="22"/>
          <w:u w:val="single"/>
        </w:rPr>
        <w:t>DLBCL</w:t>
      </w:r>
    </w:p>
    <w:p w:rsidR="00937D01" w:rsidRPr="00D442F1" w:rsidP="00166894" w14:paraId="52F86C84" w14:textId="7ACFA416">
      <w:pPr>
        <w:widowControl w:val="0"/>
        <w:tabs>
          <w:tab w:val="clear" w:pos="567"/>
        </w:tabs>
        <w:autoSpaceDE w:val="0"/>
        <w:autoSpaceDN w:val="0"/>
        <w:adjustRightInd w:val="0"/>
        <w:spacing w:line="240" w:lineRule="auto"/>
        <w:rPr>
          <w:szCs w:val="24"/>
        </w:rPr>
      </w:pPr>
      <w:r w:rsidRPr="00D442F1">
        <w:rPr>
          <w:szCs w:val="24"/>
        </w:rPr>
        <w:t xml:space="preserve">The adverse reactions described in this section were </w:t>
      </w:r>
      <w:r w:rsidRPr="00D442F1" w:rsidR="00152F10">
        <w:rPr>
          <w:szCs w:val="24"/>
        </w:rPr>
        <w:t>characteri</w:t>
      </w:r>
      <w:r w:rsidRPr="00D442F1" w:rsidR="00A17759">
        <w:rPr>
          <w:szCs w:val="24"/>
        </w:rPr>
        <w:t>s</w:t>
      </w:r>
      <w:r w:rsidRPr="00D442F1" w:rsidR="00152F10">
        <w:rPr>
          <w:szCs w:val="24"/>
        </w:rPr>
        <w:t xml:space="preserve">ed </w:t>
      </w:r>
      <w:r w:rsidRPr="00D442F1">
        <w:rPr>
          <w:szCs w:val="24"/>
        </w:rPr>
        <w:t xml:space="preserve">in </w:t>
      </w:r>
      <w:r w:rsidRPr="00D442F1" w:rsidR="00152F10">
        <w:rPr>
          <w:szCs w:val="24"/>
        </w:rPr>
        <w:t>115 </w:t>
      </w:r>
      <w:r w:rsidRPr="00D442F1">
        <w:rPr>
          <w:szCs w:val="24"/>
        </w:rPr>
        <w:t xml:space="preserve">patients </w:t>
      </w:r>
      <w:r w:rsidRPr="00D442F1">
        <w:t xml:space="preserve">infused </w:t>
      </w:r>
      <w:r w:rsidRPr="00D442F1">
        <w:rPr>
          <w:szCs w:val="24"/>
        </w:rPr>
        <w:t xml:space="preserve">with Kymriah in one global multicentre </w:t>
      </w:r>
      <w:r w:rsidRPr="00D442F1" w:rsidR="00433F54">
        <w:rPr>
          <w:szCs w:val="24"/>
        </w:rPr>
        <w:t xml:space="preserve">international </w:t>
      </w:r>
      <w:r w:rsidRPr="00D442F1">
        <w:rPr>
          <w:szCs w:val="24"/>
        </w:rPr>
        <w:t>study, i.e. the ongoing pivotal clinical study CCTL019C2201.</w:t>
      </w:r>
    </w:p>
    <w:p w:rsidR="00937D01" w:rsidRPr="00D442F1" w:rsidP="00166894" w14:paraId="1F67D674" w14:textId="77777777">
      <w:pPr>
        <w:widowControl w:val="0"/>
        <w:tabs>
          <w:tab w:val="clear" w:pos="567"/>
        </w:tabs>
        <w:autoSpaceDE w:val="0"/>
        <w:autoSpaceDN w:val="0"/>
        <w:adjustRightInd w:val="0"/>
        <w:spacing w:line="240" w:lineRule="auto"/>
        <w:rPr>
          <w:szCs w:val="24"/>
        </w:rPr>
      </w:pPr>
    </w:p>
    <w:p w:rsidR="00937D01" w:rsidRPr="00D442F1" w:rsidP="00166894" w14:paraId="6D9AD317" w14:textId="30449D8D">
      <w:pPr>
        <w:widowControl w:val="0"/>
        <w:tabs>
          <w:tab w:val="clear" w:pos="567"/>
        </w:tabs>
        <w:autoSpaceDE w:val="0"/>
        <w:autoSpaceDN w:val="0"/>
        <w:adjustRightInd w:val="0"/>
        <w:spacing w:line="240" w:lineRule="auto"/>
        <w:rPr>
          <w:szCs w:val="24"/>
        </w:rPr>
      </w:pPr>
      <w:r w:rsidRPr="00D442F1">
        <w:rPr>
          <w:szCs w:val="24"/>
        </w:rPr>
        <w:t>The most common non</w:t>
      </w:r>
      <w:r w:rsidRPr="00D442F1">
        <w:rPr>
          <w:szCs w:val="24"/>
        </w:rPr>
        <w:noBreakHyphen/>
        <w:t xml:space="preserve">haematological adverse reactions were </w:t>
      </w:r>
      <w:r w:rsidRPr="00D442F1" w:rsidR="00C6018F">
        <w:rPr>
          <w:szCs w:val="22"/>
        </w:rPr>
        <w:t>c</w:t>
      </w:r>
      <w:r w:rsidRPr="00D442F1" w:rsidR="00C6018F">
        <w:rPr>
          <w:noProof/>
          <w:szCs w:val="22"/>
        </w:rPr>
        <w:t>ytokine release syndrome</w:t>
      </w:r>
      <w:r w:rsidRPr="00D442F1">
        <w:rPr>
          <w:szCs w:val="24"/>
        </w:rPr>
        <w:t xml:space="preserve"> (</w:t>
      </w:r>
      <w:r w:rsidRPr="00D442F1" w:rsidR="00152F10">
        <w:rPr>
          <w:szCs w:val="24"/>
        </w:rPr>
        <w:t>57</w:t>
      </w:r>
      <w:r w:rsidRPr="00D442F1">
        <w:rPr>
          <w:szCs w:val="24"/>
        </w:rPr>
        <w:t>%), infections (</w:t>
      </w:r>
      <w:r w:rsidRPr="00D442F1" w:rsidR="00152F10">
        <w:rPr>
          <w:szCs w:val="24"/>
        </w:rPr>
        <w:t>58</w:t>
      </w:r>
      <w:r w:rsidRPr="00D442F1">
        <w:rPr>
          <w:szCs w:val="24"/>
        </w:rPr>
        <w:t>%), pyrexia (35%), diarrhoea (</w:t>
      </w:r>
      <w:r w:rsidRPr="00D442F1" w:rsidR="00152F10">
        <w:rPr>
          <w:szCs w:val="24"/>
        </w:rPr>
        <w:t>31</w:t>
      </w:r>
      <w:r w:rsidRPr="00D442F1">
        <w:rPr>
          <w:szCs w:val="24"/>
        </w:rPr>
        <w:t xml:space="preserve">%), nausea (29%), </w:t>
      </w:r>
      <w:r w:rsidRPr="00D442F1" w:rsidR="00CA3138">
        <w:rPr>
          <w:szCs w:val="24"/>
        </w:rPr>
        <w:t xml:space="preserve">fatigue (27%) and </w:t>
      </w:r>
      <w:r w:rsidRPr="00D442F1">
        <w:rPr>
          <w:szCs w:val="24"/>
        </w:rPr>
        <w:t>hypotension (</w:t>
      </w:r>
      <w:r w:rsidRPr="00D442F1" w:rsidR="00152F10">
        <w:rPr>
          <w:szCs w:val="24"/>
        </w:rPr>
        <w:t>25</w:t>
      </w:r>
      <w:r w:rsidRPr="00D442F1">
        <w:rPr>
          <w:szCs w:val="24"/>
        </w:rPr>
        <w:t>%)</w:t>
      </w:r>
      <w:r w:rsidRPr="00D442F1" w:rsidR="00D267F2">
        <w:rPr>
          <w:szCs w:val="24"/>
        </w:rPr>
        <w:t>.</w:t>
      </w:r>
    </w:p>
    <w:p w:rsidR="00152F10" w:rsidRPr="00D442F1" w:rsidP="00166894" w14:paraId="67A106F9" w14:textId="77777777">
      <w:pPr>
        <w:widowControl w:val="0"/>
        <w:tabs>
          <w:tab w:val="clear" w:pos="567"/>
        </w:tabs>
        <w:autoSpaceDE w:val="0"/>
        <w:autoSpaceDN w:val="0"/>
        <w:adjustRightInd w:val="0"/>
        <w:spacing w:line="240" w:lineRule="auto"/>
        <w:rPr>
          <w:szCs w:val="24"/>
        </w:rPr>
      </w:pPr>
    </w:p>
    <w:p w:rsidR="00937D01" w:rsidRPr="00D442F1" w:rsidP="00166894" w14:paraId="279574C5" w14:textId="77777777">
      <w:pPr>
        <w:widowControl w:val="0"/>
        <w:tabs>
          <w:tab w:val="clear" w:pos="567"/>
        </w:tabs>
        <w:autoSpaceDE w:val="0"/>
        <w:autoSpaceDN w:val="0"/>
        <w:adjustRightInd w:val="0"/>
        <w:spacing w:line="240" w:lineRule="auto"/>
        <w:rPr>
          <w:szCs w:val="24"/>
          <w:lang w:val="en-US"/>
        </w:rPr>
      </w:pPr>
      <w:r w:rsidRPr="00D442F1">
        <w:rPr>
          <w:szCs w:val="24"/>
          <w:lang w:val="en-US"/>
        </w:rPr>
        <w:t>The most common haematological adverse reactions were decreased lymphocytes (100%), decreased white blood cells (99%), decreased haemoglobin (99%), decreased neutrophils (97%), and decreased platelets (95%).</w:t>
      </w:r>
    </w:p>
    <w:p w:rsidR="00152F10" w:rsidRPr="00D442F1" w:rsidP="00166894" w14:paraId="2BAD7C24" w14:textId="77777777">
      <w:pPr>
        <w:widowControl w:val="0"/>
        <w:tabs>
          <w:tab w:val="clear" w:pos="567"/>
        </w:tabs>
        <w:autoSpaceDE w:val="0"/>
        <w:autoSpaceDN w:val="0"/>
        <w:adjustRightInd w:val="0"/>
        <w:spacing w:line="240" w:lineRule="auto"/>
        <w:rPr>
          <w:szCs w:val="24"/>
        </w:rPr>
      </w:pPr>
    </w:p>
    <w:p w:rsidR="00937D01" w:rsidRPr="00D442F1" w:rsidP="00166894" w14:paraId="39802B00" w14:textId="1E92B184">
      <w:pPr>
        <w:widowControl w:val="0"/>
        <w:tabs>
          <w:tab w:val="clear" w:pos="567"/>
        </w:tabs>
        <w:autoSpaceDE w:val="0"/>
        <w:autoSpaceDN w:val="0"/>
        <w:adjustRightInd w:val="0"/>
        <w:spacing w:line="240" w:lineRule="auto"/>
        <w:rPr>
          <w:szCs w:val="24"/>
        </w:rPr>
      </w:pPr>
      <w:r w:rsidRPr="00D442F1">
        <w:rPr>
          <w:szCs w:val="24"/>
        </w:rPr>
        <w:t xml:space="preserve">Grade 3 and 4 adverse reactions were reported in </w:t>
      </w:r>
      <w:r w:rsidRPr="00D442F1" w:rsidR="00152F10">
        <w:rPr>
          <w:szCs w:val="24"/>
        </w:rPr>
        <w:t>88</w:t>
      </w:r>
      <w:r w:rsidRPr="00D442F1">
        <w:rPr>
          <w:szCs w:val="24"/>
        </w:rPr>
        <w:t>% of patients. The most common Grade 3 and 4 non</w:t>
      </w:r>
      <w:r w:rsidRPr="00D442F1">
        <w:rPr>
          <w:szCs w:val="24"/>
        </w:rPr>
        <w:noBreakHyphen/>
        <w:t>haematological adverse reactions were infections (</w:t>
      </w:r>
      <w:r w:rsidRPr="00D442F1" w:rsidR="00152F10">
        <w:rPr>
          <w:szCs w:val="24"/>
        </w:rPr>
        <w:t>34</w:t>
      </w:r>
      <w:r w:rsidRPr="00D442F1">
        <w:rPr>
          <w:szCs w:val="24"/>
        </w:rPr>
        <w:t xml:space="preserve">%) and </w:t>
      </w:r>
      <w:r w:rsidRPr="00D442F1" w:rsidR="00C6018F">
        <w:rPr>
          <w:szCs w:val="22"/>
        </w:rPr>
        <w:t>c</w:t>
      </w:r>
      <w:r w:rsidRPr="00D442F1" w:rsidR="00C6018F">
        <w:rPr>
          <w:noProof/>
          <w:szCs w:val="22"/>
        </w:rPr>
        <w:t>ytokine release syndrome</w:t>
      </w:r>
      <w:r w:rsidRPr="00D442F1">
        <w:rPr>
          <w:szCs w:val="24"/>
        </w:rPr>
        <w:t xml:space="preserve"> (</w:t>
      </w:r>
      <w:r w:rsidRPr="00D442F1" w:rsidR="00152F10">
        <w:rPr>
          <w:szCs w:val="24"/>
        </w:rPr>
        <w:t>23</w:t>
      </w:r>
      <w:r w:rsidRPr="00D442F1">
        <w:rPr>
          <w:szCs w:val="24"/>
        </w:rPr>
        <w:t>%).</w:t>
      </w:r>
    </w:p>
    <w:p w:rsidR="00937D01" w:rsidRPr="00D442F1" w:rsidP="00166894" w14:paraId="04FE6224" w14:textId="77777777">
      <w:pPr>
        <w:widowControl w:val="0"/>
        <w:tabs>
          <w:tab w:val="clear" w:pos="567"/>
        </w:tabs>
        <w:autoSpaceDE w:val="0"/>
        <w:autoSpaceDN w:val="0"/>
        <w:adjustRightInd w:val="0"/>
        <w:spacing w:line="240" w:lineRule="auto"/>
        <w:rPr>
          <w:szCs w:val="24"/>
        </w:rPr>
      </w:pPr>
    </w:p>
    <w:p w:rsidR="00937D01" w:rsidRPr="00D442F1" w:rsidP="00166894" w14:paraId="2E07A8F7" w14:textId="4CBD8098">
      <w:pPr>
        <w:widowControl w:val="0"/>
        <w:tabs>
          <w:tab w:val="clear" w:pos="567"/>
        </w:tabs>
        <w:autoSpaceDE w:val="0"/>
        <w:autoSpaceDN w:val="0"/>
        <w:adjustRightInd w:val="0"/>
        <w:spacing w:line="240" w:lineRule="auto"/>
        <w:rPr>
          <w:szCs w:val="24"/>
        </w:rPr>
      </w:pPr>
      <w:r w:rsidRPr="00D442F1">
        <w:rPr>
          <w:szCs w:val="24"/>
        </w:rPr>
        <w:t xml:space="preserve">The most common (&gt;25%) Grade 3 and 4 haematological laboratory abnormalities were </w:t>
      </w:r>
      <w:r w:rsidRPr="00D442F1">
        <w:rPr>
          <w:szCs w:val="22"/>
        </w:rPr>
        <w:t>lymphocyte count</w:t>
      </w:r>
      <w:r w:rsidRPr="00D442F1">
        <w:rPr>
          <w:szCs w:val="24"/>
        </w:rPr>
        <w:t xml:space="preserve"> decreased (95%), </w:t>
      </w:r>
      <w:r w:rsidRPr="00D442F1">
        <w:rPr>
          <w:szCs w:val="22"/>
        </w:rPr>
        <w:t>neutrophil count decreased</w:t>
      </w:r>
      <w:r w:rsidRPr="00D442F1">
        <w:rPr>
          <w:szCs w:val="24"/>
        </w:rPr>
        <w:t xml:space="preserve"> (</w:t>
      </w:r>
      <w:r w:rsidRPr="00D442F1" w:rsidR="00152F10">
        <w:rPr>
          <w:szCs w:val="24"/>
        </w:rPr>
        <w:t>82</w:t>
      </w:r>
      <w:r w:rsidRPr="00D442F1">
        <w:rPr>
          <w:szCs w:val="24"/>
        </w:rPr>
        <w:t xml:space="preserve">%), </w:t>
      </w:r>
      <w:r w:rsidRPr="00D442F1">
        <w:rPr>
          <w:szCs w:val="22"/>
        </w:rPr>
        <w:t>white blood cell count decreased</w:t>
      </w:r>
      <w:r w:rsidRPr="00D442F1">
        <w:rPr>
          <w:szCs w:val="24"/>
        </w:rPr>
        <w:t xml:space="preserve"> (</w:t>
      </w:r>
      <w:r w:rsidRPr="00D442F1" w:rsidR="00152F10">
        <w:rPr>
          <w:szCs w:val="24"/>
        </w:rPr>
        <w:t>78</w:t>
      </w:r>
      <w:r w:rsidRPr="00D442F1">
        <w:rPr>
          <w:szCs w:val="24"/>
        </w:rPr>
        <w:t xml:space="preserve">%), </w:t>
      </w:r>
      <w:r w:rsidRPr="00D442F1">
        <w:rPr>
          <w:szCs w:val="22"/>
        </w:rPr>
        <w:t>haemoglobin decreased</w:t>
      </w:r>
      <w:r w:rsidRPr="00D442F1">
        <w:rPr>
          <w:szCs w:val="24"/>
        </w:rPr>
        <w:t xml:space="preserve"> </w:t>
      </w:r>
      <w:r w:rsidRPr="00D442F1">
        <w:rPr>
          <w:szCs w:val="24"/>
        </w:rPr>
        <w:t xml:space="preserve">(59%) and </w:t>
      </w:r>
      <w:r w:rsidRPr="00D442F1">
        <w:rPr>
          <w:szCs w:val="22"/>
        </w:rPr>
        <w:t>platelet count decreased</w:t>
      </w:r>
      <w:r w:rsidRPr="00D442F1">
        <w:rPr>
          <w:szCs w:val="24"/>
        </w:rPr>
        <w:t xml:space="preserve"> (</w:t>
      </w:r>
      <w:r w:rsidRPr="00D442F1" w:rsidR="00152F10">
        <w:rPr>
          <w:szCs w:val="24"/>
        </w:rPr>
        <w:t>56</w:t>
      </w:r>
      <w:r w:rsidRPr="00D442F1">
        <w:rPr>
          <w:szCs w:val="24"/>
        </w:rPr>
        <w:t>%).</w:t>
      </w:r>
    </w:p>
    <w:p w:rsidR="00937D01" w:rsidRPr="00D442F1" w:rsidP="00166894" w14:paraId="76E9D3CF" w14:textId="77777777">
      <w:pPr>
        <w:widowControl w:val="0"/>
        <w:tabs>
          <w:tab w:val="clear" w:pos="567"/>
        </w:tabs>
        <w:autoSpaceDE w:val="0"/>
        <w:autoSpaceDN w:val="0"/>
        <w:adjustRightInd w:val="0"/>
        <w:spacing w:line="240" w:lineRule="auto"/>
        <w:rPr>
          <w:szCs w:val="24"/>
        </w:rPr>
      </w:pPr>
    </w:p>
    <w:p w:rsidR="00937D01" w:rsidRPr="00D442F1" w:rsidP="00166894" w14:paraId="036FA25D" w14:textId="6AA89D2D">
      <w:pPr>
        <w:widowControl w:val="0"/>
        <w:tabs>
          <w:tab w:val="clear" w:pos="567"/>
        </w:tabs>
        <w:autoSpaceDE w:val="0"/>
        <w:autoSpaceDN w:val="0"/>
        <w:adjustRightInd w:val="0"/>
        <w:spacing w:line="240" w:lineRule="auto"/>
        <w:rPr>
          <w:noProof/>
          <w:szCs w:val="22"/>
        </w:rPr>
      </w:pPr>
      <w:r w:rsidRPr="00D442F1">
        <w:rPr>
          <w:szCs w:val="24"/>
        </w:rPr>
        <w:t xml:space="preserve">Grade 3 and 4 adverse </w:t>
      </w:r>
      <w:r w:rsidRPr="00D442F1" w:rsidR="001F65E7">
        <w:rPr>
          <w:szCs w:val="24"/>
        </w:rPr>
        <w:t>reactions</w:t>
      </w:r>
      <w:r w:rsidRPr="00D442F1">
        <w:rPr>
          <w:szCs w:val="24"/>
        </w:rPr>
        <w:t xml:space="preserve"> were more often observed within the initial 8 weeks post</w:t>
      </w:r>
      <w:r w:rsidRPr="00D442F1">
        <w:rPr>
          <w:szCs w:val="24"/>
        </w:rPr>
        <w:noBreakHyphen/>
        <w:t>infusion (</w:t>
      </w:r>
      <w:r w:rsidRPr="00D442F1" w:rsidR="00152F10">
        <w:rPr>
          <w:szCs w:val="24"/>
        </w:rPr>
        <w:t>82</w:t>
      </w:r>
      <w:r w:rsidRPr="00D442F1">
        <w:rPr>
          <w:szCs w:val="24"/>
        </w:rPr>
        <w:t>%) compared to after 8 weeks post</w:t>
      </w:r>
      <w:r w:rsidRPr="00D442F1">
        <w:rPr>
          <w:szCs w:val="24"/>
        </w:rPr>
        <w:noBreakHyphen/>
        <w:t>infusion (</w:t>
      </w:r>
      <w:r w:rsidRPr="00D442F1" w:rsidR="00152F10">
        <w:rPr>
          <w:szCs w:val="24"/>
        </w:rPr>
        <w:t>48</w:t>
      </w:r>
      <w:r w:rsidRPr="00D442F1">
        <w:rPr>
          <w:szCs w:val="24"/>
        </w:rPr>
        <w:t>%).</w:t>
      </w:r>
    </w:p>
    <w:p w:rsidR="00DB6324" w:rsidRPr="00D442F1" w:rsidP="00166894" w14:paraId="6CB48E7E" w14:textId="77777777">
      <w:pPr>
        <w:widowControl w:val="0"/>
        <w:tabs>
          <w:tab w:val="clear" w:pos="567"/>
        </w:tabs>
        <w:autoSpaceDE w:val="0"/>
        <w:autoSpaceDN w:val="0"/>
        <w:adjustRightInd w:val="0"/>
        <w:spacing w:line="240" w:lineRule="auto"/>
        <w:rPr>
          <w:noProof/>
          <w:szCs w:val="22"/>
        </w:rPr>
      </w:pPr>
    </w:p>
    <w:p w:rsidR="00982C12" w:rsidRPr="00D442F1" w:rsidP="00166894" w14:paraId="65CB6744" w14:textId="77777777">
      <w:pPr>
        <w:keepNext/>
        <w:widowControl w:val="0"/>
        <w:tabs>
          <w:tab w:val="clear" w:pos="567"/>
        </w:tabs>
        <w:autoSpaceDE w:val="0"/>
        <w:autoSpaceDN w:val="0"/>
        <w:adjustRightInd w:val="0"/>
        <w:spacing w:line="240" w:lineRule="auto"/>
        <w:rPr>
          <w:i/>
          <w:noProof/>
          <w:szCs w:val="22"/>
        </w:rPr>
      </w:pPr>
      <w:r w:rsidRPr="00D442F1">
        <w:rPr>
          <w:i/>
          <w:noProof/>
          <w:szCs w:val="22"/>
          <w:u w:val="single"/>
        </w:rPr>
        <w:t xml:space="preserve">Tabulated </w:t>
      </w:r>
      <w:r w:rsidRPr="00D442F1" w:rsidR="008D1AF1">
        <w:rPr>
          <w:i/>
          <w:noProof/>
          <w:szCs w:val="22"/>
          <w:u w:val="single"/>
        </w:rPr>
        <w:t xml:space="preserve">list </w:t>
      </w:r>
      <w:r w:rsidRPr="00D442F1">
        <w:rPr>
          <w:i/>
          <w:noProof/>
          <w:szCs w:val="22"/>
          <w:u w:val="single"/>
        </w:rPr>
        <w:t>of adverse drug reactions</w:t>
      </w:r>
    </w:p>
    <w:p w:rsidR="00982C12" w:rsidRPr="00D442F1" w:rsidP="00166894" w14:paraId="47458055" w14:textId="49558A48">
      <w:pPr>
        <w:widowControl w:val="0"/>
        <w:tabs>
          <w:tab w:val="clear" w:pos="567"/>
        </w:tabs>
        <w:autoSpaceDE w:val="0"/>
        <w:autoSpaceDN w:val="0"/>
        <w:adjustRightInd w:val="0"/>
        <w:spacing w:line="240" w:lineRule="auto"/>
        <w:rPr>
          <w:noProof/>
          <w:szCs w:val="22"/>
        </w:rPr>
      </w:pPr>
      <w:r w:rsidRPr="00D442F1">
        <w:rPr>
          <w:noProof/>
          <w:szCs w:val="22"/>
        </w:rPr>
        <w:t xml:space="preserve">The adverse reactions described in this section were identified in </w:t>
      </w:r>
      <w:r w:rsidRPr="00D442F1" w:rsidR="0085353F">
        <w:rPr>
          <w:noProof/>
          <w:szCs w:val="22"/>
        </w:rPr>
        <w:t>79</w:t>
      </w:r>
      <w:r w:rsidRPr="00D442F1" w:rsidR="00141DC9">
        <w:rPr>
          <w:noProof/>
          <w:szCs w:val="22"/>
        </w:rPr>
        <w:t xml:space="preserve"> </w:t>
      </w:r>
      <w:r w:rsidRPr="00D442F1" w:rsidR="00937D01">
        <w:rPr>
          <w:noProof/>
          <w:szCs w:val="22"/>
        </w:rPr>
        <w:t xml:space="preserve">and </w:t>
      </w:r>
      <w:r w:rsidRPr="00D442F1" w:rsidR="0085353F">
        <w:rPr>
          <w:noProof/>
          <w:szCs w:val="22"/>
        </w:rPr>
        <w:t>115 </w:t>
      </w:r>
      <w:r w:rsidRPr="00D442F1">
        <w:rPr>
          <w:noProof/>
          <w:szCs w:val="22"/>
        </w:rPr>
        <w:t xml:space="preserve">patients in </w:t>
      </w:r>
      <w:r w:rsidRPr="00D442F1" w:rsidR="00937D01">
        <w:rPr>
          <w:noProof/>
          <w:szCs w:val="22"/>
        </w:rPr>
        <w:t>t</w:t>
      </w:r>
      <w:r w:rsidRPr="00D442F1" w:rsidR="001F65E7">
        <w:rPr>
          <w:noProof/>
          <w:szCs w:val="22"/>
        </w:rPr>
        <w:t xml:space="preserve">he </w:t>
      </w:r>
      <w:r w:rsidRPr="00D442F1">
        <w:rPr>
          <w:noProof/>
          <w:szCs w:val="22"/>
        </w:rPr>
        <w:t xml:space="preserve">ongoing multicentre pivotal clinical </w:t>
      </w:r>
      <w:r w:rsidRPr="00D442F1" w:rsidR="00937D01">
        <w:rPr>
          <w:noProof/>
          <w:szCs w:val="22"/>
        </w:rPr>
        <w:t xml:space="preserve">studies </w:t>
      </w:r>
      <w:r w:rsidRPr="00D442F1">
        <w:rPr>
          <w:noProof/>
          <w:szCs w:val="22"/>
        </w:rPr>
        <w:t>(CCTL019B2202</w:t>
      </w:r>
      <w:r w:rsidRPr="00D442F1" w:rsidR="00937D01">
        <w:rPr>
          <w:noProof/>
          <w:szCs w:val="22"/>
        </w:rPr>
        <w:t xml:space="preserve"> and CCTL019C2201</w:t>
      </w:r>
      <w:r w:rsidRPr="00D442F1">
        <w:rPr>
          <w:noProof/>
          <w:szCs w:val="22"/>
        </w:rPr>
        <w:t xml:space="preserve">). </w:t>
      </w:r>
      <w:r w:rsidRPr="00D442F1">
        <w:rPr>
          <w:noProof/>
          <w:szCs w:val="22"/>
        </w:rPr>
        <w:t>Adverse drug reactions from</w:t>
      </w:r>
      <w:r w:rsidRPr="00D442F1">
        <w:rPr>
          <w:noProof/>
          <w:szCs w:val="22"/>
        </w:rPr>
        <w:t xml:space="preserve"> th</w:t>
      </w:r>
      <w:r w:rsidRPr="00D442F1" w:rsidR="00937D01">
        <w:rPr>
          <w:noProof/>
          <w:szCs w:val="22"/>
        </w:rPr>
        <w:t>ese</w:t>
      </w:r>
      <w:r w:rsidRPr="00D442F1">
        <w:rPr>
          <w:noProof/>
          <w:szCs w:val="22"/>
        </w:rPr>
        <w:t xml:space="preserve"> clinical </w:t>
      </w:r>
      <w:r w:rsidRPr="00D442F1" w:rsidR="00937D01">
        <w:rPr>
          <w:noProof/>
          <w:szCs w:val="22"/>
        </w:rPr>
        <w:t xml:space="preserve">studies </w:t>
      </w:r>
      <w:r w:rsidRPr="00D442F1">
        <w:rPr>
          <w:noProof/>
          <w:szCs w:val="22"/>
        </w:rPr>
        <w:t>(Table</w:t>
      </w:r>
      <w:r w:rsidRPr="00D442F1" w:rsidR="009D22D3">
        <w:rPr>
          <w:noProof/>
          <w:szCs w:val="22"/>
        </w:rPr>
        <w:t> </w:t>
      </w:r>
      <w:r w:rsidRPr="00D442F1">
        <w:rPr>
          <w:noProof/>
          <w:szCs w:val="22"/>
        </w:rPr>
        <w:t>2) are listed by MedDRA system organ class. Within each system organ class, the adverse drug reactions are ranked by frequency, with the most frequent reactions first</w:t>
      </w:r>
      <w:r w:rsidRPr="00D442F1">
        <w:rPr>
          <w:noProof/>
          <w:szCs w:val="22"/>
        </w:rPr>
        <w:t>,</w:t>
      </w:r>
      <w:r w:rsidRPr="00D442F1">
        <w:rPr>
          <w:rFonts w:eastAsia="MS Mincho"/>
          <w:szCs w:val="22"/>
          <w:lang w:val="en-US" w:eastAsia="zh-CN"/>
        </w:rPr>
        <w:t xml:space="preserve"> using the following convention: very common (≥1/10); common (≥1/100 to &lt;1/10); uncommon (≥1/1,000 to &lt;1/100); rare (≥1/10,000 to &lt;1/1,000); very rare (&lt;1/10,000); not known (cannot be estimated from the available data)</w:t>
      </w:r>
      <w:r w:rsidRPr="00D442F1">
        <w:rPr>
          <w:noProof/>
          <w:szCs w:val="22"/>
        </w:rPr>
        <w:t>. Within each frequency grouping, adverse drug reactions are presented in order of decreasing seriousness.</w:t>
      </w:r>
    </w:p>
    <w:p w:rsidR="00097E7A" w:rsidRPr="00D442F1" w:rsidP="00166894" w14:paraId="5059148B" w14:textId="77777777">
      <w:pPr>
        <w:widowControl w:val="0"/>
        <w:tabs>
          <w:tab w:val="clear" w:pos="567"/>
        </w:tabs>
        <w:autoSpaceDE w:val="0"/>
        <w:autoSpaceDN w:val="0"/>
        <w:adjustRightInd w:val="0"/>
        <w:spacing w:line="240" w:lineRule="auto"/>
        <w:rPr>
          <w:noProof/>
          <w:szCs w:val="22"/>
        </w:rPr>
      </w:pPr>
    </w:p>
    <w:p w:rsidR="008D1AF1" w:rsidRPr="00D442F1" w:rsidP="00166894" w14:paraId="04760645" w14:textId="77777777">
      <w:pPr>
        <w:keepNext/>
        <w:keepLines/>
        <w:widowControl w:val="0"/>
        <w:tabs>
          <w:tab w:val="clear" w:pos="567"/>
        </w:tabs>
        <w:autoSpaceDE w:val="0"/>
        <w:autoSpaceDN w:val="0"/>
        <w:adjustRightInd w:val="0"/>
        <w:spacing w:line="240" w:lineRule="auto"/>
        <w:ind w:left="1134" w:hanging="1134"/>
        <w:rPr>
          <w:b/>
          <w:noProof/>
          <w:szCs w:val="22"/>
        </w:rPr>
      </w:pPr>
      <w:r w:rsidRPr="00D442F1">
        <w:rPr>
          <w:b/>
          <w:noProof/>
          <w:szCs w:val="22"/>
        </w:rPr>
        <w:t>Table</w:t>
      </w:r>
      <w:r w:rsidRPr="00D442F1" w:rsidR="007639D2">
        <w:rPr>
          <w:b/>
          <w:noProof/>
          <w:szCs w:val="22"/>
        </w:rPr>
        <w:t> </w:t>
      </w:r>
      <w:r w:rsidRPr="00D442F1">
        <w:rPr>
          <w:b/>
          <w:noProof/>
          <w:szCs w:val="22"/>
        </w:rPr>
        <w:t>2</w:t>
      </w:r>
      <w:r w:rsidRPr="00D442F1" w:rsidR="00B55286">
        <w:rPr>
          <w:b/>
          <w:noProof/>
          <w:szCs w:val="22"/>
        </w:rPr>
        <w:tab/>
      </w:r>
      <w:r w:rsidRPr="00D442F1" w:rsidR="00446C1E">
        <w:rPr>
          <w:b/>
          <w:noProof/>
          <w:szCs w:val="22"/>
        </w:rPr>
        <w:t xml:space="preserve">Adverse drug reactions observed in clinical </w:t>
      </w:r>
      <w:r w:rsidRPr="00D442F1" w:rsidR="007639D2">
        <w:rPr>
          <w:b/>
          <w:noProof/>
          <w:szCs w:val="22"/>
        </w:rPr>
        <w:t>studies</w:t>
      </w:r>
    </w:p>
    <w:p w:rsidR="0013020F" w:rsidRPr="00D442F1" w:rsidP="00166894" w14:paraId="3EDB3C84" w14:textId="77777777">
      <w:pPr>
        <w:keepNext/>
        <w:keepLines/>
        <w:widowControl w:val="0"/>
        <w:tabs>
          <w:tab w:val="clear" w:pos="567"/>
        </w:tabs>
        <w:autoSpaceDE w:val="0"/>
        <w:autoSpaceDN w:val="0"/>
        <w:adjustRightInd w:val="0"/>
        <w:spacing w:line="240" w:lineRule="auto"/>
        <w:rPr>
          <w:noProof/>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8"/>
        <w:gridCol w:w="2695"/>
        <w:gridCol w:w="2566"/>
        <w:gridCol w:w="2182"/>
      </w:tblGrid>
      <w:tr w14:paraId="21FF8937" w14:textId="77777777" w:rsidTr="00CD3778">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cantSplit/>
        </w:trPr>
        <w:tc>
          <w:tcPr>
            <w:tcW w:w="893" w:type="pct"/>
            <w:vMerge w:val="restart"/>
            <w:tcBorders>
              <w:top w:val="single" w:sz="4" w:space="0" w:color="auto"/>
              <w:left w:val="single" w:sz="4" w:space="0" w:color="auto"/>
              <w:bottom w:val="single" w:sz="4" w:space="0" w:color="auto"/>
              <w:right w:val="single" w:sz="4" w:space="0" w:color="auto"/>
            </w:tcBorders>
          </w:tcPr>
          <w:p w:rsidR="0019096D" w:rsidRPr="00176BAE" w:rsidP="00166894" w14:paraId="7BAD574F" w14:textId="77777777">
            <w:pPr>
              <w:pStyle w:val="Table"/>
              <w:keepNext/>
              <w:widowControl w:val="0"/>
              <w:tabs>
                <w:tab w:val="left" w:pos="8505"/>
              </w:tabs>
              <w:spacing w:before="0" w:after="0"/>
              <w:rPr>
                <w:rFonts w:ascii="Times New Roman" w:hAnsi="Times New Roman" w:cs="Times New Roman"/>
                <w:b/>
                <w:szCs w:val="20"/>
                <w:lang w:val="en-GB"/>
              </w:rPr>
            </w:pPr>
            <w:r w:rsidRPr="00176BAE">
              <w:rPr>
                <w:rFonts w:ascii="Times New Roman" w:hAnsi="Times New Roman" w:cs="Times New Roman"/>
                <w:b/>
                <w:szCs w:val="20"/>
                <w:lang w:val="en-GB"/>
              </w:rPr>
              <w:t>Adverse drug reaction (MedDRA system organ class)</w:t>
            </w:r>
          </w:p>
        </w:tc>
        <w:tc>
          <w:tcPr>
            <w:tcW w:w="4107" w:type="pct"/>
            <w:gridSpan w:val="3"/>
            <w:tcBorders>
              <w:top w:val="single" w:sz="4" w:space="0" w:color="auto"/>
              <w:left w:val="single" w:sz="4" w:space="0" w:color="auto"/>
              <w:bottom w:val="single" w:sz="4" w:space="0" w:color="auto"/>
              <w:right w:val="single" w:sz="4" w:space="0" w:color="auto"/>
            </w:tcBorders>
            <w:vAlign w:val="center"/>
          </w:tcPr>
          <w:p w:rsidR="0019096D" w:rsidRPr="00176BAE" w:rsidP="00B46F66" w14:paraId="43FB7D37" w14:textId="279EC6F2">
            <w:pPr>
              <w:pStyle w:val="Table"/>
              <w:keepNext/>
              <w:widowControl w:val="0"/>
              <w:tabs>
                <w:tab w:val="left" w:pos="8505"/>
              </w:tabs>
              <w:spacing w:before="0" w:after="0"/>
              <w:jc w:val="center"/>
              <w:rPr>
                <w:rFonts w:ascii="Times New Roman" w:hAnsi="Times New Roman" w:cs="Times New Roman"/>
                <w:b/>
                <w:szCs w:val="20"/>
                <w:lang w:val="de-CH"/>
              </w:rPr>
            </w:pPr>
            <w:r w:rsidRPr="00176BAE">
              <w:rPr>
                <w:rFonts w:ascii="Times New Roman" w:hAnsi="Times New Roman" w:cs="Times New Roman"/>
                <w:b/>
                <w:szCs w:val="20"/>
                <w:lang w:val="de-CH"/>
              </w:rPr>
              <w:t>Studies B2202 (</w:t>
            </w:r>
            <w:r w:rsidRPr="00D442F1">
              <w:rPr>
                <w:rFonts w:ascii="Times New Roman" w:hAnsi="Times New Roman" w:cs="Times New Roman"/>
                <w:b/>
                <w:sz w:val="22"/>
                <w:szCs w:val="22"/>
                <w:lang w:val="de-CH"/>
              </w:rPr>
              <w:t>N=</w:t>
            </w:r>
            <w:r w:rsidRPr="00176BAE">
              <w:rPr>
                <w:rFonts w:ascii="Times New Roman" w:hAnsi="Times New Roman" w:cs="Times New Roman"/>
                <w:b/>
                <w:szCs w:val="20"/>
                <w:lang w:val="de-CH"/>
              </w:rPr>
              <w:t>79) + C2201 (</w:t>
            </w:r>
            <w:r w:rsidRPr="00D442F1">
              <w:rPr>
                <w:rFonts w:ascii="Times New Roman" w:hAnsi="Times New Roman" w:cs="Times New Roman"/>
                <w:b/>
                <w:sz w:val="22"/>
                <w:szCs w:val="22"/>
                <w:lang w:val="de-CH"/>
              </w:rPr>
              <w:t>N</w:t>
            </w:r>
            <w:r w:rsidRPr="00176BAE">
              <w:rPr>
                <w:rFonts w:ascii="Times New Roman" w:hAnsi="Times New Roman" w:cs="Times New Roman"/>
                <w:b/>
                <w:szCs w:val="20"/>
                <w:lang w:val="de-CH"/>
              </w:rPr>
              <w:t>=115)</w:t>
            </w:r>
          </w:p>
        </w:tc>
      </w:tr>
      <w:tr w14:paraId="441281DA" w14:textId="77777777" w:rsidTr="00176BAE">
        <w:tblPrEx>
          <w:tblW w:w="5000" w:type="pct"/>
          <w:tblLook w:val="01E0"/>
        </w:tblPrEx>
        <w:tc>
          <w:tcPr>
            <w:tcW w:w="893" w:type="pct"/>
            <w:vMerge/>
          </w:tcPr>
          <w:p w:rsidR="0019096D" w:rsidRPr="00176BAE" w:rsidP="00166894" w14:paraId="633FBB79" w14:textId="77777777">
            <w:pPr>
              <w:pStyle w:val="Table"/>
              <w:keepNext/>
              <w:widowControl w:val="0"/>
              <w:tabs>
                <w:tab w:val="left" w:pos="8505"/>
              </w:tabs>
              <w:spacing w:before="0" w:after="0"/>
              <w:rPr>
                <w:rFonts w:ascii="Times New Roman" w:hAnsi="Times New Roman" w:cs="Times New Roman"/>
                <w:szCs w:val="20"/>
                <w:lang w:val="de-CH"/>
              </w:rPr>
            </w:pPr>
          </w:p>
        </w:tc>
        <w:tc>
          <w:tcPr>
            <w:tcW w:w="1487" w:type="pct"/>
            <w:vAlign w:val="center"/>
          </w:tcPr>
          <w:p w:rsidR="00141DC9" w:rsidRPr="00176BAE" w:rsidP="00141DC9" w14:paraId="1F080F83" w14:textId="11430191">
            <w:pPr>
              <w:pStyle w:val="Table"/>
              <w:keepNext/>
              <w:widowControl w:val="0"/>
              <w:tabs>
                <w:tab w:val="left" w:pos="8505"/>
              </w:tabs>
              <w:spacing w:before="0" w:after="0"/>
              <w:jc w:val="center"/>
              <w:rPr>
                <w:rFonts w:ascii="Times New Roman" w:hAnsi="Times New Roman" w:cs="Times New Roman"/>
                <w:b/>
                <w:szCs w:val="20"/>
                <w:lang w:val="en-GB"/>
              </w:rPr>
            </w:pPr>
            <w:r w:rsidRPr="00176BAE">
              <w:rPr>
                <w:rFonts w:ascii="Times New Roman" w:hAnsi="Times New Roman" w:cs="Times New Roman"/>
                <w:b/>
                <w:szCs w:val="20"/>
                <w:lang w:val="en-GB"/>
              </w:rPr>
              <w:t>Very common</w:t>
            </w:r>
          </w:p>
          <w:p w:rsidR="0019096D" w:rsidRPr="00176BAE" w:rsidP="00141DC9" w14:paraId="1347E66A" w14:textId="77777777">
            <w:pPr>
              <w:pStyle w:val="Table"/>
              <w:keepNext/>
              <w:widowControl w:val="0"/>
              <w:tabs>
                <w:tab w:val="left" w:pos="8505"/>
              </w:tabs>
              <w:spacing w:before="0" w:after="0"/>
              <w:jc w:val="center"/>
              <w:rPr>
                <w:rFonts w:ascii="Times New Roman" w:hAnsi="Times New Roman" w:cs="Times New Roman"/>
                <w:b/>
                <w:szCs w:val="20"/>
                <w:lang w:val="en-GB"/>
              </w:rPr>
            </w:pPr>
            <w:r w:rsidRPr="00176BAE">
              <w:rPr>
                <w:rFonts w:ascii="Times New Roman" w:hAnsi="Times New Roman" w:cs="Times New Roman"/>
                <w:b/>
                <w:szCs w:val="20"/>
                <w:lang w:val="en-GB"/>
              </w:rPr>
              <w:t>(≥1/10)</w:t>
            </w:r>
          </w:p>
        </w:tc>
        <w:tc>
          <w:tcPr>
            <w:tcW w:w="1416" w:type="pct"/>
            <w:vAlign w:val="center"/>
          </w:tcPr>
          <w:p w:rsidR="00141DC9" w:rsidRPr="00176BAE" w:rsidP="00166894" w14:paraId="485F3178" w14:textId="77777777">
            <w:pPr>
              <w:pStyle w:val="Table"/>
              <w:keepNext/>
              <w:widowControl w:val="0"/>
              <w:tabs>
                <w:tab w:val="left" w:pos="8505"/>
              </w:tabs>
              <w:spacing w:before="0" w:after="0"/>
              <w:jc w:val="center"/>
              <w:rPr>
                <w:rFonts w:ascii="Times New Roman" w:hAnsi="Times New Roman" w:cs="Times New Roman"/>
                <w:b/>
                <w:szCs w:val="20"/>
                <w:lang w:val="en-GB"/>
              </w:rPr>
            </w:pPr>
            <w:r w:rsidRPr="00176BAE">
              <w:rPr>
                <w:rFonts w:ascii="Times New Roman" w:hAnsi="Times New Roman" w:cs="Times New Roman"/>
                <w:b/>
                <w:szCs w:val="20"/>
                <w:lang w:val="en-GB"/>
              </w:rPr>
              <w:t>Common</w:t>
            </w:r>
          </w:p>
          <w:p w:rsidR="0019096D" w:rsidRPr="00176BAE" w:rsidP="00166894" w14:paraId="06F9B4F2" w14:textId="529FCE5F">
            <w:pPr>
              <w:pStyle w:val="Table"/>
              <w:keepNext/>
              <w:widowControl w:val="0"/>
              <w:tabs>
                <w:tab w:val="left" w:pos="8505"/>
              </w:tabs>
              <w:spacing w:before="0" w:after="0"/>
              <w:jc w:val="center"/>
              <w:rPr>
                <w:rFonts w:ascii="Times New Roman" w:hAnsi="Times New Roman" w:cs="Times New Roman"/>
                <w:b/>
                <w:szCs w:val="20"/>
                <w:lang w:val="en-GB"/>
              </w:rPr>
            </w:pPr>
            <w:r w:rsidRPr="00176BAE">
              <w:rPr>
                <w:rFonts w:ascii="Times New Roman" w:hAnsi="Times New Roman" w:cs="Times New Roman"/>
                <w:b/>
                <w:szCs w:val="20"/>
                <w:lang w:val="en-GB"/>
              </w:rPr>
              <w:t>(≥1/100 to &lt;1/10)</w:t>
            </w:r>
          </w:p>
        </w:tc>
        <w:tc>
          <w:tcPr>
            <w:tcW w:w="1204" w:type="pct"/>
            <w:vAlign w:val="center"/>
          </w:tcPr>
          <w:p w:rsidR="00141DC9" w:rsidRPr="00176BAE" w:rsidP="00141DC9" w14:paraId="349F4E0E" w14:textId="57BD0347">
            <w:pPr>
              <w:pStyle w:val="Table"/>
              <w:keepNext/>
              <w:widowControl w:val="0"/>
              <w:tabs>
                <w:tab w:val="left" w:pos="8505"/>
              </w:tabs>
              <w:spacing w:before="0" w:after="0"/>
              <w:jc w:val="center"/>
              <w:rPr>
                <w:rFonts w:ascii="Times New Roman" w:hAnsi="Times New Roman" w:cs="Times New Roman"/>
                <w:b/>
                <w:szCs w:val="20"/>
                <w:lang w:val="en-GB"/>
              </w:rPr>
            </w:pPr>
            <w:r w:rsidRPr="00176BAE">
              <w:rPr>
                <w:rFonts w:ascii="Times New Roman" w:hAnsi="Times New Roman" w:cs="Times New Roman"/>
                <w:b/>
                <w:szCs w:val="20"/>
                <w:lang w:val="en-GB"/>
              </w:rPr>
              <w:t>Uncommon</w:t>
            </w:r>
          </w:p>
          <w:p w:rsidR="0019096D" w:rsidRPr="00176BAE" w:rsidP="00141DC9" w14:paraId="5E823405" w14:textId="77777777">
            <w:pPr>
              <w:pStyle w:val="Table"/>
              <w:keepNext/>
              <w:widowControl w:val="0"/>
              <w:tabs>
                <w:tab w:val="left" w:pos="8505"/>
              </w:tabs>
              <w:spacing w:before="0" w:after="0"/>
              <w:jc w:val="center"/>
              <w:rPr>
                <w:rFonts w:ascii="Times New Roman" w:hAnsi="Times New Roman" w:cs="Times New Roman"/>
                <w:b/>
                <w:szCs w:val="20"/>
                <w:lang w:val="en-GB"/>
              </w:rPr>
            </w:pPr>
            <w:r w:rsidRPr="00176BAE">
              <w:rPr>
                <w:rFonts w:ascii="Times New Roman" w:hAnsi="Times New Roman" w:cs="Times New Roman"/>
                <w:b/>
                <w:szCs w:val="20"/>
                <w:lang w:val="en-GB"/>
              </w:rPr>
              <w:t>(≥1/1000 to &lt;1/100)</w:t>
            </w:r>
          </w:p>
        </w:tc>
      </w:tr>
      <w:tr w14:paraId="336BCFC3" w14:textId="77777777" w:rsidTr="00176BAE">
        <w:tblPrEx>
          <w:tblW w:w="5000" w:type="pct"/>
          <w:tblLook w:val="01E0"/>
        </w:tblPrEx>
        <w:tc>
          <w:tcPr>
            <w:tcW w:w="893" w:type="pct"/>
          </w:tcPr>
          <w:p w:rsidR="0019096D" w:rsidRPr="00176BAE" w:rsidP="000763A8" w14:paraId="150C6077" w14:textId="0933A2CC">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Infections and infestations</w:t>
            </w:r>
            <w:r w:rsidRPr="00176BAE" w:rsidR="00792A1E">
              <w:rPr>
                <w:rFonts w:ascii="Times New Roman" w:hAnsi="Times New Roman" w:cs="Times New Roman"/>
                <w:bCs/>
                <w:szCs w:val="20"/>
                <w:vertAlign w:val="superscript"/>
                <w:lang w:val="en-GB"/>
              </w:rPr>
              <w:t>1</w:t>
            </w:r>
            <w:r w:rsidRPr="00176BAE">
              <w:rPr>
                <w:rFonts w:ascii="Times New Roman" w:hAnsi="Times New Roman" w:cs="Times New Roman"/>
                <w:bCs/>
                <w:szCs w:val="20"/>
                <w:vertAlign w:val="superscript"/>
                <w:lang w:val="en-GB"/>
              </w:rPr>
              <w:t>)</w:t>
            </w:r>
          </w:p>
        </w:tc>
        <w:tc>
          <w:tcPr>
            <w:tcW w:w="1487" w:type="pct"/>
          </w:tcPr>
          <w:p w:rsidR="0019096D" w:rsidRPr="00176BAE" w:rsidP="00166894" w14:paraId="16DD67A9"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 xml:space="preserve">Infections </w:t>
            </w:r>
            <w:r w:rsidRPr="00176BAE">
              <w:rPr>
                <w:rFonts w:ascii="Times New Roman" w:hAnsi="Times New Roman" w:cs="Times New Roman"/>
                <w:color w:val="000000"/>
                <w:szCs w:val="20"/>
                <w:lang w:val="en-GB"/>
              </w:rPr>
              <w:noBreakHyphen/>
              <w:t xml:space="preserve"> pathogen unspecified</w:t>
            </w:r>
          </w:p>
          <w:p w:rsidR="0019096D" w:rsidRPr="00176BAE" w:rsidP="00166894" w14:paraId="46DE7B3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Viral infections</w:t>
            </w:r>
          </w:p>
          <w:p w:rsidR="0019096D" w:rsidRPr="00176BAE" w:rsidP="00166894" w14:paraId="602A9984"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Bacterial infections</w:t>
            </w:r>
          </w:p>
          <w:p w:rsidR="0019096D" w:rsidRPr="00176BAE" w:rsidP="00166894" w14:paraId="5D504C4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Fungal infections</w:t>
            </w:r>
          </w:p>
        </w:tc>
        <w:tc>
          <w:tcPr>
            <w:tcW w:w="1416" w:type="pct"/>
          </w:tcPr>
          <w:p w:rsidR="0019096D" w:rsidRPr="00176BAE" w:rsidP="00166894" w14:paraId="6C8BD64D"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c>
          <w:tcPr>
            <w:tcW w:w="1204" w:type="pct"/>
          </w:tcPr>
          <w:p w:rsidR="0019096D" w:rsidRPr="00176BAE" w:rsidP="00166894" w14:paraId="4BA927E1"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16BB2DA1" w14:textId="77777777" w:rsidTr="00176BAE">
        <w:tblPrEx>
          <w:tblW w:w="5000" w:type="pct"/>
          <w:tblLook w:val="01E0"/>
        </w:tblPrEx>
        <w:tc>
          <w:tcPr>
            <w:tcW w:w="893" w:type="pct"/>
            <w:shd w:val="clear" w:color="auto" w:fill="auto"/>
          </w:tcPr>
          <w:p w:rsidR="0019096D" w:rsidRPr="00176BAE" w:rsidP="00166894" w14:paraId="4A0E2A54"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bCs/>
                <w:szCs w:val="20"/>
                <w:lang w:val="en-GB"/>
              </w:rPr>
              <w:t>Blood and lymphatic system disorders</w:t>
            </w:r>
          </w:p>
        </w:tc>
        <w:tc>
          <w:tcPr>
            <w:tcW w:w="1487" w:type="pct"/>
            <w:shd w:val="clear" w:color="auto" w:fill="auto"/>
          </w:tcPr>
          <w:p w:rsidR="0019096D" w:rsidRPr="00176BAE" w:rsidP="0091704D" w14:paraId="1C7AC517"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Anaemia</w:t>
            </w:r>
          </w:p>
          <w:p w:rsidR="0019096D" w:rsidRPr="00176BAE" w:rsidP="00166894" w14:paraId="2CE7BE67" w14:textId="77777777">
            <w:pPr>
              <w:pStyle w:val="Table"/>
              <w:keepLines w:val="0"/>
              <w:widowControl w:val="0"/>
              <w:tabs>
                <w:tab w:val="left" w:pos="8505"/>
              </w:tabs>
              <w:spacing w:before="0" w:after="0"/>
              <w:rPr>
                <w:rFonts w:ascii="Times New Roman" w:hAnsi="Times New Roman" w:cs="Times New Roman"/>
                <w:color w:val="000000"/>
                <w:szCs w:val="20"/>
                <w:vertAlign w:val="superscript"/>
                <w:lang w:val="en-GB"/>
              </w:rPr>
            </w:pPr>
            <w:r w:rsidRPr="00176BAE">
              <w:rPr>
                <w:rFonts w:ascii="Times New Roman" w:hAnsi="Times New Roman" w:cs="Times New Roman"/>
                <w:color w:val="000000"/>
                <w:szCs w:val="20"/>
                <w:lang w:val="en-GB"/>
              </w:rPr>
              <w:t>Haemorrhage</w:t>
            </w:r>
            <w:r w:rsidRPr="00176BAE" w:rsidR="00792A1E">
              <w:rPr>
                <w:rFonts w:ascii="Times New Roman" w:hAnsi="Times New Roman" w:cs="Times New Roman"/>
                <w:color w:val="000000"/>
                <w:szCs w:val="20"/>
                <w:vertAlign w:val="superscript"/>
                <w:lang w:val="en-GB"/>
              </w:rPr>
              <w:t>2</w:t>
            </w:r>
            <w:r w:rsidRPr="00176BAE" w:rsidR="006D51ED">
              <w:rPr>
                <w:rFonts w:ascii="Times New Roman" w:hAnsi="Times New Roman" w:cs="Times New Roman"/>
                <w:color w:val="000000"/>
                <w:szCs w:val="20"/>
                <w:vertAlign w:val="superscript"/>
                <w:lang w:val="en-GB"/>
              </w:rPr>
              <w:t>)</w:t>
            </w:r>
          </w:p>
          <w:p w:rsidR="0019096D" w:rsidRPr="00176BAE" w:rsidP="00166894" w14:paraId="51802DFD"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Febrile neutropenia</w:t>
            </w:r>
          </w:p>
          <w:p w:rsidR="0019096D" w:rsidRPr="00176BAE" w:rsidP="00166894" w14:paraId="3D71221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Neutropenia</w:t>
            </w:r>
          </w:p>
          <w:p w:rsidR="0019096D" w:rsidRPr="00176BAE" w:rsidP="00166894" w14:paraId="1AD9C2A6" w14:textId="339C072A">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Thrombocytopenia</w:t>
            </w:r>
          </w:p>
        </w:tc>
        <w:tc>
          <w:tcPr>
            <w:tcW w:w="1416" w:type="pct"/>
            <w:shd w:val="clear" w:color="auto" w:fill="auto"/>
          </w:tcPr>
          <w:p w:rsidR="00141DC9" w:rsidRPr="00176BAE" w:rsidP="001A33C3" w14:paraId="3D6FBEB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Haemophagocytic lymphohistiocytosis</w:t>
            </w:r>
          </w:p>
          <w:p w:rsidR="0019096D" w:rsidRPr="00176BAE" w:rsidP="001A33C3" w14:paraId="55A1142E"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Leukopenia</w:t>
            </w:r>
          </w:p>
          <w:p w:rsidR="0019096D" w:rsidRPr="00176BAE" w:rsidP="001A33C3" w14:paraId="1F900507"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Pancytopenia</w:t>
            </w:r>
          </w:p>
          <w:p w:rsidR="0019096D" w:rsidRPr="00176BAE" w:rsidP="001A33C3" w14:paraId="731D9FA0"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Coagulopathy</w:t>
            </w:r>
          </w:p>
          <w:p w:rsidR="0019096D" w:rsidRPr="00176BAE" w:rsidP="00141DC9" w14:paraId="5779C38E" w14:textId="19153512">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Lymphopenia</w:t>
            </w:r>
          </w:p>
        </w:tc>
        <w:tc>
          <w:tcPr>
            <w:tcW w:w="1204" w:type="pct"/>
          </w:tcPr>
          <w:p w:rsidR="0019096D" w:rsidRPr="00176BAE" w:rsidP="00166894" w14:paraId="754FF01B"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B-cell aplasia</w:t>
            </w:r>
          </w:p>
        </w:tc>
      </w:tr>
      <w:tr w14:paraId="2AA41592" w14:textId="77777777" w:rsidTr="00176BAE">
        <w:tblPrEx>
          <w:tblW w:w="5000" w:type="pct"/>
          <w:tblLook w:val="01E0"/>
        </w:tblPrEx>
        <w:tc>
          <w:tcPr>
            <w:tcW w:w="893" w:type="pct"/>
            <w:shd w:val="clear" w:color="auto" w:fill="auto"/>
          </w:tcPr>
          <w:p w:rsidR="0019096D" w:rsidRPr="00176BAE" w:rsidP="00166894" w14:paraId="25D229AB"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Immune system disorders</w:t>
            </w:r>
          </w:p>
        </w:tc>
        <w:tc>
          <w:tcPr>
            <w:tcW w:w="1487" w:type="pct"/>
            <w:shd w:val="clear" w:color="auto" w:fill="auto"/>
          </w:tcPr>
          <w:p w:rsidR="0019096D" w:rsidRPr="00176BAE" w:rsidP="00166894" w14:paraId="0A955719"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Cytokine release syndrome</w:t>
            </w:r>
          </w:p>
          <w:p w:rsidR="0019096D" w:rsidRPr="00176BAE" w:rsidP="00166894" w14:paraId="1E3B029F" w14:textId="5DA1A79D">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Hypogammaglobulinaemia</w:t>
            </w:r>
            <w:r w:rsidRPr="00176BAE" w:rsidR="00792A1E">
              <w:rPr>
                <w:rFonts w:ascii="Times New Roman" w:hAnsi="Times New Roman" w:cs="Times New Roman"/>
                <w:color w:val="000000"/>
                <w:szCs w:val="20"/>
                <w:vertAlign w:val="superscript"/>
                <w:lang w:val="en-GB"/>
              </w:rPr>
              <w:t>3</w:t>
            </w:r>
            <w:r w:rsidRPr="00176BAE">
              <w:rPr>
                <w:rFonts w:ascii="Times New Roman" w:hAnsi="Times New Roman" w:cs="Times New Roman"/>
                <w:color w:val="000000"/>
                <w:szCs w:val="20"/>
                <w:vertAlign w:val="superscript"/>
                <w:lang w:val="en-GB"/>
              </w:rPr>
              <w:t>)</w:t>
            </w:r>
          </w:p>
        </w:tc>
        <w:tc>
          <w:tcPr>
            <w:tcW w:w="1416" w:type="pct"/>
            <w:shd w:val="clear" w:color="auto" w:fill="auto"/>
          </w:tcPr>
          <w:p w:rsidR="00436FA7" w:rsidRPr="00176BAE" w:rsidP="00166894" w14:paraId="58E04B80" w14:textId="5A464C36">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Infusion</w:t>
            </w:r>
            <w:r w:rsidRPr="00D442F1" w:rsidR="00A8406B">
              <w:rPr>
                <w:rFonts w:ascii="Times New Roman" w:hAnsi="Times New Roman" w:cs="Times New Roman"/>
                <w:color w:val="000000"/>
                <w:szCs w:val="20"/>
                <w:lang w:val="en-GB"/>
              </w:rPr>
              <w:noBreakHyphen/>
            </w:r>
            <w:r w:rsidRPr="00176BAE">
              <w:rPr>
                <w:rFonts w:ascii="Times New Roman" w:hAnsi="Times New Roman" w:cs="Times New Roman"/>
                <w:color w:val="000000"/>
                <w:szCs w:val="20"/>
                <w:lang w:val="en-GB"/>
              </w:rPr>
              <w:t>related reaction</w:t>
            </w:r>
          </w:p>
          <w:p w:rsidR="0019096D" w:rsidRPr="00176BAE" w:rsidP="00166894" w14:paraId="2FBD611E"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Graft</w:t>
            </w:r>
            <w:r w:rsidRPr="00176BAE">
              <w:rPr>
                <w:rFonts w:ascii="Times New Roman" w:hAnsi="Times New Roman" w:cs="Times New Roman"/>
                <w:color w:val="000000"/>
                <w:szCs w:val="20"/>
                <w:lang w:val="en-GB"/>
              </w:rPr>
              <w:noBreakHyphen/>
              <w:t>versus</w:t>
            </w:r>
            <w:r w:rsidRPr="00176BAE">
              <w:rPr>
                <w:rFonts w:ascii="Times New Roman" w:hAnsi="Times New Roman" w:cs="Times New Roman"/>
                <w:color w:val="000000"/>
                <w:szCs w:val="20"/>
                <w:lang w:val="en-GB"/>
              </w:rPr>
              <w:noBreakHyphen/>
              <w:t>host disease</w:t>
            </w:r>
          </w:p>
        </w:tc>
        <w:tc>
          <w:tcPr>
            <w:tcW w:w="1204" w:type="pct"/>
          </w:tcPr>
          <w:p w:rsidR="0019096D" w:rsidRPr="00176BAE" w:rsidP="00166894" w14:paraId="0F4379CB"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76F64C0B" w14:textId="77777777" w:rsidTr="00176BAE">
        <w:tblPrEx>
          <w:tblW w:w="5000" w:type="pct"/>
          <w:tblLook w:val="01E0"/>
        </w:tblPrEx>
        <w:tc>
          <w:tcPr>
            <w:tcW w:w="893" w:type="pct"/>
            <w:shd w:val="clear" w:color="auto" w:fill="auto"/>
          </w:tcPr>
          <w:p w:rsidR="0019096D" w:rsidRPr="00176BAE" w:rsidP="00166894" w14:paraId="73DC5E0C"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Metabolism and nutrition disorders</w:t>
            </w:r>
          </w:p>
        </w:tc>
        <w:tc>
          <w:tcPr>
            <w:tcW w:w="1487" w:type="pct"/>
            <w:shd w:val="clear" w:color="auto" w:fill="auto"/>
          </w:tcPr>
          <w:p w:rsidR="0019096D" w:rsidRPr="00176BAE" w:rsidP="00166894" w14:paraId="6810F4A8"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Decreased appetite</w:t>
            </w:r>
          </w:p>
          <w:p w:rsidR="0019096D" w:rsidRPr="00176BAE" w:rsidP="00166894" w14:paraId="6D86CC70"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Hypokalaemia</w:t>
            </w:r>
          </w:p>
          <w:p w:rsidR="0019096D" w:rsidRPr="00176BAE" w:rsidP="00166894" w14:paraId="675DC4BE"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Hypophosphataemia</w:t>
            </w:r>
          </w:p>
          <w:p w:rsidR="00436FA7" w:rsidRPr="00176BAE" w:rsidP="00436FA7" w14:paraId="1351A82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Hypomagnesaemia</w:t>
            </w:r>
          </w:p>
          <w:p w:rsidR="0019096D" w:rsidRPr="00176BAE" w:rsidP="00166894" w14:paraId="7772260F" w14:textId="04EB5C54">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Hypocalcaemia</w:t>
            </w:r>
          </w:p>
        </w:tc>
        <w:tc>
          <w:tcPr>
            <w:tcW w:w="1416" w:type="pct"/>
            <w:shd w:val="clear" w:color="auto" w:fill="auto"/>
          </w:tcPr>
          <w:p w:rsidR="00436FA7" w:rsidRPr="00176BAE" w:rsidP="00436FA7" w14:paraId="712B0867"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Hypoalbuminaemia</w:t>
            </w:r>
          </w:p>
          <w:p w:rsidR="00436FA7" w:rsidRPr="00176BAE" w:rsidP="00166894" w14:paraId="1AEE5A78"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Hyperglycaemia</w:t>
            </w:r>
          </w:p>
          <w:p w:rsidR="00436FA7" w:rsidRPr="00176BAE" w:rsidP="00436FA7" w14:paraId="45117B98"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Hyponatraemia</w:t>
            </w:r>
          </w:p>
          <w:p w:rsidR="00436FA7" w:rsidRPr="00176BAE" w:rsidP="00436FA7" w14:paraId="4ABF536E"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Hyperuricaemia</w:t>
            </w:r>
          </w:p>
          <w:p w:rsidR="0019096D" w:rsidRPr="00176BAE" w:rsidP="00166894" w14:paraId="28F07B4E"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Fluid overload</w:t>
            </w:r>
          </w:p>
          <w:p w:rsidR="00436FA7" w:rsidRPr="00176BAE" w:rsidP="00166894" w14:paraId="2CB718B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Hypercalcaemia</w:t>
            </w:r>
          </w:p>
          <w:p w:rsidR="00436FA7" w:rsidRPr="00176BAE" w:rsidP="00166894" w14:paraId="073C9D05" w14:textId="01224769">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Tumour lysis syndrome</w:t>
            </w:r>
          </w:p>
          <w:p w:rsidR="00436FA7" w:rsidRPr="00176BAE" w:rsidP="00166894" w14:paraId="3B608F8D"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Hyperkalaemia</w:t>
            </w:r>
          </w:p>
          <w:p w:rsidR="00436FA7" w:rsidRPr="00176BAE" w:rsidP="00436FA7" w14:paraId="026FD9AF"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Hyperphosphataemia</w:t>
            </w:r>
          </w:p>
          <w:p w:rsidR="00436FA7" w:rsidRPr="00176BAE" w:rsidP="00166894" w14:paraId="17FED0AA" w14:textId="5441A56E">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Hypernatraemia</w:t>
            </w:r>
          </w:p>
          <w:p w:rsidR="0019096D" w:rsidRPr="00176BAE" w:rsidP="00166894" w14:paraId="690BBDB0" w14:textId="503436D4">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Hypermagnesaemia</w:t>
            </w:r>
          </w:p>
        </w:tc>
        <w:tc>
          <w:tcPr>
            <w:tcW w:w="1204" w:type="pct"/>
          </w:tcPr>
          <w:p w:rsidR="0019096D" w:rsidRPr="00176BAE" w:rsidP="00166894" w14:paraId="0278FFB4"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799E32E1" w14:textId="77777777" w:rsidTr="00176BAE">
        <w:tblPrEx>
          <w:tblW w:w="5000" w:type="pct"/>
          <w:tblLook w:val="01E0"/>
        </w:tblPrEx>
        <w:tc>
          <w:tcPr>
            <w:tcW w:w="893" w:type="pct"/>
            <w:shd w:val="clear" w:color="auto" w:fill="auto"/>
          </w:tcPr>
          <w:p w:rsidR="0019096D" w:rsidRPr="00176BAE" w:rsidP="00166894" w14:paraId="61D02FEB"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bCs/>
                <w:szCs w:val="20"/>
                <w:lang w:val="en-GB"/>
              </w:rPr>
              <w:t>Psychiatric disorders</w:t>
            </w:r>
          </w:p>
        </w:tc>
        <w:tc>
          <w:tcPr>
            <w:tcW w:w="1487" w:type="pct"/>
            <w:shd w:val="clear" w:color="auto" w:fill="auto"/>
          </w:tcPr>
          <w:p w:rsidR="00633A11" w:rsidRPr="00176BAE" w:rsidP="00633A11" w14:paraId="0ACB26C3"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Anxiety</w:t>
            </w:r>
          </w:p>
          <w:p w:rsidR="0019096D" w:rsidRPr="00176BAE" w:rsidP="00166894" w14:paraId="2E9AB8E5" w14:textId="7E284BE9">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Delirium</w:t>
            </w:r>
            <w:r w:rsidRPr="00176BAE" w:rsidR="00792A1E">
              <w:rPr>
                <w:rFonts w:ascii="Times New Roman" w:hAnsi="Times New Roman" w:cs="Times New Roman"/>
                <w:color w:val="000000"/>
                <w:szCs w:val="20"/>
                <w:vertAlign w:val="superscript"/>
                <w:lang w:val="en-GB"/>
              </w:rPr>
              <w:t>4</w:t>
            </w:r>
            <w:r w:rsidRPr="00176BAE">
              <w:rPr>
                <w:rFonts w:ascii="Times New Roman" w:hAnsi="Times New Roman" w:cs="Times New Roman"/>
                <w:color w:val="000000"/>
                <w:szCs w:val="20"/>
                <w:vertAlign w:val="superscript"/>
                <w:lang w:val="en-GB"/>
              </w:rPr>
              <w:t>)</w:t>
            </w:r>
          </w:p>
          <w:p w:rsidR="0019096D" w:rsidRPr="00176BAE" w:rsidP="00166894" w14:paraId="1113C78D" w14:textId="5C0827EB">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Sleep disorder</w:t>
            </w:r>
            <w:r w:rsidRPr="00176BAE" w:rsidR="00792A1E">
              <w:rPr>
                <w:rFonts w:ascii="Times New Roman" w:hAnsi="Times New Roman" w:cs="Times New Roman"/>
                <w:color w:val="000000"/>
                <w:szCs w:val="20"/>
                <w:vertAlign w:val="superscript"/>
                <w:lang w:val="en-GB"/>
              </w:rPr>
              <w:t>5</w:t>
            </w:r>
            <w:r w:rsidRPr="00176BAE">
              <w:rPr>
                <w:rFonts w:ascii="Times New Roman" w:hAnsi="Times New Roman" w:cs="Times New Roman"/>
                <w:color w:val="000000"/>
                <w:szCs w:val="20"/>
                <w:vertAlign w:val="superscript"/>
                <w:lang w:val="en-GB"/>
              </w:rPr>
              <w:t>)</w:t>
            </w:r>
          </w:p>
        </w:tc>
        <w:tc>
          <w:tcPr>
            <w:tcW w:w="1416" w:type="pct"/>
            <w:shd w:val="clear" w:color="auto" w:fill="auto"/>
          </w:tcPr>
          <w:p w:rsidR="0019096D" w:rsidRPr="00176BAE" w:rsidP="00166894" w14:paraId="3EDB3355"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c>
          <w:tcPr>
            <w:tcW w:w="1204" w:type="pct"/>
          </w:tcPr>
          <w:p w:rsidR="0019096D" w:rsidRPr="00176BAE" w:rsidP="00166894" w14:paraId="7A4D1150"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28C2D85B" w14:textId="77777777" w:rsidTr="00176BAE">
        <w:tblPrEx>
          <w:tblW w:w="5000" w:type="pct"/>
          <w:tblLook w:val="01E0"/>
        </w:tblPrEx>
        <w:tc>
          <w:tcPr>
            <w:tcW w:w="893" w:type="pct"/>
            <w:shd w:val="clear" w:color="auto" w:fill="auto"/>
          </w:tcPr>
          <w:p w:rsidR="0019096D" w:rsidRPr="00176BAE" w:rsidP="00166894" w14:paraId="4512D5A7"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Nervous system disorders</w:t>
            </w:r>
          </w:p>
        </w:tc>
        <w:tc>
          <w:tcPr>
            <w:tcW w:w="1487" w:type="pct"/>
            <w:shd w:val="clear" w:color="auto" w:fill="auto"/>
          </w:tcPr>
          <w:p w:rsidR="0019096D" w:rsidRPr="00176BAE" w:rsidP="00166894" w14:paraId="7E9B4181" w14:textId="3FF05C94">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Headache</w:t>
            </w:r>
            <w:r w:rsidRPr="00176BAE" w:rsidR="00792A1E">
              <w:rPr>
                <w:rFonts w:ascii="Times New Roman" w:hAnsi="Times New Roman" w:cs="Times New Roman"/>
                <w:color w:val="000000"/>
                <w:szCs w:val="20"/>
                <w:vertAlign w:val="superscript"/>
                <w:lang w:val="en-GB"/>
              </w:rPr>
              <w:t>6</w:t>
            </w:r>
            <w:r w:rsidRPr="00176BAE">
              <w:rPr>
                <w:rFonts w:ascii="Times New Roman" w:hAnsi="Times New Roman" w:cs="Times New Roman"/>
                <w:color w:val="000000"/>
                <w:szCs w:val="20"/>
                <w:vertAlign w:val="superscript"/>
                <w:lang w:val="en-GB"/>
              </w:rPr>
              <w:t>)</w:t>
            </w:r>
          </w:p>
          <w:p w:rsidR="0019096D" w:rsidRPr="00176BAE" w:rsidP="001F1B87" w14:paraId="4715F618" w14:textId="7E31F040">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Encephalopathy</w:t>
            </w:r>
            <w:r w:rsidRPr="00D442F1" w:rsidR="00792A1E">
              <w:rPr>
                <w:rFonts w:ascii="Times New Roman" w:hAnsi="Times New Roman" w:cs="Times New Roman"/>
                <w:color w:val="000000"/>
                <w:szCs w:val="20"/>
                <w:vertAlign w:val="superscript"/>
              </w:rPr>
              <w:t>7</w:t>
            </w:r>
            <w:r w:rsidRPr="00D442F1">
              <w:rPr>
                <w:rFonts w:ascii="Times New Roman" w:hAnsi="Times New Roman" w:cs="Times New Roman"/>
                <w:color w:val="000000"/>
                <w:szCs w:val="20"/>
                <w:vertAlign w:val="superscript"/>
              </w:rPr>
              <w:t>)</w:t>
            </w:r>
          </w:p>
        </w:tc>
        <w:tc>
          <w:tcPr>
            <w:tcW w:w="1416" w:type="pct"/>
            <w:shd w:val="clear" w:color="auto" w:fill="auto"/>
          </w:tcPr>
          <w:p w:rsidR="00633A11" w:rsidRPr="00176BAE" w:rsidP="00166894" w14:paraId="308ED2E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Dizziness</w:t>
            </w:r>
            <w:r w:rsidRPr="00176BAE" w:rsidR="00792A1E">
              <w:rPr>
                <w:rFonts w:ascii="Times New Roman" w:hAnsi="Times New Roman" w:cs="Times New Roman"/>
                <w:color w:val="000000"/>
                <w:szCs w:val="20"/>
                <w:vertAlign w:val="superscript"/>
                <w:lang w:val="en-GB"/>
              </w:rPr>
              <w:t>8</w:t>
            </w:r>
            <w:r w:rsidRPr="00176BAE" w:rsidR="00136F2D">
              <w:rPr>
                <w:rFonts w:ascii="Times New Roman" w:hAnsi="Times New Roman" w:cs="Times New Roman"/>
                <w:color w:val="000000"/>
                <w:szCs w:val="20"/>
                <w:vertAlign w:val="superscript"/>
                <w:lang w:val="en-GB"/>
              </w:rPr>
              <w:t>)</w:t>
            </w:r>
          </w:p>
          <w:p w:rsidR="00633A11" w:rsidRPr="00176BAE" w:rsidP="00633A11" w14:paraId="723CEB9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Peripheral neuropathy</w:t>
            </w:r>
            <w:r w:rsidRPr="00176BAE" w:rsidR="00792A1E">
              <w:rPr>
                <w:rFonts w:ascii="Times New Roman" w:hAnsi="Times New Roman" w:cs="Times New Roman"/>
                <w:color w:val="000000"/>
                <w:szCs w:val="20"/>
                <w:vertAlign w:val="superscript"/>
                <w:lang w:val="en-GB"/>
              </w:rPr>
              <w:t>9</w:t>
            </w:r>
            <w:r w:rsidRPr="00176BAE">
              <w:rPr>
                <w:rFonts w:ascii="Times New Roman" w:hAnsi="Times New Roman" w:cs="Times New Roman"/>
                <w:color w:val="000000"/>
                <w:szCs w:val="20"/>
                <w:vertAlign w:val="superscript"/>
                <w:lang w:val="en-GB"/>
              </w:rPr>
              <w:t>)</w:t>
            </w:r>
          </w:p>
          <w:p w:rsidR="0019096D" w:rsidRPr="00176BAE" w:rsidP="00166894" w14:paraId="2627B2C3"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Tremor</w:t>
            </w:r>
            <w:r w:rsidRPr="00176BAE" w:rsidR="00792A1E">
              <w:rPr>
                <w:rFonts w:ascii="Times New Roman" w:hAnsi="Times New Roman" w:cs="Times New Roman"/>
                <w:color w:val="000000"/>
                <w:szCs w:val="20"/>
                <w:vertAlign w:val="superscript"/>
                <w:lang w:val="en-GB"/>
              </w:rPr>
              <w:t>10</w:t>
            </w:r>
            <w:r w:rsidRPr="00176BAE" w:rsidR="00114CCB">
              <w:rPr>
                <w:rFonts w:ascii="Times New Roman" w:hAnsi="Times New Roman" w:cs="Times New Roman"/>
                <w:color w:val="000000"/>
                <w:szCs w:val="20"/>
                <w:vertAlign w:val="superscript"/>
                <w:lang w:val="en-GB"/>
              </w:rPr>
              <w:t>)</w:t>
            </w:r>
          </w:p>
          <w:p w:rsidR="00633A11" w:rsidRPr="00176BAE" w:rsidP="00166894" w14:paraId="5C01BCAD"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Motor dysfunction</w:t>
            </w:r>
            <w:r w:rsidRPr="00176BAE" w:rsidR="00792A1E">
              <w:rPr>
                <w:rFonts w:ascii="Times New Roman" w:hAnsi="Times New Roman" w:cs="Times New Roman"/>
                <w:color w:val="000000"/>
                <w:szCs w:val="20"/>
                <w:vertAlign w:val="superscript"/>
                <w:lang w:val="en-GB"/>
              </w:rPr>
              <w:t>11</w:t>
            </w:r>
            <w:r w:rsidRPr="00176BAE" w:rsidR="00114CCB">
              <w:rPr>
                <w:rFonts w:ascii="Times New Roman" w:hAnsi="Times New Roman" w:cs="Times New Roman"/>
                <w:color w:val="000000"/>
                <w:szCs w:val="20"/>
                <w:vertAlign w:val="superscript"/>
                <w:lang w:val="en-GB"/>
              </w:rPr>
              <w:t>)</w:t>
            </w:r>
          </w:p>
          <w:p w:rsidR="00633A11" w:rsidRPr="00176BAE" w:rsidP="00633A11" w14:paraId="0750277F"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Seizure</w:t>
            </w:r>
            <w:r w:rsidRPr="00176BAE" w:rsidR="00792A1E">
              <w:rPr>
                <w:rFonts w:ascii="Times New Roman" w:hAnsi="Times New Roman" w:cs="Times New Roman"/>
                <w:color w:val="000000"/>
                <w:szCs w:val="20"/>
                <w:vertAlign w:val="superscript"/>
                <w:lang w:val="en-GB"/>
              </w:rPr>
              <w:t>12</w:t>
            </w:r>
            <w:r w:rsidRPr="00176BAE">
              <w:rPr>
                <w:rFonts w:ascii="Times New Roman" w:hAnsi="Times New Roman" w:cs="Times New Roman"/>
                <w:color w:val="000000"/>
                <w:szCs w:val="20"/>
                <w:vertAlign w:val="superscript"/>
                <w:lang w:val="en-GB"/>
              </w:rPr>
              <w:t>)</w:t>
            </w:r>
          </w:p>
          <w:p w:rsidR="0019096D" w:rsidRPr="00176BAE" w:rsidP="00166894" w14:paraId="2907DB00" w14:textId="4B015270">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Speech disorders</w:t>
            </w:r>
            <w:r w:rsidRPr="00176BAE" w:rsidR="00792A1E">
              <w:rPr>
                <w:rFonts w:ascii="Times New Roman" w:hAnsi="Times New Roman" w:cs="Times New Roman"/>
                <w:color w:val="000000"/>
                <w:szCs w:val="20"/>
                <w:vertAlign w:val="superscript"/>
                <w:lang w:val="en-GB"/>
              </w:rPr>
              <w:t>13</w:t>
            </w:r>
            <w:r w:rsidRPr="00176BAE">
              <w:rPr>
                <w:rFonts w:ascii="Times New Roman" w:hAnsi="Times New Roman" w:cs="Times New Roman"/>
                <w:color w:val="000000"/>
                <w:szCs w:val="20"/>
                <w:vertAlign w:val="superscript"/>
                <w:lang w:val="en-GB"/>
              </w:rPr>
              <w:t>)</w:t>
            </w:r>
          </w:p>
          <w:p w:rsidR="0019096D" w:rsidRPr="00176BAE" w:rsidP="00166894" w14:paraId="3FB1D53D"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Neuralgia</w:t>
            </w:r>
            <w:r w:rsidRPr="00176BAE" w:rsidR="00792A1E">
              <w:rPr>
                <w:rFonts w:ascii="Times New Roman" w:hAnsi="Times New Roman" w:cs="Times New Roman"/>
                <w:color w:val="000000"/>
                <w:szCs w:val="20"/>
                <w:vertAlign w:val="superscript"/>
                <w:lang w:val="en-GB"/>
              </w:rPr>
              <w:t>14</w:t>
            </w:r>
            <w:r w:rsidRPr="00176BAE" w:rsidR="007327F0">
              <w:rPr>
                <w:rFonts w:ascii="Times New Roman" w:hAnsi="Times New Roman" w:cs="Times New Roman"/>
                <w:color w:val="000000"/>
                <w:szCs w:val="20"/>
                <w:vertAlign w:val="superscript"/>
                <w:lang w:val="en-GB"/>
              </w:rPr>
              <w:t>)</w:t>
            </w:r>
          </w:p>
          <w:p w:rsidR="0019096D" w:rsidRPr="00176BAE" w:rsidP="001F1B87" w14:paraId="6CD33DDA" w14:textId="6F4A2ED5">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Ataxia</w:t>
            </w:r>
            <w:r w:rsidRPr="00D442F1" w:rsidR="00792A1E">
              <w:rPr>
                <w:rFonts w:ascii="Times New Roman" w:hAnsi="Times New Roman" w:cs="Times New Roman"/>
                <w:color w:val="000000"/>
                <w:szCs w:val="20"/>
                <w:vertAlign w:val="superscript"/>
              </w:rPr>
              <w:t>15</w:t>
            </w:r>
            <w:r w:rsidRPr="00D442F1" w:rsidR="007327F0">
              <w:rPr>
                <w:rFonts w:ascii="Times New Roman" w:hAnsi="Times New Roman" w:cs="Times New Roman"/>
                <w:color w:val="000000"/>
                <w:szCs w:val="20"/>
                <w:vertAlign w:val="superscript"/>
              </w:rPr>
              <w:t>)</w:t>
            </w:r>
          </w:p>
        </w:tc>
        <w:tc>
          <w:tcPr>
            <w:tcW w:w="1204" w:type="pct"/>
          </w:tcPr>
          <w:p w:rsidR="0019096D" w:rsidRPr="00176BAE" w:rsidP="00166894" w14:paraId="7EF8C5A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Ischaemic cerebral infarction</w:t>
            </w:r>
          </w:p>
        </w:tc>
      </w:tr>
      <w:tr w14:paraId="402624F6" w14:textId="77777777" w:rsidTr="00176BAE">
        <w:tblPrEx>
          <w:tblW w:w="5000" w:type="pct"/>
          <w:tblLook w:val="01E0"/>
        </w:tblPrEx>
        <w:tc>
          <w:tcPr>
            <w:tcW w:w="893" w:type="pct"/>
            <w:shd w:val="clear" w:color="auto" w:fill="auto"/>
          </w:tcPr>
          <w:p w:rsidR="00B1180F" w:rsidRPr="00176BAE" w:rsidP="00166894" w14:paraId="55F2E250" w14:textId="77777777">
            <w:pPr>
              <w:pStyle w:val="Table"/>
              <w:keepLines w:val="0"/>
              <w:widowControl w:val="0"/>
              <w:tabs>
                <w:tab w:val="left" w:pos="8505"/>
              </w:tabs>
              <w:spacing w:before="0" w:after="0"/>
              <w:rPr>
                <w:rFonts w:ascii="Times New Roman" w:hAnsi="Times New Roman" w:cs="Times New Roman"/>
                <w:bCs/>
                <w:szCs w:val="20"/>
                <w:lang w:val="en-GB"/>
              </w:rPr>
            </w:pPr>
            <w:r w:rsidRPr="00176BAE">
              <w:rPr>
                <w:rFonts w:ascii="Times New Roman" w:hAnsi="Times New Roman" w:cs="Times New Roman"/>
                <w:bCs/>
                <w:szCs w:val="20"/>
                <w:lang w:val="en-GB"/>
              </w:rPr>
              <w:t>Eye disorders</w:t>
            </w:r>
          </w:p>
        </w:tc>
        <w:tc>
          <w:tcPr>
            <w:tcW w:w="1487" w:type="pct"/>
            <w:shd w:val="clear" w:color="auto" w:fill="auto"/>
          </w:tcPr>
          <w:p w:rsidR="00B1180F" w:rsidRPr="00176BAE" w:rsidP="00E4360E" w14:paraId="61E10D4C"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c>
          <w:tcPr>
            <w:tcW w:w="1416" w:type="pct"/>
            <w:shd w:val="clear" w:color="auto" w:fill="auto"/>
          </w:tcPr>
          <w:p w:rsidR="00B1180F" w:rsidRPr="00176BAE" w:rsidP="00166894" w14:paraId="11C80E94"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Visual impairment</w:t>
            </w:r>
            <w:r w:rsidRPr="00176BAE" w:rsidR="00792A1E">
              <w:rPr>
                <w:rFonts w:ascii="Times New Roman" w:hAnsi="Times New Roman" w:cs="Times New Roman"/>
                <w:color w:val="000000"/>
                <w:szCs w:val="20"/>
                <w:vertAlign w:val="superscript"/>
                <w:lang w:val="en-GB"/>
              </w:rPr>
              <w:t>16</w:t>
            </w:r>
            <w:r w:rsidRPr="00176BAE" w:rsidR="00740078">
              <w:rPr>
                <w:rFonts w:ascii="Times New Roman" w:hAnsi="Times New Roman" w:cs="Times New Roman"/>
                <w:color w:val="000000"/>
                <w:szCs w:val="20"/>
                <w:vertAlign w:val="superscript"/>
                <w:lang w:val="en-GB"/>
              </w:rPr>
              <w:t>)</w:t>
            </w:r>
          </w:p>
        </w:tc>
        <w:tc>
          <w:tcPr>
            <w:tcW w:w="1204" w:type="pct"/>
            <w:shd w:val="clear" w:color="auto" w:fill="auto"/>
          </w:tcPr>
          <w:p w:rsidR="00B1180F" w:rsidRPr="00176BAE" w:rsidP="00166894" w14:paraId="42E401CE"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28048DCE" w14:textId="77777777" w:rsidTr="00176BAE">
        <w:tblPrEx>
          <w:tblW w:w="5000" w:type="pct"/>
          <w:tblLook w:val="01E0"/>
        </w:tblPrEx>
        <w:tc>
          <w:tcPr>
            <w:tcW w:w="893" w:type="pct"/>
            <w:shd w:val="clear" w:color="auto" w:fill="auto"/>
          </w:tcPr>
          <w:p w:rsidR="0019096D" w:rsidRPr="00176BAE" w:rsidP="00166894" w14:paraId="1264C524"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bCs/>
                <w:szCs w:val="20"/>
                <w:lang w:val="en-GB"/>
              </w:rPr>
              <w:t>Cardiac disorders</w:t>
            </w:r>
          </w:p>
        </w:tc>
        <w:tc>
          <w:tcPr>
            <w:tcW w:w="1487" w:type="pct"/>
            <w:shd w:val="clear" w:color="auto" w:fill="auto"/>
          </w:tcPr>
          <w:p w:rsidR="0019096D" w:rsidRPr="00176BAE" w:rsidP="001F1B87" w14:paraId="3EEBAC67" w14:textId="1BD2AB28">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Arrhythmia</w:t>
            </w:r>
            <w:r w:rsidRPr="00176BAE" w:rsidR="00792A1E">
              <w:rPr>
                <w:rFonts w:ascii="Times New Roman" w:hAnsi="Times New Roman" w:cs="Times New Roman"/>
                <w:color w:val="000000"/>
                <w:szCs w:val="20"/>
                <w:vertAlign w:val="superscript"/>
                <w:lang w:val="en-GB"/>
              </w:rPr>
              <w:t>17</w:t>
            </w:r>
            <w:r w:rsidRPr="00176BAE" w:rsidR="00E4360E">
              <w:rPr>
                <w:rFonts w:ascii="Times New Roman" w:hAnsi="Times New Roman" w:cs="Times New Roman"/>
                <w:color w:val="000000"/>
                <w:szCs w:val="20"/>
                <w:vertAlign w:val="superscript"/>
                <w:lang w:val="en-GB"/>
              </w:rPr>
              <w:t>)</w:t>
            </w:r>
          </w:p>
        </w:tc>
        <w:tc>
          <w:tcPr>
            <w:tcW w:w="1416" w:type="pct"/>
            <w:shd w:val="clear" w:color="auto" w:fill="auto"/>
          </w:tcPr>
          <w:p w:rsidR="0019096D" w:rsidRPr="00176BAE" w:rsidP="00166894" w14:paraId="7241B957" w14:textId="2D2D286D">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 xml:space="preserve">Cardiac </w:t>
            </w:r>
            <w:r w:rsidRPr="00176BAE" w:rsidR="004B5B81">
              <w:rPr>
                <w:rFonts w:ascii="Times New Roman" w:hAnsi="Times New Roman" w:cs="Times New Roman"/>
                <w:color w:val="000000"/>
                <w:szCs w:val="20"/>
                <w:lang w:val="en-GB"/>
              </w:rPr>
              <w:t>failure</w:t>
            </w:r>
            <w:r w:rsidRPr="00176BAE" w:rsidR="00792A1E">
              <w:rPr>
                <w:rFonts w:ascii="Times New Roman" w:hAnsi="Times New Roman" w:cs="Times New Roman"/>
                <w:color w:val="000000"/>
                <w:szCs w:val="20"/>
                <w:vertAlign w:val="superscript"/>
                <w:lang w:val="en-GB"/>
              </w:rPr>
              <w:t>18</w:t>
            </w:r>
            <w:r w:rsidRPr="00176BAE">
              <w:rPr>
                <w:rFonts w:ascii="Times New Roman" w:hAnsi="Times New Roman" w:cs="Times New Roman"/>
                <w:color w:val="000000"/>
                <w:szCs w:val="20"/>
                <w:vertAlign w:val="superscript"/>
                <w:lang w:val="en-GB"/>
              </w:rPr>
              <w:t>)</w:t>
            </w:r>
          </w:p>
          <w:p w:rsidR="0019096D" w:rsidRPr="00176BAE" w:rsidP="00166894" w14:paraId="129C6328"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Cardiac arrest</w:t>
            </w:r>
          </w:p>
        </w:tc>
        <w:tc>
          <w:tcPr>
            <w:tcW w:w="1204" w:type="pct"/>
          </w:tcPr>
          <w:p w:rsidR="0019096D" w:rsidRPr="00176BAE" w:rsidP="00166894" w14:paraId="1494B586"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67481CC8" w14:textId="77777777" w:rsidTr="00176BAE">
        <w:tblPrEx>
          <w:tblW w:w="5000" w:type="pct"/>
          <w:tblLook w:val="01E0"/>
        </w:tblPrEx>
        <w:tc>
          <w:tcPr>
            <w:tcW w:w="893" w:type="pct"/>
            <w:shd w:val="clear" w:color="auto" w:fill="auto"/>
          </w:tcPr>
          <w:p w:rsidR="0019096D" w:rsidRPr="00176BAE" w:rsidP="00166894" w14:paraId="51C0CD2F"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szCs w:val="20"/>
                <w:lang w:val="en-GB"/>
              </w:rPr>
              <w:t>Vascular disorders</w:t>
            </w:r>
          </w:p>
        </w:tc>
        <w:tc>
          <w:tcPr>
            <w:tcW w:w="1487" w:type="pct"/>
            <w:shd w:val="clear" w:color="auto" w:fill="auto"/>
          </w:tcPr>
          <w:p w:rsidR="0019096D" w:rsidRPr="00176BAE" w:rsidP="00166894" w14:paraId="6C8C6A80"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Hypotension</w:t>
            </w:r>
            <w:r w:rsidRPr="00176BAE" w:rsidR="00792A1E">
              <w:rPr>
                <w:rFonts w:ascii="Times New Roman" w:hAnsi="Times New Roman" w:cs="Times New Roman"/>
                <w:color w:val="000000"/>
                <w:szCs w:val="20"/>
                <w:vertAlign w:val="superscript"/>
                <w:lang w:val="en-GB"/>
              </w:rPr>
              <w:t>19</w:t>
            </w:r>
            <w:r w:rsidRPr="00176BAE" w:rsidR="004B5B81">
              <w:rPr>
                <w:rFonts w:ascii="Times New Roman" w:hAnsi="Times New Roman" w:cs="Times New Roman"/>
                <w:color w:val="000000"/>
                <w:szCs w:val="20"/>
                <w:vertAlign w:val="superscript"/>
                <w:lang w:val="en-GB"/>
              </w:rPr>
              <w:t>)</w:t>
            </w:r>
          </w:p>
          <w:p w:rsidR="0019096D" w:rsidRPr="00176BAE" w:rsidP="00166894" w14:paraId="61DE95F4"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Hypertension</w:t>
            </w:r>
          </w:p>
        </w:tc>
        <w:tc>
          <w:tcPr>
            <w:tcW w:w="1416" w:type="pct"/>
            <w:shd w:val="clear" w:color="auto" w:fill="auto"/>
          </w:tcPr>
          <w:p w:rsidR="002259B2" w:rsidRPr="00176BAE" w:rsidP="00166894" w14:paraId="332B896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Thrombosis</w:t>
            </w:r>
            <w:r w:rsidRPr="00176BAE" w:rsidR="00792A1E">
              <w:rPr>
                <w:rFonts w:ascii="Times New Roman" w:hAnsi="Times New Roman" w:cs="Times New Roman"/>
                <w:color w:val="000000"/>
                <w:szCs w:val="20"/>
                <w:vertAlign w:val="superscript"/>
                <w:lang w:val="en-GB"/>
              </w:rPr>
              <w:t>20</w:t>
            </w:r>
            <w:r w:rsidRPr="00176BAE" w:rsidR="004B5B81">
              <w:rPr>
                <w:rFonts w:ascii="Times New Roman" w:hAnsi="Times New Roman" w:cs="Times New Roman"/>
                <w:color w:val="000000"/>
                <w:szCs w:val="20"/>
                <w:vertAlign w:val="superscript"/>
                <w:lang w:val="en-GB"/>
              </w:rPr>
              <w:t>)</w:t>
            </w:r>
          </w:p>
          <w:p w:rsidR="0019096D" w:rsidRPr="00176BAE" w:rsidP="001F1B87" w14:paraId="11104A83" w14:textId="65BF3EFB">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Capillary leak syndrome</w:t>
            </w:r>
          </w:p>
        </w:tc>
        <w:tc>
          <w:tcPr>
            <w:tcW w:w="1204" w:type="pct"/>
          </w:tcPr>
          <w:p w:rsidR="0019096D" w:rsidRPr="00176BAE" w:rsidP="00166894" w14:paraId="39074753"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Flushing</w:t>
            </w:r>
          </w:p>
        </w:tc>
      </w:tr>
      <w:tr w14:paraId="4998E69C" w14:textId="77777777" w:rsidTr="00176BAE">
        <w:tblPrEx>
          <w:tblW w:w="5000" w:type="pct"/>
          <w:tblLook w:val="01E0"/>
        </w:tblPrEx>
        <w:tc>
          <w:tcPr>
            <w:tcW w:w="893" w:type="pct"/>
            <w:shd w:val="clear" w:color="auto" w:fill="auto"/>
          </w:tcPr>
          <w:p w:rsidR="0019096D" w:rsidRPr="00176BAE" w:rsidP="00166894" w14:paraId="5485187F"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Respiratory, thoracic and mediastinal disorders</w:t>
            </w:r>
          </w:p>
        </w:tc>
        <w:tc>
          <w:tcPr>
            <w:tcW w:w="1487" w:type="pct"/>
            <w:shd w:val="clear" w:color="auto" w:fill="auto"/>
          </w:tcPr>
          <w:p w:rsidR="0019096D" w:rsidRPr="00176BAE" w:rsidP="00166894" w14:paraId="110992F0" w14:textId="74E00C3B">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Cough</w:t>
            </w:r>
            <w:r w:rsidRPr="00176BAE" w:rsidR="00792A1E">
              <w:rPr>
                <w:rFonts w:ascii="Times New Roman" w:hAnsi="Times New Roman" w:cs="Times New Roman"/>
                <w:color w:val="000000"/>
                <w:szCs w:val="20"/>
                <w:vertAlign w:val="superscript"/>
                <w:lang w:val="en-GB"/>
              </w:rPr>
              <w:t>21</w:t>
            </w:r>
            <w:r w:rsidRPr="00176BAE">
              <w:rPr>
                <w:rFonts w:ascii="Times New Roman" w:hAnsi="Times New Roman" w:cs="Times New Roman"/>
                <w:color w:val="000000"/>
                <w:szCs w:val="20"/>
                <w:vertAlign w:val="superscript"/>
                <w:lang w:val="en-GB"/>
              </w:rPr>
              <w:t>)</w:t>
            </w:r>
          </w:p>
          <w:p w:rsidR="00B1180F" w:rsidRPr="00176BAE" w:rsidP="00B1180F" w14:paraId="3756A9A6"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Dyspnoea</w:t>
            </w:r>
            <w:r w:rsidRPr="00176BAE" w:rsidR="00792A1E">
              <w:rPr>
                <w:rFonts w:ascii="Times New Roman" w:hAnsi="Times New Roman" w:cs="Times New Roman"/>
                <w:color w:val="000000"/>
                <w:szCs w:val="20"/>
                <w:vertAlign w:val="superscript"/>
                <w:lang w:val="en-GB"/>
              </w:rPr>
              <w:t>22</w:t>
            </w:r>
            <w:r w:rsidRPr="00176BAE">
              <w:rPr>
                <w:rFonts w:ascii="Times New Roman" w:hAnsi="Times New Roman" w:cs="Times New Roman"/>
                <w:color w:val="000000"/>
                <w:szCs w:val="20"/>
                <w:vertAlign w:val="superscript"/>
                <w:lang w:val="en-GB"/>
              </w:rPr>
              <w:t>)</w:t>
            </w:r>
          </w:p>
          <w:p w:rsidR="0019096D" w:rsidRPr="00176BAE" w:rsidP="00166894" w14:paraId="2821A324" w14:textId="601E8BCC">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Hypoxia</w:t>
            </w:r>
          </w:p>
        </w:tc>
        <w:tc>
          <w:tcPr>
            <w:tcW w:w="1416" w:type="pct"/>
            <w:shd w:val="clear" w:color="auto" w:fill="auto"/>
          </w:tcPr>
          <w:p w:rsidR="00B1180F" w:rsidRPr="00176BAE" w:rsidP="00166894" w14:paraId="2D7C7625"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Oropharyngeal pain</w:t>
            </w:r>
            <w:r w:rsidRPr="00176BAE" w:rsidR="00792A1E">
              <w:rPr>
                <w:rFonts w:ascii="Times New Roman" w:hAnsi="Times New Roman" w:cs="Times New Roman"/>
                <w:color w:val="000000"/>
                <w:szCs w:val="20"/>
                <w:vertAlign w:val="superscript"/>
                <w:lang w:val="en-GB"/>
              </w:rPr>
              <w:t>23</w:t>
            </w:r>
            <w:r w:rsidRPr="00176BAE" w:rsidR="00CE094B">
              <w:rPr>
                <w:rFonts w:ascii="Times New Roman" w:hAnsi="Times New Roman" w:cs="Times New Roman"/>
                <w:color w:val="000000"/>
                <w:szCs w:val="20"/>
                <w:vertAlign w:val="superscript"/>
                <w:lang w:val="en-GB"/>
              </w:rPr>
              <w:t>)</w:t>
            </w:r>
          </w:p>
          <w:p w:rsidR="00B1180F" w:rsidRPr="00176BAE" w:rsidP="00B1180F" w14:paraId="1ACD29A8"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Pulmonary oedema</w:t>
            </w:r>
            <w:r w:rsidRPr="00176BAE" w:rsidR="00792A1E">
              <w:rPr>
                <w:rFonts w:ascii="Times New Roman" w:hAnsi="Times New Roman" w:cs="Times New Roman"/>
                <w:color w:val="000000"/>
                <w:szCs w:val="20"/>
                <w:vertAlign w:val="superscript"/>
                <w:lang w:val="en-GB"/>
              </w:rPr>
              <w:t>24</w:t>
            </w:r>
            <w:r w:rsidRPr="00176BAE" w:rsidR="00CE094B">
              <w:rPr>
                <w:rFonts w:ascii="Times New Roman" w:hAnsi="Times New Roman" w:cs="Times New Roman"/>
                <w:color w:val="000000"/>
                <w:szCs w:val="20"/>
                <w:vertAlign w:val="superscript"/>
                <w:lang w:val="en-GB"/>
              </w:rPr>
              <w:t>)</w:t>
            </w:r>
          </w:p>
          <w:p w:rsidR="00B1180F" w:rsidRPr="00176BAE" w:rsidP="00166894" w14:paraId="4BC3DF0F"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Nasal congestion</w:t>
            </w:r>
          </w:p>
          <w:p w:rsidR="00B1180F" w:rsidRPr="00176BAE" w:rsidP="00B1180F" w14:paraId="345111CD"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Pleural effusion</w:t>
            </w:r>
          </w:p>
          <w:p w:rsidR="00B1180F" w:rsidRPr="00176BAE" w:rsidP="00166894" w14:paraId="2524A6AA"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Tachypnoea</w:t>
            </w:r>
          </w:p>
          <w:p w:rsidR="0019096D" w:rsidRPr="00176BAE" w:rsidP="00740078" w14:paraId="351EBCA9" w14:textId="5A9EE0FC">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Acute respiratory distress syndrome</w:t>
            </w:r>
          </w:p>
        </w:tc>
        <w:tc>
          <w:tcPr>
            <w:tcW w:w="1204" w:type="pct"/>
          </w:tcPr>
          <w:p w:rsidR="0019096D" w:rsidRPr="00176BAE" w:rsidP="00166894" w14:paraId="77386573"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Lung infiltration</w:t>
            </w:r>
          </w:p>
        </w:tc>
      </w:tr>
      <w:tr w14:paraId="734DCE57" w14:textId="77777777" w:rsidTr="00176BAE">
        <w:tblPrEx>
          <w:tblW w:w="5000" w:type="pct"/>
          <w:tblLook w:val="01E0"/>
        </w:tblPrEx>
        <w:trPr>
          <w:cantSplit/>
        </w:trPr>
        <w:tc>
          <w:tcPr>
            <w:tcW w:w="893" w:type="pct"/>
            <w:shd w:val="clear" w:color="auto" w:fill="auto"/>
          </w:tcPr>
          <w:p w:rsidR="0019096D" w:rsidRPr="00176BAE" w:rsidP="00166894" w14:paraId="09D3D600"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Gastrointestinal disorders</w:t>
            </w:r>
          </w:p>
        </w:tc>
        <w:tc>
          <w:tcPr>
            <w:tcW w:w="1487" w:type="pct"/>
            <w:shd w:val="clear" w:color="auto" w:fill="auto"/>
          </w:tcPr>
          <w:p w:rsidR="0019096D" w:rsidRPr="00176BAE" w:rsidP="00166894" w14:paraId="1EC583F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Diarrhoea</w:t>
            </w:r>
          </w:p>
          <w:p w:rsidR="0019096D" w:rsidRPr="00176BAE" w:rsidP="00166894" w14:paraId="1A65270D"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Nausea</w:t>
            </w:r>
          </w:p>
          <w:p w:rsidR="0019096D" w:rsidRPr="00176BAE" w:rsidP="00166894" w14:paraId="3597E2A8"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Vomiting</w:t>
            </w:r>
          </w:p>
          <w:p w:rsidR="0019096D" w:rsidRPr="00176BAE" w:rsidP="00166894" w14:paraId="1EDF251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Constipation</w:t>
            </w:r>
          </w:p>
          <w:p w:rsidR="0019096D" w:rsidRPr="00176BAE" w:rsidP="00792A1E" w14:paraId="719DD570" w14:textId="1C2A0ED9">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Abdominal pain</w:t>
            </w:r>
            <w:r w:rsidRPr="00176BAE" w:rsidR="00792A1E">
              <w:rPr>
                <w:rFonts w:ascii="Times New Roman" w:hAnsi="Times New Roman" w:cs="Times New Roman"/>
                <w:color w:val="000000"/>
                <w:szCs w:val="20"/>
                <w:vertAlign w:val="superscript"/>
                <w:lang w:val="en-GB"/>
              </w:rPr>
              <w:t>25</w:t>
            </w:r>
            <w:r w:rsidRPr="00176BAE">
              <w:rPr>
                <w:rFonts w:ascii="Times New Roman" w:hAnsi="Times New Roman" w:cs="Times New Roman"/>
                <w:color w:val="000000"/>
                <w:szCs w:val="20"/>
                <w:vertAlign w:val="superscript"/>
                <w:lang w:val="en-GB"/>
              </w:rPr>
              <w:t>)</w:t>
            </w:r>
          </w:p>
        </w:tc>
        <w:tc>
          <w:tcPr>
            <w:tcW w:w="1416" w:type="pct"/>
            <w:shd w:val="clear" w:color="auto" w:fill="auto"/>
          </w:tcPr>
          <w:p w:rsidR="00502B5F" w:rsidRPr="00176BAE" w:rsidP="00502B5F" w14:paraId="4F1228D7"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Stomatitis</w:t>
            </w:r>
          </w:p>
          <w:p w:rsidR="00502B5F" w:rsidRPr="00176BAE" w:rsidP="00502B5F" w14:paraId="06B5A364"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Abdominal distension</w:t>
            </w:r>
          </w:p>
          <w:p w:rsidR="0019096D" w:rsidRPr="00176BAE" w:rsidP="00166894" w14:paraId="0149DA4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Dry mouth</w:t>
            </w:r>
          </w:p>
          <w:p w:rsidR="0019096D" w:rsidRPr="00176BAE" w:rsidP="001F1B87" w14:paraId="66CCC284" w14:textId="181F1AE8">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Ascites</w:t>
            </w:r>
          </w:p>
        </w:tc>
        <w:tc>
          <w:tcPr>
            <w:tcW w:w="1204" w:type="pct"/>
          </w:tcPr>
          <w:p w:rsidR="0019096D" w:rsidRPr="00176BAE" w:rsidP="00166894" w14:paraId="584F3FC2"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10CD496A" w14:textId="77777777" w:rsidTr="00176BAE">
        <w:tblPrEx>
          <w:tblW w:w="5000" w:type="pct"/>
          <w:tblLook w:val="01E0"/>
        </w:tblPrEx>
        <w:tc>
          <w:tcPr>
            <w:tcW w:w="893" w:type="pct"/>
            <w:shd w:val="clear" w:color="auto" w:fill="auto"/>
          </w:tcPr>
          <w:p w:rsidR="0019096D" w:rsidRPr="00176BAE" w:rsidP="00166894" w14:paraId="0AF1C9C8"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iCs/>
                <w:szCs w:val="20"/>
              </w:rPr>
              <w:t>Hepatobiliary disorders</w:t>
            </w:r>
          </w:p>
        </w:tc>
        <w:tc>
          <w:tcPr>
            <w:tcW w:w="1487" w:type="pct"/>
            <w:shd w:val="clear" w:color="auto" w:fill="auto"/>
          </w:tcPr>
          <w:p w:rsidR="0019096D" w:rsidRPr="00176BAE" w:rsidP="00166894" w14:paraId="78D6BFF7"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c>
          <w:tcPr>
            <w:tcW w:w="1416" w:type="pct"/>
            <w:shd w:val="clear" w:color="auto" w:fill="auto"/>
          </w:tcPr>
          <w:p w:rsidR="0019096D" w:rsidRPr="00176BAE" w:rsidP="00166894" w14:paraId="618F5D6A"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Hyperbilirubinaemia</w:t>
            </w:r>
          </w:p>
        </w:tc>
        <w:tc>
          <w:tcPr>
            <w:tcW w:w="1204" w:type="pct"/>
          </w:tcPr>
          <w:p w:rsidR="0019096D" w:rsidRPr="00176BAE" w:rsidP="00166894" w14:paraId="53FFA0EB"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4970C91F" w14:textId="77777777" w:rsidTr="00176BAE">
        <w:tblPrEx>
          <w:tblW w:w="5000" w:type="pct"/>
          <w:tblLook w:val="01E0"/>
        </w:tblPrEx>
        <w:tc>
          <w:tcPr>
            <w:tcW w:w="893" w:type="pct"/>
            <w:shd w:val="clear" w:color="auto" w:fill="auto"/>
          </w:tcPr>
          <w:p w:rsidR="0019096D" w:rsidRPr="00176BAE" w:rsidP="00166894" w14:paraId="2E862C85"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Skin and subcutaneous tissue disorders</w:t>
            </w:r>
          </w:p>
        </w:tc>
        <w:tc>
          <w:tcPr>
            <w:tcW w:w="1487" w:type="pct"/>
            <w:shd w:val="clear" w:color="auto" w:fill="auto"/>
          </w:tcPr>
          <w:p w:rsidR="0019096D" w:rsidRPr="00176BAE" w:rsidP="001F1B87" w14:paraId="6C66A8F4" w14:textId="7C57E69B">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Rash</w:t>
            </w:r>
            <w:r w:rsidRPr="00176BAE" w:rsidR="00792A1E">
              <w:rPr>
                <w:rFonts w:ascii="Times New Roman" w:hAnsi="Times New Roman" w:cs="Times New Roman"/>
                <w:color w:val="000000"/>
                <w:szCs w:val="20"/>
                <w:vertAlign w:val="superscript"/>
                <w:lang w:val="en-GB"/>
              </w:rPr>
              <w:t>26</w:t>
            </w:r>
            <w:r w:rsidRPr="00176BAE">
              <w:rPr>
                <w:rFonts w:ascii="Times New Roman" w:hAnsi="Times New Roman" w:cs="Times New Roman"/>
                <w:color w:val="000000"/>
                <w:szCs w:val="20"/>
                <w:vertAlign w:val="superscript"/>
                <w:lang w:val="en-GB"/>
              </w:rPr>
              <w:t>)</w:t>
            </w:r>
          </w:p>
        </w:tc>
        <w:tc>
          <w:tcPr>
            <w:tcW w:w="1416" w:type="pct"/>
            <w:shd w:val="clear" w:color="auto" w:fill="auto"/>
          </w:tcPr>
          <w:p w:rsidR="0019096D" w:rsidRPr="00176BAE" w:rsidP="00166894" w14:paraId="396C9326"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Pruritus</w:t>
            </w:r>
          </w:p>
          <w:p w:rsidR="0019096D" w:rsidRPr="00176BAE" w:rsidP="00166894" w14:paraId="1555F20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Erythema</w:t>
            </w:r>
          </w:p>
          <w:p w:rsidR="00502B5F" w:rsidRPr="00176BAE" w:rsidP="00166894" w14:paraId="1D3376A6"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Hyperhidrosis</w:t>
            </w:r>
          </w:p>
          <w:p w:rsidR="0019096D" w:rsidRPr="00176BAE" w:rsidP="00166894" w14:paraId="0A390F75" w14:textId="3603DEBC">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Night sweats</w:t>
            </w:r>
          </w:p>
        </w:tc>
        <w:tc>
          <w:tcPr>
            <w:tcW w:w="1204" w:type="pct"/>
          </w:tcPr>
          <w:p w:rsidR="0019096D" w:rsidRPr="00176BAE" w:rsidP="00166894" w14:paraId="4A12AC82"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5633FDCD" w14:textId="77777777" w:rsidTr="00176BAE">
        <w:tblPrEx>
          <w:tblW w:w="5000" w:type="pct"/>
          <w:tblLook w:val="01E0"/>
        </w:tblPrEx>
        <w:tc>
          <w:tcPr>
            <w:tcW w:w="893" w:type="pct"/>
            <w:shd w:val="clear" w:color="auto" w:fill="auto"/>
          </w:tcPr>
          <w:p w:rsidR="0019096D" w:rsidRPr="00176BAE" w:rsidP="00166894" w14:paraId="06E0988F"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bCs/>
                <w:szCs w:val="20"/>
                <w:lang w:val="en-GB"/>
              </w:rPr>
              <w:t>Musculoskeletal and connective tissue disorders</w:t>
            </w:r>
          </w:p>
        </w:tc>
        <w:tc>
          <w:tcPr>
            <w:tcW w:w="1487" w:type="pct"/>
            <w:shd w:val="clear" w:color="auto" w:fill="auto"/>
          </w:tcPr>
          <w:p w:rsidR="0019096D" w:rsidRPr="00176BAE" w:rsidP="00166894" w14:paraId="7D93A79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Arthralgia</w:t>
            </w:r>
          </w:p>
        </w:tc>
        <w:tc>
          <w:tcPr>
            <w:tcW w:w="1416" w:type="pct"/>
            <w:shd w:val="clear" w:color="auto" w:fill="auto"/>
          </w:tcPr>
          <w:p w:rsidR="000763A8" w:rsidRPr="00176BAE" w:rsidP="000763A8" w14:paraId="24920967"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Back pain</w:t>
            </w:r>
          </w:p>
          <w:p w:rsidR="000763A8" w:rsidRPr="00176BAE" w:rsidP="000763A8" w14:paraId="117F8678"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Myalgia</w:t>
            </w:r>
          </w:p>
          <w:p w:rsidR="0019096D" w:rsidRPr="00176BAE" w:rsidP="00166894" w14:paraId="64565919"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Musculoskeletal pain</w:t>
            </w:r>
          </w:p>
        </w:tc>
        <w:tc>
          <w:tcPr>
            <w:tcW w:w="1204" w:type="pct"/>
          </w:tcPr>
          <w:p w:rsidR="0019096D" w:rsidRPr="00176BAE" w:rsidP="00166894" w14:paraId="5FA4F410"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1C7F90F6" w14:textId="77777777" w:rsidTr="00176BAE">
        <w:tblPrEx>
          <w:tblW w:w="5000" w:type="pct"/>
          <w:tblLook w:val="01E0"/>
        </w:tblPrEx>
        <w:tc>
          <w:tcPr>
            <w:tcW w:w="893" w:type="pct"/>
            <w:shd w:val="clear" w:color="auto" w:fill="auto"/>
          </w:tcPr>
          <w:p w:rsidR="0019096D" w:rsidRPr="00176BAE" w:rsidP="00166894" w14:paraId="239C8235"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Renal and urinary disorders</w:t>
            </w:r>
          </w:p>
        </w:tc>
        <w:tc>
          <w:tcPr>
            <w:tcW w:w="1487" w:type="pct"/>
            <w:shd w:val="clear" w:color="auto" w:fill="auto"/>
          </w:tcPr>
          <w:p w:rsidR="0019096D" w:rsidRPr="00176BAE" w:rsidP="00792A1E" w14:paraId="463BF1D6" w14:textId="574F79F4">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Acute kidney injury</w:t>
            </w:r>
            <w:r w:rsidRPr="00176BAE" w:rsidR="00792A1E">
              <w:rPr>
                <w:rFonts w:ascii="Times New Roman" w:hAnsi="Times New Roman" w:cs="Times New Roman"/>
                <w:color w:val="000000"/>
                <w:szCs w:val="20"/>
                <w:vertAlign w:val="superscript"/>
                <w:lang w:val="en-GB"/>
              </w:rPr>
              <w:t>27</w:t>
            </w:r>
            <w:r w:rsidRPr="00176BAE">
              <w:rPr>
                <w:rFonts w:ascii="Times New Roman" w:hAnsi="Times New Roman" w:cs="Times New Roman"/>
                <w:color w:val="000000"/>
                <w:szCs w:val="20"/>
                <w:vertAlign w:val="superscript"/>
                <w:lang w:val="en-GB"/>
              </w:rPr>
              <w:t>)</w:t>
            </w:r>
          </w:p>
        </w:tc>
        <w:tc>
          <w:tcPr>
            <w:tcW w:w="1416" w:type="pct"/>
            <w:shd w:val="clear" w:color="auto" w:fill="auto"/>
          </w:tcPr>
          <w:p w:rsidR="0019096D" w:rsidRPr="00176BAE" w:rsidP="00166894" w14:paraId="04B97CA2"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c>
          <w:tcPr>
            <w:tcW w:w="1204" w:type="pct"/>
          </w:tcPr>
          <w:p w:rsidR="0019096D" w:rsidRPr="00176BAE" w:rsidP="00166894" w14:paraId="5AEEF6D1"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30F5E5B2" w14:textId="77777777" w:rsidTr="00176BAE">
        <w:tblPrEx>
          <w:tblW w:w="5000" w:type="pct"/>
          <w:tblLook w:val="01E0"/>
        </w:tblPrEx>
        <w:tc>
          <w:tcPr>
            <w:tcW w:w="893" w:type="pct"/>
            <w:shd w:val="clear" w:color="auto" w:fill="auto"/>
          </w:tcPr>
          <w:p w:rsidR="0019096D" w:rsidRPr="00176BAE" w:rsidP="00166894" w14:paraId="64E8E975" w14:textId="77777777">
            <w:pPr>
              <w:pStyle w:val="Table"/>
              <w:keepLines w:val="0"/>
              <w:widowControl w:val="0"/>
              <w:tabs>
                <w:tab w:val="left" w:pos="8505"/>
              </w:tabs>
              <w:spacing w:before="0" w:after="0"/>
              <w:rPr>
                <w:rFonts w:ascii="Times New Roman" w:hAnsi="Times New Roman" w:cs="Times New Roman"/>
                <w:szCs w:val="20"/>
                <w:lang w:val="en-GB"/>
              </w:rPr>
            </w:pPr>
            <w:r w:rsidRPr="00176BAE">
              <w:rPr>
                <w:rFonts w:ascii="Times New Roman" w:hAnsi="Times New Roman" w:cs="Times New Roman"/>
                <w:bCs/>
                <w:szCs w:val="20"/>
                <w:lang w:val="en-GB"/>
              </w:rPr>
              <w:t>General disorders and administration site conditions</w:t>
            </w:r>
          </w:p>
        </w:tc>
        <w:tc>
          <w:tcPr>
            <w:tcW w:w="1487" w:type="pct"/>
            <w:shd w:val="clear" w:color="auto" w:fill="auto"/>
          </w:tcPr>
          <w:p w:rsidR="0019096D" w:rsidRPr="00176BAE" w:rsidP="00166894" w14:paraId="56512144" w14:textId="77777777">
            <w:pPr>
              <w:pStyle w:val="Table"/>
              <w:keepLines w:val="0"/>
              <w:widowControl w:val="0"/>
              <w:tabs>
                <w:tab w:val="left" w:pos="8505"/>
              </w:tabs>
              <w:spacing w:before="0" w:after="0"/>
              <w:rPr>
                <w:rFonts w:ascii="Times New Roman" w:hAnsi="Times New Roman" w:cs="Times New Roman"/>
                <w:color w:val="000000"/>
                <w:szCs w:val="20"/>
                <w:lang w:val="fr-CH"/>
              </w:rPr>
            </w:pPr>
            <w:r w:rsidRPr="00176BAE">
              <w:rPr>
                <w:rFonts w:ascii="Times New Roman" w:hAnsi="Times New Roman" w:cs="Times New Roman"/>
                <w:color w:val="000000"/>
                <w:szCs w:val="20"/>
                <w:lang w:val="fr-CH"/>
              </w:rPr>
              <w:t>Pyrexia</w:t>
            </w:r>
          </w:p>
          <w:p w:rsidR="0019096D" w:rsidRPr="00176BAE" w:rsidP="00166894" w14:paraId="01761FE6" w14:textId="77777777">
            <w:pPr>
              <w:pStyle w:val="Table"/>
              <w:keepLines w:val="0"/>
              <w:widowControl w:val="0"/>
              <w:tabs>
                <w:tab w:val="left" w:pos="8505"/>
              </w:tabs>
              <w:spacing w:before="0" w:after="0"/>
              <w:rPr>
                <w:rFonts w:ascii="Times New Roman" w:hAnsi="Times New Roman" w:cs="Times New Roman"/>
                <w:color w:val="000000"/>
                <w:szCs w:val="20"/>
                <w:lang w:val="fr-CH"/>
              </w:rPr>
            </w:pPr>
            <w:r w:rsidRPr="00176BAE">
              <w:rPr>
                <w:rFonts w:ascii="Times New Roman" w:hAnsi="Times New Roman" w:cs="Times New Roman"/>
                <w:color w:val="000000"/>
                <w:szCs w:val="20"/>
                <w:lang w:val="fr-CH"/>
              </w:rPr>
              <w:t>Fatigue</w:t>
            </w:r>
            <w:r w:rsidRPr="00176BAE" w:rsidR="00792A1E">
              <w:rPr>
                <w:rFonts w:ascii="Times New Roman" w:hAnsi="Times New Roman" w:cs="Times New Roman"/>
                <w:color w:val="000000"/>
                <w:szCs w:val="20"/>
                <w:vertAlign w:val="superscript"/>
                <w:lang w:val="fr-CH"/>
              </w:rPr>
              <w:t>28</w:t>
            </w:r>
            <w:r w:rsidRPr="00176BAE" w:rsidR="00A122DD">
              <w:rPr>
                <w:rFonts w:ascii="Times New Roman" w:hAnsi="Times New Roman" w:cs="Times New Roman"/>
                <w:color w:val="000000"/>
                <w:szCs w:val="20"/>
                <w:vertAlign w:val="superscript"/>
                <w:lang w:val="fr-CH"/>
              </w:rPr>
              <w:t>)</w:t>
            </w:r>
          </w:p>
          <w:p w:rsidR="0019096D" w:rsidRPr="00176BAE" w:rsidP="00166894" w14:paraId="2BB26723" w14:textId="1F0672AA">
            <w:pPr>
              <w:pStyle w:val="Table"/>
              <w:keepLines w:val="0"/>
              <w:widowControl w:val="0"/>
              <w:tabs>
                <w:tab w:val="left" w:pos="8505"/>
              </w:tabs>
              <w:spacing w:before="0" w:after="0"/>
              <w:rPr>
                <w:rFonts w:ascii="Times New Roman" w:hAnsi="Times New Roman" w:cs="Times New Roman"/>
                <w:color w:val="000000"/>
                <w:szCs w:val="20"/>
                <w:lang w:val="fr-CH"/>
              </w:rPr>
            </w:pPr>
            <w:r w:rsidRPr="00176BAE">
              <w:rPr>
                <w:rFonts w:ascii="Times New Roman" w:hAnsi="Times New Roman" w:cs="Times New Roman"/>
                <w:color w:val="000000"/>
                <w:szCs w:val="20"/>
                <w:lang w:val="fr-CH"/>
              </w:rPr>
              <w:t>Oedema</w:t>
            </w:r>
            <w:r w:rsidRPr="00176BAE" w:rsidR="00792A1E">
              <w:rPr>
                <w:rFonts w:ascii="Times New Roman" w:hAnsi="Times New Roman" w:cs="Times New Roman"/>
                <w:color w:val="000000"/>
                <w:szCs w:val="20"/>
                <w:vertAlign w:val="superscript"/>
                <w:lang w:val="fr-CH"/>
              </w:rPr>
              <w:t>29</w:t>
            </w:r>
            <w:r w:rsidRPr="00176BAE">
              <w:rPr>
                <w:rFonts w:ascii="Times New Roman" w:hAnsi="Times New Roman" w:cs="Times New Roman"/>
                <w:color w:val="000000"/>
                <w:szCs w:val="20"/>
                <w:vertAlign w:val="superscript"/>
                <w:lang w:val="fr-CH"/>
              </w:rPr>
              <w:t>)</w:t>
            </w:r>
          </w:p>
          <w:p w:rsidR="0019096D" w:rsidRPr="00176BAE" w:rsidP="00166894" w14:paraId="762B8679" w14:textId="5569A23F">
            <w:pPr>
              <w:pStyle w:val="Table"/>
              <w:keepLines w:val="0"/>
              <w:widowControl w:val="0"/>
              <w:tabs>
                <w:tab w:val="left" w:pos="8505"/>
              </w:tabs>
              <w:spacing w:before="0" w:after="0"/>
              <w:rPr>
                <w:rFonts w:ascii="Times New Roman" w:hAnsi="Times New Roman" w:cs="Times New Roman"/>
                <w:color w:val="000000"/>
                <w:szCs w:val="20"/>
                <w:lang w:val="fr-CH"/>
              </w:rPr>
            </w:pPr>
            <w:r w:rsidRPr="00176BAE">
              <w:rPr>
                <w:rFonts w:ascii="Times New Roman" w:hAnsi="Times New Roman" w:cs="Times New Roman"/>
                <w:color w:val="000000"/>
                <w:szCs w:val="20"/>
                <w:lang w:val="fr-CH"/>
              </w:rPr>
              <w:t>Pain</w:t>
            </w:r>
            <w:r w:rsidRPr="00176BAE" w:rsidR="00792A1E">
              <w:rPr>
                <w:rFonts w:ascii="Times New Roman" w:hAnsi="Times New Roman" w:cs="Times New Roman"/>
                <w:color w:val="000000"/>
                <w:szCs w:val="20"/>
                <w:vertAlign w:val="superscript"/>
                <w:lang w:val="fr-CH"/>
              </w:rPr>
              <w:t>30</w:t>
            </w:r>
            <w:r w:rsidRPr="00176BAE">
              <w:rPr>
                <w:rFonts w:ascii="Times New Roman" w:hAnsi="Times New Roman" w:cs="Times New Roman"/>
                <w:color w:val="000000"/>
                <w:szCs w:val="20"/>
                <w:vertAlign w:val="superscript"/>
                <w:lang w:val="fr-CH"/>
              </w:rPr>
              <w:t>)</w:t>
            </w:r>
          </w:p>
          <w:p w:rsidR="0019096D" w:rsidRPr="00176BAE" w:rsidP="00166894" w14:paraId="7ED2D6B6" w14:textId="77777777">
            <w:pPr>
              <w:pStyle w:val="Table"/>
              <w:keepLines w:val="0"/>
              <w:widowControl w:val="0"/>
              <w:tabs>
                <w:tab w:val="left" w:pos="8505"/>
              </w:tabs>
              <w:spacing w:before="0" w:after="0"/>
              <w:rPr>
                <w:rFonts w:ascii="Times New Roman" w:hAnsi="Times New Roman" w:cs="Times New Roman"/>
                <w:color w:val="000000"/>
                <w:szCs w:val="20"/>
                <w:lang w:val="fr-CH"/>
              </w:rPr>
            </w:pPr>
            <w:r w:rsidRPr="00176BAE">
              <w:rPr>
                <w:rFonts w:ascii="Times New Roman" w:hAnsi="Times New Roman" w:cs="Times New Roman"/>
                <w:color w:val="000000"/>
                <w:szCs w:val="20"/>
                <w:lang w:val="fr-CH"/>
              </w:rPr>
              <w:t>Chills</w:t>
            </w:r>
          </w:p>
        </w:tc>
        <w:tc>
          <w:tcPr>
            <w:tcW w:w="1416" w:type="pct"/>
            <w:shd w:val="clear" w:color="auto" w:fill="auto"/>
          </w:tcPr>
          <w:p w:rsidR="000763A8" w:rsidRPr="00176BAE" w:rsidP="000763A8" w14:paraId="79840B5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Influenza</w:t>
            </w:r>
            <w:r w:rsidRPr="00176BAE">
              <w:rPr>
                <w:rFonts w:ascii="Times New Roman" w:hAnsi="Times New Roman" w:cs="Times New Roman"/>
                <w:color w:val="000000"/>
                <w:szCs w:val="20"/>
                <w:lang w:val="en-GB"/>
              </w:rPr>
              <w:noBreakHyphen/>
              <w:t>like illness</w:t>
            </w:r>
          </w:p>
          <w:p w:rsidR="0019096D" w:rsidRPr="00176BAE" w:rsidP="00166894" w14:paraId="59B4C361"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Asthenia</w:t>
            </w:r>
          </w:p>
          <w:p w:rsidR="0019096D" w:rsidRPr="00176BAE" w:rsidP="00166894" w14:paraId="65061E05"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Multiple organ dysfunction syndrome</w:t>
            </w:r>
          </w:p>
        </w:tc>
        <w:tc>
          <w:tcPr>
            <w:tcW w:w="1204" w:type="pct"/>
          </w:tcPr>
          <w:p w:rsidR="0019096D" w:rsidRPr="00176BAE" w:rsidP="00166894" w14:paraId="36BAA26C"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1957E337" w14:textId="77777777" w:rsidTr="00176BAE">
        <w:tblPrEx>
          <w:tblW w:w="5000" w:type="pct"/>
          <w:tblLook w:val="01E0"/>
        </w:tblPrEx>
        <w:tc>
          <w:tcPr>
            <w:tcW w:w="893" w:type="pct"/>
            <w:shd w:val="clear" w:color="auto" w:fill="auto"/>
          </w:tcPr>
          <w:p w:rsidR="0019096D" w:rsidRPr="00176BAE" w:rsidP="00166894" w14:paraId="6479BD0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bCs/>
                <w:szCs w:val="20"/>
                <w:lang w:val="en-GB"/>
              </w:rPr>
              <w:t>Investigations</w:t>
            </w:r>
          </w:p>
        </w:tc>
        <w:tc>
          <w:tcPr>
            <w:tcW w:w="1487" w:type="pct"/>
            <w:shd w:val="clear" w:color="auto" w:fill="auto"/>
          </w:tcPr>
          <w:p w:rsidR="0019096D" w:rsidRPr="00176BAE" w:rsidP="00166894" w14:paraId="64797A11"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Lymphocyte count decreased*</w:t>
            </w:r>
          </w:p>
          <w:p w:rsidR="0019096D" w:rsidRPr="00176BAE" w:rsidP="00166894" w14:paraId="234CC820"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White blood cell count decreased*</w:t>
            </w:r>
          </w:p>
          <w:p w:rsidR="000763A8" w:rsidRPr="00176BAE" w:rsidP="000763A8" w14:paraId="53A6475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Haemoglobin decreased*</w:t>
            </w:r>
          </w:p>
          <w:p w:rsidR="0019096D" w:rsidRPr="00176BAE" w:rsidP="00166894" w14:paraId="2D0AEA82"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Neutrophil count decreased*</w:t>
            </w:r>
          </w:p>
          <w:p w:rsidR="0019096D" w:rsidRPr="00176BAE" w:rsidP="00166894" w14:paraId="16D34F47"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Platelet count decreased*</w:t>
            </w:r>
          </w:p>
          <w:p w:rsidR="0019096D" w:rsidRPr="00176BAE" w:rsidP="00166894" w14:paraId="47F6DD79" w14:textId="519C6259">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Aspartate aminotransferase increased</w:t>
            </w:r>
          </w:p>
        </w:tc>
        <w:tc>
          <w:tcPr>
            <w:tcW w:w="1416" w:type="pct"/>
            <w:shd w:val="clear" w:color="auto" w:fill="auto"/>
          </w:tcPr>
          <w:p w:rsidR="000763A8" w:rsidRPr="00176BAE" w:rsidP="000763A8" w14:paraId="649B48D7"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Alanine aminotransferase increased</w:t>
            </w:r>
          </w:p>
          <w:p w:rsidR="000763A8" w:rsidRPr="00176BAE" w:rsidP="000763A8" w14:paraId="344650C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Blood bilirubin increased</w:t>
            </w:r>
          </w:p>
          <w:p w:rsidR="000763A8" w:rsidRPr="00176BAE" w:rsidP="00166894" w14:paraId="08968325"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Weight decreased</w:t>
            </w:r>
          </w:p>
          <w:p w:rsidR="00B222A0" w:rsidRPr="00176BAE" w:rsidP="000763A8" w14:paraId="1131DE89"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Serum ferritin increased</w:t>
            </w:r>
          </w:p>
          <w:p w:rsidR="000763A8" w:rsidRPr="00176BAE" w:rsidP="000763A8" w14:paraId="4132FB2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Blood fibrinogen decreased</w:t>
            </w:r>
          </w:p>
          <w:p w:rsidR="000763A8" w:rsidRPr="00176BAE" w:rsidP="000763A8" w14:paraId="5BDA92CF"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International normalised ratio increased</w:t>
            </w:r>
          </w:p>
          <w:p w:rsidR="000763A8" w:rsidRPr="00176BAE" w:rsidP="000763A8" w14:paraId="6B3F0881"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Fibrin D dimer increased</w:t>
            </w:r>
          </w:p>
          <w:p w:rsidR="0019096D" w:rsidRPr="00176BAE" w:rsidP="00166894" w14:paraId="6C363FFC"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Activated partial thromboplastin time prolonged</w:t>
            </w:r>
          </w:p>
          <w:p w:rsidR="001F1B87" w:rsidRPr="00176BAE" w:rsidP="00166894" w14:paraId="0530BA23" w14:textId="18E8AE44">
            <w:pPr>
              <w:pStyle w:val="Table"/>
              <w:keepLines w:val="0"/>
              <w:widowControl w:val="0"/>
              <w:tabs>
                <w:tab w:val="left" w:pos="8505"/>
              </w:tabs>
              <w:spacing w:before="0" w:after="0"/>
              <w:rPr>
                <w:rFonts w:ascii="Times New Roman" w:hAnsi="Times New Roman" w:cs="Times New Roman"/>
                <w:color w:val="000000"/>
                <w:szCs w:val="20"/>
                <w:lang w:val="en-GB"/>
              </w:rPr>
            </w:pPr>
            <w:r w:rsidRPr="00D442F1">
              <w:rPr>
                <w:rFonts w:ascii="Times New Roman" w:hAnsi="Times New Roman" w:cs="Times New Roman"/>
                <w:color w:val="000000"/>
                <w:szCs w:val="20"/>
              </w:rPr>
              <w:t>Blood alkaline phosphatase increased</w:t>
            </w:r>
          </w:p>
          <w:p w:rsidR="0019096D" w:rsidRPr="00176BAE" w:rsidP="00166894" w14:paraId="6F74C250" w14:textId="77777777">
            <w:pPr>
              <w:pStyle w:val="Table"/>
              <w:keepLines w:val="0"/>
              <w:widowControl w:val="0"/>
              <w:tabs>
                <w:tab w:val="left" w:pos="8505"/>
              </w:tabs>
              <w:spacing w:before="0" w:after="0"/>
              <w:rPr>
                <w:rFonts w:ascii="Times New Roman" w:hAnsi="Times New Roman" w:cs="Times New Roman"/>
                <w:color w:val="000000"/>
                <w:szCs w:val="20"/>
                <w:lang w:val="en-GB"/>
              </w:rPr>
            </w:pPr>
            <w:r w:rsidRPr="00176BAE">
              <w:rPr>
                <w:rFonts w:ascii="Times New Roman" w:hAnsi="Times New Roman" w:cs="Times New Roman"/>
                <w:color w:val="000000"/>
                <w:szCs w:val="20"/>
                <w:lang w:val="en-GB"/>
              </w:rPr>
              <w:t>Prothrombin time prolonged</w:t>
            </w:r>
          </w:p>
        </w:tc>
        <w:tc>
          <w:tcPr>
            <w:tcW w:w="1204" w:type="pct"/>
          </w:tcPr>
          <w:p w:rsidR="0019096D" w:rsidRPr="00176BAE" w:rsidP="00166894" w14:paraId="6D4F6162" w14:textId="77777777">
            <w:pPr>
              <w:pStyle w:val="Table"/>
              <w:keepLines w:val="0"/>
              <w:widowControl w:val="0"/>
              <w:tabs>
                <w:tab w:val="left" w:pos="8505"/>
              </w:tabs>
              <w:spacing w:before="0" w:after="0"/>
              <w:rPr>
                <w:rFonts w:ascii="Times New Roman" w:hAnsi="Times New Roman" w:cs="Times New Roman"/>
                <w:color w:val="000000"/>
                <w:szCs w:val="20"/>
                <w:lang w:val="en-GB"/>
              </w:rPr>
            </w:pPr>
          </w:p>
        </w:tc>
      </w:tr>
      <w:tr w14:paraId="56741CCF" w14:textId="77777777" w:rsidTr="003C4DC3">
        <w:tblPrEx>
          <w:tblW w:w="5000" w:type="pct"/>
          <w:tblLook w:val="01E0"/>
        </w:tblPrEx>
        <w:trPr>
          <w:trHeight w:val="331"/>
        </w:trPr>
        <w:tc>
          <w:tcPr>
            <w:tcW w:w="5000" w:type="pct"/>
            <w:gridSpan w:val="4"/>
            <w:shd w:val="clear" w:color="auto" w:fill="auto"/>
          </w:tcPr>
          <w:p w:rsidR="00740078" w:rsidRPr="00176BAE" w:rsidP="00A8406B" w14:paraId="5BB47D23" w14:textId="03DB8BEF">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1</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Infections and infestations presented reflect high</w:t>
            </w:r>
            <w:r w:rsidRPr="00176BAE">
              <w:rPr>
                <w:rFonts w:ascii="Times New Roman" w:hAnsi="Times New Roman" w:cs="Times New Roman"/>
                <w:szCs w:val="20"/>
                <w:lang w:val="en-GB"/>
              </w:rPr>
              <w:noBreakHyphen/>
              <w:t>level group terms.</w:t>
            </w:r>
          </w:p>
          <w:p w:rsidR="00740078" w:rsidRPr="00176BAE" w:rsidP="00A8406B" w14:paraId="36317E7C" w14:textId="45FD456E">
            <w:pPr>
              <w:pStyle w:val="Legend"/>
              <w:widowControl w:val="0"/>
              <w:tabs>
                <w:tab w:val="left" w:pos="29"/>
                <w:tab w:val="clear" w:pos="284"/>
              </w:tabs>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2</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r>
            <w:r w:rsidRPr="00176BAE" w:rsidR="00FC36ED">
              <w:rPr>
                <w:rFonts w:ascii="Times New Roman" w:hAnsi="Times New Roman" w:cs="Times New Roman"/>
                <w:szCs w:val="20"/>
                <w:lang w:val="en-GB"/>
              </w:rPr>
              <w:t>Haemorrhage</w:t>
            </w:r>
            <w:r w:rsidRPr="00176BAE">
              <w:rPr>
                <w:rFonts w:ascii="Times New Roman" w:hAnsi="Times New Roman" w:cs="Times New Roman"/>
                <w:szCs w:val="20"/>
                <w:lang w:val="en-GB"/>
              </w:rPr>
              <w:t xml:space="preserve"> includes anal haemorrhage, </w:t>
            </w:r>
            <w:r w:rsidRPr="00D442F1" w:rsidR="000C2E18">
              <w:rPr>
                <w:rFonts w:ascii="Times New Roman" w:hAnsi="Times New Roman" w:cs="Times New Roman"/>
                <w:szCs w:val="20"/>
                <w:lang w:val="en-GB"/>
              </w:rPr>
              <w:t>blood urine present</w:t>
            </w:r>
            <w:r w:rsidRPr="00D442F1" w:rsidR="00C22C66">
              <w:rPr>
                <w:rFonts w:ascii="Times New Roman" w:hAnsi="Times New Roman" w:cs="Times New Roman"/>
                <w:szCs w:val="20"/>
                <w:lang w:val="en-GB"/>
              </w:rPr>
              <w:t>,</w:t>
            </w:r>
            <w:r w:rsidRPr="00D442F1" w:rsidR="000C2E18">
              <w:rPr>
                <w:rFonts w:ascii="Times New Roman" w:hAnsi="Times New Roman" w:cs="Times New Roman"/>
                <w:szCs w:val="20"/>
                <w:lang w:val="en-GB"/>
              </w:rPr>
              <w:t xml:space="preserve"> </w:t>
            </w:r>
            <w:r w:rsidRPr="00176BAE">
              <w:rPr>
                <w:rFonts w:ascii="Times New Roman" w:hAnsi="Times New Roman" w:cs="Times New Roman"/>
                <w:szCs w:val="20"/>
                <w:lang w:val="en-GB"/>
              </w:rPr>
              <w:t xml:space="preserve">catheter site haemorrhage, cerebral haemorrhage, conjunctival haemorrhage, contusion, cystitis haemorrhagic, </w:t>
            </w:r>
            <w:r w:rsidRPr="00D442F1" w:rsidR="000C2E18">
              <w:rPr>
                <w:rFonts w:ascii="Times New Roman" w:hAnsi="Times New Roman" w:cs="Times New Roman"/>
                <w:szCs w:val="20"/>
                <w:lang w:val="en-GB"/>
              </w:rPr>
              <w:t xml:space="preserve">duodenal ulcer haemorrhage, </w:t>
            </w:r>
            <w:r w:rsidRPr="00176BAE">
              <w:rPr>
                <w:rFonts w:ascii="Times New Roman" w:hAnsi="Times New Roman" w:cs="Times New Roman"/>
                <w:szCs w:val="20"/>
                <w:lang w:val="en-GB"/>
              </w:rPr>
              <w:t xml:space="preserve">disseminated intravascular coagulation, epistaxis, </w:t>
            </w:r>
            <w:r w:rsidRPr="00D442F1" w:rsidR="000C2E18">
              <w:rPr>
                <w:rFonts w:ascii="Times New Roman" w:hAnsi="Times New Roman" w:cs="Times New Roman"/>
                <w:szCs w:val="20"/>
                <w:lang w:val="en-GB"/>
              </w:rPr>
              <w:t xml:space="preserve">eye contusion, </w:t>
            </w:r>
            <w:r w:rsidRPr="00176BAE">
              <w:rPr>
                <w:rFonts w:ascii="Times New Roman" w:hAnsi="Times New Roman" w:cs="Times New Roman"/>
                <w:szCs w:val="20"/>
                <w:lang w:val="en-GB"/>
              </w:rPr>
              <w:t xml:space="preserve">gastrointestinal haemorrhage, gingival bleeding, </w:t>
            </w:r>
            <w:r w:rsidRPr="00D442F1" w:rsidR="000C2E18">
              <w:rPr>
                <w:rFonts w:ascii="Times New Roman" w:hAnsi="Times New Roman" w:cs="Times New Roman"/>
                <w:szCs w:val="20"/>
                <w:lang w:val="en-GB"/>
              </w:rPr>
              <w:t xml:space="preserve">haematochezia, </w:t>
            </w:r>
            <w:r w:rsidRPr="00176BAE">
              <w:rPr>
                <w:rFonts w:ascii="Times New Roman" w:hAnsi="Times New Roman" w:cs="Times New Roman"/>
                <w:szCs w:val="20"/>
                <w:lang w:val="en-GB"/>
              </w:rPr>
              <w:t xml:space="preserve">haemarthrosis, haematemesis, haematuria, haemoptysis, </w:t>
            </w:r>
            <w:r w:rsidRPr="00D442F1" w:rsidR="000C2E18">
              <w:rPr>
                <w:rFonts w:ascii="Times New Roman" w:hAnsi="Times New Roman" w:cs="Times New Roman"/>
                <w:szCs w:val="20"/>
                <w:lang w:val="en-GB"/>
              </w:rPr>
              <w:t xml:space="preserve">large intestinal haemorrhage, </w:t>
            </w:r>
            <w:r w:rsidRPr="00176BAE">
              <w:rPr>
                <w:rFonts w:ascii="Times New Roman" w:hAnsi="Times New Roman" w:cs="Times New Roman"/>
                <w:szCs w:val="20"/>
                <w:lang w:val="en-GB"/>
              </w:rPr>
              <w:t xml:space="preserve">melaena, menorrhagia, mouth haemorrhage, peritoneal haematoma, petechiae, pharyngeal haemorrhage, </w:t>
            </w:r>
            <w:r w:rsidRPr="00D442F1" w:rsidR="000C2E18">
              <w:rPr>
                <w:rFonts w:ascii="Times New Roman" w:hAnsi="Times New Roman" w:cs="Times New Roman"/>
                <w:szCs w:val="20"/>
                <w:lang w:val="en-GB"/>
              </w:rPr>
              <w:t>post</w:t>
            </w:r>
            <w:r w:rsidRPr="00D442F1" w:rsidR="000C2E18">
              <w:rPr>
                <w:rFonts w:ascii="Times New Roman" w:hAnsi="Times New Roman" w:cs="Times New Roman"/>
                <w:szCs w:val="20"/>
                <w:lang w:val="en-GB"/>
              </w:rPr>
              <w:noBreakHyphen/>
              <w:t xml:space="preserve">procedural haemorrhage, pulmonary haemorrhage, </w:t>
            </w:r>
            <w:r w:rsidRPr="00176BAE">
              <w:rPr>
                <w:rFonts w:ascii="Times New Roman" w:hAnsi="Times New Roman" w:cs="Times New Roman"/>
                <w:szCs w:val="20"/>
                <w:lang w:val="en-GB"/>
              </w:rPr>
              <w:t>purpura, retinal haemorrhage</w:t>
            </w:r>
            <w:r w:rsidRPr="00D442F1" w:rsidR="000C2E18">
              <w:rPr>
                <w:rFonts w:ascii="Times New Roman" w:hAnsi="Times New Roman" w:cs="Times New Roman"/>
                <w:szCs w:val="20"/>
                <w:lang w:val="en-GB"/>
              </w:rPr>
              <w:t>, traumatic haematoma, tumour haemorrhage, upper gastrointestinal haemorrhage</w:t>
            </w:r>
            <w:r w:rsidRPr="00176BAE" w:rsidR="00EC0DF3">
              <w:rPr>
                <w:rFonts w:ascii="Times New Roman" w:hAnsi="Times New Roman" w:cs="Times New Roman"/>
                <w:szCs w:val="20"/>
                <w:lang w:val="en-GB"/>
              </w:rPr>
              <w:t xml:space="preserve"> and </w:t>
            </w:r>
            <w:r w:rsidRPr="00176BAE">
              <w:rPr>
                <w:rFonts w:ascii="Times New Roman" w:hAnsi="Times New Roman" w:cs="Times New Roman"/>
                <w:szCs w:val="20"/>
                <w:lang w:val="en-GB"/>
              </w:rPr>
              <w:t>vaginal haemorrhage</w:t>
            </w:r>
            <w:r w:rsidRPr="00D442F1" w:rsidR="00C22C66">
              <w:rPr>
                <w:rFonts w:ascii="Times New Roman" w:hAnsi="Times New Roman" w:cs="Times New Roman"/>
                <w:szCs w:val="20"/>
                <w:lang w:val="en-GB"/>
              </w:rPr>
              <w:t>.</w:t>
            </w:r>
          </w:p>
          <w:p w:rsidR="00740078" w:rsidRPr="00176BAE" w:rsidP="00A8406B" w14:paraId="23CE1B90"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3</w:t>
            </w:r>
            <w:r w:rsidRPr="00176BAE">
              <w:rPr>
                <w:rFonts w:ascii="Times New Roman" w:hAnsi="Times New Roman" w:cs="Times New Roman"/>
                <w:szCs w:val="20"/>
                <w:vertAlign w:val="superscript"/>
                <w:lang w:val="en-GB"/>
              </w:rPr>
              <w:t>)</w:t>
            </w:r>
            <w:r w:rsidRPr="00176BAE" w:rsidR="001F1B87">
              <w:rPr>
                <w:rFonts w:ascii="Times New Roman" w:hAnsi="Times New Roman" w:cs="Times New Roman"/>
                <w:szCs w:val="20"/>
                <w:vertAlign w:val="superscript"/>
                <w:lang w:val="en-GB"/>
              </w:rPr>
              <w:tab/>
            </w:r>
            <w:r w:rsidRPr="00176BAE">
              <w:rPr>
                <w:rFonts w:ascii="Times New Roman" w:hAnsi="Times New Roman" w:cs="Times New Roman"/>
                <w:szCs w:val="20"/>
                <w:lang w:val="en-GB"/>
              </w:rPr>
              <w:t>Hypogammaglobulinaemia includes immunoglobulins decreased, blood immunoglobulin A decreased, blood immunoglobulin G decreased, blood immunoglobulin M decreased, immunodeficiency, immunodeficiency common variable and hypogammaglobulinaemia.</w:t>
            </w:r>
          </w:p>
          <w:p w:rsidR="00740078" w:rsidRPr="00176BAE" w:rsidP="00A8406B" w14:paraId="350425DA" w14:textId="3CF818B8">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4</w:t>
            </w:r>
            <w:r w:rsidRPr="00D442F1" w:rsidR="00650FA6">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Delirium includes agitation, delirium, hallucination, hallucination visual, irritability and restlessness.</w:t>
            </w:r>
          </w:p>
          <w:p w:rsidR="00740078" w:rsidRPr="00176BAE" w:rsidP="00A8406B" w14:paraId="7B2CDB0F" w14:textId="14D92044">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5</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Sleep disorder includes sleep disorder, insomnia and nightmare.</w:t>
            </w:r>
          </w:p>
          <w:p w:rsidR="00740078" w:rsidRPr="00176BAE" w:rsidP="00A8406B" w14:paraId="02DCB781" w14:textId="68B786E0">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6</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Headache includes headache and migraine.</w:t>
            </w:r>
          </w:p>
          <w:p w:rsidR="00740078" w:rsidRPr="00176BAE" w:rsidP="00A8406B" w14:paraId="68787673" w14:textId="51AC07CC">
            <w:pPr>
              <w:pStyle w:val="Legend"/>
              <w:keepLines w:val="0"/>
              <w:widowControl w:val="0"/>
              <w:tabs>
                <w:tab w:val="clear" w:pos="284"/>
                <w:tab w:val="left" w:pos="567"/>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7</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Encephalopathy includes depressed level of consciousness, mental status changes, automatism, cognitive disorder, confusional state, disturbance in attention, encephalopathy, somnolence, lethargy, memory impairment, metabolic encephalopathy and thinking abnormal.</w:t>
            </w:r>
          </w:p>
          <w:p w:rsidR="003C4DC3" w:rsidRPr="00176BAE" w:rsidP="003C4DC3" w14:paraId="7F411A6D" w14:textId="77777777">
            <w:pPr>
              <w:pStyle w:val="Legend"/>
              <w:keepLines w:val="0"/>
              <w:widowControl w:val="0"/>
              <w:tabs>
                <w:tab w:val="clear" w:pos="284"/>
                <w:tab w:val="left" w:pos="567"/>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8)</w:t>
            </w:r>
            <w:r w:rsidRPr="00176BAE">
              <w:rPr>
                <w:rFonts w:ascii="Times New Roman" w:hAnsi="Times New Roman" w:cs="Times New Roman"/>
                <w:szCs w:val="20"/>
                <w:lang w:val="en-GB"/>
              </w:rPr>
              <w:tab/>
              <w:t>Dizziness includes dizziness, presyncope and syncope.</w:t>
            </w:r>
          </w:p>
          <w:p w:rsidR="003C4DC3" w:rsidRPr="00176BAE" w:rsidP="003C4DC3" w14:paraId="369BF9B8" w14:textId="4FB40389">
            <w:pPr>
              <w:pStyle w:val="Legend"/>
              <w:keepLines w:val="0"/>
              <w:widowControl w:val="0"/>
              <w:tabs>
                <w:tab w:val="clear" w:pos="284"/>
                <w:tab w:val="left" w:pos="567"/>
              </w:tabs>
              <w:spacing w:before="0" w:after="0"/>
              <w:ind w:left="567" w:hanging="567"/>
              <w:rPr>
                <w:rFonts w:ascii="Times New Roman" w:hAnsi="Times New Roman" w:cs="Times New Roman"/>
                <w:szCs w:val="20"/>
              </w:rPr>
            </w:pPr>
            <w:r w:rsidRPr="00D442F1">
              <w:rPr>
                <w:rFonts w:ascii="Times New Roman" w:hAnsi="Times New Roman" w:cs="Times New Roman"/>
                <w:szCs w:val="20"/>
                <w:vertAlign w:val="superscript"/>
                <w:lang w:val="en-GB"/>
              </w:rPr>
              <w:t>9</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Peripheral neuropathy includes paraesthesia, peripheral sensory neuropathy, neuropathy peripheral, hyperaesthesia and hypoaesthesia.</w:t>
            </w:r>
          </w:p>
          <w:p w:rsidR="003C4DC3" w:rsidRPr="00176BAE" w:rsidP="003C4DC3" w14:paraId="3C847381" w14:textId="2056E8AC">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10</w:t>
            </w:r>
            <w:r w:rsidRPr="00D442F1" w:rsidR="008F7505">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Tremor includes dyskinesia and tremor.</w:t>
            </w:r>
          </w:p>
          <w:p w:rsidR="003C4DC3" w:rsidRPr="00176BAE" w:rsidP="003C4DC3" w14:paraId="404FFEFE"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11)</w:t>
            </w:r>
            <w:r w:rsidRPr="00176BAE">
              <w:rPr>
                <w:rFonts w:ascii="Times New Roman" w:hAnsi="Times New Roman" w:cs="Times New Roman"/>
                <w:szCs w:val="20"/>
                <w:lang w:val="en-GB"/>
              </w:rPr>
              <w:tab/>
              <w:t>Motor dysfunction includes muscle spasms, muscle twitching, myoclonus and myopathy.</w:t>
            </w:r>
          </w:p>
          <w:p w:rsidR="003C4DC3" w:rsidRPr="00D442F1" w:rsidP="003C4DC3" w14:paraId="746987F2" w14:textId="39121B34">
            <w:pPr>
              <w:pStyle w:val="Legend"/>
              <w:keepLines w:val="0"/>
              <w:widowControl w:val="0"/>
              <w:tabs>
                <w:tab w:val="clear" w:pos="284"/>
              </w:tabs>
              <w:spacing w:before="0" w:after="0"/>
              <w:ind w:left="567" w:hanging="567"/>
              <w:rPr>
                <w:rFonts w:ascii="Times New Roman" w:hAnsi="Times New Roman" w:cs="Times New Roman"/>
                <w:szCs w:val="20"/>
                <w:lang w:val="en-GB"/>
              </w:rPr>
            </w:pPr>
            <w:r w:rsidRPr="00D442F1">
              <w:rPr>
                <w:rFonts w:ascii="Times New Roman" w:hAnsi="Times New Roman" w:cs="Times New Roman"/>
                <w:szCs w:val="20"/>
                <w:vertAlign w:val="superscript"/>
                <w:lang w:val="en-GB"/>
              </w:rPr>
              <w:t>12)</w:t>
            </w:r>
            <w:r w:rsidRPr="00D442F1">
              <w:rPr>
                <w:rFonts w:ascii="Times New Roman" w:hAnsi="Times New Roman" w:cs="Times New Roman"/>
                <w:szCs w:val="20"/>
                <w:lang w:val="en-GB"/>
              </w:rPr>
              <w:tab/>
              <w:t>Seizure includes seizure, generalised tonic</w:t>
            </w:r>
            <w:r w:rsidRPr="00D442F1">
              <w:rPr>
                <w:rFonts w:ascii="Times New Roman" w:hAnsi="Times New Roman" w:cs="Times New Roman"/>
                <w:szCs w:val="20"/>
                <w:lang w:val="en-GB"/>
              </w:rPr>
              <w:noBreakHyphen/>
              <w:t>clonic seizures and status epilepticus.</w:t>
            </w:r>
          </w:p>
          <w:p w:rsidR="003C4DC3" w:rsidRPr="00176BAE" w:rsidP="003C4DC3" w14:paraId="18C7E32F" w14:textId="47F88439">
            <w:pPr>
              <w:pStyle w:val="Legend"/>
              <w:keepLines w:val="0"/>
              <w:widowControl w:val="0"/>
              <w:tabs>
                <w:tab w:val="clear" w:pos="284"/>
              </w:tabs>
              <w:spacing w:before="0" w:after="0"/>
              <w:ind w:left="567" w:hanging="567"/>
              <w:rPr>
                <w:rFonts w:ascii="Times New Roman" w:hAnsi="Times New Roman" w:cs="Times New Roman"/>
                <w:szCs w:val="20"/>
                <w:lang w:val="en-GB"/>
              </w:rPr>
            </w:pPr>
            <w:r w:rsidRPr="00D442F1">
              <w:rPr>
                <w:rFonts w:ascii="Times New Roman" w:hAnsi="Times New Roman" w:cs="Times New Roman"/>
                <w:szCs w:val="20"/>
                <w:vertAlign w:val="superscript"/>
                <w:lang w:val="en-GB"/>
              </w:rPr>
              <w:t>13</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Speech disorders includes speech disorders, dysarthria and aphasia.</w:t>
            </w:r>
          </w:p>
          <w:p w:rsidR="003C4DC3" w:rsidRPr="00176BAE" w:rsidP="003C4DC3" w14:paraId="2CC21C6A"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14)</w:t>
            </w:r>
            <w:r w:rsidRPr="00176BAE">
              <w:rPr>
                <w:rFonts w:ascii="Times New Roman" w:hAnsi="Times New Roman" w:cs="Times New Roman"/>
                <w:szCs w:val="20"/>
                <w:lang w:val="en-GB"/>
              </w:rPr>
              <w:tab/>
              <w:t>Neuralgia includes neuralgia and sciatica.</w:t>
            </w:r>
          </w:p>
          <w:p w:rsidR="003C4DC3" w:rsidRPr="00176BAE" w:rsidP="003C4DC3" w14:paraId="2DC8EB58"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15)</w:t>
            </w:r>
            <w:r w:rsidRPr="00176BAE">
              <w:rPr>
                <w:rFonts w:ascii="Times New Roman" w:hAnsi="Times New Roman" w:cs="Times New Roman"/>
                <w:szCs w:val="20"/>
                <w:lang w:val="en-GB"/>
              </w:rPr>
              <w:tab/>
              <w:t>Ataxia includes ataxia and dysmetria.</w:t>
            </w:r>
          </w:p>
          <w:p w:rsidR="003C4DC3" w:rsidRPr="00176BAE" w:rsidP="003C4DC3" w14:paraId="0FF96AD6"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16)</w:t>
            </w:r>
            <w:r w:rsidRPr="00176BAE">
              <w:rPr>
                <w:rFonts w:ascii="Times New Roman" w:hAnsi="Times New Roman" w:cs="Times New Roman"/>
                <w:szCs w:val="20"/>
                <w:lang w:val="en-GB"/>
              </w:rPr>
              <w:tab/>
              <w:t>Visual impairment includes vision blurred and visual impairment.</w:t>
            </w:r>
          </w:p>
          <w:p w:rsidR="003C4DC3" w:rsidRPr="00176BAE" w:rsidP="003C4DC3" w14:paraId="6E843B60"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17)</w:t>
            </w:r>
            <w:r w:rsidRPr="00176BAE">
              <w:rPr>
                <w:rFonts w:ascii="Times New Roman" w:hAnsi="Times New Roman" w:cs="Times New Roman"/>
                <w:szCs w:val="20"/>
                <w:vertAlign w:val="superscript"/>
                <w:lang w:val="en-GB"/>
              </w:rPr>
              <w:tab/>
            </w:r>
            <w:r w:rsidRPr="00176BAE">
              <w:rPr>
                <w:rFonts w:ascii="Times New Roman" w:hAnsi="Times New Roman" w:cs="Times New Roman"/>
                <w:color w:val="000000"/>
                <w:szCs w:val="20"/>
                <w:lang w:val="en-GB"/>
              </w:rPr>
              <w:t xml:space="preserve">Arrhythmia includes atrial fibrillation, supraventricular tachycardia, </w:t>
            </w:r>
            <w:r w:rsidRPr="00176BAE">
              <w:rPr>
                <w:rFonts w:ascii="Times New Roman" w:hAnsi="Times New Roman" w:cs="Times New Roman"/>
                <w:szCs w:val="20"/>
                <w:lang w:val="en-GB"/>
              </w:rPr>
              <w:t>tachycardia and ventricular extrasystoles.</w:t>
            </w:r>
          </w:p>
          <w:p w:rsidR="003C4DC3" w:rsidRPr="00176BAE" w:rsidP="003C4DC3" w14:paraId="7398A012" w14:textId="62E8AFEC">
            <w:pPr>
              <w:pStyle w:val="Legend"/>
              <w:keepLines w:val="0"/>
              <w:widowControl w:val="0"/>
              <w:tabs>
                <w:tab w:val="clear" w:pos="284"/>
              </w:tabs>
              <w:spacing w:before="0" w:after="0"/>
              <w:ind w:left="567" w:hanging="567"/>
              <w:rPr>
                <w:rFonts w:ascii="Times New Roman" w:hAnsi="Times New Roman" w:cs="Times New Roman"/>
                <w:szCs w:val="20"/>
                <w:lang w:val="en-GB"/>
              </w:rPr>
            </w:pPr>
            <w:r w:rsidRPr="00D442F1">
              <w:rPr>
                <w:rFonts w:ascii="Times New Roman" w:hAnsi="Times New Roman" w:cs="Times New Roman"/>
                <w:szCs w:val="20"/>
                <w:vertAlign w:val="superscript"/>
                <w:lang w:val="en-GB"/>
              </w:rPr>
              <w:t>18</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Cardiac failure includes cardiac failure, left ventricular dysfunction, cardiac failure congestive and right ventricular dysfunction.</w:t>
            </w:r>
          </w:p>
          <w:p w:rsidR="003C4DC3" w:rsidRPr="00176BAE" w:rsidP="003C4DC3" w14:paraId="48CF841A"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19)</w:t>
            </w:r>
            <w:r w:rsidRPr="00176BAE">
              <w:rPr>
                <w:rFonts w:ascii="Times New Roman" w:hAnsi="Times New Roman" w:cs="Times New Roman"/>
                <w:szCs w:val="20"/>
                <w:lang w:val="en-GB"/>
              </w:rPr>
              <w:tab/>
              <w:t>Hypotension includes hypotension and orthostatic hypotension.</w:t>
            </w:r>
          </w:p>
          <w:p w:rsidR="003C4DC3" w:rsidRPr="00176BAE" w:rsidP="003C4DC3" w14:paraId="5C0BC2F1"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20)</w:t>
            </w:r>
            <w:r w:rsidRPr="00176BAE">
              <w:rPr>
                <w:rFonts w:ascii="Times New Roman" w:hAnsi="Times New Roman" w:cs="Times New Roman"/>
                <w:szCs w:val="20"/>
                <w:lang w:val="en-GB"/>
              </w:rPr>
              <w:tab/>
              <w:t>Thrombosis includes deep vein thrombosis, embolism, pulmonary embolism, thrombosis, vena cava thrombosis and venous thrombosis.</w:t>
            </w:r>
          </w:p>
          <w:p w:rsidR="003C4DC3" w:rsidRPr="00176BAE" w:rsidP="003C4DC3" w14:paraId="1413A239" w14:textId="6FD6A689">
            <w:pPr>
              <w:pStyle w:val="Legend"/>
              <w:keepLines w:val="0"/>
              <w:widowControl w:val="0"/>
              <w:tabs>
                <w:tab w:val="clear" w:pos="284"/>
              </w:tabs>
              <w:spacing w:before="0" w:after="0"/>
              <w:ind w:left="567" w:hanging="567"/>
              <w:rPr>
                <w:rFonts w:ascii="Times New Roman" w:hAnsi="Times New Roman" w:cs="Times New Roman"/>
                <w:szCs w:val="20"/>
                <w:lang w:val="en-GB"/>
              </w:rPr>
            </w:pPr>
            <w:r w:rsidRPr="00D442F1">
              <w:rPr>
                <w:rFonts w:ascii="Times New Roman" w:hAnsi="Times New Roman" w:cs="Times New Roman"/>
                <w:szCs w:val="20"/>
                <w:vertAlign w:val="superscript"/>
                <w:lang w:val="en-GB"/>
              </w:rPr>
              <w:t>21</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Cough includes cough, productive cough and upper</w:t>
            </w:r>
            <w:r w:rsidRPr="00176BAE">
              <w:rPr>
                <w:rFonts w:ascii="Times New Roman" w:hAnsi="Times New Roman" w:cs="Times New Roman"/>
                <w:szCs w:val="20"/>
                <w:lang w:val="en-GB"/>
              </w:rPr>
              <w:noBreakHyphen/>
              <w:t>airway cough syndrome.</w:t>
            </w:r>
          </w:p>
          <w:p w:rsidR="003C4DC3" w:rsidRPr="00176BAE" w:rsidP="003C4DC3" w14:paraId="5043254B" w14:textId="18BFBAC7">
            <w:pPr>
              <w:pStyle w:val="Legend"/>
              <w:keepLines w:val="0"/>
              <w:widowControl w:val="0"/>
              <w:tabs>
                <w:tab w:val="clear" w:pos="284"/>
              </w:tabs>
              <w:spacing w:before="0" w:after="0"/>
              <w:ind w:left="567" w:hanging="567"/>
              <w:rPr>
                <w:rFonts w:ascii="Times New Roman" w:hAnsi="Times New Roman" w:cs="Times New Roman"/>
                <w:szCs w:val="20"/>
                <w:lang w:val="en-GB"/>
              </w:rPr>
            </w:pPr>
            <w:r w:rsidRPr="00D442F1">
              <w:rPr>
                <w:rFonts w:ascii="Times New Roman" w:hAnsi="Times New Roman" w:cs="Times New Roman"/>
                <w:szCs w:val="20"/>
                <w:vertAlign w:val="superscript"/>
                <w:lang w:val="en-GB"/>
              </w:rPr>
              <w:t>22</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r>
            <w:r w:rsidRPr="00176BAE">
              <w:rPr>
                <w:rFonts w:ascii="Times New Roman" w:hAnsi="Times New Roman" w:cs="Times New Roman"/>
                <w:color w:val="000000"/>
                <w:szCs w:val="20"/>
                <w:lang w:val="en-GB"/>
              </w:rPr>
              <w:t>Dyspnoea includes dyspnoea, dyspnoea exertional, respiratory distress and respiratory failure.</w:t>
            </w:r>
          </w:p>
          <w:p w:rsidR="003C4DC3" w:rsidRPr="00176BAE" w:rsidP="003C4DC3" w14:paraId="0AA1BB71"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23)</w:t>
            </w:r>
            <w:r w:rsidRPr="00176BAE">
              <w:rPr>
                <w:rFonts w:ascii="Times New Roman" w:hAnsi="Times New Roman" w:cs="Times New Roman"/>
                <w:szCs w:val="20"/>
                <w:lang w:val="en-GB"/>
              </w:rPr>
              <w:tab/>
              <w:t>Oropharyngeal pain includes oral pain and oropharyngeal pain.</w:t>
            </w:r>
          </w:p>
          <w:p w:rsidR="003C4DC3" w:rsidRPr="00176BAE" w:rsidP="003C4DC3" w14:paraId="79A08E87" w14:textId="77777777">
            <w:pPr>
              <w:pStyle w:val="Legend"/>
              <w:keepLines w:val="0"/>
              <w:widowControl w:val="0"/>
              <w:tabs>
                <w:tab w:val="clear" w:pos="284"/>
              </w:tabs>
              <w:spacing w:before="0" w:after="0"/>
              <w:ind w:left="567" w:hanging="567"/>
              <w:rPr>
                <w:rFonts w:ascii="Times New Roman" w:hAnsi="Times New Roman" w:cs="Times New Roman"/>
                <w:szCs w:val="20"/>
                <w:lang w:val="en-GB"/>
              </w:rPr>
            </w:pPr>
            <w:r w:rsidRPr="00176BAE">
              <w:rPr>
                <w:rFonts w:ascii="Times New Roman" w:hAnsi="Times New Roman" w:cs="Times New Roman"/>
                <w:szCs w:val="20"/>
                <w:vertAlign w:val="superscript"/>
                <w:lang w:val="en-GB"/>
              </w:rPr>
              <w:t>24)</w:t>
            </w:r>
            <w:r w:rsidRPr="00176BAE">
              <w:rPr>
                <w:rFonts w:ascii="Times New Roman" w:hAnsi="Times New Roman" w:cs="Times New Roman"/>
                <w:szCs w:val="20"/>
                <w:lang w:val="en-GB"/>
              </w:rPr>
              <w:tab/>
              <w:t>Pulmonary oedema includes acute pulmonary oedema and pulmonary oedema</w:t>
            </w:r>
          </w:p>
          <w:p w:rsidR="003C4DC3" w:rsidRPr="00176BAE" w:rsidP="003C4DC3" w14:paraId="3AFA9E1D" w14:textId="0E6D1214">
            <w:pPr>
              <w:pStyle w:val="Legend"/>
              <w:keepLines w:val="0"/>
              <w:widowControl w:val="0"/>
              <w:tabs>
                <w:tab w:val="clear" w:pos="284"/>
              </w:tabs>
              <w:spacing w:before="0" w:after="0"/>
              <w:ind w:left="567" w:hanging="567"/>
              <w:rPr>
                <w:rFonts w:ascii="Times New Roman" w:hAnsi="Times New Roman" w:cs="Times New Roman"/>
                <w:szCs w:val="20"/>
                <w:lang w:val="en-GB"/>
              </w:rPr>
            </w:pPr>
            <w:r w:rsidRPr="00D442F1">
              <w:rPr>
                <w:rFonts w:ascii="Times New Roman" w:hAnsi="Times New Roman" w:cs="Times New Roman"/>
                <w:szCs w:val="20"/>
                <w:vertAlign w:val="superscript"/>
                <w:lang w:val="en-GB"/>
              </w:rPr>
              <w:t>25</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Abdominal pain includes abdominal pain, abdominal pain upper and abdominal discomfort.</w:t>
            </w:r>
          </w:p>
          <w:p w:rsidR="003C4DC3" w:rsidRPr="00176BAE" w:rsidP="003C4DC3" w14:paraId="3B909FA5" w14:textId="095B3C12">
            <w:pPr>
              <w:pStyle w:val="Legend"/>
              <w:keepLines w:val="0"/>
              <w:widowControl w:val="0"/>
              <w:tabs>
                <w:tab w:val="clear" w:pos="284"/>
              </w:tabs>
              <w:spacing w:before="0" w:after="0"/>
              <w:ind w:left="567" w:hanging="567"/>
              <w:rPr>
                <w:rFonts w:ascii="Times New Roman" w:hAnsi="Times New Roman" w:cs="Times New Roman"/>
                <w:szCs w:val="20"/>
              </w:rPr>
            </w:pPr>
            <w:r w:rsidRPr="00D442F1">
              <w:rPr>
                <w:rFonts w:ascii="Times New Roman" w:hAnsi="Times New Roman" w:cs="Times New Roman"/>
                <w:szCs w:val="20"/>
                <w:vertAlign w:val="superscript"/>
                <w:lang w:val="en-GB"/>
              </w:rPr>
              <w:t>26</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Rash includes dermatitis, dermatitis acneiform, dermatitis contact,</w:t>
            </w:r>
            <w:r w:rsidRPr="00D442F1">
              <w:rPr>
                <w:rFonts w:ascii="Times New Roman" w:hAnsi="Times New Roman" w:cs="Times New Roman"/>
                <w:sz w:val="22"/>
                <w:szCs w:val="22"/>
                <w:lang w:val="en-GB"/>
              </w:rPr>
              <w:t xml:space="preserve"> </w:t>
            </w:r>
            <w:r w:rsidRPr="00176BAE">
              <w:rPr>
                <w:rFonts w:ascii="Times New Roman" w:hAnsi="Times New Roman" w:cs="Times New Roman"/>
                <w:szCs w:val="20"/>
                <w:lang w:val="en-GB"/>
              </w:rPr>
              <w:t>rash, rash maculo</w:t>
            </w:r>
            <w:r w:rsidRPr="00176BAE">
              <w:rPr>
                <w:rFonts w:ascii="Times New Roman" w:hAnsi="Times New Roman" w:cs="Times New Roman"/>
                <w:szCs w:val="20"/>
                <w:lang w:val="en-GB"/>
              </w:rPr>
              <w:noBreakHyphen/>
              <w:t>papular, rash papular and rash pruritic.</w:t>
            </w:r>
          </w:p>
          <w:p w:rsidR="003C4DC3" w:rsidRPr="00176BAE" w:rsidP="003C4DC3" w14:paraId="36494001" w14:textId="0C1C37DD">
            <w:pPr>
              <w:pStyle w:val="Legend"/>
              <w:keepLines w:val="0"/>
              <w:widowControl w:val="0"/>
              <w:tabs>
                <w:tab w:val="clear" w:pos="284"/>
              </w:tabs>
              <w:spacing w:before="0" w:after="0"/>
              <w:ind w:left="567" w:hanging="567"/>
              <w:rPr>
                <w:rFonts w:ascii="Times New Roman" w:hAnsi="Times New Roman" w:cs="Times New Roman"/>
                <w:szCs w:val="20"/>
                <w:lang w:val="en-GB"/>
              </w:rPr>
            </w:pPr>
            <w:r w:rsidRPr="00D442F1">
              <w:rPr>
                <w:rFonts w:ascii="Times New Roman" w:hAnsi="Times New Roman" w:cs="Times New Roman"/>
                <w:szCs w:val="20"/>
                <w:vertAlign w:val="superscript"/>
                <w:lang w:val="en-GB"/>
              </w:rPr>
              <w:t>27</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Acute kidney injury includes acute kidney injury, anuria, azotaemia, blood creatinine abnormal,</w:t>
            </w:r>
            <w:r w:rsidRPr="00D442F1">
              <w:rPr>
                <w:rFonts w:ascii="Times New Roman" w:hAnsi="Times New Roman" w:cs="Times New Roman"/>
                <w:sz w:val="22"/>
                <w:szCs w:val="22"/>
                <w:lang w:val="en-GB"/>
              </w:rPr>
              <w:t xml:space="preserve"> </w:t>
            </w:r>
            <w:r w:rsidRPr="00176BAE">
              <w:rPr>
                <w:rFonts w:ascii="Times New Roman" w:hAnsi="Times New Roman" w:cs="Times New Roman"/>
                <w:szCs w:val="20"/>
                <w:lang w:val="en-GB"/>
              </w:rPr>
              <w:t>blood creatinine increased, renal failure, renal tubular dysfunction and renal tubular necrosis.</w:t>
            </w:r>
          </w:p>
          <w:p w:rsidR="003C4DC3" w:rsidRPr="00176BAE" w:rsidP="003C4DC3" w14:paraId="66174CEF" w14:textId="77777777">
            <w:pPr>
              <w:pStyle w:val="Legend"/>
              <w:keepLines w:val="0"/>
              <w:widowControl w:val="0"/>
              <w:tabs>
                <w:tab w:val="clear" w:pos="284"/>
              </w:tabs>
              <w:spacing w:before="0" w:after="0"/>
              <w:ind w:left="601" w:hanging="567"/>
              <w:rPr>
                <w:rFonts w:ascii="Times New Roman" w:hAnsi="Times New Roman" w:cs="Times New Roman"/>
                <w:szCs w:val="20"/>
                <w:lang w:val="fr-CH"/>
              </w:rPr>
            </w:pPr>
            <w:r w:rsidRPr="00176BAE">
              <w:rPr>
                <w:rFonts w:ascii="Times New Roman" w:hAnsi="Times New Roman" w:cs="Times New Roman"/>
                <w:szCs w:val="20"/>
                <w:vertAlign w:val="superscript"/>
                <w:lang w:val="fr-CH"/>
              </w:rPr>
              <w:t>28)</w:t>
            </w:r>
            <w:r w:rsidRPr="00176BAE">
              <w:rPr>
                <w:rFonts w:ascii="Times New Roman" w:hAnsi="Times New Roman" w:cs="Times New Roman"/>
                <w:szCs w:val="20"/>
                <w:lang w:val="fr-CH"/>
              </w:rPr>
              <w:tab/>
              <w:t>Fatigue includes fatigue and malaise.</w:t>
            </w:r>
          </w:p>
          <w:p w:rsidR="003C4DC3" w:rsidRPr="00176BAE" w:rsidP="003C4DC3" w14:paraId="33292FA5" w14:textId="2755097D">
            <w:pPr>
              <w:pStyle w:val="Legend"/>
              <w:keepLines w:val="0"/>
              <w:widowControl w:val="0"/>
              <w:tabs>
                <w:tab w:val="clear" w:pos="284"/>
              </w:tabs>
              <w:spacing w:before="0" w:after="0"/>
              <w:ind w:left="601" w:hanging="567"/>
              <w:rPr>
                <w:rFonts w:ascii="Times New Roman" w:hAnsi="Times New Roman" w:cs="Times New Roman"/>
                <w:color w:val="000000"/>
                <w:szCs w:val="20"/>
                <w:lang w:val="en-GB"/>
              </w:rPr>
            </w:pPr>
            <w:r w:rsidRPr="00D442F1">
              <w:rPr>
                <w:rFonts w:ascii="Times New Roman" w:hAnsi="Times New Roman" w:cs="Times New Roman"/>
                <w:szCs w:val="20"/>
                <w:vertAlign w:val="superscript"/>
                <w:lang w:val="en-GB"/>
              </w:rPr>
              <w:t>29</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r>
            <w:r w:rsidRPr="00176BAE">
              <w:rPr>
                <w:rFonts w:ascii="Times New Roman" w:hAnsi="Times New Roman" w:cs="Times New Roman"/>
                <w:color w:val="000000"/>
                <w:szCs w:val="20"/>
                <w:lang w:val="en-GB"/>
              </w:rPr>
              <w:t>Oedema includes oedema peripheral, generalised oedema, localised oedema</w:t>
            </w:r>
            <w:r w:rsidRPr="00D442F1">
              <w:rPr>
                <w:rFonts w:ascii="Times New Roman" w:hAnsi="Times New Roman" w:cs="Times New Roman"/>
                <w:color w:val="000000"/>
                <w:szCs w:val="20"/>
                <w:lang w:val="en-GB"/>
              </w:rPr>
              <w:t>,</w:t>
            </w:r>
            <w:r w:rsidRPr="00176BAE">
              <w:rPr>
                <w:rFonts w:ascii="Times New Roman" w:hAnsi="Times New Roman" w:cs="Times New Roman"/>
                <w:color w:val="000000"/>
                <w:szCs w:val="20"/>
                <w:lang w:val="en-GB"/>
              </w:rPr>
              <w:t xml:space="preserve"> face oedema and peripheral swelling.</w:t>
            </w:r>
          </w:p>
          <w:p w:rsidR="003C4DC3" w:rsidRPr="00176BAE" w:rsidP="003C4DC3" w14:paraId="4E159925" w14:textId="0459C57F">
            <w:pPr>
              <w:pStyle w:val="Legend"/>
              <w:keepLines w:val="0"/>
              <w:widowControl w:val="0"/>
              <w:tabs>
                <w:tab w:val="clear" w:pos="284"/>
              </w:tabs>
              <w:spacing w:before="0" w:after="0"/>
              <w:ind w:left="601" w:hanging="567"/>
              <w:rPr>
                <w:rFonts w:ascii="Times New Roman" w:hAnsi="Times New Roman" w:cs="Times New Roman"/>
                <w:szCs w:val="20"/>
                <w:lang w:val="en-GB"/>
              </w:rPr>
            </w:pPr>
            <w:r w:rsidRPr="00D442F1">
              <w:rPr>
                <w:rFonts w:ascii="Times New Roman" w:hAnsi="Times New Roman" w:cs="Times New Roman"/>
                <w:szCs w:val="20"/>
                <w:vertAlign w:val="superscript"/>
                <w:lang w:val="en-GB"/>
              </w:rPr>
              <w:t>30</w:t>
            </w:r>
            <w:r w:rsidRPr="00176BAE">
              <w:rPr>
                <w:rFonts w:ascii="Times New Roman" w:hAnsi="Times New Roman" w:cs="Times New Roman"/>
                <w:szCs w:val="20"/>
                <w:vertAlign w:val="superscript"/>
                <w:lang w:val="en-GB"/>
              </w:rPr>
              <w:t>)</w:t>
            </w:r>
            <w:r w:rsidRPr="00176BAE">
              <w:rPr>
                <w:rFonts w:ascii="Times New Roman" w:hAnsi="Times New Roman" w:cs="Times New Roman"/>
                <w:szCs w:val="20"/>
                <w:lang w:val="en-GB"/>
              </w:rPr>
              <w:tab/>
              <w:t>Pain includes pain and pain in extremity.</w:t>
            </w:r>
          </w:p>
          <w:p w:rsidR="00740078" w:rsidRPr="00D442F1" w:rsidP="003C4DC3" w14:paraId="11110EDE" w14:textId="5A119569">
            <w:pPr>
              <w:pStyle w:val="Legend"/>
              <w:keepLines w:val="0"/>
              <w:widowControl w:val="0"/>
              <w:tabs>
                <w:tab w:val="clear" w:pos="284"/>
              </w:tabs>
              <w:spacing w:before="0" w:after="0"/>
              <w:ind w:left="567" w:hanging="567"/>
              <w:rPr>
                <w:rFonts w:ascii="Times New Roman" w:hAnsi="Times New Roman" w:cs="Times New Roman"/>
                <w:sz w:val="22"/>
                <w:szCs w:val="22"/>
                <w:vertAlign w:val="superscript"/>
                <w:lang w:val="en-GB"/>
              </w:rPr>
            </w:pPr>
            <w:r w:rsidRPr="00D442F1">
              <w:rPr>
                <w:szCs w:val="20"/>
              </w:rPr>
              <w:t>*</w:t>
            </w:r>
            <w:r w:rsidRPr="00D442F1">
              <w:rPr>
                <w:szCs w:val="20"/>
              </w:rPr>
              <w:tab/>
            </w:r>
            <w:r w:rsidRPr="00D442F1">
              <w:rPr>
                <w:rFonts w:ascii="Times New Roman" w:hAnsi="Times New Roman" w:cs="Times New Roman"/>
                <w:szCs w:val="20"/>
              </w:rPr>
              <w:t>Frequency is based on laboratory values. Patients are counted only for the worst grade observed post baseline.</w:t>
            </w:r>
          </w:p>
        </w:tc>
      </w:tr>
    </w:tbl>
    <w:p w:rsidR="00C35BDF" w:rsidRPr="00D442F1" w:rsidP="00166894" w14:paraId="3F8219F3" w14:textId="77777777">
      <w:pPr>
        <w:widowControl w:val="0"/>
        <w:tabs>
          <w:tab w:val="clear" w:pos="567"/>
        </w:tabs>
        <w:autoSpaceDE w:val="0"/>
        <w:autoSpaceDN w:val="0"/>
        <w:adjustRightInd w:val="0"/>
        <w:spacing w:line="240" w:lineRule="auto"/>
        <w:rPr>
          <w:noProof/>
          <w:szCs w:val="22"/>
        </w:rPr>
      </w:pPr>
    </w:p>
    <w:p w:rsidR="00E23F23" w:rsidRPr="00D442F1" w:rsidP="00166894" w14:paraId="7D2A5691" w14:textId="77777777">
      <w:pPr>
        <w:keepNext/>
        <w:widowControl w:val="0"/>
        <w:tabs>
          <w:tab w:val="clear" w:pos="567"/>
        </w:tabs>
        <w:autoSpaceDE w:val="0"/>
        <w:autoSpaceDN w:val="0"/>
        <w:adjustRightInd w:val="0"/>
        <w:spacing w:line="240" w:lineRule="auto"/>
        <w:rPr>
          <w:noProof/>
          <w:szCs w:val="22"/>
        </w:rPr>
      </w:pPr>
      <w:r w:rsidRPr="00D442F1">
        <w:rPr>
          <w:noProof/>
          <w:szCs w:val="22"/>
          <w:u w:val="single"/>
        </w:rPr>
        <w:t>Description of selected adverse drug reactions</w:t>
      </w:r>
    </w:p>
    <w:p w:rsidR="009F485A" w:rsidRPr="00D442F1" w:rsidP="00166894" w14:paraId="5C47E9F7" w14:textId="77777777">
      <w:pPr>
        <w:keepNext/>
        <w:widowControl w:val="0"/>
        <w:tabs>
          <w:tab w:val="clear" w:pos="567"/>
        </w:tabs>
        <w:autoSpaceDE w:val="0"/>
        <w:autoSpaceDN w:val="0"/>
        <w:adjustRightInd w:val="0"/>
        <w:spacing w:line="240" w:lineRule="auto"/>
      </w:pPr>
    </w:p>
    <w:p w:rsidR="00FE0BD6" w:rsidRPr="00D442F1" w:rsidP="00166894" w14:paraId="4DE79B25" w14:textId="77777777">
      <w:pPr>
        <w:keepNext/>
        <w:widowControl w:val="0"/>
        <w:tabs>
          <w:tab w:val="clear" w:pos="567"/>
        </w:tabs>
        <w:autoSpaceDE w:val="0"/>
        <w:autoSpaceDN w:val="0"/>
        <w:adjustRightInd w:val="0"/>
        <w:spacing w:line="240" w:lineRule="auto"/>
        <w:rPr>
          <w:u w:val="single"/>
        </w:rPr>
      </w:pPr>
      <w:r w:rsidRPr="00D442F1">
        <w:rPr>
          <w:i/>
          <w:u w:val="single"/>
        </w:rPr>
        <w:t>Cytokine release syndrome</w:t>
      </w:r>
    </w:p>
    <w:p w:rsidR="00FF1CE0" w:rsidRPr="00D442F1" w:rsidP="00166894" w14:paraId="4937C24B" w14:textId="25EAEEA4">
      <w:pPr>
        <w:widowControl w:val="0"/>
        <w:tabs>
          <w:tab w:val="clear" w:pos="567"/>
        </w:tabs>
        <w:autoSpaceDE w:val="0"/>
        <w:autoSpaceDN w:val="0"/>
        <w:adjustRightInd w:val="0"/>
        <w:spacing w:line="240" w:lineRule="auto"/>
      </w:pPr>
      <w:r w:rsidRPr="00D442F1">
        <w:t>In the ongoing clinical stud</w:t>
      </w:r>
      <w:r w:rsidRPr="00D442F1" w:rsidR="007D1B38">
        <w:t>y</w:t>
      </w:r>
      <w:r w:rsidRPr="00D442F1" w:rsidR="00472930">
        <w:t xml:space="preserve"> in </w:t>
      </w:r>
      <w:r w:rsidRPr="00D442F1" w:rsidR="00706DEB">
        <w:t>p</w:t>
      </w:r>
      <w:r w:rsidRPr="00D442F1" w:rsidR="00A668A5">
        <w:t>a</w:t>
      </w:r>
      <w:r w:rsidRPr="00D442F1" w:rsidR="00706DEB">
        <w:t xml:space="preserve">ediatric and young adult </w:t>
      </w:r>
      <w:r w:rsidRPr="00D442F1" w:rsidR="00472930">
        <w:t>B</w:t>
      </w:r>
      <w:r w:rsidRPr="00D442F1" w:rsidR="00591100">
        <w:noBreakHyphen/>
      </w:r>
      <w:r w:rsidRPr="00D442F1" w:rsidR="00472930">
        <w:t>cell ALL</w:t>
      </w:r>
      <w:r w:rsidRPr="00D442F1">
        <w:t xml:space="preserve"> (N=</w:t>
      </w:r>
      <w:r w:rsidRPr="00D442F1" w:rsidR="009F146F">
        <w:t>79</w:t>
      </w:r>
      <w:r w:rsidRPr="00D442F1">
        <w:t xml:space="preserve">), </w:t>
      </w:r>
      <w:r w:rsidRPr="00D442F1" w:rsidR="00C6018F">
        <w:rPr>
          <w:szCs w:val="22"/>
        </w:rPr>
        <w:t>c</w:t>
      </w:r>
      <w:r w:rsidRPr="00D442F1" w:rsidR="00C6018F">
        <w:rPr>
          <w:noProof/>
          <w:szCs w:val="22"/>
        </w:rPr>
        <w:t>ytokine release syndrome</w:t>
      </w:r>
      <w:r w:rsidRPr="00D442F1">
        <w:t xml:space="preserve"> </w:t>
      </w:r>
      <w:r w:rsidRPr="00D442F1" w:rsidR="00A96AB2">
        <w:t>was</w:t>
      </w:r>
      <w:r w:rsidRPr="00D442F1">
        <w:t xml:space="preserve"> reported in </w:t>
      </w:r>
      <w:r w:rsidRPr="00D442F1" w:rsidR="00EC5DC1">
        <w:t>77</w:t>
      </w:r>
      <w:r w:rsidRPr="00D442F1" w:rsidR="002B318C">
        <w:t>% of patients (</w:t>
      </w:r>
      <w:r w:rsidRPr="00D442F1" w:rsidR="00EC5DC1">
        <w:t>4</w:t>
      </w:r>
      <w:r w:rsidRPr="00D442F1" w:rsidR="009F146F">
        <w:t>8</w:t>
      </w:r>
      <w:r w:rsidRPr="00D442F1">
        <w:t xml:space="preserve">% </w:t>
      </w:r>
      <w:r w:rsidRPr="00D442F1" w:rsidR="002B318C">
        <w:t>with Grade</w:t>
      </w:r>
      <w:r w:rsidRPr="00D442F1" w:rsidR="005D7CA1">
        <w:t> </w:t>
      </w:r>
      <w:r w:rsidRPr="00D442F1" w:rsidR="002B318C">
        <w:t>3 or 4)</w:t>
      </w:r>
      <w:r w:rsidRPr="00D442F1" w:rsidR="00472930">
        <w:t>.</w:t>
      </w:r>
      <w:r w:rsidRPr="00D442F1" w:rsidR="003E3E05">
        <w:t xml:space="preserve"> Two deaths occurred within 30</w:t>
      </w:r>
      <w:r w:rsidRPr="00D442F1" w:rsidR="005A30B2">
        <w:t> </w:t>
      </w:r>
      <w:r w:rsidRPr="00D442F1" w:rsidR="003E3E05">
        <w:t xml:space="preserve">days of </w:t>
      </w:r>
      <w:r w:rsidRPr="00D442F1" w:rsidR="00960A20">
        <w:t xml:space="preserve">tisagenlecleucel </w:t>
      </w:r>
      <w:r w:rsidRPr="00D442F1" w:rsidR="005A30B2">
        <w:t>i</w:t>
      </w:r>
      <w:r w:rsidRPr="00D442F1" w:rsidR="003E3E05">
        <w:t>nfusion</w:t>
      </w:r>
      <w:r w:rsidRPr="00D442F1" w:rsidR="00960A20">
        <w:t xml:space="preserve">, including </w:t>
      </w:r>
      <w:r w:rsidRPr="00D442F1" w:rsidR="003E3E05">
        <w:t>one patient</w:t>
      </w:r>
      <w:r w:rsidRPr="00D442F1" w:rsidR="00960A20">
        <w:t>, who</w:t>
      </w:r>
      <w:r w:rsidRPr="00D442F1" w:rsidR="003E3E05">
        <w:t xml:space="preserve"> died </w:t>
      </w:r>
      <w:r w:rsidRPr="00D442F1" w:rsidR="00960A20">
        <w:t>from</w:t>
      </w:r>
      <w:r w:rsidRPr="00D442F1" w:rsidR="003E3E05">
        <w:t xml:space="preserve"> progressive leuk</w:t>
      </w:r>
      <w:r w:rsidRPr="00D442F1" w:rsidR="005A30B2">
        <w:t>a</w:t>
      </w:r>
      <w:r w:rsidRPr="00D442F1" w:rsidR="003E3E05">
        <w:t xml:space="preserve">emia </w:t>
      </w:r>
      <w:r w:rsidRPr="00D442F1" w:rsidR="00960A20">
        <w:t xml:space="preserve">in the setting of possible </w:t>
      </w:r>
      <w:r w:rsidRPr="00D442F1" w:rsidR="00CE65D6">
        <w:t>cytokine release syndrome</w:t>
      </w:r>
      <w:r w:rsidRPr="00D442F1" w:rsidR="00960A20">
        <w:t xml:space="preserve"> </w:t>
      </w:r>
      <w:r w:rsidRPr="00D442F1" w:rsidR="003E3E05">
        <w:t xml:space="preserve">and </w:t>
      </w:r>
      <w:r w:rsidRPr="00D442F1" w:rsidR="00960A20">
        <w:t>one</w:t>
      </w:r>
      <w:r w:rsidRPr="00D442F1" w:rsidR="003E3E05">
        <w:t xml:space="preserve"> patient </w:t>
      </w:r>
      <w:r w:rsidRPr="00D442F1" w:rsidR="00960A20">
        <w:t xml:space="preserve">who experienced fatal intracranial haemorrhage that developed during the course of </w:t>
      </w:r>
      <w:r w:rsidRPr="00D442F1" w:rsidR="003E3E05">
        <w:t>resolv</w:t>
      </w:r>
      <w:r w:rsidRPr="00D442F1" w:rsidR="00960A20">
        <w:t>ed</w:t>
      </w:r>
      <w:r w:rsidRPr="00D442F1" w:rsidR="003E3E05">
        <w:t xml:space="preserve"> </w:t>
      </w:r>
      <w:r w:rsidRPr="00D442F1" w:rsidR="00C6018F">
        <w:rPr>
          <w:szCs w:val="22"/>
        </w:rPr>
        <w:t>c</w:t>
      </w:r>
      <w:r w:rsidRPr="00D442F1" w:rsidR="00C6018F">
        <w:rPr>
          <w:noProof/>
          <w:szCs w:val="22"/>
        </w:rPr>
        <w:t>ytokine release syndrome</w:t>
      </w:r>
      <w:r w:rsidRPr="00D442F1" w:rsidR="00FA536E">
        <w:rPr>
          <w:noProof/>
          <w:szCs w:val="22"/>
        </w:rPr>
        <w:t>,</w:t>
      </w:r>
      <w:r w:rsidRPr="00D442F1" w:rsidR="003E3E05">
        <w:t xml:space="preserve"> abdominal compartment syndrome, coagulopathy and renal failure.</w:t>
      </w:r>
    </w:p>
    <w:p w:rsidR="00FF1CE0" w:rsidRPr="00D442F1" w:rsidP="00166894" w14:paraId="7B2587A4" w14:textId="77777777">
      <w:pPr>
        <w:widowControl w:val="0"/>
        <w:tabs>
          <w:tab w:val="clear" w:pos="567"/>
        </w:tabs>
        <w:autoSpaceDE w:val="0"/>
        <w:autoSpaceDN w:val="0"/>
        <w:adjustRightInd w:val="0"/>
        <w:spacing w:line="240" w:lineRule="auto"/>
      </w:pPr>
    </w:p>
    <w:p w:rsidR="001F5BA2" w:rsidRPr="00D442F1" w:rsidP="00166894" w14:paraId="69D19AF5" w14:textId="516DBF08">
      <w:pPr>
        <w:widowControl w:val="0"/>
        <w:tabs>
          <w:tab w:val="clear" w:pos="567"/>
        </w:tabs>
        <w:autoSpaceDE w:val="0"/>
        <w:autoSpaceDN w:val="0"/>
        <w:adjustRightInd w:val="0"/>
        <w:spacing w:line="240" w:lineRule="auto"/>
      </w:pPr>
      <w:r w:rsidRPr="00D442F1">
        <w:t>In the ongoing clinical study in DLBCL (N=</w:t>
      </w:r>
      <w:r w:rsidRPr="00D442F1" w:rsidR="009F146F">
        <w:t>115</w:t>
      </w:r>
      <w:r w:rsidRPr="00D442F1">
        <w:t xml:space="preserve">), </w:t>
      </w:r>
      <w:r w:rsidRPr="00D442F1" w:rsidR="00C6018F">
        <w:rPr>
          <w:szCs w:val="22"/>
        </w:rPr>
        <w:t>c</w:t>
      </w:r>
      <w:r w:rsidRPr="00D442F1" w:rsidR="00C6018F">
        <w:rPr>
          <w:noProof/>
          <w:szCs w:val="22"/>
        </w:rPr>
        <w:t>ytokine release syndrome</w:t>
      </w:r>
      <w:r w:rsidRPr="00D442F1">
        <w:t xml:space="preserve"> </w:t>
      </w:r>
      <w:r w:rsidRPr="00D442F1" w:rsidR="00EC5DC1">
        <w:t>was</w:t>
      </w:r>
      <w:r w:rsidRPr="00D442F1">
        <w:t xml:space="preserve"> reported in </w:t>
      </w:r>
      <w:r w:rsidRPr="00D442F1" w:rsidR="009F146F">
        <w:t>57</w:t>
      </w:r>
      <w:r w:rsidRPr="00D442F1" w:rsidR="005D7CA1">
        <w:t>% of patients (</w:t>
      </w:r>
      <w:r w:rsidRPr="00D442F1" w:rsidR="00EC5DC1">
        <w:t>2</w:t>
      </w:r>
      <w:r w:rsidRPr="00D442F1" w:rsidR="00A61C55">
        <w:t>3</w:t>
      </w:r>
      <w:r w:rsidRPr="00D442F1" w:rsidR="005D7CA1">
        <w:t>% with Grade </w:t>
      </w:r>
      <w:r w:rsidRPr="00D442F1">
        <w:t>3 or 4)</w:t>
      </w:r>
      <w:r w:rsidRPr="00D442F1" w:rsidR="003E3E05">
        <w:t>.</w:t>
      </w:r>
    </w:p>
    <w:p w:rsidR="00962043" w:rsidRPr="00D442F1" w:rsidP="00166894" w14:paraId="293296ED" w14:textId="77777777">
      <w:pPr>
        <w:widowControl w:val="0"/>
        <w:tabs>
          <w:tab w:val="clear" w:pos="567"/>
        </w:tabs>
        <w:autoSpaceDE w:val="0"/>
        <w:autoSpaceDN w:val="0"/>
        <w:adjustRightInd w:val="0"/>
        <w:spacing w:line="240" w:lineRule="auto"/>
      </w:pPr>
    </w:p>
    <w:p w:rsidR="00EC5DC1" w:rsidRPr="00D442F1" w:rsidP="00166894" w14:paraId="14D4C77C" w14:textId="1B25B6F1">
      <w:pPr>
        <w:widowControl w:val="0"/>
        <w:tabs>
          <w:tab w:val="clear" w:pos="567"/>
        </w:tabs>
        <w:autoSpaceDE w:val="0"/>
        <w:autoSpaceDN w:val="0"/>
        <w:adjustRightInd w:val="0"/>
        <w:spacing w:line="240" w:lineRule="auto"/>
      </w:pPr>
      <w:r w:rsidRPr="00D442F1">
        <w:rPr>
          <w:noProof/>
          <w:szCs w:val="22"/>
        </w:rPr>
        <w:t>Cytokine release syndrome</w:t>
      </w:r>
      <w:r w:rsidRPr="00D442F1">
        <w:t xml:space="preserve"> was graded with the Penn scale as follows: Grade 1: mild reactions, reactions requiring supportive care; Grade 2: moderate reactions, reactions requiring intravenous therapies; Grade 3: severe reactions, reactions requiring low</w:t>
      </w:r>
      <w:r w:rsidRPr="00D442F1">
        <w:noBreakHyphen/>
        <w:t>dose vasopressors or supplemental oxygen; Grade 4: life</w:t>
      </w:r>
      <w:r w:rsidRPr="00D442F1">
        <w:noBreakHyphen/>
        <w:t>threatening reactions, those requiring high</w:t>
      </w:r>
      <w:r w:rsidRPr="00D442F1">
        <w:noBreakHyphen/>
        <w:t>dose vasopressors or intubation; Grade 5: death.</w:t>
      </w:r>
    </w:p>
    <w:p w:rsidR="00C63750" w:rsidRPr="00D442F1" w:rsidP="00166894" w14:paraId="41F59B2A" w14:textId="77777777">
      <w:pPr>
        <w:widowControl w:val="0"/>
        <w:tabs>
          <w:tab w:val="clear" w:pos="567"/>
        </w:tabs>
        <w:autoSpaceDE w:val="0"/>
        <w:autoSpaceDN w:val="0"/>
        <w:adjustRightInd w:val="0"/>
        <w:spacing w:line="240" w:lineRule="auto"/>
      </w:pPr>
    </w:p>
    <w:p w:rsidR="00A9549C" w:rsidRPr="00D442F1" w:rsidP="00166894" w14:paraId="064E802A" w14:textId="77777777">
      <w:pPr>
        <w:widowControl w:val="0"/>
        <w:tabs>
          <w:tab w:val="clear" w:pos="567"/>
        </w:tabs>
        <w:autoSpaceDE w:val="0"/>
        <w:autoSpaceDN w:val="0"/>
        <w:adjustRightInd w:val="0"/>
        <w:spacing w:line="240" w:lineRule="auto"/>
      </w:pPr>
      <w:r w:rsidRPr="00D442F1">
        <w:t xml:space="preserve">For clinical management of </w:t>
      </w:r>
      <w:r w:rsidRPr="00D442F1" w:rsidR="00C6018F">
        <w:rPr>
          <w:szCs w:val="22"/>
        </w:rPr>
        <w:t>c</w:t>
      </w:r>
      <w:r w:rsidRPr="00D442F1" w:rsidR="00C6018F">
        <w:rPr>
          <w:noProof/>
          <w:szCs w:val="22"/>
        </w:rPr>
        <w:t>ytokine release syndrome</w:t>
      </w:r>
      <w:r w:rsidRPr="00D442F1">
        <w:t>, see section</w:t>
      </w:r>
      <w:r w:rsidRPr="00D442F1" w:rsidR="005D7CA1">
        <w:t> </w:t>
      </w:r>
      <w:r w:rsidRPr="00D442F1" w:rsidR="00633784">
        <w:t xml:space="preserve">4.4 </w:t>
      </w:r>
      <w:r w:rsidRPr="00D442F1">
        <w:t>and</w:t>
      </w:r>
      <w:r w:rsidRPr="00D442F1" w:rsidR="00633784">
        <w:t xml:space="preserve"> Table</w:t>
      </w:r>
      <w:r w:rsidRPr="00D442F1" w:rsidR="005D7CA1">
        <w:t> </w:t>
      </w:r>
      <w:r w:rsidRPr="00D442F1" w:rsidR="00633784">
        <w:t>1</w:t>
      </w:r>
      <w:r w:rsidRPr="00D442F1">
        <w:t>.</w:t>
      </w:r>
    </w:p>
    <w:p w:rsidR="00E61B17" w:rsidRPr="00D442F1" w:rsidP="00166894" w14:paraId="0C977FF0" w14:textId="77777777">
      <w:pPr>
        <w:widowControl w:val="0"/>
        <w:tabs>
          <w:tab w:val="clear" w:pos="567"/>
        </w:tabs>
        <w:autoSpaceDE w:val="0"/>
        <w:autoSpaceDN w:val="0"/>
        <w:adjustRightInd w:val="0"/>
        <w:spacing w:line="240" w:lineRule="auto"/>
      </w:pPr>
    </w:p>
    <w:p w:rsidR="005719E6" w:rsidRPr="00D442F1" w:rsidP="003C2460" w14:paraId="2B13C1E7" w14:textId="303669C6">
      <w:pPr>
        <w:keepNext/>
        <w:widowControl w:val="0"/>
        <w:tabs>
          <w:tab w:val="clear" w:pos="567"/>
        </w:tabs>
        <w:autoSpaceDE w:val="0"/>
        <w:autoSpaceDN w:val="0"/>
        <w:adjustRightInd w:val="0"/>
        <w:spacing w:line="240" w:lineRule="auto"/>
        <w:rPr>
          <w:i/>
          <w:u w:val="single"/>
        </w:rPr>
      </w:pPr>
      <w:r w:rsidRPr="00D442F1">
        <w:rPr>
          <w:i/>
          <w:u w:val="single"/>
        </w:rPr>
        <w:t>I</w:t>
      </w:r>
      <w:r w:rsidRPr="00D442F1">
        <w:rPr>
          <w:i/>
          <w:u w:val="single"/>
        </w:rPr>
        <w:t>nfections</w:t>
      </w:r>
      <w:r w:rsidRPr="00D442F1">
        <w:rPr>
          <w:i/>
          <w:u w:val="single"/>
        </w:rPr>
        <w:t xml:space="preserve"> and febrile neutropenia</w:t>
      </w:r>
    </w:p>
    <w:p w:rsidR="005D7CA1" w:rsidRPr="00D442F1" w:rsidP="00166894" w14:paraId="1B8DE017" w14:textId="227C954B">
      <w:pPr>
        <w:pStyle w:val="Default"/>
        <w:widowControl w:val="0"/>
        <w:rPr>
          <w:sz w:val="22"/>
          <w:szCs w:val="22"/>
          <w:lang w:val="en-GB"/>
        </w:rPr>
      </w:pPr>
      <w:r w:rsidRPr="00D442F1">
        <w:rPr>
          <w:sz w:val="22"/>
          <w:szCs w:val="22"/>
          <w:lang w:val="en-GB"/>
        </w:rPr>
        <w:t>In B</w:t>
      </w:r>
      <w:r w:rsidRPr="00D442F1" w:rsidR="00591100">
        <w:rPr>
          <w:sz w:val="22"/>
          <w:szCs w:val="22"/>
          <w:lang w:val="en-GB"/>
        </w:rPr>
        <w:noBreakHyphen/>
      </w:r>
      <w:r w:rsidRPr="00D442F1">
        <w:rPr>
          <w:sz w:val="22"/>
          <w:szCs w:val="22"/>
          <w:lang w:val="en-GB"/>
        </w:rPr>
        <w:t>cell ALL patients severe infections (Grade</w:t>
      </w:r>
      <w:r w:rsidRPr="00D442F1">
        <w:rPr>
          <w:sz w:val="22"/>
          <w:szCs w:val="22"/>
          <w:lang w:val="en-GB"/>
        </w:rPr>
        <w:t> </w:t>
      </w:r>
      <w:r w:rsidRPr="00D442F1">
        <w:rPr>
          <w:sz w:val="22"/>
          <w:szCs w:val="22"/>
          <w:lang w:val="en-GB"/>
        </w:rPr>
        <w:t xml:space="preserve">3 </w:t>
      </w:r>
      <w:r w:rsidRPr="00D442F1" w:rsidR="003E3E05">
        <w:rPr>
          <w:sz w:val="22"/>
          <w:szCs w:val="22"/>
          <w:lang w:val="en-GB"/>
        </w:rPr>
        <w:t>and higher</w:t>
      </w:r>
      <w:r w:rsidRPr="00D442F1">
        <w:rPr>
          <w:sz w:val="22"/>
          <w:szCs w:val="22"/>
          <w:lang w:val="en-GB"/>
        </w:rPr>
        <w:t>), which can be life</w:t>
      </w:r>
      <w:r w:rsidRPr="00D442F1" w:rsidR="00591100">
        <w:rPr>
          <w:sz w:val="22"/>
          <w:szCs w:val="22"/>
          <w:lang w:val="en-GB"/>
        </w:rPr>
        <w:noBreakHyphen/>
      </w:r>
      <w:r w:rsidRPr="00D442F1">
        <w:rPr>
          <w:sz w:val="22"/>
          <w:szCs w:val="22"/>
          <w:lang w:val="en-GB"/>
        </w:rPr>
        <w:t xml:space="preserve">threatening or fatal, occurred in </w:t>
      </w:r>
      <w:r w:rsidRPr="00D442F1" w:rsidR="00EC5DC1">
        <w:rPr>
          <w:sz w:val="22"/>
          <w:szCs w:val="22"/>
          <w:lang w:val="en-GB"/>
        </w:rPr>
        <w:t>4</w:t>
      </w:r>
      <w:r w:rsidRPr="00D442F1" w:rsidR="00D66F94">
        <w:rPr>
          <w:sz w:val="22"/>
          <w:szCs w:val="22"/>
          <w:lang w:val="en-GB"/>
        </w:rPr>
        <w:t>8</w:t>
      </w:r>
      <w:r w:rsidRPr="00D442F1">
        <w:rPr>
          <w:sz w:val="22"/>
          <w:szCs w:val="22"/>
          <w:lang w:val="en-GB"/>
        </w:rPr>
        <w:t xml:space="preserve">% of patients after Kymriah infusion. The overall incidence </w:t>
      </w:r>
      <w:r w:rsidRPr="00D442F1" w:rsidR="003E3E05">
        <w:rPr>
          <w:sz w:val="22"/>
          <w:szCs w:val="22"/>
          <w:lang w:val="en-GB"/>
        </w:rPr>
        <w:t xml:space="preserve">(all </w:t>
      </w:r>
      <w:r w:rsidRPr="00D442F1" w:rsidR="005A30B2">
        <w:rPr>
          <w:sz w:val="22"/>
          <w:szCs w:val="22"/>
          <w:lang w:val="en-GB"/>
        </w:rPr>
        <w:t>g</w:t>
      </w:r>
      <w:r w:rsidRPr="00D442F1" w:rsidR="003E3E05">
        <w:rPr>
          <w:sz w:val="22"/>
          <w:szCs w:val="22"/>
          <w:lang w:val="en-GB"/>
        </w:rPr>
        <w:t xml:space="preserve">rades) </w:t>
      </w:r>
      <w:r w:rsidRPr="00D442F1" w:rsidR="00A61C55">
        <w:rPr>
          <w:sz w:val="22"/>
          <w:szCs w:val="22"/>
          <w:lang w:val="en-GB"/>
        </w:rPr>
        <w:t>was 7</w:t>
      </w:r>
      <w:r w:rsidRPr="00D442F1" w:rsidR="00C55942">
        <w:rPr>
          <w:sz w:val="22"/>
          <w:szCs w:val="22"/>
          <w:lang w:val="en-GB"/>
        </w:rPr>
        <w:t>3</w:t>
      </w:r>
      <w:r w:rsidRPr="00D442F1" w:rsidR="00A61C55">
        <w:rPr>
          <w:sz w:val="22"/>
          <w:szCs w:val="22"/>
          <w:lang w:val="en-GB"/>
        </w:rPr>
        <w:t xml:space="preserve">% </w:t>
      </w:r>
      <w:r w:rsidRPr="00D442F1">
        <w:rPr>
          <w:sz w:val="22"/>
          <w:szCs w:val="22"/>
          <w:lang w:val="en-GB"/>
        </w:rPr>
        <w:t>(</w:t>
      </w:r>
      <w:r w:rsidRPr="00D442F1" w:rsidR="00EC5DC1">
        <w:rPr>
          <w:sz w:val="22"/>
          <w:szCs w:val="22"/>
          <w:lang w:val="en-GB"/>
        </w:rPr>
        <w:t xml:space="preserve">unspecified </w:t>
      </w:r>
      <w:r w:rsidRPr="00D442F1" w:rsidR="00EC2571">
        <w:rPr>
          <w:sz w:val="22"/>
          <w:szCs w:val="22"/>
          <w:lang w:val="en-GB"/>
        </w:rPr>
        <w:t>57</w:t>
      </w:r>
      <w:r w:rsidRPr="00D442F1" w:rsidR="00EC5DC1">
        <w:rPr>
          <w:sz w:val="22"/>
          <w:szCs w:val="22"/>
          <w:lang w:val="en-GB"/>
        </w:rPr>
        <w:t xml:space="preserve">%, viral </w:t>
      </w:r>
      <w:r w:rsidRPr="00D442F1" w:rsidR="00EC2571">
        <w:rPr>
          <w:sz w:val="22"/>
          <w:szCs w:val="22"/>
          <w:lang w:val="en-GB"/>
        </w:rPr>
        <w:t>38</w:t>
      </w:r>
      <w:r w:rsidRPr="00D442F1" w:rsidR="00EC5DC1">
        <w:rPr>
          <w:sz w:val="22"/>
          <w:szCs w:val="22"/>
          <w:lang w:val="en-GB"/>
        </w:rPr>
        <w:t xml:space="preserve">%, </w:t>
      </w:r>
      <w:r w:rsidRPr="00D442F1">
        <w:rPr>
          <w:sz w:val="22"/>
          <w:szCs w:val="22"/>
          <w:lang w:val="en-GB"/>
        </w:rPr>
        <w:t xml:space="preserve">bacterial </w:t>
      </w:r>
      <w:r w:rsidRPr="00D442F1" w:rsidR="00EC2571">
        <w:rPr>
          <w:sz w:val="22"/>
          <w:szCs w:val="22"/>
          <w:lang w:val="en-GB"/>
        </w:rPr>
        <w:t>27</w:t>
      </w:r>
      <w:r w:rsidRPr="00D442F1">
        <w:rPr>
          <w:sz w:val="22"/>
          <w:szCs w:val="22"/>
          <w:lang w:val="en-GB"/>
        </w:rPr>
        <w:t xml:space="preserve">% and fungal </w:t>
      </w:r>
      <w:r w:rsidRPr="00D442F1" w:rsidR="00EC5DC1">
        <w:rPr>
          <w:sz w:val="22"/>
          <w:szCs w:val="22"/>
          <w:lang w:val="en-GB"/>
        </w:rPr>
        <w:t>15</w:t>
      </w:r>
      <w:r w:rsidRPr="00D442F1">
        <w:rPr>
          <w:sz w:val="22"/>
          <w:szCs w:val="22"/>
          <w:lang w:val="en-GB"/>
        </w:rPr>
        <w:t>%) (see section</w:t>
      </w:r>
      <w:r w:rsidRPr="00D442F1">
        <w:rPr>
          <w:sz w:val="22"/>
          <w:szCs w:val="22"/>
          <w:lang w:val="en-GB"/>
        </w:rPr>
        <w:t> 4.4</w:t>
      </w:r>
      <w:r w:rsidRPr="00D442F1">
        <w:rPr>
          <w:sz w:val="22"/>
          <w:szCs w:val="22"/>
          <w:lang w:val="en-GB"/>
        </w:rPr>
        <w:t xml:space="preserve">). </w:t>
      </w:r>
      <w:r w:rsidRPr="00D442F1" w:rsidR="009551C9">
        <w:rPr>
          <w:sz w:val="22"/>
          <w:szCs w:val="22"/>
          <w:lang w:val="en-GB"/>
        </w:rPr>
        <w:t>43</w:t>
      </w:r>
      <w:r w:rsidRPr="00D442F1">
        <w:rPr>
          <w:sz w:val="22"/>
          <w:szCs w:val="22"/>
          <w:lang w:val="en-GB"/>
        </w:rPr>
        <w:t>% of the patients experienced an infection of any type within 8</w:t>
      </w:r>
      <w:r w:rsidRPr="00D442F1">
        <w:rPr>
          <w:sz w:val="22"/>
          <w:szCs w:val="22"/>
          <w:lang w:val="en-GB"/>
        </w:rPr>
        <w:t> </w:t>
      </w:r>
      <w:r w:rsidRPr="00D442F1">
        <w:rPr>
          <w:sz w:val="22"/>
          <w:szCs w:val="22"/>
          <w:lang w:val="en-GB"/>
        </w:rPr>
        <w:t>weeks after Kymriah infusion</w:t>
      </w:r>
      <w:r w:rsidRPr="00D442F1">
        <w:rPr>
          <w:sz w:val="22"/>
          <w:szCs w:val="22"/>
          <w:lang w:val="en-GB"/>
        </w:rPr>
        <w:t>.</w:t>
      </w:r>
    </w:p>
    <w:p w:rsidR="005D7CA1" w:rsidRPr="00D442F1" w:rsidP="00166894" w14:paraId="2CDA878E" w14:textId="77777777">
      <w:pPr>
        <w:pStyle w:val="Default"/>
        <w:widowControl w:val="0"/>
        <w:rPr>
          <w:sz w:val="22"/>
          <w:szCs w:val="22"/>
          <w:lang w:val="en-GB"/>
        </w:rPr>
      </w:pPr>
    </w:p>
    <w:p w:rsidR="00396B75" w:rsidRPr="00D442F1" w:rsidP="00396B75" w14:paraId="72B50AFE" w14:textId="4AE2D9AA">
      <w:pPr>
        <w:widowControl w:val="0"/>
        <w:tabs>
          <w:tab w:val="clear" w:pos="567"/>
        </w:tabs>
        <w:autoSpaceDE w:val="0"/>
        <w:autoSpaceDN w:val="0"/>
        <w:adjustRightInd w:val="0"/>
        <w:spacing w:line="240" w:lineRule="auto"/>
        <w:rPr>
          <w:szCs w:val="22"/>
        </w:rPr>
      </w:pPr>
      <w:r w:rsidRPr="00D442F1">
        <w:rPr>
          <w:bCs/>
          <w:color w:val="000000"/>
          <w:szCs w:val="22"/>
        </w:rPr>
        <w:t xml:space="preserve">In DLBCL patients </w:t>
      </w:r>
      <w:r w:rsidRPr="00D442F1">
        <w:rPr>
          <w:color w:val="000000"/>
          <w:szCs w:val="22"/>
        </w:rPr>
        <w:t xml:space="preserve">severe </w:t>
      </w:r>
      <w:r w:rsidRPr="00D442F1">
        <w:rPr>
          <w:szCs w:val="22"/>
        </w:rPr>
        <w:t>infections (Grade</w:t>
      </w:r>
      <w:r w:rsidRPr="00D442F1" w:rsidR="005D7CA1">
        <w:rPr>
          <w:szCs w:val="22"/>
        </w:rPr>
        <w:t> </w:t>
      </w:r>
      <w:r w:rsidRPr="00D442F1">
        <w:rPr>
          <w:szCs w:val="22"/>
        </w:rPr>
        <w:t xml:space="preserve">3 </w:t>
      </w:r>
      <w:r w:rsidRPr="00D442F1" w:rsidR="003E3E05">
        <w:rPr>
          <w:szCs w:val="22"/>
        </w:rPr>
        <w:t>and higher</w:t>
      </w:r>
      <w:r w:rsidRPr="00D442F1">
        <w:rPr>
          <w:szCs w:val="22"/>
        </w:rPr>
        <w:t>)</w:t>
      </w:r>
      <w:r w:rsidRPr="00D442F1" w:rsidR="009C14BF">
        <w:rPr>
          <w:szCs w:val="22"/>
        </w:rPr>
        <w:t>, which can be life</w:t>
      </w:r>
      <w:r w:rsidRPr="00D442F1" w:rsidR="00591100">
        <w:rPr>
          <w:szCs w:val="22"/>
        </w:rPr>
        <w:noBreakHyphen/>
      </w:r>
      <w:r w:rsidRPr="00D442F1" w:rsidR="009C14BF">
        <w:rPr>
          <w:szCs w:val="22"/>
        </w:rPr>
        <w:t>threatening or fatal</w:t>
      </w:r>
      <w:r w:rsidRPr="00D442F1" w:rsidR="00A13E1C">
        <w:rPr>
          <w:szCs w:val="22"/>
        </w:rPr>
        <w:t>,</w:t>
      </w:r>
      <w:r w:rsidRPr="00D442F1" w:rsidR="009C14BF">
        <w:rPr>
          <w:szCs w:val="22"/>
        </w:rPr>
        <w:t xml:space="preserve"> </w:t>
      </w:r>
      <w:r w:rsidRPr="00D442F1">
        <w:rPr>
          <w:szCs w:val="22"/>
        </w:rPr>
        <w:t xml:space="preserve">occurred in </w:t>
      </w:r>
      <w:r w:rsidRPr="00D442F1" w:rsidR="00EC2571">
        <w:rPr>
          <w:szCs w:val="22"/>
        </w:rPr>
        <w:t>34</w:t>
      </w:r>
      <w:r w:rsidRPr="00D442F1">
        <w:rPr>
          <w:szCs w:val="22"/>
        </w:rPr>
        <w:t xml:space="preserve">% of patients. The overall incidence </w:t>
      </w:r>
      <w:r w:rsidRPr="00D442F1" w:rsidR="003E3E05">
        <w:rPr>
          <w:szCs w:val="22"/>
        </w:rPr>
        <w:t xml:space="preserve">(all </w:t>
      </w:r>
      <w:r w:rsidRPr="00D442F1" w:rsidR="005A30B2">
        <w:rPr>
          <w:szCs w:val="22"/>
        </w:rPr>
        <w:t>g</w:t>
      </w:r>
      <w:r w:rsidRPr="00D442F1" w:rsidR="003E3E05">
        <w:rPr>
          <w:szCs w:val="22"/>
        </w:rPr>
        <w:t xml:space="preserve">rades) </w:t>
      </w:r>
      <w:r w:rsidRPr="00D442F1">
        <w:rPr>
          <w:szCs w:val="22"/>
        </w:rPr>
        <w:t xml:space="preserve">was </w:t>
      </w:r>
      <w:r w:rsidRPr="00D442F1" w:rsidR="00EC2571">
        <w:rPr>
          <w:szCs w:val="22"/>
        </w:rPr>
        <w:t>58</w:t>
      </w:r>
      <w:r w:rsidRPr="00D442F1">
        <w:rPr>
          <w:szCs w:val="22"/>
        </w:rPr>
        <w:t>% (</w:t>
      </w:r>
      <w:r w:rsidRPr="00D442F1" w:rsidR="003A5F39">
        <w:rPr>
          <w:szCs w:val="22"/>
        </w:rPr>
        <w:t xml:space="preserve">unspecified </w:t>
      </w:r>
      <w:r w:rsidRPr="00D442F1" w:rsidR="00EC2571">
        <w:rPr>
          <w:szCs w:val="22"/>
        </w:rPr>
        <w:t>48</w:t>
      </w:r>
      <w:r w:rsidRPr="00D442F1" w:rsidR="003A5F39">
        <w:rPr>
          <w:szCs w:val="22"/>
        </w:rPr>
        <w:t xml:space="preserve">%, </w:t>
      </w:r>
      <w:r w:rsidRPr="00D442F1">
        <w:rPr>
          <w:szCs w:val="22"/>
        </w:rPr>
        <w:t xml:space="preserve">bacterial </w:t>
      </w:r>
      <w:r w:rsidRPr="00D442F1" w:rsidR="00EC2571">
        <w:rPr>
          <w:szCs w:val="22"/>
        </w:rPr>
        <w:t>15</w:t>
      </w:r>
      <w:r w:rsidRPr="00D442F1">
        <w:rPr>
          <w:szCs w:val="22"/>
        </w:rPr>
        <w:t xml:space="preserve">%, </w:t>
      </w:r>
      <w:r w:rsidRPr="00D442F1" w:rsidR="003A5F39">
        <w:rPr>
          <w:szCs w:val="22"/>
        </w:rPr>
        <w:t xml:space="preserve">fungal </w:t>
      </w:r>
      <w:r w:rsidRPr="00D442F1" w:rsidR="00EC2571">
        <w:rPr>
          <w:szCs w:val="22"/>
        </w:rPr>
        <w:t>11</w:t>
      </w:r>
      <w:r w:rsidRPr="00D442F1" w:rsidR="003A5F39">
        <w:rPr>
          <w:szCs w:val="22"/>
        </w:rPr>
        <w:t xml:space="preserve">% and </w:t>
      </w:r>
      <w:r w:rsidRPr="00D442F1">
        <w:rPr>
          <w:szCs w:val="22"/>
        </w:rPr>
        <w:t xml:space="preserve">viral </w:t>
      </w:r>
      <w:r w:rsidRPr="00D442F1" w:rsidR="00EC2571">
        <w:rPr>
          <w:szCs w:val="22"/>
        </w:rPr>
        <w:t>11</w:t>
      </w:r>
      <w:r w:rsidRPr="00D442F1">
        <w:rPr>
          <w:szCs w:val="22"/>
        </w:rPr>
        <w:t>%) (see section</w:t>
      </w:r>
      <w:r w:rsidRPr="00D442F1" w:rsidR="00591100">
        <w:rPr>
          <w:szCs w:val="22"/>
        </w:rPr>
        <w:t> 4.4</w:t>
      </w:r>
      <w:r w:rsidRPr="00D442F1">
        <w:rPr>
          <w:szCs w:val="22"/>
        </w:rPr>
        <w:t xml:space="preserve">). </w:t>
      </w:r>
      <w:r w:rsidRPr="00D442F1" w:rsidR="00B40C41">
        <w:rPr>
          <w:szCs w:val="22"/>
        </w:rPr>
        <w:t>37</w:t>
      </w:r>
      <w:r w:rsidRPr="00D442F1">
        <w:rPr>
          <w:szCs w:val="22"/>
        </w:rPr>
        <w:t>% of the patients experienced an infection of any type within 8 weeks.</w:t>
      </w:r>
    </w:p>
    <w:p w:rsidR="0072500D" w:rsidRPr="00D442F1" w:rsidP="00166894" w14:paraId="568F2B13" w14:textId="31786485">
      <w:pPr>
        <w:widowControl w:val="0"/>
        <w:tabs>
          <w:tab w:val="clear" w:pos="567"/>
        </w:tabs>
        <w:autoSpaceDE w:val="0"/>
        <w:autoSpaceDN w:val="0"/>
        <w:adjustRightInd w:val="0"/>
        <w:spacing w:line="240" w:lineRule="auto"/>
        <w:rPr>
          <w:szCs w:val="22"/>
        </w:rPr>
      </w:pPr>
    </w:p>
    <w:p w:rsidR="003C2460" w:rsidRPr="00D442F1" w:rsidP="003C2460" w14:paraId="056A756E" w14:textId="08106E0A">
      <w:pPr>
        <w:widowControl w:val="0"/>
        <w:tabs>
          <w:tab w:val="clear" w:pos="567"/>
        </w:tabs>
        <w:autoSpaceDE w:val="0"/>
        <w:autoSpaceDN w:val="0"/>
        <w:adjustRightInd w:val="0"/>
        <w:spacing w:line="240" w:lineRule="auto"/>
      </w:pPr>
      <w:r w:rsidRPr="00D442F1">
        <w:t xml:space="preserve">Severe febrile neutropenia </w:t>
      </w:r>
      <w:r w:rsidRPr="00D442F1">
        <w:t xml:space="preserve">(Grade 3 or 4) </w:t>
      </w:r>
      <w:r w:rsidRPr="00D442F1">
        <w:t xml:space="preserve">was observed in </w:t>
      </w:r>
      <w:r w:rsidRPr="00D442F1">
        <w:t>34</w:t>
      </w:r>
      <w:r w:rsidRPr="00D442F1">
        <w:t xml:space="preserve">% of </w:t>
      </w:r>
      <w:r w:rsidRPr="00D442F1">
        <w:t>paediatric and young adult B</w:t>
      </w:r>
      <w:r w:rsidRPr="00D442F1">
        <w:noBreakHyphen/>
        <w:t xml:space="preserve">cell ALL </w:t>
      </w:r>
      <w:r w:rsidRPr="00D442F1">
        <w:t>patients</w:t>
      </w:r>
      <w:r w:rsidRPr="00D442F1">
        <w:t xml:space="preserve"> and 17% of DLBCL patients</w:t>
      </w:r>
      <w:r w:rsidRPr="00D442F1">
        <w:t xml:space="preserve">. </w:t>
      </w:r>
      <w:r w:rsidRPr="00D442F1">
        <w:t>See section 4.4 for the management of febrile neutropenia before and after Kymriah infusion.</w:t>
      </w:r>
    </w:p>
    <w:p w:rsidR="00234F7E" w:rsidRPr="00D442F1" w:rsidP="00166894" w14:paraId="60279E14" w14:textId="77777777">
      <w:pPr>
        <w:widowControl w:val="0"/>
        <w:tabs>
          <w:tab w:val="clear" w:pos="567"/>
        </w:tabs>
        <w:autoSpaceDE w:val="0"/>
        <w:autoSpaceDN w:val="0"/>
        <w:adjustRightInd w:val="0"/>
        <w:spacing w:line="240" w:lineRule="auto"/>
        <w:rPr>
          <w:noProof/>
          <w:szCs w:val="22"/>
        </w:rPr>
      </w:pPr>
    </w:p>
    <w:p w:rsidR="005719E6" w:rsidRPr="00D442F1" w:rsidP="00166894" w14:paraId="6AE84A0B" w14:textId="77777777">
      <w:pPr>
        <w:keepNext/>
        <w:widowControl w:val="0"/>
        <w:tabs>
          <w:tab w:val="clear" w:pos="567"/>
        </w:tabs>
        <w:autoSpaceDE w:val="0"/>
        <w:autoSpaceDN w:val="0"/>
        <w:adjustRightInd w:val="0"/>
        <w:spacing w:line="240" w:lineRule="auto"/>
        <w:rPr>
          <w:i/>
          <w:noProof/>
          <w:szCs w:val="22"/>
          <w:u w:val="single"/>
        </w:rPr>
      </w:pPr>
      <w:r w:rsidRPr="00D442F1">
        <w:rPr>
          <w:i/>
          <w:noProof/>
          <w:szCs w:val="22"/>
          <w:u w:val="single"/>
        </w:rPr>
        <w:t>Prolonged</w:t>
      </w:r>
      <w:r w:rsidRPr="00D442F1">
        <w:rPr>
          <w:i/>
          <w:noProof/>
          <w:szCs w:val="22"/>
          <w:u w:val="single"/>
        </w:rPr>
        <w:t xml:space="preserve"> cytopenias</w:t>
      </w:r>
    </w:p>
    <w:p w:rsidR="00074EBF" w:rsidRPr="00D442F1" w:rsidP="00166894" w14:paraId="6C6D6D99" w14:textId="7BC52D04">
      <w:pPr>
        <w:widowControl w:val="0"/>
        <w:tabs>
          <w:tab w:val="clear" w:pos="567"/>
        </w:tabs>
        <w:autoSpaceDE w:val="0"/>
        <w:autoSpaceDN w:val="0"/>
        <w:adjustRightInd w:val="0"/>
        <w:spacing w:line="240" w:lineRule="auto"/>
      </w:pPr>
      <w:r w:rsidRPr="00D442F1">
        <w:t xml:space="preserve">Cytopenias are very common </w:t>
      </w:r>
      <w:r w:rsidRPr="00D442F1" w:rsidR="00EC0503">
        <w:t>based on prior chemotherapies and</w:t>
      </w:r>
      <w:r w:rsidRPr="00D442F1">
        <w:t xml:space="preserve"> Kymriah therapy.</w:t>
      </w:r>
    </w:p>
    <w:p w:rsidR="00074EBF" w:rsidRPr="00D442F1" w:rsidP="00166894" w14:paraId="3D126C1C" w14:textId="77777777">
      <w:pPr>
        <w:widowControl w:val="0"/>
        <w:tabs>
          <w:tab w:val="clear" w:pos="567"/>
        </w:tabs>
        <w:autoSpaceDE w:val="0"/>
        <w:autoSpaceDN w:val="0"/>
        <w:adjustRightInd w:val="0"/>
        <w:spacing w:line="240" w:lineRule="auto"/>
      </w:pPr>
    </w:p>
    <w:p w:rsidR="0072500D" w:rsidRPr="00D442F1" w:rsidP="00166894" w14:paraId="06CA4CCF" w14:textId="7AA4E6CF">
      <w:pPr>
        <w:widowControl w:val="0"/>
        <w:tabs>
          <w:tab w:val="clear" w:pos="567"/>
        </w:tabs>
        <w:autoSpaceDE w:val="0"/>
        <w:autoSpaceDN w:val="0"/>
        <w:adjustRightInd w:val="0"/>
        <w:spacing w:line="240" w:lineRule="auto"/>
        <w:rPr>
          <w:noProof/>
          <w:szCs w:val="22"/>
        </w:rPr>
      </w:pPr>
      <w:r w:rsidRPr="00D442F1">
        <w:t xml:space="preserve">All </w:t>
      </w:r>
      <w:r w:rsidRPr="00D442F1" w:rsidR="004D5FA5">
        <w:t xml:space="preserve">paediatric and young </w:t>
      </w:r>
      <w:r w:rsidRPr="00D442F1" w:rsidR="00074EBF">
        <w:t xml:space="preserve">adult </w:t>
      </w:r>
      <w:r w:rsidRPr="00D442F1" w:rsidR="004D5FA5">
        <w:t>B</w:t>
      </w:r>
      <w:r w:rsidRPr="00D442F1" w:rsidR="00591100">
        <w:noBreakHyphen/>
      </w:r>
      <w:r w:rsidRPr="00D442F1" w:rsidR="004D5FA5">
        <w:t>cell ALL patients</w:t>
      </w:r>
      <w:r w:rsidRPr="00D442F1">
        <w:t xml:space="preserve"> had a Grade</w:t>
      </w:r>
      <w:r w:rsidRPr="00D442F1" w:rsidR="00DE35C7">
        <w:t> </w:t>
      </w:r>
      <w:r w:rsidRPr="00D442F1">
        <w:t xml:space="preserve">3 or 4 cytopenia at </w:t>
      </w:r>
      <w:r w:rsidRPr="00D442F1" w:rsidR="009D45D9">
        <w:rPr>
          <w:rStyle w:val="CommentReference"/>
          <w:sz w:val="22"/>
          <w:szCs w:val="22"/>
        </w:rPr>
        <w:t>some</w:t>
      </w:r>
      <w:r w:rsidRPr="00D442F1" w:rsidR="00792A1E">
        <w:t xml:space="preserve"> </w:t>
      </w:r>
      <w:r w:rsidRPr="00D442F1">
        <w:t xml:space="preserve">time </w:t>
      </w:r>
      <w:r w:rsidRPr="00D442F1" w:rsidR="00DE35C7">
        <w:t>after</w:t>
      </w:r>
      <w:r w:rsidRPr="00D442F1">
        <w:t xml:space="preserve"> Kymriah infusion</w:t>
      </w:r>
      <w:r w:rsidRPr="00D442F1" w:rsidR="00DE35C7">
        <w:t>.</w:t>
      </w:r>
      <w:r w:rsidRPr="00D442F1" w:rsidR="004D5FA5">
        <w:t xml:space="preserve"> Grade</w:t>
      </w:r>
      <w:r w:rsidRPr="00D442F1" w:rsidR="00591100">
        <w:t> </w:t>
      </w:r>
      <w:r w:rsidRPr="00D442F1" w:rsidR="004D5FA5">
        <w:t xml:space="preserve">3 and 4 cytopenias </w:t>
      </w:r>
      <w:r w:rsidRPr="00D442F1" w:rsidR="001A3457">
        <w:t>not resolved by day </w:t>
      </w:r>
      <w:r w:rsidRPr="00D442F1" w:rsidR="004D5FA5">
        <w:t xml:space="preserve">28 </w:t>
      </w:r>
      <w:r w:rsidRPr="00D442F1">
        <w:t>after Kymriah infusion</w:t>
      </w:r>
      <w:r w:rsidRPr="00D442F1" w:rsidR="004D5FA5">
        <w:t xml:space="preserve"> based on laboratory findings included </w:t>
      </w:r>
      <w:r w:rsidRPr="00D442F1" w:rsidR="00A846D7">
        <w:t>decreased count of white blood cells</w:t>
      </w:r>
      <w:r w:rsidRPr="00D442F1" w:rsidR="00074EBF">
        <w:t xml:space="preserve"> (5</w:t>
      </w:r>
      <w:r w:rsidRPr="00D442F1">
        <w:t>7</w:t>
      </w:r>
      <w:r w:rsidRPr="00D442F1" w:rsidR="00074EBF">
        <w:t xml:space="preserve">%), </w:t>
      </w:r>
      <w:r w:rsidRPr="00D442F1" w:rsidR="004D5FA5">
        <w:t>neutrop</w:t>
      </w:r>
      <w:r w:rsidRPr="00D442F1" w:rsidR="00A846D7">
        <w:t>hils</w:t>
      </w:r>
      <w:r w:rsidRPr="00D442F1" w:rsidR="004D5FA5">
        <w:t xml:space="preserve"> (</w:t>
      </w:r>
      <w:r w:rsidRPr="00D442F1">
        <w:t>54</w:t>
      </w:r>
      <w:r w:rsidRPr="00D442F1" w:rsidR="004D5FA5">
        <w:t>%), lympho</w:t>
      </w:r>
      <w:r w:rsidRPr="00D442F1" w:rsidR="00A846D7">
        <w:t>cytes</w:t>
      </w:r>
      <w:r w:rsidRPr="00D442F1" w:rsidR="00234F7E">
        <w:t xml:space="preserve"> (</w:t>
      </w:r>
      <w:r w:rsidRPr="00D442F1">
        <w:t>44</w:t>
      </w:r>
      <w:r w:rsidRPr="00D442F1" w:rsidR="00234F7E">
        <w:t>%),</w:t>
      </w:r>
      <w:r w:rsidRPr="00D442F1" w:rsidR="00DE35C7">
        <w:t xml:space="preserve"> and </w:t>
      </w:r>
      <w:r w:rsidRPr="00D442F1" w:rsidR="00234F7E">
        <w:t>thrombocyt</w:t>
      </w:r>
      <w:r w:rsidRPr="00D442F1" w:rsidR="00A846D7">
        <w:t>es</w:t>
      </w:r>
      <w:r w:rsidRPr="00D442F1" w:rsidR="00234F7E">
        <w:t xml:space="preserve"> (</w:t>
      </w:r>
      <w:r w:rsidRPr="00D442F1" w:rsidR="00074EBF">
        <w:t>4</w:t>
      </w:r>
      <w:r w:rsidRPr="00D442F1">
        <w:t>2</w:t>
      </w:r>
      <w:r w:rsidRPr="00D442F1" w:rsidR="00234F7E">
        <w:t>%)</w:t>
      </w:r>
      <w:r w:rsidRPr="00D442F1" w:rsidR="000E10B0">
        <w:t xml:space="preserve"> and</w:t>
      </w:r>
      <w:r w:rsidRPr="00D442F1" w:rsidR="00591100">
        <w:t xml:space="preserve"> </w:t>
      </w:r>
      <w:r w:rsidRPr="00D442F1" w:rsidR="00A846D7">
        <w:t>decreased haemoglobin</w:t>
      </w:r>
      <w:r w:rsidRPr="00D442F1" w:rsidR="00591100">
        <w:t xml:space="preserve"> (</w:t>
      </w:r>
      <w:r w:rsidRPr="00D442F1" w:rsidR="00074EBF">
        <w:t>1</w:t>
      </w:r>
      <w:r w:rsidRPr="00D442F1">
        <w:t>3</w:t>
      </w:r>
      <w:r w:rsidRPr="00D442F1" w:rsidR="00591100">
        <w:t>%).</w:t>
      </w:r>
    </w:p>
    <w:p w:rsidR="004D5FA5" w:rsidRPr="00D442F1" w:rsidP="00166894" w14:paraId="19F1647D" w14:textId="77777777">
      <w:pPr>
        <w:widowControl w:val="0"/>
        <w:tabs>
          <w:tab w:val="clear" w:pos="567"/>
        </w:tabs>
        <w:autoSpaceDE w:val="0"/>
        <w:autoSpaceDN w:val="0"/>
        <w:adjustRightInd w:val="0"/>
        <w:spacing w:line="240" w:lineRule="auto"/>
        <w:rPr>
          <w:noProof/>
          <w:szCs w:val="22"/>
        </w:rPr>
      </w:pPr>
    </w:p>
    <w:p w:rsidR="005719E6" w:rsidRPr="00D442F1" w:rsidP="00166894" w14:paraId="5CA8C73B" w14:textId="7627BCA2">
      <w:pPr>
        <w:widowControl w:val="0"/>
        <w:tabs>
          <w:tab w:val="clear" w:pos="567"/>
        </w:tabs>
        <w:autoSpaceDE w:val="0"/>
        <w:autoSpaceDN w:val="0"/>
        <w:adjustRightInd w:val="0"/>
        <w:spacing w:line="240" w:lineRule="auto"/>
        <w:rPr>
          <w:noProof/>
          <w:szCs w:val="22"/>
        </w:rPr>
      </w:pPr>
      <w:r w:rsidRPr="00D442F1">
        <w:rPr>
          <w:noProof/>
          <w:szCs w:val="22"/>
        </w:rPr>
        <w:t>All</w:t>
      </w:r>
      <w:r w:rsidRPr="00D442F1" w:rsidR="0072500D">
        <w:rPr>
          <w:noProof/>
          <w:szCs w:val="22"/>
        </w:rPr>
        <w:t xml:space="preserve"> a</w:t>
      </w:r>
      <w:r w:rsidRPr="00D442F1" w:rsidR="004F571F">
        <w:rPr>
          <w:noProof/>
          <w:szCs w:val="22"/>
        </w:rPr>
        <w:t xml:space="preserve">dult </w:t>
      </w:r>
      <w:r w:rsidRPr="00D442F1" w:rsidR="004D5FA5">
        <w:rPr>
          <w:noProof/>
          <w:szCs w:val="22"/>
        </w:rPr>
        <w:t>DLBCL</w:t>
      </w:r>
      <w:r w:rsidRPr="00D442F1" w:rsidR="00E212CD">
        <w:rPr>
          <w:noProof/>
          <w:szCs w:val="22"/>
        </w:rPr>
        <w:t xml:space="preserve"> </w:t>
      </w:r>
      <w:r w:rsidRPr="00D442F1" w:rsidR="004F571F">
        <w:rPr>
          <w:noProof/>
          <w:szCs w:val="22"/>
        </w:rPr>
        <w:t>patients</w:t>
      </w:r>
      <w:r w:rsidRPr="00D442F1" w:rsidR="00D3254E">
        <w:rPr>
          <w:noProof/>
          <w:szCs w:val="22"/>
        </w:rPr>
        <w:t xml:space="preserve"> had </w:t>
      </w:r>
      <w:r w:rsidRPr="00D442F1" w:rsidR="004D5FA5">
        <w:rPr>
          <w:noProof/>
          <w:szCs w:val="22"/>
        </w:rPr>
        <w:t>Grade</w:t>
      </w:r>
      <w:r w:rsidRPr="00D442F1" w:rsidR="00591100">
        <w:rPr>
          <w:noProof/>
          <w:szCs w:val="22"/>
        </w:rPr>
        <w:t> </w:t>
      </w:r>
      <w:r w:rsidRPr="00D442F1" w:rsidR="004D5FA5">
        <w:rPr>
          <w:noProof/>
          <w:szCs w:val="22"/>
        </w:rPr>
        <w:t xml:space="preserve">3 and 4 cytopenias </w:t>
      </w:r>
      <w:r w:rsidRPr="00D442F1" w:rsidR="00D3254E">
        <w:rPr>
          <w:noProof/>
          <w:szCs w:val="22"/>
        </w:rPr>
        <w:t xml:space="preserve">at </w:t>
      </w:r>
      <w:r w:rsidRPr="00D442F1" w:rsidR="009D45D9">
        <w:rPr>
          <w:noProof/>
          <w:szCs w:val="22"/>
        </w:rPr>
        <w:t>some</w:t>
      </w:r>
      <w:r w:rsidRPr="00D442F1" w:rsidR="00792A1E">
        <w:rPr>
          <w:noProof/>
          <w:szCs w:val="22"/>
        </w:rPr>
        <w:t xml:space="preserve"> </w:t>
      </w:r>
      <w:r w:rsidRPr="00D442F1" w:rsidR="00D3254E">
        <w:rPr>
          <w:noProof/>
          <w:szCs w:val="22"/>
        </w:rPr>
        <w:t xml:space="preserve">time </w:t>
      </w:r>
      <w:r w:rsidRPr="00D442F1" w:rsidR="00DE35C7">
        <w:rPr>
          <w:noProof/>
          <w:szCs w:val="22"/>
        </w:rPr>
        <w:t>after</w:t>
      </w:r>
      <w:r w:rsidRPr="00D442F1" w:rsidR="00D3254E">
        <w:rPr>
          <w:noProof/>
          <w:szCs w:val="22"/>
        </w:rPr>
        <w:t xml:space="preserve"> Kymriah infusion. Grade</w:t>
      </w:r>
      <w:r w:rsidRPr="00D442F1" w:rsidR="00080DB7">
        <w:rPr>
          <w:noProof/>
          <w:szCs w:val="22"/>
        </w:rPr>
        <w:t> </w:t>
      </w:r>
      <w:r w:rsidRPr="00D442F1" w:rsidR="00D3254E">
        <w:rPr>
          <w:noProof/>
          <w:szCs w:val="22"/>
        </w:rPr>
        <w:t xml:space="preserve">3 and 4 cytopenias </w:t>
      </w:r>
      <w:r w:rsidRPr="00D442F1" w:rsidR="008003DD">
        <w:rPr>
          <w:noProof/>
          <w:szCs w:val="22"/>
        </w:rPr>
        <w:t>not resolved by day </w:t>
      </w:r>
      <w:r w:rsidRPr="00D442F1" w:rsidR="004D5FA5">
        <w:rPr>
          <w:noProof/>
          <w:szCs w:val="22"/>
        </w:rPr>
        <w:t xml:space="preserve">28 based on laboratory findings included </w:t>
      </w:r>
      <w:r w:rsidRPr="00D442F1" w:rsidR="00D3254E">
        <w:rPr>
          <w:noProof/>
          <w:szCs w:val="22"/>
        </w:rPr>
        <w:t xml:space="preserve">decreased count of </w:t>
      </w:r>
      <w:r w:rsidRPr="00D442F1" w:rsidR="004D5FA5">
        <w:rPr>
          <w:noProof/>
          <w:szCs w:val="22"/>
        </w:rPr>
        <w:t>thrombocyt</w:t>
      </w:r>
      <w:r w:rsidRPr="00D442F1" w:rsidR="00D3254E">
        <w:rPr>
          <w:noProof/>
          <w:szCs w:val="22"/>
        </w:rPr>
        <w:t>es</w:t>
      </w:r>
      <w:r w:rsidRPr="00D442F1" w:rsidR="004D5FA5">
        <w:rPr>
          <w:noProof/>
          <w:szCs w:val="22"/>
        </w:rPr>
        <w:t xml:space="preserve"> (</w:t>
      </w:r>
      <w:r w:rsidRPr="00D442F1" w:rsidR="00D3254E">
        <w:rPr>
          <w:noProof/>
          <w:szCs w:val="22"/>
        </w:rPr>
        <w:t>39</w:t>
      </w:r>
      <w:r w:rsidRPr="00D442F1" w:rsidR="004D5FA5">
        <w:rPr>
          <w:noProof/>
          <w:szCs w:val="22"/>
        </w:rPr>
        <w:t>%)</w:t>
      </w:r>
      <w:r w:rsidRPr="00D442F1" w:rsidR="000E10B0">
        <w:rPr>
          <w:noProof/>
          <w:szCs w:val="22"/>
        </w:rPr>
        <w:t>,</w:t>
      </w:r>
      <w:r w:rsidRPr="00D442F1" w:rsidR="004D5FA5">
        <w:rPr>
          <w:noProof/>
          <w:szCs w:val="22"/>
        </w:rPr>
        <w:t xml:space="preserve"> lympho</w:t>
      </w:r>
      <w:r w:rsidRPr="00D442F1" w:rsidR="00D3254E">
        <w:rPr>
          <w:noProof/>
          <w:szCs w:val="22"/>
        </w:rPr>
        <w:t>cytes</w:t>
      </w:r>
      <w:r w:rsidRPr="00D442F1" w:rsidR="004D5FA5">
        <w:rPr>
          <w:noProof/>
          <w:szCs w:val="22"/>
        </w:rPr>
        <w:t xml:space="preserve"> (</w:t>
      </w:r>
      <w:r w:rsidRPr="00D442F1" w:rsidR="00074EBF">
        <w:rPr>
          <w:noProof/>
          <w:szCs w:val="22"/>
        </w:rPr>
        <w:t>2</w:t>
      </w:r>
      <w:r w:rsidRPr="00D442F1" w:rsidR="00D3254E">
        <w:rPr>
          <w:noProof/>
          <w:szCs w:val="22"/>
        </w:rPr>
        <w:t>9</w:t>
      </w:r>
      <w:r w:rsidRPr="00D442F1" w:rsidR="004D5FA5">
        <w:rPr>
          <w:noProof/>
          <w:szCs w:val="22"/>
        </w:rPr>
        <w:t>%), neutrop</w:t>
      </w:r>
      <w:r w:rsidRPr="00D442F1" w:rsidR="00D3254E">
        <w:rPr>
          <w:noProof/>
          <w:szCs w:val="22"/>
        </w:rPr>
        <w:t>hils</w:t>
      </w:r>
      <w:r w:rsidRPr="00D442F1" w:rsidR="004D5FA5">
        <w:rPr>
          <w:noProof/>
          <w:szCs w:val="22"/>
        </w:rPr>
        <w:t xml:space="preserve"> (2</w:t>
      </w:r>
      <w:r w:rsidRPr="00D442F1" w:rsidR="00D3254E">
        <w:rPr>
          <w:noProof/>
          <w:szCs w:val="22"/>
        </w:rPr>
        <w:t>5</w:t>
      </w:r>
      <w:r w:rsidRPr="00D442F1" w:rsidR="004D5FA5">
        <w:rPr>
          <w:noProof/>
          <w:szCs w:val="22"/>
        </w:rPr>
        <w:t>%),</w:t>
      </w:r>
      <w:r w:rsidRPr="00D442F1" w:rsidR="00DE35C7">
        <w:rPr>
          <w:noProof/>
          <w:szCs w:val="22"/>
        </w:rPr>
        <w:t xml:space="preserve"> and</w:t>
      </w:r>
      <w:r w:rsidRPr="00D442F1" w:rsidR="00D3254E">
        <w:rPr>
          <w:noProof/>
          <w:szCs w:val="22"/>
        </w:rPr>
        <w:t xml:space="preserve"> white blood cells</w:t>
      </w:r>
      <w:r w:rsidRPr="00D442F1" w:rsidR="004D5FA5">
        <w:rPr>
          <w:noProof/>
          <w:szCs w:val="22"/>
        </w:rPr>
        <w:t xml:space="preserve"> (</w:t>
      </w:r>
      <w:r w:rsidRPr="00D442F1" w:rsidR="00074EBF">
        <w:rPr>
          <w:noProof/>
          <w:szCs w:val="22"/>
        </w:rPr>
        <w:t>21</w:t>
      </w:r>
      <w:r w:rsidRPr="00D442F1" w:rsidR="004D5FA5">
        <w:rPr>
          <w:noProof/>
          <w:szCs w:val="22"/>
        </w:rPr>
        <w:t xml:space="preserve">%) and </w:t>
      </w:r>
      <w:r w:rsidRPr="00D442F1" w:rsidR="004117E7">
        <w:rPr>
          <w:noProof/>
          <w:szCs w:val="22"/>
        </w:rPr>
        <w:t>decreased haemoglobin</w:t>
      </w:r>
      <w:r w:rsidRPr="00D442F1" w:rsidR="004D5FA5">
        <w:rPr>
          <w:noProof/>
          <w:szCs w:val="22"/>
        </w:rPr>
        <w:t xml:space="preserve"> (14%).</w:t>
      </w:r>
    </w:p>
    <w:p w:rsidR="005719E6" w:rsidRPr="00D442F1" w:rsidP="00166894" w14:paraId="51F008A3" w14:textId="77777777">
      <w:pPr>
        <w:widowControl w:val="0"/>
        <w:tabs>
          <w:tab w:val="clear" w:pos="567"/>
        </w:tabs>
        <w:autoSpaceDE w:val="0"/>
        <w:autoSpaceDN w:val="0"/>
        <w:adjustRightInd w:val="0"/>
        <w:spacing w:line="240" w:lineRule="auto"/>
        <w:rPr>
          <w:noProof/>
          <w:szCs w:val="22"/>
        </w:rPr>
      </w:pPr>
    </w:p>
    <w:p w:rsidR="005719E6" w:rsidRPr="00D442F1" w:rsidP="00166894" w14:paraId="008825C4" w14:textId="77777777">
      <w:pPr>
        <w:keepNext/>
        <w:widowControl w:val="0"/>
        <w:tabs>
          <w:tab w:val="clear" w:pos="567"/>
        </w:tabs>
        <w:autoSpaceDE w:val="0"/>
        <w:autoSpaceDN w:val="0"/>
        <w:adjustRightInd w:val="0"/>
        <w:spacing w:line="240" w:lineRule="auto"/>
        <w:rPr>
          <w:i/>
          <w:noProof/>
          <w:szCs w:val="22"/>
          <w:u w:val="single"/>
        </w:rPr>
      </w:pPr>
      <w:r w:rsidRPr="00D442F1">
        <w:rPr>
          <w:i/>
          <w:noProof/>
          <w:szCs w:val="22"/>
          <w:u w:val="single"/>
        </w:rPr>
        <w:t xml:space="preserve">Neurological </w:t>
      </w:r>
      <w:r w:rsidRPr="00D442F1" w:rsidR="00686F3A">
        <w:rPr>
          <w:i/>
          <w:noProof/>
          <w:szCs w:val="22"/>
          <w:u w:val="single"/>
        </w:rPr>
        <w:t>adverse reactions</w:t>
      </w:r>
    </w:p>
    <w:p w:rsidR="00472034" w:rsidRPr="00D442F1" w:rsidP="00166894" w14:paraId="021D8DCC" w14:textId="6D7C8770">
      <w:pPr>
        <w:widowControl w:val="0"/>
        <w:tabs>
          <w:tab w:val="clear" w:pos="567"/>
        </w:tabs>
        <w:autoSpaceDE w:val="0"/>
        <w:autoSpaceDN w:val="0"/>
        <w:adjustRightInd w:val="0"/>
        <w:spacing w:line="240" w:lineRule="auto"/>
        <w:rPr>
          <w:noProof/>
          <w:szCs w:val="22"/>
        </w:rPr>
      </w:pPr>
      <w:r w:rsidRPr="00D442F1">
        <w:rPr>
          <w:noProof/>
          <w:szCs w:val="22"/>
        </w:rPr>
        <w:t>The majority of neuro</w:t>
      </w:r>
      <w:r w:rsidRPr="00D442F1" w:rsidR="00D07918">
        <w:rPr>
          <w:noProof/>
          <w:szCs w:val="22"/>
        </w:rPr>
        <w:t>toxic</w:t>
      </w:r>
      <w:r w:rsidRPr="00D442F1">
        <w:rPr>
          <w:noProof/>
          <w:szCs w:val="22"/>
        </w:rPr>
        <w:t xml:space="preserve"> events occurred within 8</w:t>
      </w:r>
      <w:r w:rsidRPr="00D442F1" w:rsidR="00D33576">
        <w:rPr>
          <w:noProof/>
          <w:szCs w:val="22"/>
        </w:rPr>
        <w:t> </w:t>
      </w:r>
      <w:r w:rsidRPr="00D442F1">
        <w:rPr>
          <w:noProof/>
          <w:szCs w:val="22"/>
        </w:rPr>
        <w:t>weeks following infusion and were transient.</w:t>
      </w:r>
    </w:p>
    <w:p w:rsidR="005A30B2" w:rsidRPr="00D442F1" w:rsidP="00166894" w14:paraId="42D58A6D" w14:textId="77777777">
      <w:pPr>
        <w:widowControl w:val="0"/>
        <w:tabs>
          <w:tab w:val="clear" w:pos="567"/>
        </w:tabs>
        <w:autoSpaceDE w:val="0"/>
        <w:autoSpaceDN w:val="0"/>
        <w:adjustRightInd w:val="0"/>
        <w:spacing w:line="240" w:lineRule="auto"/>
        <w:rPr>
          <w:noProof/>
          <w:szCs w:val="22"/>
        </w:rPr>
      </w:pPr>
    </w:p>
    <w:p w:rsidR="00E251BF" w:rsidRPr="00D442F1" w:rsidP="00166894" w14:paraId="152C493C" w14:textId="45D702F9">
      <w:pPr>
        <w:widowControl w:val="0"/>
        <w:tabs>
          <w:tab w:val="clear" w:pos="567"/>
        </w:tabs>
        <w:autoSpaceDE w:val="0"/>
        <w:autoSpaceDN w:val="0"/>
        <w:adjustRightInd w:val="0"/>
        <w:spacing w:line="240" w:lineRule="auto"/>
        <w:rPr>
          <w:noProof/>
          <w:szCs w:val="22"/>
        </w:rPr>
      </w:pPr>
      <w:r w:rsidRPr="00D442F1">
        <w:rPr>
          <w:noProof/>
          <w:szCs w:val="22"/>
        </w:rPr>
        <w:t>In p</w:t>
      </w:r>
      <w:r w:rsidRPr="00D442F1" w:rsidR="00A13E1C">
        <w:rPr>
          <w:noProof/>
          <w:szCs w:val="22"/>
        </w:rPr>
        <w:t>a</w:t>
      </w:r>
      <w:r w:rsidRPr="00D442F1">
        <w:rPr>
          <w:noProof/>
          <w:szCs w:val="22"/>
        </w:rPr>
        <w:t>ediatric and young adult B</w:t>
      </w:r>
      <w:r w:rsidRPr="00D442F1" w:rsidR="00591100">
        <w:rPr>
          <w:noProof/>
          <w:szCs w:val="22"/>
        </w:rPr>
        <w:noBreakHyphen/>
      </w:r>
      <w:r w:rsidRPr="00D442F1">
        <w:rPr>
          <w:noProof/>
          <w:szCs w:val="22"/>
        </w:rPr>
        <w:t xml:space="preserve">cell ALL patients, </w:t>
      </w:r>
      <w:r w:rsidRPr="00D442F1" w:rsidR="00B94F12">
        <w:rPr>
          <w:noProof/>
          <w:szCs w:val="22"/>
        </w:rPr>
        <w:t>manifestations</w:t>
      </w:r>
      <w:r w:rsidRPr="00D442F1">
        <w:rPr>
          <w:noProof/>
          <w:szCs w:val="22"/>
        </w:rPr>
        <w:t xml:space="preserve"> of encephalopathy and/or delirium occurred in </w:t>
      </w:r>
      <w:r w:rsidRPr="00D442F1" w:rsidR="00D07918">
        <w:rPr>
          <w:noProof/>
          <w:szCs w:val="22"/>
        </w:rPr>
        <w:t>39</w:t>
      </w:r>
      <w:r w:rsidRPr="00D442F1">
        <w:rPr>
          <w:noProof/>
          <w:szCs w:val="22"/>
        </w:rPr>
        <w:t>% of patients (</w:t>
      </w:r>
      <w:r w:rsidRPr="00D442F1" w:rsidR="00D07918">
        <w:rPr>
          <w:noProof/>
          <w:szCs w:val="22"/>
        </w:rPr>
        <w:t>10</w:t>
      </w:r>
      <w:r w:rsidRPr="00D442F1">
        <w:rPr>
          <w:noProof/>
          <w:szCs w:val="22"/>
        </w:rPr>
        <w:t xml:space="preserve">% </w:t>
      </w:r>
      <w:r w:rsidRPr="00D442F1" w:rsidR="005A30B2">
        <w:rPr>
          <w:noProof/>
          <w:szCs w:val="22"/>
        </w:rPr>
        <w:t xml:space="preserve">were </w:t>
      </w:r>
      <w:r w:rsidRPr="00D442F1">
        <w:rPr>
          <w:noProof/>
          <w:szCs w:val="22"/>
        </w:rPr>
        <w:t>Grade</w:t>
      </w:r>
      <w:r w:rsidRPr="00D442F1" w:rsidR="00591100">
        <w:rPr>
          <w:noProof/>
          <w:szCs w:val="22"/>
        </w:rPr>
        <w:t> </w:t>
      </w:r>
      <w:r w:rsidRPr="00D442F1">
        <w:rPr>
          <w:noProof/>
          <w:szCs w:val="22"/>
        </w:rPr>
        <w:t>3 or 4) within 8</w:t>
      </w:r>
      <w:r w:rsidRPr="00D442F1" w:rsidR="00591100">
        <w:rPr>
          <w:noProof/>
          <w:szCs w:val="22"/>
        </w:rPr>
        <w:t> </w:t>
      </w:r>
      <w:r w:rsidRPr="00D442F1">
        <w:rPr>
          <w:noProof/>
          <w:szCs w:val="22"/>
        </w:rPr>
        <w:t xml:space="preserve">weeks after Kymriah infusion. In DLBCL patients, </w:t>
      </w:r>
      <w:r w:rsidRPr="00D442F1" w:rsidR="00B94F12">
        <w:rPr>
          <w:noProof/>
          <w:szCs w:val="22"/>
        </w:rPr>
        <w:t xml:space="preserve">manifestations </w:t>
      </w:r>
      <w:r w:rsidRPr="00D442F1">
        <w:rPr>
          <w:noProof/>
          <w:szCs w:val="22"/>
        </w:rPr>
        <w:t>of encephalopathy and/or delirium occurred in 2</w:t>
      </w:r>
      <w:r w:rsidRPr="00D442F1" w:rsidR="007D06FB">
        <w:rPr>
          <w:noProof/>
          <w:szCs w:val="22"/>
        </w:rPr>
        <w:t>0</w:t>
      </w:r>
      <w:r w:rsidRPr="00D442F1">
        <w:rPr>
          <w:noProof/>
          <w:szCs w:val="22"/>
        </w:rPr>
        <w:t>% of patients (1</w:t>
      </w:r>
      <w:r w:rsidRPr="00D442F1" w:rsidR="007D06FB">
        <w:rPr>
          <w:noProof/>
          <w:szCs w:val="22"/>
        </w:rPr>
        <w:t>1</w:t>
      </w:r>
      <w:r w:rsidRPr="00D442F1">
        <w:rPr>
          <w:noProof/>
          <w:szCs w:val="22"/>
        </w:rPr>
        <w:t>% were Grade</w:t>
      </w:r>
      <w:r w:rsidRPr="00D442F1" w:rsidR="00591100">
        <w:rPr>
          <w:noProof/>
          <w:szCs w:val="22"/>
        </w:rPr>
        <w:t> </w:t>
      </w:r>
      <w:r w:rsidRPr="00D442F1">
        <w:rPr>
          <w:noProof/>
          <w:szCs w:val="22"/>
        </w:rPr>
        <w:t>3 or 4) within 8</w:t>
      </w:r>
      <w:r w:rsidRPr="00D442F1" w:rsidR="00591100">
        <w:rPr>
          <w:noProof/>
          <w:szCs w:val="22"/>
        </w:rPr>
        <w:t> weeks after Kymriah infusion.</w:t>
      </w:r>
    </w:p>
    <w:p w:rsidR="000B4713" w:rsidRPr="00D442F1" w:rsidP="00166894" w14:paraId="5F022E8E" w14:textId="77777777">
      <w:pPr>
        <w:widowControl w:val="0"/>
        <w:tabs>
          <w:tab w:val="clear" w:pos="567"/>
        </w:tabs>
        <w:autoSpaceDE w:val="0"/>
        <w:autoSpaceDN w:val="0"/>
        <w:adjustRightInd w:val="0"/>
        <w:spacing w:line="240" w:lineRule="auto"/>
      </w:pPr>
    </w:p>
    <w:p w:rsidR="004A3452" w:rsidRPr="00D442F1" w:rsidP="00166894" w14:paraId="71C0DA6B" w14:textId="77777777">
      <w:pPr>
        <w:keepNext/>
        <w:widowControl w:val="0"/>
        <w:tabs>
          <w:tab w:val="clear" w:pos="567"/>
        </w:tabs>
        <w:autoSpaceDE w:val="0"/>
        <w:autoSpaceDN w:val="0"/>
        <w:adjustRightInd w:val="0"/>
        <w:spacing w:line="240" w:lineRule="auto"/>
        <w:rPr>
          <w:i/>
          <w:noProof/>
          <w:szCs w:val="22"/>
          <w:u w:val="single"/>
        </w:rPr>
      </w:pPr>
      <w:r w:rsidRPr="00D442F1">
        <w:rPr>
          <w:i/>
          <w:noProof/>
          <w:szCs w:val="22"/>
          <w:u w:val="single"/>
        </w:rPr>
        <w:t>Hypogammaglobulinaemia</w:t>
      </w:r>
    </w:p>
    <w:p w:rsidR="004A3452" w:rsidRPr="00D442F1" w:rsidP="00166894" w14:paraId="0E883D1A" w14:textId="005C17D4">
      <w:pPr>
        <w:widowControl w:val="0"/>
        <w:tabs>
          <w:tab w:val="clear" w:pos="567"/>
        </w:tabs>
        <w:autoSpaceDE w:val="0"/>
        <w:autoSpaceDN w:val="0"/>
        <w:adjustRightInd w:val="0"/>
        <w:spacing w:line="240" w:lineRule="auto"/>
        <w:rPr>
          <w:noProof/>
          <w:szCs w:val="22"/>
        </w:rPr>
      </w:pPr>
      <w:r w:rsidRPr="00D442F1">
        <w:rPr>
          <w:noProof/>
          <w:szCs w:val="22"/>
        </w:rPr>
        <w:t xml:space="preserve">Hypogammaglobulinaemia was reported in </w:t>
      </w:r>
      <w:r w:rsidRPr="00D442F1" w:rsidR="00254DA2">
        <w:rPr>
          <w:noProof/>
          <w:szCs w:val="22"/>
        </w:rPr>
        <w:t>53</w:t>
      </w:r>
      <w:r w:rsidRPr="00D442F1">
        <w:rPr>
          <w:noProof/>
          <w:szCs w:val="22"/>
        </w:rPr>
        <w:t>% of patients treated with Kymriah for</w:t>
      </w:r>
      <w:r w:rsidRPr="00D442F1" w:rsidR="0035056C">
        <w:rPr>
          <w:noProof/>
          <w:szCs w:val="22"/>
        </w:rPr>
        <w:t xml:space="preserve"> r/r</w:t>
      </w:r>
      <w:r w:rsidRPr="00D442F1">
        <w:rPr>
          <w:noProof/>
          <w:szCs w:val="22"/>
        </w:rPr>
        <w:t xml:space="preserve"> ALL and </w:t>
      </w:r>
      <w:r w:rsidRPr="00D442F1" w:rsidR="00254DA2">
        <w:rPr>
          <w:noProof/>
          <w:szCs w:val="22"/>
        </w:rPr>
        <w:t>17</w:t>
      </w:r>
      <w:r w:rsidRPr="00D442F1">
        <w:rPr>
          <w:noProof/>
          <w:szCs w:val="22"/>
        </w:rPr>
        <w:t>% of patients with</w:t>
      </w:r>
      <w:r w:rsidRPr="00D442F1" w:rsidR="0035056C">
        <w:rPr>
          <w:noProof/>
          <w:szCs w:val="22"/>
        </w:rPr>
        <w:t xml:space="preserve"> r/r</w:t>
      </w:r>
      <w:r w:rsidRPr="00D442F1">
        <w:rPr>
          <w:noProof/>
          <w:szCs w:val="22"/>
        </w:rPr>
        <w:t xml:space="preserve"> DLBCL.</w:t>
      </w:r>
    </w:p>
    <w:p w:rsidR="004A3452" w:rsidRPr="00D442F1" w:rsidP="00166894" w14:paraId="1B9CB63C" w14:textId="77777777">
      <w:pPr>
        <w:widowControl w:val="0"/>
        <w:tabs>
          <w:tab w:val="clear" w:pos="567"/>
        </w:tabs>
        <w:autoSpaceDE w:val="0"/>
        <w:autoSpaceDN w:val="0"/>
        <w:adjustRightInd w:val="0"/>
        <w:spacing w:line="240" w:lineRule="auto"/>
        <w:rPr>
          <w:noProof/>
          <w:szCs w:val="22"/>
        </w:rPr>
      </w:pPr>
    </w:p>
    <w:p w:rsidR="004A3452" w:rsidRPr="00D442F1" w:rsidP="00166894" w14:paraId="6607E094" w14:textId="77777777">
      <w:pPr>
        <w:widowControl w:val="0"/>
        <w:tabs>
          <w:tab w:val="clear" w:pos="567"/>
        </w:tabs>
        <w:autoSpaceDE w:val="0"/>
        <w:autoSpaceDN w:val="0"/>
        <w:adjustRightInd w:val="0"/>
        <w:spacing w:line="240" w:lineRule="auto"/>
        <w:rPr>
          <w:noProof/>
          <w:szCs w:val="22"/>
        </w:rPr>
      </w:pPr>
      <w:r w:rsidRPr="00D442F1">
        <w:rPr>
          <w:noProof/>
          <w:szCs w:val="22"/>
        </w:rPr>
        <w:t>Pregnant women who have received Kymriah may have hypogammaglobulinaemia. Immunoglobulin levels should be assessed in newborns of mothers treated with Kymriah.</w:t>
      </w:r>
    </w:p>
    <w:p w:rsidR="004A3452" w:rsidRPr="00D442F1" w:rsidP="00166894" w14:paraId="573F843A" w14:textId="77777777">
      <w:pPr>
        <w:widowControl w:val="0"/>
        <w:tabs>
          <w:tab w:val="clear" w:pos="567"/>
        </w:tabs>
        <w:autoSpaceDE w:val="0"/>
        <w:autoSpaceDN w:val="0"/>
        <w:adjustRightInd w:val="0"/>
        <w:spacing w:line="240" w:lineRule="auto"/>
      </w:pPr>
    </w:p>
    <w:p w:rsidR="0047511C" w:rsidRPr="00D442F1" w:rsidP="00166894" w14:paraId="3AC08594" w14:textId="77777777">
      <w:pPr>
        <w:keepNext/>
        <w:widowControl w:val="0"/>
        <w:tabs>
          <w:tab w:val="clear" w:pos="567"/>
        </w:tabs>
        <w:autoSpaceDE w:val="0"/>
        <w:autoSpaceDN w:val="0"/>
        <w:adjustRightInd w:val="0"/>
        <w:spacing w:line="240" w:lineRule="auto"/>
        <w:rPr>
          <w:i/>
          <w:noProof/>
          <w:szCs w:val="22"/>
          <w:u w:val="single"/>
        </w:rPr>
      </w:pPr>
      <w:r w:rsidRPr="00D442F1">
        <w:rPr>
          <w:i/>
          <w:noProof/>
          <w:szCs w:val="22"/>
          <w:u w:val="single"/>
        </w:rPr>
        <w:t>Immunogenicity</w:t>
      </w:r>
    </w:p>
    <w:p w:rsidR="0047511C" w:rsidRPr="00D442F1" w:rsidP="00166894" w14:paraId="06D156CF" w14:textId="77777777">
      <w:pPr>
        <w:keepNext/>
        <w:widowControl w:val="0"/>
        <w:tabs>
          <w:tab w:val="clear" w:pos="567"/>
        </w:tabs>
        <w:spacing w:line="240" w:lineRule="auto"/>
        <w:outlineLvl w:val="0"/>
        <w:rPr>
          <w:szCs w:val="22"/>
        </w:rPr>
      </w:pPr>
    </w:p>
    <w:p w:rsidR="0047511C" w:rsidRPr="00D442F1" w:rsidP="00166894" w14:paraId="27FC0716" w14:textId="509A9358">
      <w:pPr>
        <w:widowControl w:val="0"/>
        <w:numPr>
          <w:ilvl w:val="12"/>
          <w:numId w:val="0"/>
        </w:numPr>
        <w:tabs>
          <w:tab w:val="clear" w:pos="567"/>
        </w:tabs>
        <w:spacing w:line="240" w:lineRule="auto"/>
        <w:ind w:right="-2"/>
        <w:rPr>
          <w:rFonts w:eastAsia="MS Mincho"/>
          <w:bCs/>
          <w:szCs w:val="22"/>
          <w:lang w:eastAsia="zh-CN"/>
        </w:rPr>
      </w:pPr>
      <w:r w:rsidRPr="00D442F1">
        <w:rPr>
          <w:rFonts w:eastAsia="MS Mincho"/>
          <w:szCs w:val="22"/>
          <w:lang w:eastAsia="zh-CN"/>
        </w:rPr>
        <w:t>In clinical studies, humoral immunogenicity of tisagenlecleucel was measured by determination of anti</w:t>
      </w:r>
      <w:r w:rsidRPr="00D442F1">
        <w:rPr>
          <w:rFonts w:eastAsia="MS Mincho"/>
          <w:szCs w:val="22"/>
          <w:lang w:eastAsia="zh-CN"/>
        </w:rPr>
        <w:noBreakHyphen/>
        <w:t>murine CAR19 antibodies (anti</w:t>
      </w:r>
      <w:r w:rsidRPr="00D442F1">
        <w:rPr>
          <w:rFonts w:eastAsia="MS Mincho"/>
          <w:szCs w:val="22"/>
          <w:lang w:eastAsia="zh-CN"/>
        </w:rPr>
        <w:noBreakHyphen/>
        <w:t>mCAR19) in serum pre</w:t>
      </w:r>
      <w:r w:rsidRPr="00D442F1">
        <w:rPr>
          <w:rFonts w:eastAsia="MS Mincho"/>
          <w:szCs w:val="22"/>
          <w:lang w:eastAsia="zh-CN"/>
        </w:rPr>
        <w:noBreakHyphen/>
        <w:t xml:space="preserve"> and post</w:t>
      </w:r>
      <w:r w:rsidRPr="00D442F1">
        <w:rPr>
          <w:rFonts w:eastAsia="MS Mincho"/>
          <w:szCs w:val="22"/>
          <w:lang w:eastAsia="zh-CN"/>
        </w:rPr>
        <w:noBreakHyphen/>
        <w:t>administration. The majority of patients tested positive for pre</w:t>
      </w:r>
      <w:r w:rsidRPr="00D442F1" w:rsidR="00136D62">
        <w:rPr>
          <w:rFonts w:eastAsia="MS Mincho"/>
          <w:szCs w:val="22"/>
          <w:lang w:eastAsia="zh-CN"/>
        </w:rPr>
        <w:noBreakHyphen/>
      </w:r>
      <w:r w:rsidRPr="00D442F1">
        <w:rPr>
          <w:rFonts w:eastAsia="MS Mincho"/>
          <w:szCs w:val="22"/>
          <w:lang w:eastAsia="zh-CN"/>
        </w:rPr>
        <w:t>dose anti</w:t>
      </w:r>
      <w:r w:rsidRPr="00D442F1" w:rsidR="00136D62">
        <w:rPr>
          <w:rFonts w:eastAsia="MS Mincho"/>
          <w:szCs w:val="22"/>
          <w:lang w:eastAsia="zh-CN"/>
        </w:rPr>
        <w:noBreakHyphen/>
      </w:r>
      <w:r w:rsidRPr="00D442F1">
        <w:rPr>
          <w:rFonts w:eastAsia="MS Mincho"/>
          <w:szCs w:val="22"/>
          <w:lang w:eastAsia="zh-CN"/>
        </w:rPr>
        <w:t xml:space="preserve">mCAR19 antibodies in paediatric and young adult ALL (B2202, </w:t>
      </w:r>
      <w:r w:rsidRPr="00D442F1" w:rsidR="00CE65D6">
        <w:rPr>
          <w:rFonts w:eastAsia="MS Mincho"/>
          <w:szCs w:val="22"/>
          <w:lang w:eastAsia="zh-CN"/>
        </w:rPr>
        <w:t>91.1</w:t>
      </w:r>
      <w:r w:rsidRPr="00D442F1">
        <w:rPr>
          <w:rFonts w:eastAsia="MS Mincho"/>
          <w:szCs w:val="22"/>
          <w:lang w:eastAsia="zh-CN"/>
        </w:rPr>
        <w:t>%) and adult DLBCL (</w:t>
      </w:r>
      <w:r w:rsidRPr="00D442F1">
        <w:rPr>
          <w:rFonts w:eastAsia="MS Mincho"/>
          <w:bCs/>
          <w:szCs w:val="22"/>
          <w:lang w:eastAsia="zh-CN"/>
        </w:rPr>
        <w:t xml:space="preserve">C2201, </w:t>
      </w:r>
      <w:r w:rsidRPr="00D442F1" w:rsidR="000B4713">
        <w:rPr>
          <w:rFonts w:eastAsia="MS Mincho"/>
          <w:bCs/>
          <w:szCs w:val="22"/>
          <w:lang w:eastAsia="zh-CN"/>
        </w:rPr>
        <w:t>93.9</w:t>
      </w:r>
      <w:r w:rsidRPr="00D442F1">
        <w:rPr>
          <w:rFonts w:eastAsia="MS Mincho"/>
          <w:bCs/>
          <w:szCs w:val="22"/>
          <w:lang w:eastAsia="zh-CN"/>
        </w:rPr>
        <w:t>%)</w:t>
      </w:r>
      <w:r w:rsidRPr="00D442F1" w:rsidR="000B4713">
        <w:rPr>
          <w:rFonts w:eastAsia="MS Mincho"/>
          <w:bCs/>
          <w:szCs w:val="22"/>
          <w:lang w:eastAsia="zh-CN"/>
        </w:rPr>
        <w:t xml:space="preserve"> patients</w:t>
      </w:r>
      <w:r w:rsidRPr="00D442F1">
        <w:rPr>
          <w:rFonts w:eastAsia="MS Mincho"/>
          <w:bCs/>
          <w:szCs w:val="22"/>
          <w:lang w:eastAsia="zh-CN"/>
        </w:rPr>
        <w:t>.</w:t>
      </w:r>
    </w:p>
    <w:p w:rsidR="0047511C" w:rsidRPr="00D442F1" w:rsidP="00166894" w14:paraId="0AA8A033" w14:textId="77777777">
      <w:pPr>
        <w:widowControl w:val="0"/>
        <w:numPr>
          <w:ilvl w:val="12"/>
          <w:numId w:val="0"/>
        </w:numPr>
        <w:tabs>
          <w:tab w:val="clear" w:pos="567"/>
        </w:tabs>
        <w:spacing w:line="240" w:lineRule="auto"/>
        <w:ind w:right="-2"/>
        <w:rPr>
          <w:rFonts w:eastAsia="MS Mincho"/>
          <w:bCs/>
          <w:szCs w:val="22"/>
          <w:lang w:eastAsia="zh-CN"/>
        </w:rPr>
      </w:pPr>
    </w:p>
    <w:p w:rsidR="0047511C" w:rsidRPr="00D442F1" w:rsidP="00166894" w14:paraId="021689C4" w14:textId="673CEEF1">
      <w:pPr>
        <w:widowControl w:val="0"/>
        <w:numPr>
          <w:ilvl w:val="12"/>
          <w:numId w:val="0"/>
        </w:numPr>
        <w:tabs>
          <w:tab w:val="clear" w:pos="567"/>
        </w:tabs>
        <w:spacing w:line="240" w:lineRule="auto"/>
        <w:ind w:right="-2"/>
        <w:rPr>
          <w:rFonts w:eastAsia="MS Mincho"/>
          <w:szCs w:val="22"/>
          <w:lang w:eastAsia="zh-CN"/>
        </w:rPr>
      </w:pPr>
      <w:r w:rsidRPr="00D442F1">
        <w:rPr>
          <w:rFonts w:eastAsia="MS Mincho"/>
          <w:szCs w:val="22"/>
          <w:lang w:eastAsia="zh-CN"/>
        </w:rPr>
        <w:t>Treatment</w:t>
      </w:r>
      <w:r w:rsidRPr="00D442F1" w:rsidR="00136D62">
        <w:rPr>
          <w:rFonts w:eastAsia="MS Mincho"/>
          <w:szCs w:val="22"/>
          <w:lang w:eastAsia="zh-CN"/>
        </w:rPr>
        <w:noBreakHyphen/>
      </w:r>
      <w:r w:rsidRPr="00D442F1">
        <w:rPr>
          <w:rFonts w:eastAsia="MS Mincho"/>
          <w:szCs w:val="22"/>
          <w:lang w:eastAsia="zh-CN"/>
        </w:rPr>
        <w:t>induced anti</w:t>
      </w:r>
      <w:r w:rsidRPr="00D442F1" w:rsidR="00136D62">
        <w:rPr>
          <w:rFonts w:eastAsia="MS Mincho"/>
          <w:szCs w:val="22"/>
          <w:lang w:eastAsia="zh-CN"/>
        </w:rPr>
        <w:noBreakHyphen/>
      </w:r>
      <w:r w:rsidRPr="00D442F1">
        <w:rPr>
          <w:rFonts w:eastAsia="MS Mincho"/>
          <w:szCs w:val="22"/>
          <w:lang w:eastAsia="zh-CN"/>
        </w:rPr>
        <w:t xml:space="preserve">mCAR19 antibodies were </w:t>
      </w:r>
      <w:r w:rsidRPr="00D442F1" w:rsidR="000B4713">
        <w:rPr>
          <w:rFonts w:eastAsia="MS Mincho"/>
          <w:szCs w:val="22"/>
          <w:lang w:eastAsia="zh-CN"/>
        </w:rPr>
        <w:t xml:space="preserve">found </w:t>
      </w:r>
      <w:r w:rsidRPr="00D442F1">
        <w:rPr>
          <w:rFonts w:eastAsia="MS Mincho"/>
          <w:szCs w:val="22"/>
          <w:lang w:eastAsia="zh-CN"/>
        </w:rPr>
        <w:t xml:space="preserve">in </w:t>
      </w:r>
      <w:r w:rsidRPr="00D442F1" w:rsidR="000B4713">
        <w:rPr>
          <w:rFonts w:eastAsia="MS Mincho"/>
          <w:szCs w:val="22"/>
          <w:lang w:eastAsia="zh-CN"/>
        </w:rPr>
        <w:t>40.</w:t>
      </w:r>
      <w:r w:rsidRPr="00D442F1" w:rsidR="00CE65D6">
        <w:rPr>
          <w:rFonts w:eastAsia="MS Mincho"/>
          <w:szCs w:val="22"/>
          <w:lang w:eastAsia="zh-CN"/>
        </w:rPr>
        <w:t>5</w:t>
      </w:r>
      <w:r w:rsidRPr="00D442F1">
        <w:rPr>
          <w:rFonts w:eastAsia="MS Mincho"/>
          <w:szCs w:val="22"/>
          <w:lang w:eastAsia="zh-CN"/>
        </w:rPr>
        <w:t xml:space="preserve">% of paediatric and young adult ALL and </w:t>
      </w:r>
      <w:r w:rsidRPr="00D442F1" w:rsidR="000B4713">
        <w:rPr>
          <w:rFonts w:eastAsia="MS Mincho"/>
          <w:szCs w:val="22"/>
          <w:lang w:eastAsia="zh-CN"/>
        </w:rPr>
        <w:t>8.7</w:t>
      </w:r>
      <w:r w:rsidRPr="00D442F1">
        <w:rPr>
          <w:rFonts w:eastAsia="MS Mincho"/>
          <w:szCs w:val="22"/>
          <w:lang w:eastAsia="zh-CN"/>
        </w:rPr>
        <w:t>% of adult DLBCL patients. Pre</w:t>
      </w:r>
      <w:r w:rsidRPr="00D442F1">
        <w:rPr>
          <w:rFonts w:eastAsia="MS Mincho"/>
          <w:szCs w:val="22"/>
          <w:lang w:eastAsia="zh-CN"/>
        </w:rPr>
        <w:noBreakHyphen/>
        <w:t>existing and treatment</w:t>
      </w:r>
      <w:r w:rsidRPr="00D442F1">
        <w:rPr>
          <w:rFonts w:eastAsia="MS Mincho"/>
          <w:szCs w:val="22"/>
          <w:lang w:eastAsia="zh-CN"/>
        </w:rPr>
        <w:noBreakHyphen/>
        <w:t>induced antibodies were not associated with an impact on clinical response nor did they have an impact on the expansion and persistence of tisagenlecleucel. There is no evidence that the presence of pre</w:t>
      </w:r>
      <w:r w:rsidRPr="00D442F1">
        <w:rPr>
          <w:rFonts w:eastAsia="MS Mincho"/>
          <w:szCs w:val="22"/>
          <w:lang w:eastAsia="zh-CN"/>
        </w:rPr>
        <w:noBreakHyphen/>
        <w:t>existing and treatment</w:t>
      </w:r>
      <w:r w:rsidRPr="00D442F1">
        <w:rPr>
          <w:rFonts w:eastAsia="MS Mincho"/>
          <w:szCs w:val="22"/>
          <w:lang w:eastAsia="zh-CN"/>
        </w:rPr>
        <w:noBreakHyphen/>
        <w:t>induced anti</w:t>
      </w:r>
      <w:r w:rsidRPr="00D442F1">
        <w:rPr>
          <w:rFonts w:eastAsia="MS Mincho"/>
          <w:szCs w:val="22"/>
          <w:lang w:eastAsia="zh-CN"/>
        </w:rPr>
        <w:noBreakHyphen/>
        <w:t>mCAR19 antibodies impacts the safety or effectiveness of Kymriah.</w:t>
      </w:r>
    </w:p>
    <w:p w:rsidR="0047511C" w:rsidRPr="00D442F1" w:rsidP="00166894" w14:paraId="35AFD163" w14:textId="77777777">
      <w:pPr>
        <w:widowControl w:val="0"/>
        <w:numPr>
          <w:ilvl w:val="12"/>
          <w:numId w:val="0"/>
        </w:numPr>
        <w:tabs>
          <w:tab w:val="clear" w:pos="567"/>
        </w:tabs>
        <w:spacing w:line="240" w:lineRule="auto"/>
        <w:ind w:right="-2"/>
        <w:rPr>
          <w:rFonts w:eastAsia="MS Mincho"/>
          <w:bCs/>
          <w:szCs w:val="22"/>
          <w:lang w:eastAsia="zh-CN"/>
        </w:rPr>
      </w:pPr>
    </w:p>
    <w:p w:rsidR="007D06FB" w:rsidRPr="00D442F1" w:rsidP="00166894" w14:paraId="7CFC1B6F" w14:textId="703BC658">
      <w:pPr>
        <w:widowControl w:val="0"/>
        <w:numPr>
          <w:ilvl w:val="12"/>
          <w:numId w:val="0"/>
        </w:numPr>
        <w:tabs>
          <w:tab w:val="clear" w:pos="567"/>
        </w:tabs>
        <w:spacing w:line="240" w:lineRule="auto"/>
        <w:ind w:right="-2"/>
        <w:rPr>
          <w:rFonts w:eastAsia="MS Mincho"/>
          <w:szCs w:val="22"/>
          <w:lang w:eastAsia="zh-CN"/>
        </w:rPr>
      </w:pPr>
      <w:r w:rsidRPr="00D442F1">
        <w:t>T</w:t>
      </w:r>
      <w:r w:rsidRPr="00D442F1">
        <w:noBreakHyphen/>
        <w:t>cell immunogenicity responses were not observed in paediatric and young adult B</w:t>
      </w:r>
      <w:r w:rsidRPr="00D442F1">
        <w:noBreakHyphen/>
        <w:t>cell ALL and adult r/r DLBCL patients.</w:t>
      </w:r>
    </w:p>
    <w:p w:rsidR="00CC13C8" w:rsidRPr="00D442F1" w:rsidP="00166894" w14:paraId="3E79068C" w14:textId="77777777">
      <w:pPr>
        <w:widowControl w:val="0"/>
        <w:tabs>
          <w:tab w:val="clear" w:pos="567"/>
        </w:tabs>
        <w:autoSpaceDE w:val="0"/>
        <w:autoSpaceDN w:val="0"/>
        <w:adjustRightInd w:val="0"/>
        <w:spacing w:line="240" w:lineRule="auto"/>
      </w:pPr>
    </w:p>
    <w:p w:rsidR="001C2537" w:rsidRPr="00D442F1" w:rsidP="00166894" w14:paraId="3F2218A0" w14:textId="77777777">
      <w:pPr>
        <w:keepNext/>
        <w:widowControl w:val="0"/>
        <w:tabs>
          <w:tab w:val="clear" w:pos="567"/>
        </w:tabs>
        <w:autoSpaceDE w:val="0"/>
        <w:autoSpaceDN w:val="0"/>
        <w:adjustRightInd w:val="0"/>
        <w:spacing w:line="240" w:lineRule="auto"/>
        <w:rPr>
          <w:noProof/>
          <w:szCs w:val="22"/>
          <w:u w:val="single"/>
        </w:rPr>
      </w:pPr>
      <w:r w:rsidRPr="00D442F1">
        <w:rPr>
          <w:noProof/>
          <w:szCs w:val="22"/>
          <w:u w:val="single"/>
        </w:rPr>
        <w:t>Reporting of suspected adverse reactions</w:t>
      </w:r>
    </w:p>
    <w:p w:rsidR="001C2537" w:rsidRPr="00D442F1" w:rsidP="00166894" w14:paraId="1A177F14" w14:textId="77777777">
      <w:pPr>
        <w:keepNext/>
        <w:widowControl w:val="0"/>
        <w:tabs>
          <w:tab w:val="clear" w:pos="567"/>
        </w:tabs>
        <w:autoSpaceDE w:val="0"/>
        <w:autoSpaceDN w:val="0"/>
        <w:adjustRightInd w:val="0"/>
        <w:spacing w:line="240" w:lineRule="auto"/>
        <w:rPr>
          <w:noProof/>
          <w:szCs w:val="22"/>
        </w:rPr>
      </w:pPr>
    </w:p>
    <w:p w:rsidR="00982C12" w:rsidRPr="00D442F1" w:rsidP="00166894" w14:paraId="1272EAA6" w14:textId="77777777">
      <w:pPr>
        <w:widowControl w:val="0"/>
        <w:tabs>
          <w:tab w:val="clear" w:pos="567"/>
        </w:tabs>
        <w:autoSpaceDE w:val="0"/>
        <w:autoSpaceDN w:val="0"/>
        <w:adjustRightInd w:val="0"/>
        <w:spacing w:line="240" w:lineRule="auto"/>
        <w:rPr>
          <w:noProof/>
          <w:szCs w:val="22"/>
        </w:rPr>
      </w:pPr>
      <w:r w:rsidRPr="00D442F1">
        <w:rPr>
          <w:noProof/>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D442F1">
        <w:rPr>
          <w:noProof/>
          <w:szCs w:val="22"/>
          <w:shd w:val="pct15" w:color="auto" w:fill="auto"/>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D442F1">
        <w:rPr>
          <w:rStyle w:val="Hyperlink"/>
          <w:noProof/>
          <w:szCs w:val="22"/>
          <w:shd w:val="pct15" w:color="auto" w:fill="auto"/>
        </w:rPr>
        <w:t>Appendix V</w:t>
      </w:r>
      <w:r>
        <w:fldChar w:fldCharType="end"/>
      </w:r>
      <w:r w:rsidRPr="00D442F1" w:rsidR="002A3ED6">
        <w:rPr>
          <w:noProof/>
          <w:szCs w:val="22"/>
        </w:rPr>
        <w:t>.</w:t>
      </w:r>
    </w:p>
    <w:p w:rsidR="008D35AD" w:rsidRPr="00D442F1" w:rsidP="00166894" w14:paraId="5DA0A79D" w14:textId="77777777">
      <w:pPr>
        <w:widowControl w:val="0"/>
        <w:tabs>
          <w:tab w:val="clear" w:pos="567"/>
        </w:tabs>
        <w:spacing w:line="240" w:lineRule="auto"/>
        <w:rPr>
          <w:noProof/>
          <w:szCs w:val="22"/>
        </w:rPr>
      </w:pPr>
    </w:p>
    <w:p w:rsidR="00812D16" w:rsidRPr="00D442F1" w:rsidP="00166894" w14:paraId="774B0C8C" w14:textId="77777777">
      <w:pPr>
        <w:keepNext/>
        <w:widowControl w:val="0"/>
        <w:tabs>
          <w:tab w:val="clear" w:pos="567"/>
        </w:tabs>
        <w:spacing w:line="240" w:lineRule="auto"/>
        <w:ind w:left="567" w:hanging="567"/>
        <w:outlineLvl w:val="0"/>
        <w:rPr>
          <w:noProof/>
          <w:szCs w:val="22"/>
        </w:rPr>
      </w:pPr>
      <w:r w:rsidRPr="00D442F1">
        <w:rPr>
          <w:b/>
          <w:noProof/>
          <w:szCs w:val="22"/>
        </w:rPr>
        <w:t>4.9</w:t>
      </w:r>
      <w:r w:rsidRPr="00D442F1">
        <w:rPr>
          <w:b/>
          <w:noProof/>
          <w:szCs w:val="22"/>
        </w:rPr>
        <w:tab/>
        <w:t>Overdose</w:t>
      </w:r>
    </w:p>
    <w:p w:rsidR="00812D16" w:rsidRPr="00D442F1" w:rsidP="00166894" w14:paraId="152D40E3" w14:textId="77777777">
      <w:pPr>
        <w:keepNext/>
        <w:widowControl w:val="0"/>
        <w:tabs>
          <w:tab w:val="clear" w:pos="567"/>
        </w:tabs>
        <w:spacing w:line="240" w:lineRule="auto"/>
        <w:rPr>
          <w:noProof/>
          <w:szCs w:val="22"/>
        </w:rPr>
      </w:pPr>
    </w:p>
    <w:p w:rsidR="00812D16" w:rsidRPr="00D442F1" w:rsidP="00166894" w14:paraId="041EF8D8" w14:textId="77777777">
      <w:pPr>
        <w:widowControl w:val="0"/>
        <w:tabs>
          <w:tab w:val="clear" w:pos="567"/>
        </w:tabs>
        <w:spacing w:line="240" w:lineRule="auto"/>
        <w:rPr>
          <w:noProof/>
          <w:szCs w:val="22"/>
        </w:rPr>
      </w:pPr>
      <w:r w:rsidRPr="00D442F1">
        <w:rPr>
          <w:noProof/>
          <w:szCs w:val="22"/>
        </w:rPr>
        <w:t>Not applicable.</w:t>
      </w:r>
    </w:p>
    <w:p w:rsidR="004370CD" w:rsidRPr="00D442F1" w:rsidP="00166894" w14:paraId="333D28AC" w14:textId="77777777">
      <w:pPr>
        <w:widowControl w:val="0"/>
        <w:tabs>
          <w:tab w:val="clear" w:pos="567"/>
        </w:tabs>
        <w:spacing w:line="240" w:lineRule="auto"/>
        <w:rPr>
          <w:noProof/>
          <w:szCs w:val="22"/>
        </w:rPr>
      </w:pPr>
    </w:p>
    <w:p w:rsidR="00812D16" w:rsidRPr="00D442F1" w:rsidP="00166894" w14:paraId="4C4E1CC9" w14:textId="77777777">
      <w:pPr>
        <w:widowControl w:val="0"/>
        <w:tabs>
          <w:tab w:val="clear" w:pos="567"/>
        </w:tabs>
        <w:spacing w:line="240" w:lineRule="auto"/>
      </w:pPr>
    </w:p>
    <w:p w:rsidR="00812D16" w:rsidRPr="00D442F1" w:rsidP="00166894" w14:paraId="6BB31DBD" w14:textId="77777777">
      <w:pPr>
        <w:keepNext/>
        <w:widowControl w:val="0"/>
        <w:tabs>
          <w:tab w:val="clear" w:pos="567"/>
        </w:tabs>
        <w:suppressAutoHyphens/>
        <w:spacing w:line="240" w:lineRule="auto"/>
        <w:ind w:left="567" w:hanging="567"/>
      </w:pPr>
      <w:r w:rsidRPr="00D442F1">
        <w:rPr>
          <w:b/>
        </w:rPr>
        <w:t>5.</w:t>
      </w:r>
      <w:r w:rsidRPr="00D442F1">
        <w:rPr>
          <w:b/>
        </w:rPr>
        <w:tab/>
        <w:t>PHARMACOLOGICAL PROPERTIES</w:t>
      </w:r>
    </w:p>
    <w:p w:rsidR="00812D16" w:rsidRPr="00D442F1" w:rsidP="00166894" w14:paraId="5188C9E1" w14:textId="77777777">
      <w:pPr>
        <w:keepNext/>
        <w:widowControl w:val="0"/>
        <w:tabs>
          <w:tab w:val="clear" w:pos="567"/>
        </w:tabs>
        <w:spacing w:line="240" w:lineRule="auto"/>
      </w:pPr>
    </w:p>
    <w:p w:rsidR="00812D16" w:rsidRPr="00D442F1" w:rsidP="00166894" w14:paraId="07B59E13" w14:textId="77777777">
      <w:pPr>
        <w:keepNext/>
        <w:widowControl w:val="0"/>
        <w:tabs>
          <w:tab w:val="clear" w:pos="567"/>
        </w:tabs>
        <w:spacing w:line="240" w:lineRule="auto"/>
        <w:ind w:left="567" w:hanging="567"/>
        <w:outlineLvl w:val="0"/>
      </w:pPr>
      <w:r w:rsidRPr="00D442F1">
        <w:rPr>
          <w:b/>
        </w:rPr>
        <w:t>5.1</w:t>
      </w:r>
      <w:r w:rsidRPr="00D442F1">
        <w:rPr>
          <w:b/>
        </w:rPr>
        <w:tab/>
        <w:t>Pharmacodynamic properties</w:t>
      </w:r>
    </w:p>
    <w:p w:rsidR="00812D16" w:rsidRPr="00D442F1" w:rsidP="00166894" w14:paraId="5D7DF081" w14:textId="77777777">
      <w:pPr>
        <w:keepNext/>
        <w:widowControl w:val="0"/>
        <w:tabs>
          <w:tab w:val="clear" w:pos="567"/>
        </w:tabs>
        <w:spacing w:line="240" w:lineRule="auto"/>
      </w:pPr>
    </w:p>
    <w:p w:rsidR="00812D16" w:rsidRPr="00D442F1" w:rsidP="00166894" w14:paraId="43806825" w14:textId="695C1CF6">
      <w:pPr>
        <w:keepNext/>
        <w:widowControl w:val="0"/>
        <w:tabs>
          <w:tab w:val="clear" w:pos="567"/>
        </w:tabs>
        <w:spacing w:line="240" w:lineRule="auto"/>
        <w:outlineLvl w:val="0"/>
        <w:rPr>
          <w:noProof/>
          <w:szCs w:val="22"/>
        </w:rPr>
      </w:pPr>
      <w:r w:rsidRPr="00D442F1">
        <w:t xml:space="preserve">Pharmacotherapeutic group: </w:t>
      </w:r>
      <w:r w:rsidRPr="00D442F1" w:rsidR="00086361">
        <w:rPr>
          <w:noProof/>
          <w:szCs w:val="22"/>
        </w:rPr>
        <w:t>o</w:t>
      </w:r>
      <w:r w:rsidRPr="00D442F1" w:rsidR="008D4E6F">
        <w:rPr>
          <w:noProof/>
          <w:szCs w:val="22"/>
        </w:rPr>
        <w:t>ther antineoplastic agents</w:t>
      </w:r>
      <w:r w:rsidRPr="00D442F1" w:rsidR="00164EF9">
        <w:rPr>
          <w:noProof/>
          <w:szCs w:val="22"/>
        </w:rPr>
        <w:t>,</w:t>
      </w:r>
      <w:r w:rsidRPr="00D442F1" w:rsidR="008D4E6F">
        <w:rPr>
          <w:noProof/>
          <w:szCs w:val="22"/>
        </w:rPr>
        <w:t xml:space="preserve"> </w:t>
      </w:r>
      <w:r w:rsidRPr="00D442F1">
        <w:rPr>
          <w:noProof/>
          <w:szCs w:val="22"/>
        </w:rPr>
        <w:t xml:space="preserve">ATC code: </w:t>
      </w:r>
      <w:r w:rsidRPr="007B1596" w:rsidR="00D22190">
        <w:rPr>
          <w:noProof/>
          <w:szCs w:val="22"/>
        </w:rPr>
        <w:t>L01XX71</w:t>
      </w:r>
      <w:r w:rsidR="00F50D38">
        <w:rPr>
          <w:noProof/>
          <w:szCs w:val="22"/>
          <w:shd w:val="pct15" w:color="auto" w:fill="auto"/>
        </w:rPr>
        <w:t>.</w:t>
      </w:r>
    </w:p>
    <w:p w:rsidR="00812D16" w:rsidRPr="00D442F1" w:rsidP="00166894" w14:paraId="302820C5" w14:textId="77777777">
      <w:pPr>
        <w:keepNext/>
        <w:widowControl w:val="0"/>
        <w:tabs>
          <w:tab w:val="clear" w:pos="567"/>
        </w:tabs>
        <w:spacing w:line="240" w:lineRule="auto"/>
        <w:rPr>
          <w:noProof/>
          <w:szCs w:val="22"/>
        </w:rPr>
      </w:pPr>
    </w:p>
    <w:p w:rsidR="00812D16" w:rsidRPr="00D442F1" w:rsidP="00166894" w14:paraId="0E7DEA6E" w14:textId="77777777">
      <w:pPr>
        <w:keepNext/>
        <w:widowControl w:val="0"/>
        <w:tabs>
          <w:tab w:val="clear" w:pos="567"/>
        </w:tabs>
        <w:autoSpaceDE w:val="0"/>
        <w:autoSpaceDN w:val="0"/>
        <w:adjustRightInd w:val="0"/>
        <w:spacing w:line="240" w:lineRule="auto"/>
        <w:rPr>
          <w:szCs w:val="22"/>
          <w:u w:val="single"/>
        </w:rPr>
      </w:pPr>
      <w:r w:rsidRPr="00D442F1">
        <w:rPr>
          <w:szCs w:val="22"/>
          <w:u w:val="single"/>
        </w:rPr>
        <w:t>Mechanism of action</w:t>
      </w:r>
    </w:p>
    <w:p w:rsidR="00591100" w:rsidRPr="00D442F1" w:rsidP="00166894" w14:paraId="0F972EAB" w14:textId="77777777">
      <w:pPr>
        <w:keepNext/>
        <w:widowControl w:val="0"/>
        <w:tabs>
          <w:tab w:val="clear" w:pos="567"/>
        </w:tabs>
        <w:autoSpaceDE w:val="0"/>
        <w:autoSpaceDN w:val="0"/>
        <w:adjustRightInd w:val="0"/>
        <w:spacing w:line="240" w:lineRule="auto"/>
        <w:rPr>
          <w:color w:val="262626"/>
        </w:rPr>
      </w:pPr>
    </w:p>
    <w:p w:rsidR="00E50346" w:rsidRPr="00D442F1" w:rsidP="00166894" w14:paraId="35E60C25" w14:textId="4D38AF79">
      <w:pPr>
        <w:widowControl w:val="0"/>
        <w:tabs>
          <w:tab w:val="clear" w:pos="567"/>
        </w:tabs>
        <w:autoSpaceDE w:val="0"/>
        <w:autoSpaceDN w:val="0"/>
        <w:adjustRightInd w:val="0"/>
        <w:spacing w:line="240" w:lineRule="auto"/>
        <w:rPr>
          <w:szCs w:val="22"/>
        </w:rPr>
      </w:pPr>
      <w:r w:rsidRPr="00D442F1">
        <w:rPr>
          <w:color w:val="262626"/>
        </w:rPr>
        <w:t>T</w:t>
      </w:r>
      <w:r w:rsidRPr="00D442F1" w:rsidR="006F5E6A">
        <w:rPr>
          <w:color w:val="262626"/>
        </w:rPr>
        <w:t>isagenlecleucel</w:t>
      </w:r>
      <w:r w:rsidRPr="00D442F1" w:rsidR="006F5E6A">
        <w:rPr>
          <w:szCs w:val="22"/>
        </w:rPr>
        <w:t xml:space="preserve"> </w:t>
      </w:r>
      <w:r w:rsidRPr="00D442F1" w:rsidR="000A796E">
        <w:rPr>
          <w:szCs w:val="22"/>
        </w:rPr>
        <w:t>is an autologous, immunocellular cancer therapy which involves reprogramming a patient’s own T</w:t>
      </w:r>
      <w:r w:rsidRPr="00D442F1" w:rsidR="004370CD">
        <w:rPr>
          <w:szCs w:val="22"/>
        </w:rPr>
        <w:t xml:space="preserve"> </w:t>
      </w:r>
      <w:r w:rsidRPr="00D442F1" w:rsidR="000A796E">
        <w:rPr>
          <w:szCs w:val="22"/>
        </w:rPr>
        <w:t>cells with a transgene encoding a chimeric antigen receptor (CAR) to identify and eliminate CD19 expressing cells. The CAR is comprised of a murine single chain antibody fragment which recogni</w:t>
      </w:r>
      <w:r w:rsidRPr="00D442F1" w:rsidR="004370CD">
        <w:rPr>
          <w:szCs w:val="22"/>
        </w:rPr>
        <w:t>s</w:t>
      </w:r>
      <w:r w:rsidRPr="00D442F1" w:rsidR="000A796E">
        <w:rPr>
          <w:szCs w:val="22"/>
        </w:rPr>
        <w:t>es CD19 and is fused to intracellular signal</w:t>
      </w:r>
      <w:r w:rsidRPr="00D442F1" w:rsidR="00684B16">
        <w:rPr>
          <w:szCs w:val="22"/>
        </w:rPr>
        <w:t>l</w:t>
      </w:r>
      <w:r w:rsidRPr="00D442F1" w:rsidR="000A796E">
        <w:rPr>
          <w:szCs w:val="22"/>
        </w:rPr>
        <w:t>ing domains from 4</w:t>
      </w:r>
      <w:r w:rsidRPr="00D442F1" w:rsidR="00591100">
        <w:rPr>
          <w:szCs w:val="22"/>
        </w:rPr>
        <w:noBreakHyphen/>
      </w:r>
      <w:r w:rsidRPr="00D442F1" w:rsidR="000A796E">
        <w:rPr>
          <w:szCs w:val="22"/>
        </w:rPr>
        <w:t>1BB (CD137) and CD3 zeta. The CD3 zeta component is critical for initiating T</w:t>
      </w:r>
      <w:r w:rsidRPr="00D442F1" w:rsidR="004370CD">
        <w:rPr>
          <w:szCs w:val="22"/>
        </w:rPr>
        <w:noBreakHyphen/>
      </w:r>
      <w:r w:rsidRPr="00D442F1" w:rsidR="000A796E">
        <w:rPr>
          <w:szCs w:val="22"/>
        </w:rPr>
        <w:t>cell activation and anti</w:t>
      </w:r>
      <w:r w:rsidR="00F50D38">
        <w:rPr>
          <w:szCs w:val="22"/>
        </w:rPr>
        <w:t>-</w:t>
      </w:r>
      <w:r w:rsidRPr="00D442F1" w:rsidR="000A796E">
        <w:rPr>
          <w:szCs w:val="22"/>
        </w:rPr>
        <w:t>tumo</w:t>
      </w:r>
      <w:r w:rsidRPr="00D442F1" w:rsidR="004370CD">
        <w:rPr>
          <w:szCs w:val="22"/>
        </w:rPr>
        <w:t>u</w:t>
      </w:r>
      <w:r w:rsidRPr="00D442F1" w:rsidR="000A796E">
        <w:rPr>
          <w:szCs w:val="22"/>
        </w:rPr>
        <w:t>r activity</w:t>
      </w:r>
      <w:r w:rsidRPr="00D442F1" w:rsidR="004370CD">
        <w:rPr>
          <w:szCs w:val="22"/>
        </w:rPr>
        <w:t>,</w:t>
      </w:r>
      <w:r w:rsidRPr="00D442F1" w:rsidR="000A796E">
        <w:rPr>
          <w:szCs w:val="22"/>
        </w:rPr>
        <w:t xml:space="preserve"> while 4</w:t>
      </w:r>
      <w:r w:rsidRPr="00D442F1" w:rsidR="00591100">
        <w:rPr>
          <w:szCs w:val="22"/>
        </w:rPr>
        <w:noBreakHyphen/>
      </w:r>
      <w:r w:rsidRPr="00D442F1" w:rsidR="000A796E">
        <w:rPr>
          <w:szCs w:val="22"/>
        </w:rPr>
        <w:t xml:space="preserve">1BB enhances the expansion and persistence of </w:t>
      </w:r>
      <w:r w:rsidRPr="00D442F1" w:rsidR="006E5C73">
        <w:rPr>
          <w:szCs w:val="22"/>
        </w:rPr>
        <w:t>tisagenlecleucel</w:t>
      </w:r>
      <w:r w:rsidRPr="00D442F1" w:rsidR="000A796E">
        <w:rPr>
          <w:szCs w:val="22"/>
        </w:rPr>
        <w:t>. Upon binding to CD19</w:t>
      </w:r>
      <w:r w:rsidRPr="00D442F1" w:rsidR="004370CD">
        <w:rPr>
          <w:szCs w:val="22"/>
        </w:rPr>
        <w:noBreakHyphen/>
      </w:r>
      <w:r w:rsidRPr="00D442F1" w:rsidR="000A796E">
        <w:rPr>
          <w:szCs w:val="22"/>
        </w:rPr>
        <w:t>expressing cells, the CAR transmits a signal promot</w:t>
      </w:r>
      <w:r w:rsidRPr="00D442F1" w:rsidR="00A73108">
        <w:rPr>
          <w:szCs w:val="22"/>
        </w:rPr>
        <w:t>ing</w:t>
      </w:r>
      <w:r w:rsidRPr="00D442F1" w:rsidR="000A796E">
        <w:rPr>
          <w:szCs w:val="22"/>
        </w:rPr>
        <w:t xml:space="preserve"> T</w:t>
      </w:r>
      <w:r w:rsidRPr="00D442F1" w:rsidR="004370CD">
        <w:rPr>
          <w:szCs w:val="22"/>
        </w:rPr>
        <w:noBreakHyphen/>
      </w:r>
      <w:r w:rsidRPr="00D442F1" w:rsidR="000A796E">
        <w:rPr>
          <w:szCs w:val="22"/>
        </w:rPr>
        <w:t xml:space="preserve">cell expansion and persistence of </w:t>
      </w:r>
      <w:r w:rsidRPr="00D442F1" w:rsidR="006E5C73">
        <w:rPr>
          <w:szCs w:val="22"/>
        </w:rPr>
        <w:t>tisagenlecleucel</w:t>
      </w:r>
      <w:r w:rsidRPr="00D442F1" w:rsidR="000A796E">
        <w:rPr>
          <w:szCs w:val="22"/>
        </w:rPr>
        <w:t>.</w:t>
      </w:r>
    </w:p>
    <w:p w:rsidR="000A796E" w:rsidRPr="00D442F1" w:rsidP="00166894" w14:paraId="556CBFDB" w14:textId="77777777">
      <w:pPr>
        <w:widowControl w:val="0"/>
        <w:tabs>
          <w:tab w:val="clear" w:pos="567"/>
        </w:tabs>
        <w:autoSpaceDE w:val="0"/>
        <w:autoSpaceDN w:val="0"/>
        <w:adjustRightInd w:val="0"/>
        <w:spacing w:line="240" w:lineRule="auto"/>
        <w:rPr>
          <w:szCs w:val="22"/>
        </w:rPr>
      </w:pPr>
    </w:p>
    <w:p w:rsidR="00812D16" w:rsidRPr="00D442F1" w:rsidP="00166894" w14:paraId="48091B49" w14:textId="77777777">
      <w:pPr>
        <w:keepNext/>
        <w:widowControl w:val="0"/>
        <w:tabs>
          <w:tab w:val="clear" w:pos="567"/>
        </w:tabs>
        <w:autoSpaceDE w:val="0"/>
        <w:autoSpaceDN w:val="0"/>
        <w:adjustRightInd w:val="0"/>
        <w:spacing w:line="240" w:lineRule="auto"/>
        <w:rPr>
          <w:szCs w:val="22"/>
        </w:rPr>
      </w:pPr>
      <w:r w:rsidRPr="00D442F1">
        <w:rPr>
          <w:szCs w:val="22"/>
          <w:u w:val="single"/>
        </w:rPr>
        <w:t>Clinical efficacy and safety</w:t>
      </w:r>
    </w:p>
    <w:p w:rsidR="00B9140E" w:rsidRPr="00D442F1" w:rsidP="00166894" w14:paraId="20689A7C" w14:textId="77777777">
      <w:pPr>
        <w:keepNext/>
        <w:widowControl w:val="0"/>
        <w:tabs>
          <w:tab w:val="clear" w:pos="567"/>
        </w:tabs>
        <w:autoSpaceDE w:val="0"/>
        <w:autoSpaceDN w:val="0"/>
        <w:adjustRightInd w:val="0"/>
        <w:spacing w:line="240" w:lineRule="auto"/>
        <w:rPr>
          <w:szCs w:val="22"/>
        </w:rPr>
      </w:pPr>
    </w:p>
    <w:p w:rsidR="00A56659" w:rsidRPr="00D442F1" w:rsidP="00166894" w14:paraId="67FB4E27" w14:textId="77777777">
      <w:pPr>
        <w:keepNext/>
        <w:widowControl w:val="0"/>
        <w:tabs>
          <w:tab w:val="clear" w:pos="567"/>
        </w:tabs>
        <w:autoSpaceDE w:val="0"/>
        <w:autoSpaceDN w:val="0"/>
        <w:adjustRightInd w:val="0"/>
        <w:spacing w:line="240" w:lineRule="auto"/>
        <w:rPr>
          <w:szCs w:val="22"/>
          <w:u w:val="single"/>
        </w:rPr>
      </w:pPr>
      <w:r w:rsidRPr="00D442F1">
        <w:rPr>
          <w:i/>
          <w:szCs w:val="22"/>
          <w:u w:val="single"/>
        </w:rPr>
        <w:t xml:space="preserve">Acute </w:t>
      </w:r>
      <w:r w:rsidRPr="00D442F1" w:rsidR="004370CD">
        <w:rPr>
          <w:i/>
          <w:szCs w:val="22"/>
          <w:u w:val="single"/>
        </w:rPr>
        <w:t>l</w:t>
      </w:r>
      <w:r w:rsidRPr="00D442F1">
        <w:rPr>
          <w:i/>
          <w:szCs w:val="22"/>
          <w:u w:val="single"/>
        </w:rPr>
        <w:t xml:space="preserve">ymphoblastic </w:t>
      </w:r>
      <w:r w:rsidRPr="00D442F1" w:rsidR="004370CD">
        <w:rPr>
          <w:i/>
          <w:szCs w:val="22"/>
          <w:u w:val="single"/>
        </w:rPr>
        <w:t>l</w:t>
      </w:r>
      <w:r w:rsidRPr="00D442F1">
        <w:rPr>
          <w:i/>
          <w:szCs w:val="22"/>
          <w:u w:val="single"/>
        </w:rPr>
        <w:t>euk</w:t>
      </w:r>
      <w:r w:rsidRPr="00D442F1" w:rsidR="00D26F0E">
        <w:rPr>
          <w:i/>
          <w:szCs w:val="22"/>
          <w:u w:val="single"/>
        </w:rPr>
        <w:t>a</w:t>
      </w:r>
      <w:r w:rsidRPr="00D442F1">
        <w:rPr>
          <w:i/>
          <w:szCs w:val="22"/>
          <w:u w:val="single"/>
        </w:rPr>
        <w:t>emia (ALL)</w:t>
      </w:r>
    </w:p>
    <w:p w:rsidR="00F45C9E" w:rsidRPr="00D442F1" w:rsidP="00F45C9E" w14:paraId="550CAB5A" w14:textId="04B73F7A">
      <w:pPr>
        <w:widowControl w:val="0"/>
        <w:tabs>
          <w:tab w:val="clear" w:pos="567"/>
        </w:tabs>
        <w:autoSpaceDE w:val="0"/>
        <w:autoSpaceDN w:val="0"/>
        <w:adjustRightInd w:val="0"/>
        <w:spacing w:line="240" w:lineRule="auto"/>
      </w:pPr>
      <w:r>
        <w:t>The safety and efficacy of Kymriah treatment in paediatric and young adult patients</w:t>
      </w:r>
      <w:r w:rsidR="00AA35BE">
        <w:t xml:space="preserve"> up to and including 25</w:t>
      </w:r>
      <w:r w:rsidR="00DA0C67">
        <w:t> </w:t>
      </w:r>
      <w:r w:rsidR="00AA35BE">
        <w:t>years of age,</w:t>
      </w:r>
      <w:r>
        <w:t xml:space="preserve"> with relapsed or refractory (r/r) B</w:t>
      </w:r>
      <w:r w:rsidR="00843A36">
        <w:t>-</w:t>
      </w:r>
      <w:r>
        <w:t xml:space="preserve">cell ALL were evaluated </w:t>
      </w:r>
      <w:r w:rsidR="00AA35BE">
        <w:t>in a total of 203</w:t>
      </w:r>
      <w:r w:rsidR="00DA0C67">
        <w:t> </w:t>
      </w:r>
      <w:r w:rsidR="00AA35BE">
        <w:t xml:space="preserve">patients </w:t>
      </w:r>
      <w:r>
        <w:t>in one pivotal (B2202</w:t>
      </w:r>
      <w:r w:rsidR="006660D3">
        <w:t xml:space="preserve">, </w:t>
      </w:r>
      <w:r w:rsidR="0020277C">
        <w:t>N</w:t>
      </w:r>
      <w:r w:rsidR="006660D3">
        <w:t>=79</w:t>
      </w:r>
      <w:r>
        <w:t>) and two supportive (B2205J</w:t>
      </w:r>
      <w:r w:rsidR="00843A36">
        <w:t>, N=64,</w:t>
      </w:r>
      <w:r>
        <w:t xml:space="preserve"> and B2101J</w:t>
      </w:r>
      <w:r w:rsidR="00843A36">
        <w:t>, N=</w:t>
      </w:r>
      <w:r w:rsidR="00AA35BE">
        <w:t>60</w:t>
      </w:r>
      <w:r>
        <w:t xml:space="preserve">) </w:t>
      </w:r>
      <w:r w:rsidR="00714163">
        <w:t>open</w:t>
      </w:r>
      <w:r w:rsidR="00414C66">
        <w:noBreakHyphen/>
      </w:r>
      <w:r w:rsidR="00714163">
        <w:t>label</w:t>
      </w:r>
      <w:r>
        <w:t xml:space="preserve">, </w:t>
      </w:r>
      <w:r w:rsidR="00714163">
        <w:t>single</w:t>
      </w:r>
      <w:r w:rsidR="00414C66">
        <w:noBreakHyphen/>
      </w:r>
      <w:r w:rsidR="00714163">
        <w:t>arm</w:t>
      </w:r>
      <w:r>
        <w:t xml:space="preserve"> </w:t>
      </w:r>
      <w:r w:rsidR="00843A36">
        <w:t xml:space="preserve">phase I/II </w:t>
      </w:r>
      <w:r>
        <w:t>studies. All patients had leukapheresis products collected and cryopreserved prior to or during study entry.</w:t>
      </w:r>
    </w:p>
    <w:p w:rsidR="00462691" w:rsidRPr="00D442F1" w:rsidP="00166894" w14:paraId="1854CD71" w14:textId="77777777">
      <w:pPr>
        <w:widowControl w:val="0"/>
        <w:tabs>
          <w:tab w:val="clear" w:pos="567"/>
        </w:tabs>
        <w:autoSpaceDE w:val="0"/>
        <w:autoSpaceDN w:val="0"/>
        <w:adjustRightInd w:val="0"/>
        <w:spacing w:line="240" w:lineRule="auto"/>
        <w:rPr>
          <w:szCs w:val="22"/>
        </w:rPr>
      </w:pPr>
    </w:p>
    <w:p w:rsidR="00C34715" w:rsidRPr="00D442F1" w:rsidP="00166894" w14:paraId="085A2559" w14:textId="1A442196">
      <w:pPr>
        <w:widowControl w:val="0"/>
        <w:tabs>
          <w:tab w:val="clear" w:pos="567"/>
        </w:tabs>
        <w:autoSpaceDE w:val="0"/>
        <w:autoSpaceDN w:val="0"/>
        <w:adjustRightInd w:val="0"/>
        <w:spacing w:line="240" w:lineRule="auto"/>
      </w:pPr>
      <w:r>
        <w:t>The pivotal study B2202</w:t>
      </w:r>
      <w:r w:rsidR="00843A36">
        <w:t xml:space="preserve"> (ELIANA</w:t>
      </w:r>
      <w:r>
        <w:t xml:space="preserve">) is a multicentre, </w:t>
      </w:r>
      <w:r w:rsidR="00714163">
        <w:t>single</w:t>
      </w:r>
      <w:r w:rsidR="00414C66">
        <w:noBreakHyphen/>
      </w:r>
      <w:r w:rsidR="00714163">
        <w:t>arm</w:t>
      </w:r>
      <w:r>
        <w:t xml:space="preserve"> phase II study in paediatric and young adult patients with r/r B</w:t>
      </w:r>
      <w:r w:rsidR="00843A36">
        <w:t>-</w:t>
      </w:r>
      <w:r>
        <w:t xml:space="preserve">cell </w:t>
      </w:r>
      <w:r w:rsidR="00843A36">
        <w:t>ALL</w:t>
      </w:r>
      <w:r>
        <w:t xml:space="preserve">. Of </w:t>
      </w:r>
      <w:r w:rsidR="00254DA2">
        <w:t>97 </w:t>
      </w:r>
      <w:r>
        <w:t xml:space="preserve">patients enrolled, </w:t>
      </w:r>
      <w:r w:rsidR="00254DA2">
        <w:t xml:space="preserve">79 </w:t>
      </w:r>
      <w:r>
        <w:t xml:space="preserve">received infusion with Kymriah; for </w:t>
      </w:r>
      <w:r w:rsidR="00254DA2">
        <w:t>8 </w:t>
      </w:r>
      <w:r>
        <w:t xml:space="preserve">patients </w:t>
      </w:r>
      <w:r w:rsidR="00F8118F">
        <w:t xml:space="preserve">(8%) </w:t>
      </w:r>
      <w:r>
        <w:t>Kymriah could not be manufactured</w:t>
      </w:r>
      <w:r w:rsidR="009B3318">
        <w:t xml:space="preserve">; </w:t>
      </w:r>
      <w:r>
        <w:t xml:space="preserve">reasons for discontinuation prior to Kymriah infusion included </w:t>
      </w:r>
      <w:r w:rsidR="009B3318">
        <w:t>death (</w:t>
      </w:r>
      <w:r w:rsidR="00F8118F">
        <w:t>n=</w:t>
      </w:r>
      <w:r w:rsidR="009B3318">
        <w:t>7</w:t>
      </w:r>
      <w:r w:rsidR="00F8118F">
        <w:t xml:space="preserve">; </w:t>
      </w:r>
      <w:r w:rsidR="00255C45">
        <w:t>7</w:t>
      </w:r>
      <w:r w:rsidR="00F8118F">
        <w:t>%</w:t>
      </w:r>
      <w:r w:rsidR="009B3318">
        <w:t>)</w:t>
      </w:r>
      <w:r>
        <w:t xml:space="preserve"> or adverse events</w:t>
      </w:r>
      <w:r w:rsidR="009B3318">
        <w:t xml:space="preserve"> </w:t>
      </w:r>
      <w:r w:rsidR="00F8118F">
        <w:t xml:space="preserve">(n=3; 3%) </w:t>
      </w:r>
      <w:r w:rsidR="009B3318">
        <w:t>while awaiting Kymriah manufactur</w:t>
      </w:r>
      <w:r w:rsidR="00F8118F">
        <w:t>ing</w:t>
      </w:r>
      <w:r w:rsidR="009B3318">
        <w:t xml:space="preserve"> in the clinical study</w:t>
      </w:r>
      <w:r>
        <w:t>.</w:t>
      </w:r>
      <w:r w:rsidR="00843A36">
        <w:t xml:space="preserve"> </w:t>
      </w:r>
      <w:r w:rsidRPr="00E2636E" w:rsidR="00E2636E">
        <w:t xml:space="preserve">The median </w:t>
      </w:r>
      <w:r w:rsidRPr="00F50D38" w:rsidR="00F50D38">
        <w:t xml:space="preserve">duration of study follow-up defined as the </w:t>
      </w:r>
      <w:r w:rsidRPr="00E2636E" w:rsidR="00E2636E">
        <w:t xml:space="preserve">time from Kymriah infusion to the date of </w:t>
      </w:r>
      <w:r w:rsidRPr="00F50D38" w:rsidR="00F50D38">
        <w:t xml:space="preserve">completion or </w:t>
      </w:r>
      <w:r w:rsidRPr="00E2636E" w:rsidR="00E2636E">
        <w:t xml:space="preserve">discontinuation from follow-up </w:t>
      </w:r>
      <w:r w:rsidRPr="002829A4" w:rsidR="002829A4">
        <w:t xml:space="preserve">prior to </w:t>
      </w:r>
      <w:r w:rsidRPr="00E2636E" w:rsidR="00E2636E">
        <w:t>the data cut-off date was</w:t>
      </w:r>
      <w:r w:rsidR="00E2636E">
        <w:t xml:space="preserve"> </w:t>
      </w:r>
      <w:r w:rsidR="004D7DBB">
        <w:t>16.0</w:t>
      </w:r>
      <w:r w:rsidR="00687882">
        <w:t> </w:t>
      </w:r>
      <w:r w:rsidR="00E2636E">
        <w:t>months (range: 0.4-34.4)</w:t>
      </w:r>
      <w:r w:rsidRPr="00E2636E" w:rsidR="00E2636E">
        <w:t>. The median time from Kymriah infusion to the data cut-off date was 24.2</w:t>
      </w:r>
      <w:r w:rsidR="00687882">
        <w:t> </w:t>
      </w:r>
      <w:r w:rsidRPr="00E2636E" w:rsidR="00E2636E">
        <w:t>months (range: 4.5</w:t>
      </w:r>
      <w:r w:rsidR="00F50D38">
        <w:t>-</w:t>
      </w:r>
      <w:r w:rsidRPr="00E2636E" w:rsidR="00E2636E">
        <w:t>35.1). The study is still ongoing.</w:t>
      </w:r>
    </w:p>
    <w:p w:rsidR="00C34715" w:rsidRPr="00D442F1" w:rsidP="00166894" w14:paraId="05576AC7" w14:textId="77777777">
      <w:pPr>
        <w:widowControl w:val="0"/>
        <w:tabs>
          <w:tab w:val="clear" w:pos="567"/>
        </w:tabs>
        <w:autoSpaceDE w:val="0"/>
        <w:autoSpaceDN w:val="0"/>
        <w:adjustRightInd w:val="0"/>
        <w:spacing w:line="240" w:lineRule="auto"/>
        <w:rPr>
          <w:szCs w:val="22"/>
        </w:rPr>
      </w:pPr>
    </w:p>
    <w:p w:rsidR="00C34715" w:rsidRPr="00D442F1" w:rsidP="00166894" w14:paraId="05A8048D" w14:textId="42C930AA">
      <w:pPr>
        <w:widowControl w:val="0"/>
        <w:tabs>
          <w:tab w:val="clear" w:pos="567"/>
        </w:tabs>
        <w:autoSpaceDE w:val="0"/>
        <w:autoSpaceDN w:val="0"/>
        <w:adjustRightInd w:val="0"/>
        <w:spacing w:line="240" w:lineRule="auto"/>
        <w:rPr>
          <w:szCs w:val="22"/>
        </w:rPr>
      </w:pPr>
      <w:r w:rsidRPr="00D442F1">
        <w:rPr>
          <w:szCs w:val="22"/>
        </w:rPr>
        <w:t xml:space="preserve">Key baseline information for enrolled and infused patients is presented in Table 3. </w:t>
      </w:r>
      <w:r w:rsidRPr="00D442F1" w:rsidR="00254DA2">
        <w:t xml:space="preserve">The majority of patients </w:t>
      </w:r>
      <w:r w:rsidRPr="00D442F1" w:rsidR="00254DA2">
        <w:rPr>
          <w:szCs w:val="22"/>
        </w:rPr>
        <w:t xml:space="preserve">(69/79, 87%) </w:t>
      </w:r>
      <w:r w:rsidRPr="00D442F1" w:rsidR="00254DA2">
        <w:t>received bridging therapy while waiting for Kymriah</w:t>
      </w:r>
      <w:r w:rsidRPr="00D442F1" w:rsidR="00DE35C7">
        <w:t>.</w:t>
      </w:r>
      <w:r w:rsidRPr="00D442F1" w:rsidR="00254DA2">
        <w:t xml:space="preserve"> </w:t>
      </w:r>
      <w:r w:rsidRPr="00D442F1">
        <w:rPr>
          <w:szCs w:val="22"/>
        </w:rPr>
        <w:t xml:space="preserve">A total of </w:t>
      </w:r>
      <w:r w:rsidRPr="00D442F1" w:rsidR="00254DA2">
        <w:rPr>
          <w:szCs w:val="22"/>
        </w:rPr>
        <w:t xml:space="preserve">76 </w:t>
      </w:r>
      <w:r w:rsidRPr="00D442F1">
        <w:rPr>
          <w:szCs w:val="22"/>
        </w:rPr>
        <w:t xml:space="preserve">out of </w:t>
      </w:r>
      <w:r w:rsidRPr="00D442F1" w:rsidR="00254DA2">
        <w:rPr>
          <w:szCs w:val="22"/>
        </w:rPr>
        <w:t>79 </w:t>
      </w:r>
      <w:r w:rsidRPr="00D442F1">
        <w:rPr>
          <w:szCs w:val="22"/>
        </w:rPr>
        <w:t xml:space="preserve">patients </w:t>
      </w:r>
      <w:r w:rsidR="00396384">
        <w:rPr>
          <w:szCs w:val="22"/>
        </w:rPr>
        <w:t xml:space="preserve">(96%) </w:t>
      </w:r>
      <w:r w:rsidRPr="00D442F1">
        <w:rPr>
          <w:szCs w:val="22"/>
        </w:rPr>
        <w:t>who received Kymriah infusion also received lymphodepleting chemotherapy after enrolment and prior to infusion of a single dose of Kymriah (see section 4.2 for condition of lymphodepleting chemotherapy).</w:t>
      </w:r>
    </w:p>
    <w:p w:rsidR="00C34715" w:rsidRPr="00D442F1" w:rsidP="00166894" w14:paraId="19C347CD" w14:textId="77777777">
      <w:pPr>
        <w:widowControl w:val="0"/>
        <w:tabs>
          <w:tab w:val="clear" w:pos="567"/>
        </w:tabs>
        <w:autoSpaceDE w:val="0"/>
        <w:autoSpaceDN w:val="0"/>
        <w:adjustRightInd w:val="0"/>
        <w:spacing w:line="240" w:lineRule="auto"/>
        <w:rPr>
          <w:szCs w:val="22"/>
        </w:rPr>
      </w:pPr>
    </w:p>
    <w:p w:rsidR="00F37A92" w:rsidRPr="00D442F1" w:rsidP="00166894" w14:paraId="73A64E40" w14:textId="77777777">
      <w:pPr>
        <w:pStyle w:val="Text"/>
        <w:keepNext/>
        <w:keepLines/>
        <w:widowControl w:val="0"/>
        <w:spacing w:before="0"/>
        <w:ind w:left="1134" w:hanging="1134"/>
        <w:jc w:val="left"/>
        <w:rPr>
          <w:b/>
          <w:sz w:val="22"/>
          <w:szCs w:val="22"/>
          <w:lang w:val="en-GB"/>
        </w:rPr>
      </w:pPr>
      <w:r w:rsidRPr="00D442F1">
        <w:rPr>
          <w:b/>
          <w:sz w:val="22"/>
          <w:szCs w:val="22"/>
          <w:lang w:val="en-GB"/>
        </w:rPr>
        <w:t>Table 3</w:t>
      </w:r>
      <w:r w:rsidRPr="00D442F1">
        <w:rPr>
          <w:b/>
          <w:sz w:val="22"/>
          <w:szCs w:val="22"/>
          <w:lang w:val="en-GB"/>
        </w:rPr>
        <w:tab/>
        <w:t>Study B2202: Baseline information across the enrolled and the infused patient population</w:t>
      </w:r>
    </w:p>
    <w:p w:rsidR="00F37A92" w:rsidRPr="00D442F1" w:rsidP="00166894" w14:paraId="4E14D1BA" w14:textId="77777777">
      <w:pPr>
        <w:keepNext/>
        <w:keepLines/>
        <w:widowControl w:val="0"/>
        <w:tabs>
          <w:tab w:val="clear" w:pos="567"/>
        </w:tabs>
        <w:autoSpaceDE w:val="0"/>
        <w:autoSpaceDN w:val="0"/>
        <w:adjustRightInd w:val="0"/>
        <w:spacing w:line="240" w:lineRule="auto"/>
        <w:rPr>
          <w:szCs w:val="22"/>
        </w:rPr>
      </w:pPr>
    </w:p>
    <w:tbl>
      <w:tblPr>
        <w:tblW w:w="5000" w:type="pct"/>
        <w:tblBorders>
          <w:top w:val="single" w:sz="4" w:space="0" w:color="auto"/>
          <w:bottom w:val="single" w:sz="4" w:space="0" w:color="auto"/>
        </w:tblBorders>
        <w:tblLook w:val="0000"/>
      </w:tblPr>
      <w:tblGrid>
        <w:gridCol w:w="4399"/>
        <w:gridCol w:w="2330"/>
        <w:gridCol w:w="2332"/>
      </w:tblGrid>
      <w:tr w14:paraId="631FFE8D" w14:textId="77777777" w:rsidTr="00E93A6F">
        <w:tblPrEx>
          <w:tblW w:w="5000" w:type="pct"/>
          <w:tblBorders>
            <w:top w:val="single" w:sz="4" w:space="0" w:color="auto"/>
            <w:bottom w:val="single" w:sz="4" w:space="0" w:color="auto"/>
          </w:tblBorders>
          <w:tblLook w:val="0000"/>
        </w:tblPrEx>
        <w:trPr>
          <w:trHeight w:val="588"/>
          <w:tblHeader/>
        </w:trPr>
        <w:tc>
          <w:tcPr>
            <w:tcW w:w="2427" w:type="pct"/>
            <w:tcBorders>
              <w:top w:val="single" w:sz="4" w:space="0" w:color="auto"/>
              <w:left w:val="single" w:sz="4" w:space="0" w:color="auto"/>
              <w:right w:val="single" w:sz="4" w:space="0" w:color="auto"/>
            </w:tcBorders>
            <w:shd w:val="clear" w:color="auto" w:fill="auto"/>
          </w:tcPr>
          <w:p w:rsidR="00F37A92" w:rsidRPr="00D442F1" w:rsidP="00166894" w14:paraId="0FBEBCBE" w14:textId="77777777">
            <w:pPr>
              <w:keepNext/>
              <w:keepLines/>
              <w:widowControl w:val="0"/>
              <w:tabs>
                <w:tab w:val="clear" w:pos="567"/>
              </w:tabs>
              <w:spacing w:line="240" w:lineRule="auto"/>
              <w:rPr>
                <w:rFonts w:eastAsia="MS Mincho"/>
                <w:b/>
                <w:szCs w:val="22"/>
                <w:lang w:val="en-US" w:eastAsia="zh-CN"/>
              </w:rPr>
            </w:pPr>
          </w:p>
        </w:tc>
        <w:tc>
          <w:tcPr>
            <w:tcW w:w="1286" w:type="pct"/>
            <w:tcBorders>
              <w:top w:val="single" w:sz="4" w:space="0" w:color="auto"/>
              <w:left w:val="single" w:sz="4" w:space="0" w:color="auto"/>
              <w:right w:val="single" w:sz="4" w:space="0" w:color="auto"/>
            </w:tcBorders>
          </w:tcPr>
          <w:p w:rsidR="00F37A92" w:rsidRPr="00D442F1" w:rsidP="00166894" w14:paraId="235B7548"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Enrolled</w:t>
            </w:r>
          </w:p>
          <w:p w:rsidR="00F37A92" w:rsidRPr="00D442F1" w:rsidP="00166894" w14:paraId="06AEFDBD" w14:textId="2D8B1686">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N=</w:t>
            </w:r>
            <w:r w:rsidRPr="00D442F1" w:rsidR="00254DA2">
              <w:rPr>
                <w:rFonts w:eastAsia="MS Mincho"/>
                <w:b/>
                <w:szCs w:val="22"/>
                <w:lang w:val="en-US" w:eastAsia="zh-CN"/>
              </w:rPr>
              <w:t>9</w:t>
            </w:r>
            <w:r w:rsidRPr="00D442F1" w:rsidR="00ED5997">
              <w:rPr>
                <w:rFonts w:eastAsia="MS Mincho"/>
                <w:b/>
                <w:szCs w:val="22"/>
                <w:lang w:val="en-US" w:eastAsia="zh-CN"/>
              </w:rPr>
              <w:t>7</w:t>
            </w:r>
          </w:p>
          <w:p w:rsidR="00F37A92" w:rsidRPr="00D442F1" w:rsidP="00166894" w14:paraId="0248E014"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n (%)</w:t>
            </w:r>
          </w:p>
        </w:tc>
        <w:tc>
          <w:tcPr>
            <w:tcW w:w="1287" w:type="pct"/>
            <w:tcBorders>
              <w:top w:val="single" w:sz="4" w:space="0" w:color="auto"/>
              <w:left w:val="single" w:sz="4" w:space="0" w:color="auto"/>
              <w:right w:val="single" w:sz="4" w:space="0" w:color="auto"/>
            </w:tcBorders>
          </w:tcPr>
          <w:p w:rsidR="00F37A92" w:rsidRPr="00D442F1" w:rsidP="00166894" w14:paraId="40C91D62"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Infused</w:t>
            </w:r>
          </w:p>
          <w:p w:rsidR="00F37A92" w:rsidRPr="00D442F1" w:rsidP="00166894" w14:paraId="7E790254" w14:textId="4BEBCEFF">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N=</w:t>
            </w:r>
            <w:r w:rsidRPr="00D442F1" w:rsidR="00254DA2">
              <w:rPr>
                <w:rFonts w:eastAsia="MS Mincho"/>
                <w:b/>
                <w:szCs w:val="22"/>
                <w:lang w:val="en-US" w:eastAsia="zh-CN"/>
              </w:rPr>
              <w:t>79</w:t>
            </w:r>
          </w:p>
          <w:p w:rsidR="00F37A92" w:rsidRPr="00D442F1" w:rsidP="00166894" w14:paraId="035B5D89"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n (%)</w:t>
            </w:r>
          </w:p>
        </w:tc>
      </w:tr>
      <w:tr w14:paraId="06CD2F17"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5D754063"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Age (years)</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7633F5A5" w14:textId="77777777">
            <w:pPr>
              <w:keepNext/>
              <w:keepLines/>
              <w:widowControl w:val="0"/>
              <w:tabs>
                <w:tab w:val="clear" w:pos="567"/>
              </w:tabs>
              <w:spacing w:line="240" w:lineRule="auto"/>
              <w:rPr>
                <w:rFonts w:eastAsia="MS Mincho"/>
                <w:szCs w:val="22"/>
                <w:lang w:val="en-US" w:eastAsia="zh-CN"/>
              </w:rPr>
            </w:pPr>
          </w:p>
        </w:tc>
        <w:tc>
          <w:tcPr>
            <w:tcW w:w="1287" w:type="pct"/>
            <w:tcBorders>
              <w:top w:val="single" w:sz="4" w:space="0" w:color="auto"/>
              <w:left w:val="single" w:sz="4" w:space="0" w:color="auto"/>
              <w:bottom w:val="single" w:sz="4" w:space="0" w:color="auto"/>
              <w:right w:val="single" w:sz="4" w:space="0" w:color="auto"/>
            </w:tcBorders>
          </w:tcPr>
          <w:p w:rsidR="00F37A92" w:rsidRPr="00D442F1" w:rsidP="00166894" w14:paraId="4263B96C" w14:textId="77777777">
            <w:pPr>
              <w:keepNext/>
              <w:keepLines/>
              <w:widowControl w:val="0"/>
              <w:tabs>
                <w:tab w:val="clear" w:pos="567"/>
              </w:tabs>
              <w:spacing w:line="240" w:lineRule="auto"/>
              <w:rPr>
                <w:rFonts w:eastAsia="MS Mincho"/>
                <w:szCs w:val="22"/>
                <w:lang w:val="en-US" w:eastAsia="zh-CN"/>
              </w:rPr>
            </w:pPr>
          </w:p>
        </w:tc>
      </w:tr>
      <w:tr w14:paraId="28155F6A"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08944A71"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Mean (standard deviation)</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ED5997" w14:paraId="3BF896A9" w14:textId="778B7960">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12 (5.4</w:t>
            </w:r>
            <w:r w:rsidRPr="00D442F1" w:rsidR="00ED5997">
              <w:rPr>
                <w:rFonts w:eastAsia="MS Mincho"/>
                <w:szCs w:val="22"/>
                <w:lang w:val="en-US" w:eastAsia="zh-CN"/>
              </w:rPr>
              <w:t>8</w:t>
            </w:r>
            <w:r w:rsidRPr="00D442F1">
              <w:rPr>
                <w:rFonts w:eastAsia="MS Mincho"/>
                <w:szCs w:val="22"/>
                <w:lang w:val="en-US" w:eastAsia="zh-CN"/>
              </w:rPr>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0C6C47" w14:paraId="4AB8A16B" w14:textId="1FAE730C">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12 (5.</w:t>
            </w:r>
            <w:r w:rsidRPr="00D442F1" w:rsidR="00F90A4A">
              <w:rPr>
                <w:rFonts w:eastAsia="MS Mincho"/>
                <w:szCs w:val="22"/>
                <w:lang w:val="en-US" w:eastAsia="zh-CN"/>
              </w:rPr>
              <w:t>38</w:t>
            </w:r>
            <w:r w:rsidRPr="00D442F1">
              <w:rPr>
                <w:rFonts w:eastAsia="MS Mincho"/>
                <w:szCs w:val="22"/>
                <w:lang w:val="en-US" w:eastAsia="zh-CN"/>
              </w:rPr>
              <w:t>)</w:t>
            </w:r>
          </w:p>
        </w:tc>
      </w:tr>
      <w:tr w14:paraId="3A864ECF"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56FA1B4E"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Median (minimum – maximum)</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53F66935" w14:textId="02805EBE">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11 (3 – 27)</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0C6C47" w14:paraId="2F2F0958" w14:textId="72401C05">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11 (3 – 2</w:t>
            </w:r>
            <w:r w:rsidRPr="00D442F1" w:rsidR="00F90A4A">
              <w:rPr>
                <w:rFonts w:eastAsia="MS Mincho"/>
                <w:szCs w:val="22"/>
                <w:lang w:val="en-US" w:eastAsia="zh-CN"/>
              </w:rPr>
              <w:t>4</w:t>
            </w:r>
            <w:r w:rsidRPr="00D442F1">
              <w:rPr>
                <w:rFonts w:eastAsia="MS Mincho"/>
                <w:szCs w:val="22"/>
                <w:lang w:val="en-US" w:eastAsia="zh-CN"/>
              </w:rPr>
              <w:t>)</w:t>
            </w:r>
          </w:p>
        </w:tc>
      </w:tr>
      <w:tr w14:paraId="1B0FEEB2"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4D8A2CDF"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Age category (years) - n (%)</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48E84067" w14:textId="77777777">
            <w:pPr>
              <w:keepNext/>
              <w:keepLines/>
              <w:widowControl w:val="0"/>
              <w:tabs>
                <w:tab w:val="clear" w:pos="567"/>
              </w:tabs>
              <w:spacing w:line="240" w:lineRule="auto"/>
              <w:rPr>
                <w:rFonts w:eastAsia="MS Mincho"/>
                <w:szCs w:val="22"/>
                <w:lang w:val="en-US" w:eastAsia="zh-CN"/>
              </w:rPr>
            </w:pPr>
          </w:p>
        </w:tc>
        <w:tc>
          <w:tcPr>
            <w:tcW w:w="1287" w:type="pct"/>
            <w:tcBorders>
              <w:top w:val="single" w:sz="4" w:space="0" w:color="auto"/>
              <w:left w:val="single" w:sz="4" w:space="0" w:color="auto"/>
              <w:bottom w:val="single" w:sz="4" w:space="0" w:color="auto"/>
              <w:right w:val="single" w:sz="4" w:space="0" w:color="auto"/>
            </w:tcBorders>
          </w:tcPr>
          <w:p w:rsidR="00F37A92" w:rsidRPr="00D442F1" w:rsidP="00166894" w14:paraId="10FB7DA5" w14:textId="77777777">
            <w:pPr>
              <w:keepNext/>
              <w:keepLines/>
              <w:widowControl w:val="0"/>
              <w:tabs>
                <w:tab w:val="clear" w:pos="567"/>
              </w:tabs>
              <w:spacing w:line="240" w:lineRule="auto"/>
              <w:rPr>
                <w:rFonts w:eastAsia="MS Mincho"/>
                <w:szCs w:val="22"/>
                <w:lang w:val="en-US" w:eastAsia="zh-CN"/>
              </w:rPr>
            </w:pPr>
          </w:p>
        </w:tc>
      </w:tr>
      <w:tr w14:paraId="05F7FC9D"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4D44EEA4"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&lt;10 years</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ED5997" w14:paraId="6883EA75" w14:textId="632D1490">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40</w:t>
            </w:r>
            <w:r w:rsidRPr="00D442F1">
              <w:rPr>
                <w:rFonts w:eastAsia="MS Mincho"/>
                <w:szCs w:val="22"/>
                <w:lang w:val="en-US" w:eastAsia="zh-CN"/>
              </w:rPr>
              <w:t xml:space="preserve"> (4</w:t>
            </w:r>
            <w:r w:rsidRPr="00D442F1">
              <w:rPr>
                <w:rFonts w:eastAsia="MS Mincho"/>
                <w:szCs w:val="22"/>
                <w:lang w:val="en-US" w:eastAsia="zh-CN"/>
              </w:rPr>
              <w:t>1.2</w:t>
            </w:r>
            <w:r w:rsidRPr="00D442F1">
              <w:rPr>
                <w:rFonts w:eastAsia="MS Mincho"/>
                <w:szCs w:val="22"/>
                <w:lang w:val="en-US" w:eastAsia="zh-CN"/>
              </w:rPr>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27C68563" w14:textId="29024673">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32 </w:t>
            </w:r>
            <w:r w:rsidRPr="00D442F1">
              <w:rPr>
                <w:rFonts w:eastAsia="MS Mincho"/>
                <w:szCs w:val="22"/>
                <w:lang w:val="en-US" w:eastAsia="zh-CN"/>
              </w:rPr>
              <w:t>(</w:t>
            </w:r>
            <w:r w:rsidRPr="00D442F1">
              <w:rPr>
                <w:rFonts w:eastAsia="MS Mincho"/>
                <w:szCs w:val="22"/>
                <w:lang w:val="en-US" w:eastAsia="zh-CN"/>
              </w:rPr>
              <w:t>40.5</w:t>
            </w:r>
            <w:r w:rsidRPr="00D442F1">
              <w:rPr>
                <w:rFonts w:eastAsia="MS Mincho"/>
                <w:szCs w:val="22"/>
                <w:lang w:val="en-US" w:eastAsia="zh-CN"/>
              </w:rPr>
              <w:t>)</w:t>
            </w:r>
          </w:p>
        </w:tc>
      </w:tr>
      <w:tr w14:paraId="25B0BC37"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15A2B7C1"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≥10 years and &lt;18 years</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1E701ABE" w14:textId="02882589">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40</w:t>
            </w:r>
            <w:r w:rsidRPr="00D442F1">
              <w:rPr>
                <w:rFonts w:eastAsia="MS Mincho"/>
                <w:szCs w:val="22"/>
                <w:lang w:val="en-US" w:eastAsia="zh-CN"/>
              </w:rPr>
              <w:t xml:space="preserve"> (4</w:t>
            </w:r>
            <w:r w:rsidRPr="00D442F1">
              <w:rPr>
                <w:rFonts w:eastAsia="MS Mincho"/>
                <w:szCs w:val="22"/>
                <w:lang w:val="en-US" w:eastAsia="zh-CN"/>
              </w:rPr>
              <w:t>1.2</w:t>
            </w:r>
            <w:r w:rsidRPr="00D442F1">
              <w:rPr>
                <w:rFonts w:eastAsia="MS Mincho"/>
                <w:szCs w:val="22"/>
                <w:lang w:val="en-US" w:eastAsia="zh-CN"/>
              </w:rPr>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4DBEA445" w14:textId="027F434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33 </w:t>
            </w:r>
            <w:r w:rsidRPr="00D442F1">
              <w:rPr>
                <w:rFonts w:eastAsia="MS Mincho"/>
                <w:szCs w:val="22"/>
                <w:lang w:val="en-US" w:eastAsia="zh-CN"/>
              </w:rPr>
              <w:t>(41.</w:t>
            </w:r>
            <w:r w:rsidRPr="00D442F1">
              <w:rPr>
                <w:rFonts w:eastAsia="MS Mincho"/>
                <w:szCs w:val="22"/>
                <w:lang w:val="en-US" w:eastAsia="zh-CN"/>
              </w:rPr>
              <w:t>8</w:t>
            </w:r>
            <w:r w:rsidRPr="00D442F1">
              <w:rPr>
                <w:rFonts w:eastAsia="MS Mincho"/>
                <w:szCs w:val="22"/>
                <w:lang w:val="en-US" w:eastAsia="zh-CN"/>
              </w:rPr>
              <w:t>)</w:t>
            </w:r>
          </w:p>
        </w:tc>
      </w:tr>
      <w:tr w14:paraId="54FCD14D"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083158F5"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≥18 years</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ED5997" w14:paraId="682E73B6" w14:textId="506B63EA">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1</w:t>
            </w:r>
            <w:r w:rsidRPr="00D442F1" w:rsidR="00ED5997">
              <w:rPr>
                <w:rFonts w:eastAsia="MS Mincho"/>
                <w:szCs w:val="22"/>
                <w:lang w:val="en-US" w:eastAsia="zh-CN"/>
              </w:rPr>
              <w:t>7</w:t>
            </w:r>
            <w:r w:rsidRPr="00D442F1">
              <w:rPr>
                <w:rFonts w:eastAsia="MS Mincho"/>
                <w:szCs w:val="22"/>
                <w:lang w:val="en-US" w:eastAsia="zh-CN"/>
              </w:rPr>
              <w:t xml:space="preserve"> (17.</w:t>
            </w:r>
            <w:r w:rsidRPr="00D442F1" w:rsidR="00ED5997">
              <w:rPr>
                <w:rFonts w:eastAsia="MS Mincho"/>
                <w:szCs w:val="22"/>
                <w:lang w:val="en-US" w:eastAsia="zh-CN"/>
              </w:rPr>
              <w:t>5</w:t>
            </w:r>
            <w:r w:rsidRPr="00D442F1">
              <w:rPr>
                <w:rFonts w:eastAsia="MS Mincho"/>
                <w:szCs w:val="22"/>
                <w:lang w:val="en-US" w:eastAsia="zh-CN"/>
              </w:rPr>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5919FC9C" w14:textId="610F7B22">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14 </w:t>
            </w:r>
            <w:r w:rsidRPr="00D442F1">
              <w:rPr>
                <w:rFonts w:eastAsia="MS Mincho"/>
                <w:szCs w:val="22"/>
                <w:lang w:val="en-US" w:eastAsia="zh-CN"/>
              </w:rPr>
              <w:t>(17.</w:t>
            </w:r>
            <w:r w:rsidRPr="00D442F1">
              <w:rPr>
                <w:rFonts w:eastAsia="MS Mincho"/>
                <w:szCs w:val="22"/>
                <w:lang w:val="en-US" w:eastAsia="zh-CN"/>
              </w:rPr>
              <w:t>7</w:t>
            </w:r>
            <w:r w:rsidRPr="00D442F1">
              <w:rPr>
                <w:rFonts w:eastAsia="MS Mincho"/>
                <w:szCs w:val="22"/>
                <w:lang w:val="en-US" w:eastAsia="zh-CN"/>
              </w:rPr>
              <w:t>)</w:t>
            </w:r>
          </w:p>
        </w:tc>
      </w:tr>
      <w:tr w14:paraId="4AEA50C9"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01F64EA5"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Sex - n (%)</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6133B0FC" w14:textId="77777777">
            <w:pPr>
              <w:keepNext/>
              <w:keepLines/>
              <w:widowControl w:val="0"/>
              <w:tabs>
                <w:tab w:val="clear" w:pos="567"/>
              </w:tabs>
              <w:spacing w:line="240" w:lineRule="auto"/>
              <w:rPr>
                <w:rFonts w:eastAsia="MS Mincho"/>
                <w:szCs w:val="22"/>
                <w:lang w:val="en-US" w:eastAsia="zh-CN"/>
              </w:rPr>
            </w:pPr>
          </w:p>
        </w:tc>
        <w:tc>
          <w:tcPr>
            <w:tcW w:w="1287" w:type="pct"/>
            <w:tcBorders>
              <w:top w:val="single" w:sz="4" w:space="0" w:color="auto"/>
              <w:left w:val="single" w:sz="4" w:space="0" w:color="auto"/>
              <w:bottom w:val="single" w:sz="4" w:space="0" w:color="auto"/>
              <w:right w:val="single" w:sz="4" w:space="0" w:color="auto"/>
            </w:tcBorders>
          </w:tcPr>
          <w:p w:rsidR="00F37A92" w:rsidRPr="00D442F1" w:rsidP="00166894" w14:paraId="1719915D" w14:textId="77777777">
            <w:pPr>
              <w:keepNext/>
              <w:keepLines/>
              <w:widowControl w:val="0"/>
              <w:tabs>
                <w:tab w:val="clear" w:pos="567"/>
              </w:tabs>
              <w:spacing w:line="240" w:lineRule="auto"/>
              <w:rPr>
                <w:rFonts w:eastAsia="MS Mincho"/>
                <w:szCs w:val="22"/>
                <w:lang w:val="en-US" w:eastAsia="zh-CN"/>
              </w:rPr>
            </w:pPr>
          </w:p>
        </w:tc>
      </w:tr>
      <w:tr w14:paraId="3030ADFB"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1A2A0B1C"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Male</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ED5997" w14:paraId="59F8EDB6" w14:textId="045BB0E1">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5</w:t>
            </w:r>
            <w:r w:rsidRPr="00D442F1" w:rsidR="00ED5997">
              <w:rPr>
                <w:rFonts w:eastAsia="MS Mincho"/>
                <w:szCs w:val="22"/>
                <w:lang w:val="en-US" w:eastAsia="zh-CN"/>
              </w:rPr>
              <w:t>4</w:t>
            </w:r>
            <w:r w:rsidRPr="00D442F1">
              <w:rPr>
                <w:rFonts w:eastAsia="MS Mincho"/>
                <w:szCs w:val="22"/>
                <w:lang w:val="en-US" w:eastAsia="zh-CN"/>
              </w:rPr>
              <w:t xml:space="preserve"> (5</w:t>
            </w:r>
            <w:r w:rsidRPr="00D442F1" w:rsidR="00ED5997">
              <w:rPr>
                <w:rFonts w:eastAsia="MS Mincho"/>
                <w:szCs w:val="22"/>
                <w:lang w:val="en-US" w:eastAsia="zh-CN"/>
              </w:rPr>
              <w:t>5.7</w:t>
            </w:r>
            <w:r w:rsidRPr="00D442F1">
              <w:rPr>
                <w:rFonts w:eastAsia="MS Mincho"/>
                <w:szCs w:val="22"/>
                <w:lang w:val="en-US" w:eastAsia="zh-CN"/>
              </w:rPr>
              <w:t xml:space="preserve">) </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3DC45654" w14:textId="4C08FB6B">
            <w:pPr>
              <w:keepNext/>
              <w:keepLines/>
              <w:widowControl w:val="0"/>
              <w:tabs>
                <w:tab w:val="clear" w:pos="567"/>
              </w:tabs>
              <w:spacing w:line="240" w:lineRule="auto"/>
              <w:rPr>
                <w:rFonts w:eastAsia="MS Mincho"/>
                <w:szCs w:val="22"/>
                <w:lang w:val="en-US" w:eastAsia="zh-CN"/>
              </w:rPr>
            </w:pPr>
            <w:r w:rsidRPr="00D442F1">
              <w:rPr>
                <w:rFonts w:eastAsia="SimSun"/>
                <w:szCs w:val="22"/>
                <w:lang w:val="en-US"/>
              </w:rPr>
              <w:t xml:space="preserve">45 </w:t>
            </w:r>
            <w:r w:rsidRPr="00D442F1">
              <w:rPr>
                <w:rFonts w:eastAsia="SimSun"/>
                <w:szCs w:val="22"/>
                <w:lang w:val="en-US"/>
              </w:rPr>
              <w:t>(57.</w:t>
            </w:r>
            <w:r w:rsidRPr="00D442F1">
              <w:rPr>
                <w:rFonts w:eastAsia="SimSun"/>
                <w:szCs w:val="22"/>
                <w:lang w:val="en-US"/>
              </w:rPr>
              <w:t>0</w:t>
            </w:r>
            <w:r w:rsidRPr="00D442F1">
              <w:rPr>
                <w:rFonts w:eastAsia="SimSun"/>
                <w:szCs w:val="22"/>
                <w:lang w:val="en-US"/>
              </w:rPr>
              <w:t>)</w:t>
            </w:r>
          </w:p>
        </w:tc>
      </w:tr>
      <w:tr w14:paraId="6DF50F25"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568F4B60"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Female</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524B8FDE" w14:textId="594BD0BE">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4</w:t>
            </w:r>
            <w:r w:rsidRPr="00D442F1" w:rsidR="00ED5997">
              <w:rPr>
                <w:rFonts w:eastAsia="MS Mincho"/>
                <w:szCs w:val="22"/>
                <w:lang w:val="en-US" w:eastAsia="zh-CN"/>
              </w:rPr>
              <w:t>3</w:t>
            </w:r>
            <w:r w:rsidRPr="00D442F1">
              <w:rPr>
                <w:rFonts w:eastAsia="MS Mincho"/>
                <w:szCs w:val="22"/>
                <w:lang w:val="en-US" w:eastAsia="zh-CN"/>
              </w:rPr>
              <w:t xml:space="preserve"> (</w:t>
            </w:r>
            <w:r w:rsidRPr="00D442F1" w:rsidR="00ED5997">
              <w:rPr>
                <w:rFonts w:eastAsia="MS Mincho"/>
                <w:szCs w:val="22"/>
                <w:lang w:val="en-US" w:eastAsia="zh-CN"/>
              </w:rPr>
              <w:t>44.3</w:t>
            </w:r>
            <w:r w:rsidRPr="00D442F1">
              <w:rPr>
                <w:rFonts w:eastAsia="MS Mincho"/>
                <w:szCs w:val="22"/>
                <w:lang w:val="en-US" w:eastAsia="zh-CN"/>
              </w:rPr>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37DB2A5D" w14:textId="62645395">
            <w:pPr>
              <w:keepNext/>
              <w:keepLines/>
              <w:widowControl w:val="0"/>
              <w:tabs>
                <w:tab w:val="clear" w:pos="567"/>
              </w:tabs>
              <w:spacing w:line="240" w:lineRule="auto"/>
              <w:rPr>
                <w:rFonts w:eastAsia="MS Mincho"/>
                <w:szCs w:val="22"/>
                <w:lang w:val="en-US" w:eastAsia="zh-CN"/>
              </w:rPr>
            </w:pPr>
            <w:r w:rsidRPr="00D442F1">
              <w:rPr>
                <w:rFonts w:eastAsia="SimSun"/>
                <w:szCs w:val="22"/>
                <w:lang w:val="en-US"/>
              </w:rPr>
              <w:t>3</w:t>
            </w:r>
            <w:r w:rsidRPr="00D442F1" w:rsidR="00F90A4A">
              <w:rPr>
                <w:rFonts w:eastAsia="SimSun"/>
                <w:szCs w:val="22"/>
                <w:lang w:val="en-US"/>
              </w:rPr>
              <w:t>4</w:t>
            </w:r>
            <w:r w:rsidRPr="00D442F1">
              <w:rPr>
                <w:rFonts w:eastAsia="SimSun"/>
                <w:szCs w:val="22"/>
                <w:lang w:val="en-US"/>
              </w:rPr>
              <w:t xml:space="preserve"> (</w:t>
            </w:r>
            <w:r w:rsidRPr="00D442F1" w:rsidR="00F90A4A">
              <w:rPr>
                <w:rFonts w:eastAsia="SimSun"/>
                <w:szCs w:val="22"/>
                <w:lang w:val="en-US"/>
              </w:rPr>
              <w:t>43</w:t>
            </w:r>
            <w:r w:rsidRPr="00D442F1">
              <w:rPr>
                <w:rFonts w:eastAsia="SimSun"/>
                <w:szCs w:val="22"/>
                <w:lang w:val="en-US"/>
              </w:rPr>
              <w:t>)</w:t>
            </w:r>
          </w:p>
        </w:tc>
      </w:tr>
      <w:tr w14:paraId="66E1006D"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6D52E4B7" w14:textId="77777777">
            <w:pPr>
              <w:keepNext/>
              <w:keepLines/>
              <w:widowControl w:val="0"/>
              <w:tabs>
                <w:tab w:val="clear" w:pos="567"/>
              </w:tabs>
              <w:spacing w:line="240" w:lineRule="auto"/>
              <w:jc w:val="both"/>
              <w:rPr>
                <w:rFonts w:eastAsia="MS Mincho"/>
                <w:b/>
                <w:szCs w:val="22"/>
                <w:lang w:val="en-US" w:eastAsia="zh-CN"/>
              </w:rPr>
            </w:pPr>
            <w:r w:rsidRPr="00D442F1">
              <w:rPr>
                <w:rFonts w:eastAsia="MS Mincho"/>
                <w:b/>
                <w:szCs w:val="22"/>
                <w:lang w:val="en-US" w:eastAsia="zh-CN"/>
              </w:rPr>
              <w:t>Disease status (%)</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201D3E70" w14:textId="77777777">
            <w:pPr>
              <w:keepNext/>
              <w:keepLines/>
              <w:widowControl w:val="0"/>
              <w:tabs>
                <w:tab w:val="clear" w:pos="567"/>
              </w:tabs>
              <w:spacing w:line="240" w:lineRule="auto"/>
              <w:jc w:val="both"/>
              <w:rPr>
                <w:rFonts w:eastAsia="MS Mincho"/>
                <w:szCs w:val="22"/>
                <w:lang w:val="en-US" w:eastAsia="zh-CN"/>
              </w:rPr>
            </w:pPr>
          </w:p>
        </w:tc>
        <w:tc>
          <w:tcPr>
            <w:tcW w:w="1287" w:type="pct"/>
            <w:tcBorders>
              <w:top w:val="single" w:sz="4" w:space="0" w:color="auto"/>
              <w:left w:val="single" w:sz="4" w:space="0" w:color="auto"/>
              <w:bottom w:val="single" w:sz="4" w:space="0" w:color="auto"/>
              <w:right w:val="single" w:sz="4" w:space="0" w:color="auto"/>
            </w:tcBorders>
          </w:tcPr>
          <w:p w:rsidR="00F37A92" w:rsidRPr="00D442F1" w:rsidP="00166894" w14:paraId="1CF10F34" w14:textId="77777777">
            <w:pPr>
              <w:keepNext/>
              <w:keepLines/>
              <w:widowControl w:val="0"/>
              <w:tabs>
                <w:tab w:val="clear" w:pos="567"/>
              </w:tabs>
              <w:spacing w:line="240" w:lineRule="auto"/>
              <w:jc w:val="both"/>
              <w:rPr>
                <w:rFonts w:eastAsia="MS Mincho"/>
                <w:szCs w:val="22"/>
                <w:lang w:val="en-US" w:eastAsia="zh-CN"/>
              </w:rPr>
            </w:pPr>
          </w:p>
        </w:tc>
      </w:tr>
      <w:tr w14:paraId="7E1F479B"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tcPr>
          <w:p w:rsidR="00F37A92" w:rsidRPr="00D442F1" w:rsidP="00166894" w14:paraId="60DA3AD3" w14:textId="77777777">
            <w:pPr>
              <w:keepNext/>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ab/>
              <w:t>Primary refractory</w:t>
            </w:r>
            <w:r w:rsidRPr="00D442F1">
              <w:rPr>
                <w:rFonts w:eastAsia="MS Mincho"/>
                <w:szCs w:val="22"/>
                <w:vertAlign w:val="superscript"/>
                <w:lang w:val="en-US" w:eastAsia="zh-CN"/>
              </w:rPr>
              <w:t>1</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057A2E" w14:paraId="2F0F99B4" w14:textId="3DE7647B">
            <w:pPr>
              <w:keepNext/>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8 (8.</w:t>
            </w:r>
            <w:r w:rsidRPr="00D442F1" w:rsidR="00057A2E">
              <w:rPr>
                <w:rFonts w:eastAsia="MS Mincho"/>
                <w:szCs w:val="22"/>
                <w:lang w:val="en-US" w:eastAsia="zh-CN"/>
              </w:rPr>
              <w:t>2</w:t>
            </w:r>
            <w:r w:rsidRPr="00D442F1">
              <w:rPr>
                <w:rFonts w:eastAsia="MS Mincho"/>
                <w:szCs w:val="22"/>
                <w:lang w:val="en-US" w:eastAsia="zh-CN"/>
              </w:rPr>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04885B32" w14:textId="710684FE">
            <w:pPr>
              <w:keepNext/>
              <w:keepLines/>
              <w:widowControl w:val="0"/>
              <w:tabs>
                <w:tab w:val="clear" w:pos="567"/>
              </w:tabs>
              <w:spacing w:line="240" w:lineRule="auto"/>
              <w:jc w:val="both"/>
              <w:rPr>
                <w:rFonts w:eastAsia="MS Mincho"/>
                <w:szCs w:val="22"/>
                <w:lang w:val="en-US" w:eastAsia="zh-CN"/>
              </w:rPr>
            </w:pPr>
            <w:r w:rsidRPr="00D442F1">
              <w:rPr>
                <w:rFonts w:eastAsia="SimSun"/>
                <w:szCs w:val="22"/>
                <w:lang w:val="en-US"/>
              </w:rPr>
              <w:t>6 (</w:t>
            </w:r>
            <w:r w:rsidRPr="00D442F1" w:rsidR="00F90A4A">
              <w:rPr>
                <w:rFonts w:eastAsia="SimSun"/>
                <w:szCs w:val="22"/>
                <w:lang w:val="en-US"/>
              </w:rPr>
              <w:t>7.6</w:t>
            </w:r>
            <w:r w:rsidRPr="00D442F1">
              <w:rPr>
                <w:rFonts w:eastAsia="SimSun"/>
                <w:szCs w:val="22"/>
                <w:lang w:val="en-US"/>
              </w:rPr>
              <w:t>)</w:t>
            </w:r>
          </w:p>
        </w:tc>
      </w:tr>
      <w:tr w14:paraId="480EB7F2"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tcPr>
          <w:p w:rsidR="00F37A92" w:rsidRPr="00D442F1" w:rsidP="00166894" w14:paraId="110AF93A" w14:textId="77777777">
            <w:pPr>
              <w:keepNext/>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ab/>
              <w:t>Relapsed disease</w:t>
            </w:r>
            <w:r w:rsidRPr="00D442F1">
              <w:rPr>
                <w:rFonts w:eastAsia="MS Mincho"/>
                <w:szCs w:val="22"/>
                <w:vertAlign w:val="superscript"/>
                <w:lang w:val="en-US" w:eastAsia="zh-CN"/>
              </w:rPr>
              <w:t>2</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057A2E" w14:paraId="6D07D98B" w14:textId="19307E6B">
            <w:pPr>
              <w:keepNext/>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8</w:t>
            </w:r>
            <w:r w:rsidRPr="00D442F1" w:rsidR="00057A2E">
              <w:rPr>
                <w:rFonts w:eastAsia="MS Mincho"/>
                <w:szCs w:val="22"/>
                <w:lang w:val="en-US" w:eastAsia="zh-CN"/>
              </w:rPr>
              <w:t>9</w:t>
            </w:r>
            <w:r w:rsidRPr="00D442F1">
              <w:rPr>
                <w:rFonts w:eastAsia="MS Mincho"/>
                <w:szCs w:val="22"/>
                <w:lang w:val="en-US" w:eastAsia="zh-CN"/>
              </w:rPr>
              <w:t xml:space="preserve"> (91.</w:t>
            </w:r>
            <w:r w:rsidRPr="00D442F1" w:rsidR="00057A2E">
              <w:rPr>
                <w:rFonts w:eastAsia="MS Mincho"/>
                <w:szCs w:val="22"/>
                <w:lang w:val="en-US" w:eastAsia="zh-CN"/>
              </w:rPr>
              <w:t>8</w:t>
            </w:r>
            <w:r w:rsidRPr="00D442F1">
              <w:rPr>
                <w:rFonts w:eastAsia="MS Mincho"/>
                <w:szCs w:val="22"/>
                <w:lang w:val="en-US" w:eastAsia="zh-CN"/>
              </w:rPr>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6131A188" w14:textId="522BD83B">
            <w:pPr>
              <w:keepNext/>
              <w:keepLines/>
              <w:widowControl w:val="0"/>
              <w:tabs>
                <w:tab w:val="clear" w:pos="567"/>
              </w:tabs>
              <w:spacing w:line="240" w:lineRule="auto"/>
              <w:jc w:val="both"/>
              <w:rPr>
                <w:rFonts w:eastAsia="MS Mincho"/>
                <w:szCs w:val="22"/>
                <w:lang w:val="en-US" w:eastAsia="zh-CN"/>
              </w:rPr>
            </w:pPr>
            <w:r w:rsidRPr="00D442F1">
              <w:rPr>
                <w:rFonts w:eastAsia="SimSun"/>
                <w:szCs w:val="22"/>
                <w:lang w:val="en-US"/>
              </w:rPr>
              <w:t xml:space="preserve">73 </w:t>
            </w:r>
            <w:r w:rsidRPr="00D442F1">
              <w:rPr>
                <w:rFonts w:eastAsia="SimSun"/>
                <w:szCs w:val="22"/>
                <w:lang w:val="en-US"/>
              </w:rPr>
              <w:t>(92.</w:t>
            </w:r>
            <w:r w:rsidRPr="00D442F1">
              <w:rPr>
                <w:rFonts w:eastAsia="SimSun"/>
                <w:szCs w:val="22"/>
                <w:lang w:val="en-US"/>
              </w:rPr>
              <w:t>4</w:t>
            </w:r>
            <w:r w:rsidRPr="00D442F1">
              <w:rPr>
                <w:rFonts w:eastAsia="SimSun"/>
                <w:szCs w:val="22"/>
                <w:lang w:val="en-US"/>
              </w:rPr>
              <w:t>)</w:t>
            </w:r>
          </w:p>
        </w:tc>
      </w:tr>
      <w:tr w14:paraId="55599586"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77B39B13" w14:textId="77777777">
            <w:pPr>
              <w:keepNext/>
              <w:keepLines/>
              <w:widowControl w:val="0"/>
              <w:tabs>
                <w:tab w:val="clear" w:pos="567"/>
              </w:tabs>
              <w:spacing w:line="240" w:lineRule="auto"/>
              <w:rPr>
                <w:rFonts w:eastAsia="MS Mincho"/>
                <w:b/>
                <w:szCs w:val="22"/>
                <w:lang w:val="en-US" w:eastAsia="zh-CN"/>
              </w:rPr>
            </w:pPr>
            <w:r w:rsidRPr="00D442F1">
              <w:rPr>
                <w:rFonts w:eastAsia="SimSun"/>
                <w:b/>
                <w:szCs w:val="22"/>
                <w:lang w:val="en-US"/>
              </w:rPr>
              <w:t>Prior stem-cell transplantation - n (%)</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405111C7" w14:textId="77777777">
            <w:pPr>
              <w:keepNext/>
              <w:keepLines/>
              <w:widowControl w:val="0"/>
              <w:tabs>
                <w:tab w:val="clear" w:pos="567"/>
              </w:tabs>
              <w:spacing w:line="240" w:lineRule="auto"/>
              <w:rPr>
                <w:rFonts w:eastAsia="MS Mincho"/>
                <w:szCs w:val="22"/>
                <w:lang w:val="en-US" w:eastAsia="zh-CN"/>
              </w:rPr>
            </w:pPr>
          </w:p>
        </w:tc>
        <w:tc>
          <w:tcPr>
            <w:tcW w:w="1287" w:type="pct"/>
            <w:tcBorders>
              <w:top w:val="single" w:sz="4" w:space="0" w:color="auto"/>
              <w:left w:val="single" w:sz="4" w:space="0" w:color="auto"/>
              <w:bottom w:val="single" w:sz="4" w:space="0" w:color="auto"/>
              <w:right w:val="single" w:sz="4" w:space="0" w:color="auto"/>
            </w:tcBorders>
          </w:tcPr>
          <w:p w:rsidR="00F37A92" w:rsidRPr="00D442F1" w:rsidP="00166894" w14:paraId="0123CC19" w14:textId="77777777">
            <w:pPr>
              <w:keepNext/>
              <w:keepLines/>
              <w:widowControl w:val="0"/>
              <w:tabs>
                <w:tab w:val="clear" w:pos="567"/>
              </w:tabs>
              <w:spacing w:line="240" w:lineRule="auto"/>
              <w:rPr>
                <w:rFonts w:eastAsia="MS Mincho"/>
                <w:szCs w:val="22"/>
                <w:lang w:val="en-US" w:eastAsia="zh-CN"/>
              </w:rPr>
            </w:pPr>
          </w:p>
        </w:tc>
      </w:tr>
      <w:tr w14:paraId="28B0C109"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68CA2998" w14:textId="77777777">
            <w:pPr>
              <w:keepNext/>
              <w:keepLines/>
              <w:widowControl w:val="0"/>
              <w:tabs>
                <w:tab w:val="clear" w:pos="567"/>
              </w:tabs>
              <w:spacing w:line="240" w:lineRule="auto"/>
              <w:rPr>
                <w:rFonts w:eastAsia="SimSun"/>
                <w:szCs w:val="22"/>
                <w:lang w:val="en-US"/>
              </w:rPr>
            </w:pPr>
            <w:r w:rsidRPr="00D442F1">
              <w:rPr>
                <w:rFonts w:eastAsia="MS Mincho"/>
                <w:szCs w:val="22"/>
                <w:lang w:val="en-US" w:eastAsia="zh-CN"/>
              </w:rPr>
              <w:tab/>
            </w:r>
            <w:r w:rsidRPr="00D442F1">
              <w:rPr>
                <w:rFonts w:eastAsia="SimSun"/>
                <w:szCs w:val="22"/>
                <w:lang w:val="en-US"/>
              </w:rPr>
              <w:t>0</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057A2E" w14:paraId="2EAA9173" w14:textId="77133482">
            <w:pPr>
              <w:keepNext/>
              <w:keepLines/>
              <w:widowControl w:val="0"/>
              <w:tabs>
                <w:tab w:val="clear" w:pos="567"/>
              </w:tabs>
              <w:spacing w:line="240" w:lineRule="auto"/>
              <w:rPr>
                <w:rFonts w:eastAsia="MS Mincho"/>
                <w:szCs w:val="22"/>
                <w:lang w:val="en-US" w:eastAsia="zh-CN"/>
              </w:rPr>
            </w:pPr>
            <w:r w:rsidRPr="00D442F1">
              <w:t>3</w:t>
            </w:r>
            <w:r w:rsidRPr="00D442F1" w:rsidR="00057A2E">
              <w:t>9</w:t>
            </w:r>
            <w:r w:rsidRPr="00D442F1">
              <w:t xml:space="preserve"> (40.2)</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609AAB76" w14:textId="3FD4AE6F">
            <w:pPr>
              <w:keepNext/>
              <w:keepLines/>
              <w:widowControl w:val="0"/>
              <w:tabs>
                <w:tab w:val="clear" w:pos="567"/>
              </w:tabs>
              <w:spacing w:line="240" w:lineRule="auto"/>
              <w:rPr>
                <w:rFonts w:eastAsia="MS Mincho"/>
                <w:szCs w:val="22"/>
                <w:lang w:val="en-US" w:eastAsia="zh-CN"/>
              </w:rPr>
            </w:pPr>
            <w:r w:rsidRPr="00D442F1">
              <w:rPr>
                <w:rFonts w:eastAsia="SimSun"/>
                <w:szCs w:val="22"/>
                <w:lang w:val="en-US"/>
              </w:rPr>
              <w:t xml:space="preserve">31 </w:t>
            </w:r>
            <w:r w:rsidRPr="00D442F1">
              <w:rPr>
                <w:rFonts w:eastAsia="SimSun"/>
                <w:szCs w:val="22"/>
                <w:lang w:val="en-US"/>
              </w:rPr>
              <w:t>(</w:t>
            </w:r>
            <w:r w:rsidRPr="00D442F1">
              <w:rPr>
                <w:rFonts w:eastAsia="SimSun"/>
                <w:szCs w:val="22"/>
                <w:lang w:val="en-US"/>
              </w:rPr>
              <w:t>39.2</w:t>
            </w:r>
            <w:r w:rsidRPr="00D442F1">
              <w:rPr>
                <w:rFonts w:eastAsia="SimSun"/>
                <w:szCs w:val="22"/>
                <w:lang w:val="en-US"/>
              </w:rPr>
              <w:t>)</w:t>
            </w:r>
          </w:p>
        </w:tc>
      </w:tr>
      <w:tr w14:paraId="75836756"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1FEA30B7" w14:textId="77777777">
            <w:pPr>
              <w:keepNext/>
              <w:keepLines/>
              <w:widowControl w:val="0"/>
              <w:tabs>
                <w:tab w:val="clear" w:pos="567"/>
              </w:tabs>
              <w:spacing w:line="240" w:lineRule="auto"/>
              <w:rPr>
                <w:rFonts w:eastAsia="SimSun"/>
                <w:szCs w:val="22"/>
                <w:lang w:val="en-US"/>
              </w:rPr>
            </w:pPr>
            <w:r w:rsidRPr="00D442F1">
              <w:rPr>
                <w:rFonts w:eastAsia="MS Mincho"/>
                <w:szCs w:val="22"/>
                <w:lang w:val="en-US" w:eastAsia="zh-CN"/>
              </w:rPr>
              <w:tab/>
            </w:r>
            <w:r w:rsidRPr="00D442F1">
              <w:rPr>
                <w:rFonts w:eastAsia="SimSun"/>
                <w:szCs w:val="22"/>
                <w:lang w:val="en-US"/>
              </w:rPr>
              <w:t>1</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057A2E" w14:paraId="765BAA07" w14:textId="6BE7C6C6">
            <w:pPr>
              <w:keepNext/>
              <w:keepLines/>
              <w:widowControl w:val="0"/>
              <w:tabs>
                <w:tab w:val="clear" w:pos="567"/>
              </w:tabs>
              <w:spacing w:line="240" w:lineRule="auto"/>
              <w:rPr>
                <w:rFonts w:eastAsia="MS Mincho"/>
                <w:szCs w:val="22"/>
                <w:lang w:val="en-US" w:eastAsia="zh-CN"/>
              </w:rPr>
            </w:pPr>
            <w:r w:rsidRPr="00D442F1">
              <w:t>50</w:t>
            </w:r>
            <w:r w:rsidRPr="00D442F1">
              <w:t xml:space="preserve"> (5</w:t>
            </w:r>
            <w:r w:rsidRPr="00D442F1">
              <w:t>1.5</w:t>
            </w:r>
            <w:r w:rsidRPr="00D442F1">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3596CEAC" w14:textId="5C6E7CB0">
            <w:pPr>
              <w:keepNext/>
              <w:keepLines/>
              <w:widowControl w:val="0"/>
              <w:tabs>
                <w:tab w:val="clear" w:pos="567"/>
              </w:tabs>
              <w:spacing w:line="240" w:lineRule="auto"/>
              <w:rPr>
                <w:rFonts w:eastAsia="MS Mincho"/>
                <w:szCs w:val="22"/>
                <w:lang w:val="en-US" w:eastAsia="zh-CN"/>
              </w:rPr>
            </w:pPr>
            <w:r w:rsidRPr="00D442F1">
              <w:rPr>
                <w:rFonts w:eastAsia="SimSun"/>
                <w:szCs w:val="22"/>
                <w:lang w:val="en-US"/>
              </w:rPr>
              <w:t xml:space="preserve">42 </w:t>
            </w:r>
            <w:r w:rsidRPr="00D442F1">
              <w:rPr>
                <w:rFonts w:eastAsia="SimSun"/>
                <w:szCs w:val="22"/>
                <w:lang w:val="en-US"/>
              </w:rPr>
              <w:t>(53.</w:t>
            </w:r>
            <w:r w:rsidRPr="00D442F1">
              <w:rPr>
                <w:rFonts w:eastAsia="SimSun"/>
                <w:szCs w:val="22"/>
                <w:lang w:val="en-US"/>
              </w:rPr>
              <w:t>2</w:t>
            </w:r>
            <w:r w:rsidRPr="00D442F1">
              <w:rPr>
                <w:rFonts w:eastAsia="SimSun"/>
                <w:szCs w:val="22"/>
                <w:lang w:val="en-US"/>
              </w:rPr>
              <w:t>)</w:t>
            </w:r>
          </w:p>
        </w:tc>
      </w:tr>
      <w:tr w14:paraId="6007DF71" w14:textId="77777777" w:rsidTr="00E93A6F">
        <w:tblPrEx>
          <w:tblW w:w="5000" w:type="pct"/>
          <w:tblLook w:val="0000"/>
        </w:tblPrEx>
        <w:tc>
          <w:tcPr>
            <w:tcW w:w="2427" w:type="pct"/>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4D2039B0"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2</w:t>
            </w:r>
          </w:p>
        </w:tc>
        <w:tc>
          <w:tcPr>
            <w:tcW w:w="1286" w:type="pct"/>
            <w:tcBorders>
              <w:top w:val="single" w:sz="4" w:space="0" w:color="auto"/>
              <w:left w:val="single" w:sz="4" w:space="0" w:color="auto"/>
              <w:bottom w:val="single" w:sz="4" w:space="0" w:color="auto"/>
              <w:right w:val="single" w:sz="4" w:space="0" w:color="auto"/>
            </w:tcBorders>
          </w:tcPr>
          <w:p w:rsidR="00F37A92" w:rsidRPr="00D442F1" w:rsidP="00166894" w14:paraId="6852010F" w14:textId="748D450E">
            <w:pPr>
              <w:keepNext/>
              <w:keepLines/>
              <w:widowControl w:val="0"/>
              <w:tabs>
                <w:tab w:val="clear" w:pos="567"/>
              </w:tabs>
              <w:spacing w:line="240" w:lineRule="auto"/>
              <w:rPr>
                <w:rFonts w:eastAsia="MS Mincho"/>
                <w:szCs w:val="22"/>
                <w:lang w:val="en-US" w:eastAsia="zh-CN"/>
              </w:rPr>
            </w:pPr>
            <w:r w:rsidRPr="00D442F1">
              <w:t>8</w:t>
            </w:r>
            <w:r w:rsidRPr="00D442F1">
              <w:t xml:space="preserve"> (</w:t>
            </w:r>
            <w:r w:rsidRPr="00D442F1">
              <w:t>8.2</w:t>
            </w:r>
            <w:r w:rsidRPr="00D442F1">
              <w:t>)</w:t>
            </w:r>
          </w:p>
        </w:tc>
        <w:tc>
          <w:tcPr>
            <w:tcW w:w="1287" w:type="pct"/>
            <w:tcBorders>
              <w:top w:val="single" w:sz="4" w:space="0" w:color="auto"/>
              <w:left w:val="single" w:sz="4" w:space="0" w:color="auto"/>
              <w:bottom w:val="single" w:sz="4" w:space="0" w:color="auto"/>
              <w:right w:val="single" w:sz="4" w:space="0" w:color="auto"/>
            </w:tcBorders>
          </w:tcPr>
          <w:p w:rsidR="00F37A92" w:rsidRPr="00D442F1" w:rsidP="00F90A4A" w14:paraId="2CFF7A69" w14:textId="6A9F21AB">
            <w:pPr>
              <w:keepNext/>
              <w:keepLines/>
              <w:widowControl w:val="0"/>
              <w:tabs>
                <w:tab w:val="clear" w:pos="567"/>
              </w:tabs>
              <w:spacing w:line="240" w:lineRule="auto"/>
              <w:rPr>
                <w:rFonts w:eastAsia="MS Mincho"/>
                <w:szCs w:val="22"/>
                <w:lang w:val="en-US" w:eastAsia="zh-CN"/>
              </w:rPr>
            </w:pPr>
            <w:r w:rsidRPr="00D442F1">
              <w:rPr>
                <w:rFonts w:eastAsia="SimSun"/>
                <w:szCs w:val="22"/>
                <w:lang w:val="en-US"/>
              </w:rPr>
              <w:t>6 (</w:t>
            </w:r>
            <w:r w:rsidRPr="00D442F1" w:rsidR="00F90A4A">
              <w:rPr>
                <w:rFonts w:eastAsia="SimSun"/>
                <w:szCs w:val="22"/>
                <w:lang w:val="en-US"/>
              </w:rPr>
              <w:t>7.6</w:t>
            </w:r>
            <w:r w:rsidRPr="00D442F1">
              <w:rPr>
                <w:rFonts w:eastAsia="SimSun"/>
                <w:szCs w:val="22"/>
                <w:lang w:val="en-US"/>
              </w:rPr>
              <w:t>)</w:t>
            </w:r>
          </w:p>
        </w:tc>
      </w:tr>
      <w:tr w14:paraId="7049EC67" w14:textId="77777777" w:rsidTr="00E93A6F">
        <w:tblPrEx>
          <w:tblW w:w="5000" w:type="pct"/>
          <w:tblLook w:val="0000"/>
        </w:tblPrEx>
        <w:trPr>
          <w:trHeight w:val="365"/>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F37A92" w:rsidRPr="00D442F1" w:rsidP="00166894" w14:paraId="2913CEF7" w14:textId="77777777">
            <w:pPr>
              <w:keepNext/>
              <w:keepLines/>
              <w:widowControl w:val="0"/>
              <w:tabs>
                <w:tab w:val="clear" w:pos="567"/>
              </w:tabs>
              <w:spacing w:line="240" w:lineRule="auto"/>
              <w:rPr>
                <w:rFonts w:eastAsia="SimSun"/>
                <w:szCs w:val="22"/>
                <w:lang w:val="en-US"/>
              </w:rPr>
            </w:pPr>
            <w:r w:rsidRPr="00D442F1">
              <w:rPr>
                <w:rFonts w:eastAsia="SimSun"/>
                <w:szCs w:val="22"/>
                <w:vertAlign w:val="superscript"/>
                <w:lang w:val="en-US"/>
              </w:rPr>
              <w:t>1</w:t>
            </w:r>
            <w:r w:rsidRPr="00D442F1">
              <w:rPr>
                <w:rFonts w:eastAsia="SimSun"/>
                <w:szCs w:val="22"/>
                <w:lang w:val="en-US"/>
              </w:rPr>
              <w:t>Primary refractory: Never had a morphologic complete remission (CR) prior to the study;</w:t>
            </w:r>
          </w:p>
          <w:p w:rsidR="00F37A92" w:rsidRPr="00D442F1" w:rsidP="00166894" w14:paraId="77F79632" w14:textId="77777777">
            <w:pPr>
              <w:keepLines/>
              <w:widowControl w:val="0"/>
              <w:tabs>
                <w:tab w:val="clear" w:pos="567"/>
              </w:tabs>
              <w:spacing w:line="240" w:lineRule="auto"/>
              <w:rPr>
                <w:rFonts w:eastAsia="SimSun"/>
                <w:szCs w:val="22"/>
                <w:lang w:val="en-US"/>
              </w:rPr>
            </w:pPr>
            <w:r w:rsidRPr="00D442F1">
              <w:rPr>
                <w:rFonts w:eastAsia="SimSun"/>
                <w:szCs w:val="22"/>
                <w:vertAlign w:val="superscript"/>
                <w:lang w:val="en-US"/>
              </w:rPr>
              <w:t>2</w:t>
            </w:r>
            <w:r w:rsidRPr="00D442F1">
              <w:rPr>
                <w:rFonts w:eastAsia="SimSun"/>
                <w:szCs w:val="22"/>
                <w:lang w:val="en-US"/>
              </w:rPr>
              <w:t>Relapsed disease: Had at least one relapse prior to the study</w:t>
            </w:r>
          </w:p>
        </w:tc>
      </w:tr>
    </w:tbl>
    <w:p w:rsidR="00F37A92" w:rsidRPr="00D442F1" w:rsidP="00166894" w14:paraId="5EFF2F84" w14:textId="77777777">
      <w:pPr>
        <w:widowControl w:val="0"/>
        <w:tabs>
          <w:tab w:val="clear" w:pos="567"/>
        </w:tabs>
        <w:autoSpaceDE w:val="0"/>
        <w:autoSpaceDN w:val="0"/>
        <w:adjustRightInd w:val="0"/>
        <w:spacing w:line="240" w:lineRule="auto"/>
      </w:pPr>
    </w:p>
    <w:p w:rsidR="00581468" w:rsidRPr="00D442F1" w:rsidP="00166894" w14:paraId="7ECEBDC8" w14:textId="22042C47">
      <w:pPr>
        <w:widowControl w:val="0"/>
        <w:tabs>
          <w:tab w:val="clear" w:pos="567"/>
        </w:tabs>
        <w:autoSpaceDE w:val="0"/>
        <w:autoSpaceDN w:val="0"/>
        <w:adjustRightInd w:val="0"/>
        <w:spacing w:line="240" w:lineRule="auto"/>
        <w:rPr>
          <w:szCs w:val="22"/>
        </w:rPr>
      </w:pPr>
      <w:r w:rsidRPr="00D442F1">
        <w:t>Efficacy was established through the primary endpoint of overall remission rate (ORR)</w:t>
      </w:r>
      <w:r w:rsidRPr="00D442F1" w:rsidR="00254DA2">
        <w:t xml:space="preserve">, which includes best overall response as complete remission (CR) or complete remission with incomplete blood count </w:t>
      </w:r>
      <w:r w:rsidRPr="00D442F1" w:rsidR="00255C45">
        <w:t xml:space="preserve">recovery </w:t>
      </w:r>
      <w:r w:rsidRPr="00D442F1" w:rsidR="00254DA2">
        <w:t>(CRi)</w:t>
      </w:r>
      <w:r w:rsidRPr="00D442F1">
        <w:t xml:space="preserve"> within 3 months post infusion, as determined by Independent Review Committee (IRC) assessment, </w:t>
      </w:r>
      <w:r w:rsidRPr="00D442F1" w:rsidR="00254DA2">
        <w:t xml:space="preserve">as well as secondary endpoints including </w:t>
      </w:r>
      <w:r w:rsidRPr="00D442F1">
        <w:t>duration of remission (DOR) and the proportion of patients who achieved CR or CRi with minimal residual disease (MRD) &lt;0.01% by flow cytometry (MRD</w:t>
      </w:r>
      <w:r w:rsidRPr="00D442F1">
        <w:noBreakHyphen/>
        <w:t>negative).</w:t>
      </w:r>
      <w:r w:rsidRPr="00D442F1">
        <w:rPr>
          <w:szCs w:val="22"/>
        </w:rPr>
        <w:t xml:space="preserve"> See Table </w:t>
      </w:r>
      <w:r w:rsidRPr="00D442F1" w:rsidR="00F37A92">
        <w:rPr>
          <w:szCs w:val="22"/>
        </w:rPr>
        <w:t>4</w:t>
      </w:r>
      <w:r w:rsidRPr="00D442F1">
        <w:rPr>
          <w:szCs w:val="22"/>
        </w:rPr>
        <w:t xml:space="preserve"> for efficacy results from this study. ORR was consistent across all subgroups. </w:t>
      </w:r>
      <w:r w:rsidRPr="00D442F1" w:rsidR="00254DA2">
        <w:rPr>
          <w:szCs w:val="22"/>
        </w:rPr>
        <w:t>Eight</w:t>
      </w:r>
      <w:r w:rsidRPr="00D442F1">
        <w:rPr>
          <w:szCs w:val="22"/>
        </w:rPr>
        <w:t xml:space="preserve"> </w:t>
      </w:r>
      <w:r w:rsidRPr="00D442F1">
        <w:t xml:space="preserve">patients </w:t>
      </w:r>
      <w:r w:rsidR="00130189">
        <w:t xml:space="preserve">(10.1%) </w:t>
      </w:r>
      <w:r w:rsidRPr="00D442F1">
        <w:t xml:space="preserve">who achieved CR/CRi after Kymriah infusion went to </w:t>
      </w:r>
      <w:r w:rsidR="00A75AC0">
        <w:t xml:space="preserve">haematopoietic stem cell </w:t>
      </w:r>
      <w:r w:rsidRPr="00D442F1">
        <w:t>transplant while in remission</w:t>
      </w:r>
      <w:r w:rsidR="00130189">
        <w:t xml:space="preserve"> </w:t>
      </w:r>
      <w:r w:rsidRPr="00130189" w:rsidR="00130189">
        <w:t>of which 6 of the patients (7.6%) proceeded to transplant within the first 6</w:t>
      </w:r>
      <w:r w:rsidR="00687882">
        <w:t> </w:t>
      </w:r>
      <w:r w:rsidRPr="00130189" w:rsidR="00130189">
        <w:t>months post</w:t>
      </w:r>
      <w:r w:rsidR="00687882">
        <w:noBreakHyphen/>
      </w:r>
      <w:r w:rsidRPr="00130189" w:rsidR="00130189">
        <w:t>infusion while in remission</w:t>
      </w:r>
      <w:r w:rsidRPr="00D442F1">
        <w:rPr>
          <w:szCs w:val="22"/>
        </w:rPr>
        <w:t>. Kymriah was administered in a qualified Kymriah treatment centre in an inpatient and outpatient setting.</w:t>
      </w:r>
    </w:p>
    <w:p w:rsidR="00591100" w:rsidRPr="00D442F1" w:rsidP="00166894" w14:paraId="5C5391E6" w14:textId="77777777">
      <w:pPr>
        <w:widowControl w:val="0"/>
        <w:tabs>
          <w:tab w:val="clear" w:pos="567"/>
        </w:tabs>
        <w:autoSpaceDE w:val="0"/>
        <w:autoSpaceDN w:val="0"/>
        <w:adjustRightInd w:val="0"/>
        <w:spacing w:line="240" w:lineRule="auto"/>
        <w:rPr>
          <w:szCs w:val="22"/>
        </w:rPr>
      </w:pPr>
    </w:p>
    <w:p w:rsidR="00A56659" w:rsidRPr="00D442F1" w:rsidP="00166894" w14:paraId="0CEE6187" w14:textId="77777777">
      <w:pPr>
        <w:keepNext/>
        <w:keepLines/>
        <w:widowControl w:val="0"/>
        <w:tabs>
          <w:tab w:val="clear" w:pos="567"/>
        </w:tabs>
        <w:autoSpaceDE w:val="0"/>
        <w:autoSpaceDN w:val="0"/>
        <w:adjustRightInd w:val="0"/>
        <w:spacing w:line="240" w:lineRule="auto"/>
        <w:ind w:left="1134" w:hanging="1134"/>
        <w:rPr>
          <w:b/>
          <w:szCs w:val="22"/>
        </w:rPr>
      </w:pPr>
      <w:r w:rsidRPr="00D442F1">
        <w:rPr>
          <w:b/>
          <w:szCs w:val="22"/>
        </w:rPr>
        <w:t>Table </w:t>
      </w:r>
      <w:r w:rsidRPr="00D442F1" w:rsidR="00F37A92">
        <w:rPr>
          <w:b/>
          <w:szCs w:val="22"/>
        </w:rPr>
        <w:t>4</w:t>
      </w:r>
      <w:r w:rsidRPr="00D442F1" w:rsidR="00817C1E">
        <w:rPr>
          <w:b/>
          <w:szCs w:val="22"/>
        </w:rPr>
        <w:tab/>
      </w:r>
      <w:r w:rsidRPr="00D442F1" w:rsidR="004E6307">
        <w:rPr>
          <w:b/>
          <w:szCs w:val="22"/>
        </w:rPr>
        <w:t xml:space="preserve">Study </w:t>
      </w:r>
      <w:r w:rsidRPr="00D442F1" w:rsidR="00817C1E">
        <w:rPr>
          <w:b/>
          <w:szCs w:val="22"/>
        </w:rPr>
        <w:t>B2202: Efficacy results in p</w:t>
      </w:r>
      <w:r w:rsidRPr="00D442F1" w:rsidR="002453D6">
        <w:rPr>
          <w:b/>
          <w:szCs w:val="22"/>
        </w:rPr>
        <w:t>a</w:t>
      </w:r>
      <w:r w:rsidRPr="00D442F1" w:rsidR="00817C1E">
        <w:rPr>
          <w:b/>
          <w:szCs w:val="22"/>
        </w:rPr>
        <w:t>ediatric and young adult patients with relapsed/refractory B</w:t>
      </w:r>
      <w:r w:rsidRPr="00D442F1" w:rsidR="00591100">
        <w:rPr>
          <w:b/>
          <w:szCs w:val="22"/>
        </w:rPr>
        <w:noBreakHyphen/>
      </w:r>
      <w:r w:rsidRPr="00D442F1" w:rsidR="00817C1E">
        <w:rPr>
          <w:b/>
          <w:szCs w:val="22"/>
        </w:rPr>
        <w:t xml:space="preserve">cell </w:t>
      </w:r>
      <w:r w:rsidRPr="00D442F1" w:rsidR="004370CD">
        <w:rPr>
          <w:b/>
          <w:szCs w:val="22"/>
        </w:rPr>
        <w:t>a</w:t>
      </w:r>
      <w:r w:rsidRPr="00D442F1" w:rsidR="00817C1E">
        <w:rPr>
          <w:b/>
          <w:szCs w:val="22"/>
        </w:rPr>
        <w:t xml:space="preserve">cute </w:t>
      </w:r>
      <w:r w:rsidRPr="00D442F1" w:rsidR="004370CD">
        <w:rPr>
          <w:b/>
          <w:szCs w:val="22"/>
        </w:rPr>
        <w:t>l</w:t>
      </w:r>
      <w:r w:rsidRPr="00D442F1" w:rsidR="00817C1E">
        <w:rPr>
          <w:b/>
          <w:szCs w:val="22"/>
        </w:rPr>
        <w:t xml:space="preserve">ymphoblastic </w:t>
      </w:r>
      <w:r w:rsidRPr="00D442F1" w:rsidR="004370CD">
        <w:rPr>
          <w:b/>
          <w:szCs w:val="22"/>
        </w:rPr>
        <w:t>l</w:t>
      </w:r>
      <w:r w:rsidRPr="00D442F1" w:rsidR="00817C1E">
        <w:rPr>
          <w:b/>
          <w:szCs w:val="22"/>
        </w:rPr>
        <w:t>euk</w:t>
      </w:r>
      <w:r w:rsidRPr="00D442F1" w:rsidR="00461FF8">
        <w:rPr>
          <w:b/>
          <w:szCs w:val="22"/>
        </w:rPr>
        <w:t>a</w:t>
      </w:r>
      <w:r w:rsidRPr="00D442F1" w:rsidR="00817C1E">
        <w:rPr>
          <w:b/>
          <w:szCs w:val="22"/>
        </w:rPr>
        <w:t>emia (ALL)</w:t>
      </w:r>
    </w:p>
    <w:p w:rsidR="00B9140E" w:rsidRPr="00D442F1" w:rsidP="00166894" w14:paraId="30203449" w14:textId="77777777">
      <w:pPr>
        <w:keepNext/>
        <w:keepLines/>
        <w:widowControl w:val="0"/>
        <w:tabs>
          <w:tab w:val="clear" w:pos="567"/>
        </w:tabs>
        <w:autoSpaceDE w:val="0"/>
        <w:autoSpaceDN w:val="0"/>
        <w:adjustRightInd w:val="0"/>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43"/>
        <w:gridCol w:w="2229"/>
        <w:gridCol w:w="1989"/>
      </w:tblGrid>
      <w:tr w14:paraId="5AE82A4E" w14:textId="77777777" w:rsidTr="0047511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Height w:val="258"/>
        </w:trPr>
        <w:tc>
          <w:tcPr>
            <w:tcW w:w="4983" w:type="dxa"/>
            <w:shd w:val="clear" w:color="auto" w:fill="auto"/>
            <w:vAlign w:val="center"/>
          </w:tcPr>
          <w:p w:rsidR="009B3318" w:rsidRPr="00D442F1" w:rsidP="00166894" w14:paraId="5E82AFDB" w14:textId="77777777">
            <w:pPr>
              <w:keepNext/>
              <w:keepLines/>
              <w:widowControl w:val="0"/>
              <w:tabs>
                <w:tab w:val="clear" w:pos="567"/>
              </w:tabs>
              <w:autoSpaceDE w:val="0"/>
              <w:autoSpaceDN w:val="0"/>
              <w:adjustRightInd w:val="0"/>
              <w:spacing w:line="240" w:lineRule="auto"/>
              <w:rPr>
                <w:b/>
                <w:szCs w:val="22"/>
              </w:rPr>
            </w:pPr>
            <w:r w:rsidRPr="00D442F1">
              <w:rPr>
                <w:b/>
                <w:szCs w:val="22"/>
              </w:rPr>
              <w:t>Primary endpoint</w:t>
            </w:r>
          </w:p>
        </w:tc>
        <w:tc>
          <w:tcPr>
            <w:tcW w:w="2277" w:type="dxa"/>
            <w:shd w:val="clear" w:color="auto" w:fill="auto"/>
            <w:vAlign w:val="center"/>
          </w:tcPr>
          <w:p w:rsidR="009B3318" w:rsidRPr="00D442F1" w:rsidP="00166894" w14:paraId="56A14E82" w14:textId="77777777">
            <w:pPr>
              <w:keepNext/>
              <w:keepLines/>
              <w:widowControl w:val="0"/>
              <w:tabs>
                <w:tab w:val="clear" w:pos="567"/>
              </w:tabs>
              <w:autoSpaceDE w:val="0"/>
              <w:autoSpaceDN w:val="0"/>
              <w:adjustRightInd w:val="0"/>
              <w:spacing w:line="240" w:lineRule="auto"/>
              <w:rPr>
                <w:b/>
                <w:szCs w:val="22"/>
              </w:rPr>
            </w:pPr>
            <w:r w:rsidRPr="00D442F1">
              <w:rPr>
                <w:b/>
                <w:szCs w:val="22"/>
              </w:rPr>
              <w:t xml:space="preserve">Enrolled </w:t>
            </w:r>
            <w:r w:rsidRPr="00D442F1">
              <w:rPr>
                <w:b/>
                <w:szCs w:val="22"/>
              </w:rPr>
              <w:t>patients</w:t>
            </w:r>
          </w:p>
          <w:p w:rsidR="009B3318" w:rsidRPr="00D442F1" w:rsidP="00F13702" w14:paraId="054DA4ED" w14:textId="29E07A01">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F13702">
              <w:rPr>
                <w:b/>
                <w:szCs w:val="22"/>
              </w:rPr>
              <w:t>97</w:t>
            </w:r>
          </w:p>
        </w:tc>
        <w:tc>
          <w:tcPr>
            <w:tcW w:w="2027" w:type="dxa"/>
          </w:tcPr>
          <w:p w:rsidR="009B3318" w:rsidRPr="00D442F1" w:rsidP="00166894" w14:paraId="0EBCC775" w14:textId="77777777">
            <w:pPr>
              <w:keepNext/>
              <w:keepLines/>
              <w:widowControl w:val="0"/>
              <w:tabs>
                <w:tab w:val="clear" w:pos="567"/>
              </w:tabs>
              <w:autoSpaceDE w:val="0"/>
              <w:autoSpaceDN w:val="0"/>
              <w:adjustRightInd w:val="0"/>
              <w:spacing w:line="240" w:lineRule="auto"/>
              <w:rPr>
                <w:b/>
                <w:szCs w:val="22"/>
              </w:rPr>
            </w:pPr>
            <w:r w:rsidRPr="00D442F1">
              <w:rPr>
                <w:b/>
                <w:szCs w:val="22"/>
              </w:rPr>
              <w:t xml:space="preserve">Infused </w:t>
            </w:r>
            <w:r w:rsidRPr="00D442F1">
              <w:rPr>
                <w:b/>
                <w:szCs w:val="22"/>
              </w:rPr>
              <w:t>patients</w:t>
            </w:r>
          </w:p>
          <w:p w:rsidR="009B3318" w:rsidRPr="00D442F1" w:rsidP="00F74C88" w14:paraId="7B3C7F2F" w14:textId="23B535CE">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F74C88">
              <w:rPr>
                <w:b/>
                <w:szCs w:val="22"/>
              </w:rPr>
              <w:t>79</w:t>
            </w:r>
          </w:p>
        </w:tc>
      </w:tr>
      <w:tr w14:paraId="35C8DBF2" w14:textId="77777777" w:rsidTr="0047511C">
        <w:tblPrEx>
          <w:tblW w:w="0" w:type="auto"/>
          <w:tblLook w:val="04A0"/>
        </w:tblPrEx>
        <w:trPr>
          <w:cantSplit/>
        </w:trPr>
        <w:tc>
          <w:tcPr>
            <w:tcW w:w="4983" w:type="dxa"/>
            <w:shd w:val="clear" w:color="auto" w:fill="auto"/>
          </w:tcPr>
          <w:p w:rsidR="009B3318" w:rsidRPr="00D442F1" w:rsidP="00166894" w14:paraId="17ABD279" w14:textId="77777777">
            <w:pPr>
              <w:pStyle w:val="Table"/>
              <w:keepNext/>
              <w:widowControl w:val="0"/>
              <w:spacing w:before="0" w:after="0"/>
              <w:rPr>
                <w:rFonts w:ascii="Times New Roman" w:eastAsia="Times New Roman" w:hAnsi="Times New Roman" w:cs="Times New Roman"/>
                <w:b/>
                <w:color w:val="000000"/>
                <w:sz w:val="22"/>
                <w:szCs w:val="22"/>
                <w:lang w:val="en-GB"/>
              </w:rPr>
            </w:pPr>
            <w:r w:rsidRPr="00D442F1">
              <w:rPr>
                <w:rFonts w:ascii="Times New Roman" w:eastAsia="Times New Roman" w:hAnsi="Times New Roman" w:cs="Times New Roman"/>
                <w:b/>
                <w:color w:val="000000"/>
                <w:sz w:val="22"/>
                <w:szCs w:val="22"/>
                <w:lang w:val="en-GB"/>
              </w:rPr>
              <w:t>Overall remission rate (ORR)</w:t>
            </w:r>
            <w:r w:rsidRPr="00D442F1">
              <w:rPr>
                <w:rFonts w:ascii="Times New Roman" w:eastAsia="Times New Roman" w:hAnsi="Times New Roman" w:cs="Times New Roman"/>
                <w:b/>
                <w:color w:val="000000"/>
                <w:sz w:val="22"/>
                <w:szCs w:val="22"/>
                <w:vertAlign w:val="superscript"/>
                <w:lang w:val="en-GB"/>
              </w:rPr>
              <w:t>1,2</w:t>
            </w:r>
            <w:r w:rsidRPr="00D442F1">
              <w:rPr>
                <w:rFonts w:ascii="Times New Roman" w:eastAsia="Times New Roman" w:hAnsi="Times New Roman" w:cs="Times New Roman"/>
                <w:b/>
                <w:color w:val="000000"/>
                <w:sz w:val="22"/>
                <w:szCs w:val="22"/>
                <w:lang w:val="en-GB"/>
              </w:rPr>
              <w:t>, n (%)</w:t>
            </w:r>
          </w:p>
          <w:p w:rsidR="009B3318" w:rsidRPr="00D442F1" w:rsidP="00166894" w14:paraId="35B62128" w14:textId="77777777">
            <w:pPr>
              <w:pStyle w:val="Table"/>
              <w:keepNext/>
              <w:widowControl w:val="0"/>
              <w:spacing w:before="0" w:after="0"/>
              <w:rPr>
                <w:rFonts w:ascii="Times New Roman" w:eastAsia="Times New Roman" w:hAnsi="Times New Roman" w:cs="Times New Roman"/>
                <w:color w:val="000000"/>
                <w:sz w:val="22"/>
                <w:szCs w:val="22"/>
                <w:lang w:val="en-GB"/>
              </w:rPr>
            </w:pPr>
            <w:r w:rsidRPr="00D442F1">
              <w:rPr>
                <w:rFonts w:ascii="Times New Roman" w:eastAsia="Times New Roman" w:hAnsi="Times New Roman" w:cs="Times New Roman"/>
                <w:sz w:val="22"/>
                <w:szCs w:val="22"/>
                <w:lang w:val="en-GB"/>
              </w:rPr>
              <w:t>95% CI</w:t>
            </w:r>
          </w:p>
        </w:tc>
        <w:tc>
          <w:tcPr>
            <w:tcW w:w="2277" w:type="dxa"/>
            <w:shd w:val="clear" w:color="auto" w:fill="auto"/>
          </w:tcPr>
          <w:p w:rsidR="00F37A92" w:rsidRPr="00D442F1" w:rsidP="00166894" w14:paraId="2722D406" w14:textId="536FB724">
            <w:pPr>
              <w:pStyle w:val="Table"/>
              <w:keepNext/>
              <w:widowControl w:val="0"/>
              <w:spacing w:before="0" w:after="0"/>
              <w:rPr>
                <w:rFonts w:ascii="Times New Roman" w:hAnsi="Times New Roman" w:cs="Times New Roman"/>
                <w:b/>
                <w:color w:val="000000"/>
                <w:sz w:val="22"/>
                <w:szCs w:val="22"/>
                <w:lang w:val="en-GB"/>
              </w:rPr>
            </w:pPr>
            <w:r w:rsidRPr="00D442F1">
              <w:rPr>
                <w:rFonts w:ascii="Times New Roman" w:hAnsi="Times New Roman" w:cs="Times New Roman"/>
                <w:b/>
                <w:color w:val="000000"/>
                <w:sz w:val="22"/>
                <w:szCs w:val="22"/>
                <w:lang w:val="en-GB"/>
              </w:rPr>
              <w:t xml:space="preserve">65 </w:t>
            </w:r>
            <w:r w:rsidRPr="00D442F1">
              <w:rPr>
                <w:rFonts w:ascii="Times New Roman" w:hAnsi="Times New Roman" w:cs="Times New Roman"/>
                <w:b/>
                <w:color w:val="000000"/>
                <w:sz w:val="22"/>
                <w:szCs w:val="22"/>
                <w:lang w:val="en-GB"/>
              </w:rPr>
              <w:t>(</w:t>
            </w:r>
            <w:r w:rsidRPr="00D442F1" w:rsidR="00CF63DA">
              <w:rPr>
                <w:rFonts w:ascii="Times New Roman" w:hAnsi="Times New Roman" w:cs="Times New Roman"/>
                <w:b/>
                <w:color w:val="000000"/>
                <w:sz w:val="22"/>
                <w:szCs w:val="22"/>
                <w:lang w:val="en-GB"/>
              </w:rPr>
              <w:t>67.0</w:t>
            </w:r>
            <w:r w:rsidRPr="00D442F1">
              <w:rPr>
                <w:rFonts w:ascii="Times New Roman" w:hAnsi="Times New Roman" w:cs="Times New Roman"/>
                <w:b/>
                <w:color w:val="000000"/>
                <w:sz w:val="22"/>
                <w:szCs w:val="22"/>
                <w:lang w:val="en-GB"/>
              </w:rPr>
              <w:t>)</w:t>
            </w:r>
          </w:p>
          <w:p w:rsidR="00F37A92" w:rsidRPr="00D442F1" w:rsidP="00166894" w14:paraId="7E2CB182" w14:textId="2BD63E0B">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(5</w:t>
            </w:r>
            <w:r w:rsidRPr="00D442F1" w:rsidR="00A34B39">
              <w:rPr>
                <w:rFonts w:ascii="Times New Roman" w:hAnsi="Times New Roman" w:cs="Times New Roman"/>
                <w:color w:val="000000"/>
                <w:sz w:val="22"/>
                <w:szCs w:val="22"/>
                <w:lang w:val="en-GB"/>
              </w:rPr>
              <w:t>6</w:t>
            </w:r>
            <w:r w:rsidRPr="00D442F1">
              <w:rPr>
                <w:rFonts w:ascii="Times New Roman" w:hAnsi="Times New Roman" w:cs="Times New Roman"/>
                <w:color w:val="000000"/>
                <w:sz w:val="22"/>
                <w:szCs w:val="22"/>
                <w:lang w:val="en-GB"/>
              </w:rPr>
              <w:t xml:space="preserve">.7, </w:t>
            </w:r>
            <w:r w:rsidRPr="00D442F1" w:rsidR="00A34B39">
              <w:rPr>
                <w:rFonts w:ascii="Times New Roman" w:hAnsi="Times New Roman" w:cs="Times New Roman"/>
                <w:color w:val="000000"/>
                <w:sz w:val="22"/>
                <w:szCs w:val="22"/>
                <w:lang w:val="en-GB"/>
              </w:rPr>
              <w:t>76.2</w:t>
            </w:r>
            <w:r w:rsidRPr="00D442F1">
              <w:rPr>
                <w:rFonts w:ascii="Times New Roman" w:hAnsi="Times New Roman" w:cs="Times New Roman"/>
                <w:color w:val="000000"/>
                <w:sz w:val="22"/>
                <w:szCs w:val="22"/>
                <w:lang w:val="en-GB"/>
              </w:rPr>
              <w:t>)</w:t>
            </w:r>
          </w:p>
          <w:p w:rsidR="009B3318" w:rsidRPr="00D442F1" w:rsidP="00166894" w14:paraId="13A2C56F" w14:textId="77777777">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p&lt;0.0001</w:t>
            </w:r>
          </w:p>
        </w:tc>
        <w:tc>
          <w:tcPr>
            <w:tcW w:w="2027" w:type="dxa"/>
          </w:tcPr>
          <w:p w:rsidR="00F37A92" w:rsidRPr="00D442F1" w:rsidP="00166894" w14:paraId="667CFAE1" w14:textId="6F3C34EE">
            <w:pPr>
              <w:pStyle w:val="Table"/>
              <w:keepNext/>
              <w:widowControl w:val="0"/>
              <w:spacing w:before="0" w:after="0"/>
              <w:rPr>
                <w:rFonts w:ascii="Times New Roman" w:hAnsi="Times New Roman" w:cs="Times New Roman"/>
                <w:b/>
                <w:color w:val="000000"/>
                <w:sz w:val="22"/>
                <w:szCs w:val="22"/>
                <w:lang w:val="en-GB"/>
              </w:rPr>
            </w:pPr>
            <w:r w:rsidRPr="00D442F1">
              <w:rPr>
                <w:rFonts w:ascii="Times New Roman" w:hAnsi="Times New Roman" w:cs="Times New Roman"/>
                <w:b/>
                <w:color w:val="000000"/>
                <w:sz w:val="22"/>
                <w:szCs w:val="22"/>
                <w:lang w:val="en-GB"/>
              </w:rPr>
              <w:t xml:space="preserve">65 </w:t>
            </w:r>
            <w:r w:rsidRPr="00D442F1">
              <w:rPr>
                <w:rFonts w:ascii="Times New Roman" w:hAnsi="Times New Roman" w:cs="Times New Roman"/>
                <w:b/>
                <w:color w:val="000000"/>
                <w:sz w:val="22"/>
                <w:szCs w:val="22"/>
                <w:lang w:val="en-GB"/>
              </w:rPr>
              <w:t>(8</w:t>
            </w:r>
            <w:r w:rsidRPr="00D442F1">
              <w:rPr>
                <w:rFonts w:ascii="Times New Roman" w:hAnsi="Times New Roman" w:cs="Times New Roman"/>
                <w:b/>
                <w:color w:val="000000"/>
                <w:sz w:val="22"/>
                <w:szCs w:val="22"/>
                <w:lang w:val="en-GB"/>
              </w:rPr>
              <w:t>2</w:t>
            </w:r>
            <w:r w:rsidRPr="00D442F1">
              <w:rPr>
                <w:rFonts w:ascii="Times New Roman" w:hAnsi="Times New Roman" w:cs="Times New Roman"/>
                <w:b/>
                <w:color w:val="000000"/>
                <w:sz w:val="22"/>
                <w:szCs w:val="22"/>
                <w:lang w:val="en-GB"/>
              </w:rPr>
              <w:t>.3)</w:t>
            </w:r>
          </w:p>
          <w:p w:rsidR="00F37A92" w:rsidRPr="00D442F1" w:rsidP="00166894" w14:paraId="63B1757C" w14:textId="4660480B">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w:t>
            </w:r>
            <w:r w:rsidRPr="00D442F1" w:rsidR="00F74C88">
              <w:rPr>
                <w:rFonts w:ascii="Times New Roman" w:hAnsi="Times New Roman" w:cs="Times New Roman"/>
                <w:color w:val="000000"/>
                <w:sz w:val="22"/>
                <w:szCs w:val="22"/>
                <w:lang w:val="en-GB"/>
              </w:rPr>
              <w:t>72.1</w:t>
            </w:r>
            <w:r w:rsidRPr="00D442F1">
              <w:rPr>
                <w:rFonts w:ascii="Times New Roman" w:hAnsi="Times New Roman" w:cs="Times New Roman"/>
                <w:color w:val="000000"/>
                <w:sz w:val="22"/>
                <w:szCs w:val="22"/>
                <w:lang w:val="en-GB"/>
              </w:rPr>
              <w:t xml:space="preserve">, </w:t>
            </w:r>
            <w:r w:rsidRPr="00D442F1" w:rsidR="00F74C88">
              <w:rPr>
                <w:rFonts w:ascii="Times New Roman" w:hAnsi="Times New Roman" w:cs="Times New Roman"/>
                <w:color w:val="000000"/>
                <w:sz w:val="22"/>
                <w:szCs w:val="22"/>
                <w:lang w:val="en-GB"/>
              </w:rPr>
              <w:t>90.0</w:t>
            </w:r>
            <w:r w:rsidRPr="00D442F1">
              <w:rPr>
                <w:rFonts w:ascii="Times New Roman" w:hAnsi="Times New Roman" w:cs="Times New Roman"/>
                <w:color w:val="000000"/>
                <w:sz w:val="22"/>
                <w:szCs w:val="22"/>
                <w:lang w:val="en-GB"/>
              </w:rPr>
              <w:t>)</w:t>
            </w:r>
          </w:p>
          <w:p w:rsidR="009B3318" w:rsidRPr="00D442F1" w:rsidP="00166894" w14:paraId="29F4F788" w14:textId="77777777">
            <w:pPr>
              <w:pStyle w:val="Table"/>
              <w:keepNext/>
              <w:widowControl w:val="0"/>
              <w:spacing w:before="0" w:after="0"/>
              <w:rPr>
                <w:rFonts w:ascii="Times New Roman" w:hAnsi="Times New Roman" w:cs="Times New Roman"/>
                <w:b/>
                <w:color w:val="000000"/>
                <w:sz w:val="22"/>
                <w:szCs w:val="22"/>
                <w:lang w:val="en-GB"/>
              </w:rPr>
            </w:pPr>
            <w:r w:rsidRPr="00D442F1">
              <w:rPr>
                <w:rFonts w:ascii="Times New Roman" w:hAnsi="Times New Roman" w:cs="Times New Roman"/>
                <w:color w:val="000000"/>
                <w:sz w:val="22"/>
                <w:szCs w:val="22"/>
                <w:lang w:val="en-GB"/>
              </w:rPr>
              <w:t>p&lt;0.0001</w:t>
            </w:r>
          </w:p>
        </w:tc>
      </w:tr>
      <w:tr w14:paraId="1D57265C" w14:textId="77777777" w:rsidTr="0047511C">
        <w:tblPrEx>
          <w:tblW w:w="0" w:type="auto"/>
          <w:tblLook w:val="04A0"/>
        </w:tblPrEx>
        <w:trPr>
          <w:cantSplit/>
        </w:trPr>
        <w:tc>
          <w:tcPr>
            <w:tcW w:w="4983" w:type="dxa"/>
            <w:shd w:val="clear" w:color="auto" w:fill="auto"/>
          </w:tcPr>
          <w:p w:rsidR="009B3318" w:rsidRPr="00D442F1" w:rsidP="00166894" w14:paraId="75AAADF3" w14:textId="77777777">
            <w:pPr>
              <w:pStyle w:val="Table"/>
              <w:keepNext/>
              <w:widowControl w:val="0"/>
              <w:spacing w:before="0" w:after="0"/>
              <w:rPr>
                <w:rFonts w:ascii="Times New Roman" w:eastAsia="Times New Roman" w:hAnsi="Times New Roman" w:cs="Times New Roman"/>
                <w:sz w:val="22"/>
                <w:szCs w:val="22"/>
                <w:lang w:val="en-GB"/>
              </w:rPr>
            </w:pPr>
            <w:r w:rsidRPr="00D442F1">
              <w:rPr>
                <w:rFonts w:ascii="Times New Roman" w:eastAsia="Times New Roman" w:hAnsi="Times New Roman" w:cs="Times New Roman"/>
                <w:sz w:val="22"/>
                <w:szCs w:val="22"/>
                <w:lang w:val="en-GB"/>
              </w:rPr>
              <w:tab/>
              <w:t>CR</w:t>
            </w:r>
            <w:r w:rsidRPr="00D442F1">
              <w:rPr>
                <w:rFonts w:ascii="Times New Roman" w:eastAsia="Times New Roman" w:hAnsi="Times New Roman" w:cs="Times New Roman"/>
                <w:sz w:val="22"/>
                <w:szCs w:val="22"/>
                <w:vertAlign w:val="superscript"/>
                <w:lang w:val="en-GB"/>
              </w:rPr>
              <w:t>3</w:t>
            </w:r>
            <w:r w:rsidRPr="00D442F1">
              <w:rPr>
                <w:rFonts w:ascii="Times New Roman" w:eastAsia="Times New Roman" w:hAnsi="Times New Roman" w:cs="Times New Roman"/>
                <w:sz w:val="22"/>
                <w:szCs w:val="22"/>
                <w:lang w:val="en-GB"/>
              </w:rPr>
              <w:t>, n (%)</w:t>
            </w:r>
          </w:p>
        </w:tc>
        <w:tc>
          <w:tcPr>
            <w:tcW w:w="2277" w:type="dxa"/>
            <w:shd w:val="clear" w:color="auto" w:fill="auto"/>
          </w:tcPr>
          <w:p w:rsidR="009B3318" w:rsidRPr="00D442F1" w:rsidP="00CF63DA" w14:paraId="2FE037B8" w14:textId="2619C242">
            <w:pPr>
              <w:pStyle w:val="Table"/>
              <w:keepNext/>
              <w:widowControl w:val="0"/>
              <w:spacing w:before="0" w:after="0"/>
              <w:rPr>
                <w:rFonts w:ascii="Times New Roman" w:hAnsi="Times New Roman" w:cs="Times New Roman"/>
                <w:sz w:val="22"/>
                <w:szCs w:val="22"/>
                <w:lang w:val="en-GB"/>
              </w:rPr>
            </w:pPr>
            <w:r w:rsidRPr="00D442F1">
              <w:rPr>
                <w:rFonts w:ascii="Times New Roman" w:hAnsi="Times New Roman" w:cs="Times New Roman"/>
                <w:color w:val="000000"/>
                <w:sz w:val="22"/>
                <w:szCs w:val="22"/>
                <w:lang w:val="en-GB"/>
              </w:rPr>
              <w:t xml:space="preserve">49 </w:t>
            </w:r>
            <w:r w:rsidRPr="00D442F1" w:rsidR="00F37A92">
              <w:rPr>
                <w:rFonts w:ascii="Times New Roman" w:hAnsi="Times New Roman" w:cs="Times New Roman"/>
                <w:color w:val="000000"/>
                <w:sz w:val="22"/>
                <w:szCs w:val="22"/>
                <w:lang w:val="en-GB"/>
              </w:rPr>
              <w:t>(</w:t>
            </w:r>
            <w:r w:rsidRPr="00D442F1" w:rsidR="00CF63DA">
              <w:rPr>
                <w:rFonts w:ascii="Times New Roman" w:hAnsi="Times New Roman" w:cs="Times New Roman"/>
                <w:color w:val="000000"/>
                <w:sz w:val="22"/>
                <w:szCs w:val="22"/>
                <w:lang w:val="en-GB"/>
              </w:rPr>
              <w:t>50.5</w:t>
            </w:r>
            <w:r w:rsidRPr="00D442F1" w:rsidR="00F37A92">
              <w:rPr>
                <w:rFonts w:ascii="Times New Roman" w:hAnsi="Times New Roman" w:cs="Times New Roman"/>
                <w:color w:val="000000"/>
                <w:sz w:val="22"/>
                <w:szCs w:val="22"/>
                <w:lang w:val="en-GB"/>
              </w:rPr>
              <w:t>)</w:t>
            </w:r>
          </w:p>
        </w:tc>
        <w:tc>
          <w:tcPr>
            <w:tcW w:w="2027" w:type="dxa"/>
          </w:tcPr>
          <w:p w:rsidR="009B3318" w:rsidRPr="00D442F1" w:rsidP="00F74C88" w14:paraId="47C64BCF" w14:textId="7E4F25D6">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4</w:t>
            </w:r>
            <w:r w:rsidRPr="00D442F1" w:rsidR="00F74C88">
              <w:rPr>
                <w:rFonts w:ascii="Times New Roman" w:hAnsi="Times New Roman" w:cs="Times New Roman"/>
                <w:color w:val="000000"/>
                <w:sz w:val="22"/>
                <w:szCs w:val="22"/>
                <w:lang w:val="en-GB"/>
              </w:rPr>
              <w:t>9</w:t>
            </w:r>
            <w:r w:rsidRPr="00D442F1">
              <w:rPr>
                <w:rFonts w:ascii="Times New Roman" w:hAnsi="Times New Roman" w:cs="Times New Roman"/>
                <w:color w:val="000000"/>
                <w:sz w:val="22"/>
                <w:szCs w:val="22"/>
                <w:lang w:val="en-GB"/>
              </w:rPr>
              <w:t xml:space="preserve"> (6</w:t>
            </w:r>
            <w:r w:rsidRPr="00D442F1" w:rsidR="00F74C88">
              <w:rPr>
                <w:rFonts w:ascii="Times New Roman" w:hAnsi="Times New Roman" w:cs="Times New Roman"/>
                <w:color w:val="000000"/>
                <w:sz w:val="22"/>
                <w:szCs w:val="22"/>
                <w:lang w:val="en-GB"/>
              </w:rPr>
              <w:t>2</w:t>
            </w:r>
            <w:r w:rsidRPr="00D442F1">
              <w:rPr>
                <w:rFonts w:ascii="Times New Roman" w:hAnsi="Times New Roman" w:cs="Times New Roman"/>
                <w:color w:val="000000"/>
                <w:sz w:val="22"/>
                <w:szCs w:val="22"/>
                <w:lang w:val="en-GB"/>
              </w:rPr>
              <w:t>.0)</w:t>
            </w:r>
          </w:p>
        </w:tc>
      </w:tr>
      <w:tr w14:paraId="37873CD2" w14:textId="77777777" w:rsidTr="0047511C">
        <w:tblPrEx>
          <w:tblW w:w="0" w:type="auto"/>
          <w:tblLook w:val="04A0"/>
        </w:tblPrEx>
        <w:trPr>
          <w:cantSplit/>
        </w:trPr>
        <w:tc>
          <w:tcPr>
            <w:tcW w:w="4983" w:type="dxa"/>
            <w:shd w:val="clear" w:color="auto" w:fill="auto"/>
          </w:tcPr>
          <w:p w:rsidR="009B3318" w:rsidRPr="00D442F1" w:rsidP="00166894" w14:paraId="336748F3" w14:textId="77777777">
            <w:pPr>
              <w:pStyle w:val="Table"/>
              <w:keepNext/>
              <w:widowControl w:val="0"/>
              <w:spacing w:before="0" w:after="0"/>
              <w:rPr>
                <w:rFonts w:ascii="Times New Roman" w:eastAsia="Times New Roman" w:hAnsi="Times New Roman" w:cs="Times New Roman"/>
                <w:sz w:val="22"/>
                <w:szCs w:val="22"/>
                <w:lang w:val="en-GB"/>
              </w:rPr>
            </w:pPr>
            <w:r w:rsidRPr="00D442F1">
              <w:rPr>
                <w:rFonts w:ascii="Times New Roman" w:eastAsia="Times New Roman" w:hAnsi="Times New Roman" w:cs="Times New Roman"/>
                <w:sz w:val="22"/>
                <w:szCs w:val="22"/>
                <w:lang w:val="en-GB"/>
              </w:rPr>
              <w:tab/>
              <w:t>CRi</w:t>
            </w:r>
            <w:r w:rsidRPr="00D442F1">
              <w:rPr>
                <w:rFonts w:ascii="Times New Roman" w:eastAsia="Times New Roman" w:hAnsi="Times New Roman" w:cs="Times New Roman"/>
                <w:sz w:val="22"/>
                <w:szCs w:val="22"/>
                <w:vertAlign w:val="superscript"/>
                <w:lang w:val="en-GB"/>
              </w:rPr>
              <w:t>4</w:t>
            </w:r>
            <w:r w:rsidRPr="00D442F1">
              <w:rPr>
                <w:rFonts w:ascii="Times New Roman" w:eastAsia="Times New Roman" w:hAnsi="Times New Roman" w:cs="Times New Roman"/>
                <w:sz w:val="22"/>
                <w:szCs w:val="22"/>
                <w:lang w:val="en-GB"/>
              </w:rPr>
              <w:t>, n (%)</w:t>
            </w:r>
          </w:p>
        </w:tc>
        <w:tc>
          <w:tcPr>
            <w:tcW w:w="2277" w:type="dxa"/>
            <w:shd w:val="clear" w:color="auto" w:fill="auto"/>
          </w:tcPr>
          <w:p w:rsidR="009B3318" w:rsidRPr="00D442F1" w:rsidP="00CF63DA" w14:paraId="1C666E97" w14:textId="60910F67">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16 (</w:t>
            </w:r>
            <w:r w:rsidRPr="00D442F1" w:rsidR="00CF63DA">
              <w:rPr>
                <w:rFonts w:ascii="Times New Roman" w:hAnsi="Times New Roman" w:cs="Times New Roman"/>
                <w:color w:val="000000"/>
                <w:sz w:val="22"/>
                <w:szCs w:val="22"/>
                <w:lang w:val="en-GB"/>
              </w:rPr>
              <w:t>16</w:t>
            </w:r>
            <w:r w:rsidRPr="00D442F1" w:rsidR="00F45C9E">
              <w:rPr>
                <w:rFonts w:ascii="Times New Roman" w:hAnsi="Times New Roman" w:cs="Times New Roman"/>
                <w:color w:val="000000"/>
                <w:sz w:val="22"/>
                <w:szCs w:val="22"/>
                <w:lang w:val="en-GB"/>
              </w:rPr>
              <w:t>.</w:t>
            </w:r>
            <w:r w:rsidRPr="00D442F1" w:rsidR="00CF63DA">
              <w:rPr>
                <w:rFonts w:ascii="Times New Roman" w:hAnsi="Times New Roman" w:cs="Times New Roman"/>
                <w:color w:val="000000"/>
                <w:sz w:val="22"/>
                <w:szCs w:val="22"/>
                <w:lang w:val="en-GB"/>
              </w:rPr>
              <w:t>5</w:t>
            </w:r>
            <w:r w:rsidRPr="00D442F1">
              <w:rPr>
                <w:rFonts w:ascii="Times New Roman" w:hAnsi="Times New Roman" w:cs="Times New Roman"/>
                <w:color w:val="000000"/>
                <w:sz w:val="22"/>
                <w:szCs w:val="22"/>
                <w:lang w:val="en-GB"/>
              </w:rPr>
              <w:t>)</w:t>
            </w:r>
          </w:p>
        </w:tc>
        <w:tc>
          <w:tcPr>
            <w:tcW w:w="2027" w:type="dxa"/>
          </w:tcPr>
          <w:p w:rsidR="009B3318" w:rsidRPr="00D442F1" w:rsidP="00F74C88" w14:paraId="20AD684E" w14:textId="3808BA89">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16 (</w:t>
            </w:r>
            <w:r w:rsidRPr="00D442F1" w:rsidR="00F74C88">
              <w:rPr>
                <w:rFonts w:ascii="Times New Roman" w:hAnsi="Times New Roman" w:cs="Times New Roman"/>
                <w:color w:val="000000"/>
                <w:sz w:val="22"/>
                <w:szCs w:val="22"/>
                <w:lang w:val="en-GB"/>
              </w:rPr>
              <w:t>20</w:t>
            </w:r>
            <w:r w:rsidRPr="00D442F1">
              <w:rPr>
                <w:rFonts w:ascii="Times New Roman" w:hAnsi="Times New Roman" w:cs="Times New Roman"/>
                <w:color w:val="000000"/>
                <w:sz w:val="22"/>
                <w:szCs w:val="22"/>
                <w:lang w:val="en-GB"/>
              </w:rPr>
              <w:t>.3)</w:t>
            </w:r>
          </w:p>
        </w:tc>
      </w:tr>
      <w:tr w14:paraId="1AEEBC46" w14:textId="77777777" w:rsidTr="0047511C">
        <w:tblPrEx>
          <w:tblW w:w="0" w:type="auto"/>
          <w:tblLook w:val="04A0"/>
        </w:tblPrEx>
        <w:trPr>
          <w:cantSplit/>
        </w:trPr>
        <w:tc>
          <w:tcPr>
            <w:tcW w:w="4983" w:type="dxa"/>
            <w:shd w:val="clear" w:color="auto" w:fill="auto"/>
          </w:tcPr>
          <w:p w:rsidR="009B3318" w:rsidRPr="00D442F1" w:rsidP="00166894" w14:paraId="5A351EE0" w14:textId="77777777">
            <w:pPr>
              <w:keepNext/>
              <w:keepLines/>
              <w:widowControl w:val="0"/>
              <w:tabs>
                <w:tab w:val="clear" w:pos="567"/>
              </w:tabs>
              <w:autoSpaceDE w:val="0"/>
              <w:autoSpaceDN w:val="0"/>
              <w:adjustRightInd w:val="0"/>
              <w:spacing w:line="240" w:lineRule="auto"/>
              <w:rPr>
                <w:b/>
                <w:szCs w:val="22"/>
              </w:rPr>
            </w:pPr>
            <w:r w:rsidRPr="00D442F1">
              <w:rPr>
                <w:b/>
                <w:szCs w:val="22"/>
              </w:rPr>
              <w:t>Key secondary endpoint</w:t>
            </w:r>
          </w:p>
        </w:tc>
        <w:tc>
          <w:tcPr>
            <w:tcW w:w="2277" w:type="dxa"/>
            <w:shd w:val="clear" w:color="auto" w:fill="auto"/>
          </w:tcPr>
          <w:p w:rsidR="009B3318" w:rsidRPr="00D442F1" w:rsidP="00EA1FF1" w14:paraId="42EE685E" w14:textId="41E8E4A0">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EA1FF1">
              <w:rPr>
                <w:b/>
                <w:szCs w:val="22"/>
              </w:rPr>
              <w:t>97</w:t>
            </w:r>
          </w:p>
        </w:tc>
        <w:tc>
          <w:tcPr>
            <w:tcW w:w="2027" w:type="dxa"/>
          </w:tcPr>
          <w:p w:rsidR="009B3318" w:rsidRPr="00D442F1" w:rsidP="00F74C88" w14:paraId="4F26B4B1" w14:textId="1E979336">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F74C88">
              <w:rPr>
                <w:b/>
                <w:szCs w:val="22"/>
              </w:rPr>
              <w:t>79</w:t>
            </w:r>
          </w:p>
        </w:tc>
      </w:tr>
      <w:tr w14:paraId="73DAEC89" w14:textId="77777777" w:rsidTr="0047511C">
        <w:tblPrEx>
          <w:tblW w:w="0" w:type="auto"/>
          <w:tblLook w:val="04A0"/>
        </w:tblPrEx>
        <w:trPr>
          <w:cantSplit/>
        </w:trPr>
        <w:tc>
          <w:tcPr>
            <w:tcW w:w="4983" w:type="dxa"/>
            <w:shd w:val="clear" w:color="auto" w:fill="auto"/>
          </w:tcPr>
          <w:p w:rsidR="009B3318" w:rsidRPr="00D442F1" w:rsidP="00166894" w14:paraId="53B99854" w14:textId="77777777">
            <w:pPr>
              <w:pStyle w:val="Table"/>
              <w:keepNext/>
              <w:widowControl w:val="0"/>
              <w:spacing w:before="0" w:after="0"/>
              <w:rPr>
                <w:rFonts w:ascii="Times New Roman" w:eastAsia="Times New Roman" w:hAnsi="Times New Roman" w:cs="Times New Roman"/>
                <w:color w:val="000000"/>
                <w:sz w:val="22"/>
                <w:szCs w:val="22"/>
                <w:lang w:val="en-GB" w:eastAsia="en-US"/>
              </w:rPr>
            </w:pPr>
            <w:r w:rsidRPr="00D442F1">
              <w:rPr>
                <w:rFonts w:ascii="Times New Roman" w:eastAsia="Times New Roman" w:hAnsi="Times New Roman" w:cs="Times New Roman"/>
                <w:color w:val="000000"/>
                <w:sz w:val="22"/>
                <w:szCs w:val="22"/>
                <w:lang w:val="en-GB" w:eastAsia="en-US"/>
              </w:rPr>
              <w:t>CR or CRi with MRD negative bone marrow</w:t>
            </w:r>
            <w:r w:rsidRPr="00D442F1">
              <w:rPr>
                <w:rFonts w:ascii="Times New Roman" w:eastAsia="Times New Roman" w:hAnsi="Times New Roman" w:cs="Times New Roman"/>
                <w:color w:val="000000"/>
                <w:sz w:val="22"/>
                <w:szCs w:val="22"/>
                <w:vertAlign w:val="superscript"/>
                <w:lang w:val="en-GB" w:eastAsia="en-US"/>
              </w:rPr>
              <w:t>5,6</w:t>
            </w:r>
            <w:r w:rsidRPr="00D442F1">
              <w:rPr>
                <w:rFonts w:ascii="Times New Roman" w:eastAsia="Times New Roman" w:hAnsi="Times New Roman" w:cs="Times New Roman"/>
                <w:color w:val="000000"/>
                <w:sz w:val="22"/>
                <w:szCs w:val="22"/>
                <w:lang w:val="en-GB" w:eastAsia="en-US"/>
              </w:rPr>
              <w:t>, n (%)</w:t>
            </w:r>
          </w:p>
          <w:p w:rsidR="009B3318" w:rsidRPr="00D442F1" w:rsidP="00166894" w14:paraId="1215B29F" w14:textId="77777777">
            <w:pPr>
              <w:keepNext/>
              <w:keepLines/>
              <w:widowControl w:val="0"/>
              <w:tabs>
                <w:tab w:val="clear" w:pos="567"/>
              </w:tabs>
              <w:autoSpaceDE w:val="0"/>
              <w:autoSpaceDN w:val="0"/>
              <w:adjustRightInd w:val="0"/>
              <w:spacing w:line="240" w:lineRule="auto"/>
              <w:rPr>
                <w:szCs w:val="22"/>
              </w:rPr>
            </w:pPr>
            <w:r w:rsidRPr="00D442F1">
              <w:rPr>
                <w:color w:val="000000"/>
                <w:szCs w:val="22"/>
              </w:rPr>
              <w:t>95% CI</w:t>
            </w:r>
          </w:p>
        </w:tc>
        <w:tc>
          <w:tcPr>
            <w:tcW w:w="2277" w:type="dxa"/>
            <w:shd w:val="clear" w:color="auto" w:fill="auto"/>
          </w:tcPr>
          <w:p w:rsidR="00F37A92" w:rsidRPr="00D442F1" w:rsidP="00166894" w14:paraId="65724B03" w14:textId="24013519">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6</w:t>
            </w:r>
            <w:r w:rsidRPr="00D442F1" w:rsidR="00CF63DA">
              <w:rPr>
                <w:rFonts w:ascii="Times New Roman" w:hAnsi="Times New Roman" w:cs="Times New Roman"/>
                <w:color w:val="000000"/>
                <w:sz w:val="22"/>
                <w:szCs w:val="22"/>
                <w:lang w:val="en-GB"/>
              </w:rPr>
              <w:t>4</w:t>
            </w:r>
            <w:r w:rsidRPr="00D442F1">
              <w:rPr>
                <w:rFonts w:ascii="Times New Roman" w:hAnsi="Times New Roman" w:cs="Times New Roman"/>
                <w:color w:val="000000"/>
                <w:sz w:val="22"/>
                <w:szCs w:val="22"/>
                <w:lang w:val="en-GB"/>
              </w:rPr>
              <w:t xml:space="preserve"> </w:t>
            </w:r>
            <w:r w:rsidRPr="00D442F1">
              <w:rPr>
                <w:rFonts w:ascii="Times New Roman" w:hAnsi="Times New Roman" w:cs="Times New Roman"/>
                <w:color w:val="000000"/>
                <w:sz w:val="22"/>
                <w:szCs w:val="22"/>
                <w:lang w:val="en-GB"/>
              </w:rPr>
              <w:t>(</w:t>
            </w:r>
            <w:r w:rsidRPr="00D442F1" w:rsidR="00CF63DA">
              <w:rPr>
                <w:rFonts w:ascii="Times New Roman" w:hAnsi="Times New Roman" w:cs="Times New Roman"/>
                <w:color w:val="000000"/>
                <w:sz w:val="22"/>
                <w:szCs w:val="22"/>
                <w:lang w:val="en-GB"/>
              </w:rPr>
              <w:t>66.0</w:t>
            </w:r>
            <w:r w:rsidRPr="00D442F1">
              <w:rPr>
                <w:rFonts w:ascii="Times New Roman" w:hAnsi="Times New Roman" w:cs="Times New Roman"/>
                <w:color w:val="000000"/>
                <w:sz w:val="22"/>
                <w:szCs w:val="22"/>
                <w:lang w:val="en-GB"/>
              </w:rPr>
              <w:t>)</w:t>
            </w:r>
          </w:p>
          <w:p w:rsidR="00F37A92" w:rsidRPr="00D442F1" w:rsidP="00166894" w14:paraId="6CB49657" w14:textId="5D5EB342">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(55.7, 75.</w:t>
            </w:r>
            <w:r w:rsidRPr="00D442F1" w:rsidR="00A34B39">
              <w:rPr>
                <w:rFonts w:ascii="Times New Roman" w:hAnsi="Times New Roman" w:cs="Times New Roman"/>
                <w:color w:val="000000"/>
                <w:sz w:val="22"/>
                <w:szCs w:val="22"/>
                <w:lang w:val="en-GB"/>
              </w:rPr>
              <w:t>3</w:t>
            </w:r>
            <w:r w:rsidRPr="00D442F1">
              <w:rPr>
                <w:rFonts w:ascii="Times New Roman" w:hAnsi="Times New Roman" w:cs="Times New Roman"/>
                <w:color w:val="000000"/>
                <w:sz w:val="22"/>
                <w:szCs w:val="22"/>
                <w:lang w:val="en-GB"/>
              </w:rPr>
              <w:t>)</w:t>
            </w:r>
          </w:p>
          <w:p w:rsidR="009B3318" w:rsidRPr="00D442F1" w:rsidP="00166894" w14:paraId="66F88928" w14:textId="77777777">
            <w:pPr>
              <w:keepNext/>
              <w:keepLines/>
              <w:widowControl w:val="0"/>
              <w:tabs>
                <w:tab w:val="clear" w:pos="567"/>
              </w:tabs>
              <w:autoSpaceDE w:val="0"/>
              <w:autoSpaceDN w:val="0"/>
              <w:adjustRightInd w:val="0"/>
              <w:spacing w:line="240" w:lineRule="auto"/>
              <w:rPr>
                <w:szCs w:val="22"/>
              </w:rPr>
            </w:pPr>
            <w:r w:rsidRPr="00D442F1">
              <w:rPr>
                <w:color w:val="000000"/>
                <w:szCs w:val="22"/>
              </w:rPr>
              <w:t>p&lt;0.0001</w:t>
            </w:r>
          </w:p>
        </w:tc>
        <w:tc>
          <w:tcPr>
            <w:tcW w:w="2027" w:type="dxa"/>
          </w:tcPr>
          <w:p w:rsidR="00F37A92" w:rsidRPr="00D442F1" w:rsidP="00166894" w14:paraId="67B29F9E" w14:textId="19577397">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 xml:space="preserve">64 </w:t>
            </w:r>
            <w:r w:rsidRPr="00D442F1">
              <w:rPr>
                <w:rFonts w:ascii="Times New Roman" w:hAnsi="Times New Roman" w:cs="Times New Roman"/>
                <w:color w:val="000000"/>
                <w:sz w:val="22"/>
                <w:szCs w:val="22"/>
                <w:lang w:val="en-GB"/>
              </w:rPr>
              <w:t>(81.</w:t>
            </w:r>
            <w:r w:rsidRPr="00D442F1">
              <w:rPr>
                <w:rFonts w:ascii="Times New Roman" w:hAnsi="Times New Roman" w:cs="Times New Roman"/>
                <w:color w:val="000000"/>
                <w:sz w:val="22"/>
                <w:szCs w:val="22"/>
                <w:lang w:val="en-GB"/>
              </w:rPr>
              <w:t>0</w:t>
            </w:r>
            <w:r w:rsidRPr="00D442F1">
              <w:rPr>
                <w:rFonts w:ascii="Times New Roman" w:hAnsi="Times New Roman" w:cs="Times New Roman"/>
                <w:color w:val="000000"/>
                <w:sz w:val="22"/>
                <w:szCs w:val="22"/>
                <w:lang w:val="en-GB"/>
              </w:rPr>
              <w:t>)</w:t>
            </w:r>
          </w:p>
          <w:p w:rsidR="00F37A92" w:rsidRPr="00D442F1" w:rsidP="00166894" w14:paraId="4AA2534E" w14:textId="7BC011F7">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(70.</w:t>
            </w:r>
            <w:r w:rsidRPr="00D442F1" w:rsidR="00F74C88">
              <w:rPr>
                <w:rFonts w:ascii="Times New Roman" w:hAnsi="Times New Roman" w:cs="Times New Roman"/>
                <w:color w:val="000000"/>
                <w:sz w:val="22"/>
                <w:szCs w:val="22"/>
                <w:lang w:val="en-GB"/>
              </w:rPr>
              <w:t>6</w:t>
            </w:r>
            <w:r w:rsidRPr="00D442F1">
              <w:rPr>
                <w:rFonts w:ascii="Times New Roman" w:hAnsi="Times New Roman" w:cs="Times New Roman"/>
                <w:color w:val="000000"/>
                <w:sz w:val="22"/>
                <w:szCs w:val="22"/>
                <w:lang w:val="en-GB"/>
              </w:rPr>
              <w:t>, 89.</w:t>
            </w:r>
            <w:r w:rsidRPr="00D442F1" w:rsidR="00F74C88">
              <w:rPr>
                <w:rFonts w:ascii="Times New Roman" w:hAnsi="Times New Roman" w:cs="Times New Roman"/>
                <w:color w:val="000000"/>
                <w:sz w:val="22"/>
                <w:szCs w:val="22"/>
                <w:lang w:val="en-GB"/>
              </w:rPr>
              <w:t>0</w:t>
            </w:r>
            <w:r w:rsidRPr="00D442F1">
              <w:rPr>
                <w:rFonts w:ascii="Times New Roman" w:hAnsi="Times New Roman" w:cs="Times New Roman"/>
                <w:color w:val="000000"/>
                <w:sz w:val="22"/>
                <w:szCs w:val="22"/>
                <w:lang w:val="en-GB"/>
              </w:rPr>
              <w:t>)</w:t>
            </w:r>
          </w:p>
          <w:p w:rsidR="009B3318" w:rsidRPr="00D442F1" w:rsidP="00166894" w14:paraId="5062A82F" w14:textId="77777777">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rPr>
              <w:t>p&lt;0.0001</w:t>
            </w:r>
          </w:p>
        </w:tc>
      </w:tr>
      <w:tr w14:paraId="1AC414C9" w14:textId="77777777" w:rsidTr="0047511C">
        <w:tblPrEx>
          <w:tblW w:w="0" w:type="auto"/>
          <w:tblLook w:val="04A0"/>
        </w:tblPrEx>
        <w:trPr>
          <w:cantSplit/>
        </w:trPr>
        <w:tc>
          <w:tcPr>
            <w:tcW w:w="4983" w:type="dxa"/>
            <w:shd w:val="clear" w:color="auto" w:fill="auto"/>
          </w:tcPr>
          <w:p w:rsidR="00F37A92" w:rsidRPr="00D442F1" w:rsidP="00166894" w14:paraId="30B13F54" w14:textId="77777777">
            <w:pPr>
              <w:pStyle w:val="Table"/>
              <w:keepNext/>
              <w:widowControl w:val="0"/>
              <w:spacing w:before="0" w:after="0"/>
              <w:rPr>
                <w:rFonts w:ascii="Times New Roman" w:eastAsia="Times New Roman" w:hAnsi="Times New Roman" w:cs="Times New Roman"/>
                <w:color w:val="000000"/>
                <w:sz w:val="22"/>
                <w:szCs w:val="22"/>
                <w:lang w:val="en-GB" w:eastAsia="en-US"/>
              </w:rPr>
            </w:pPr>
            <w:r w:rsidRPr="00D442F1">
              <w:rPr>
                <w:rFonts w:ascii="Times New Roman" w:hAnsi="Times New Roman" w:cs="Times New Roman"/>
                <w:b/>
                <w:bCs/>
                <w:sz w:val="22"/>
                <w:szCs w:val="22"/>
              </w:rPr>
              <w:t>Duration of remission (DOR)</w:t>
            </w:r>
            <w:r w:rsidRPr="00D442F1">
              <w:rPr>
                <w:rFonts w:ascii="Times New Roman" w:hAnsi="Times New Roman" w:cs="Times New Roman"/>
                <w:bCs/>
                <w:sz w:val="22"/>
                <w:szCs w:val="22"/>
                <w:vertAlign w:val="superscript"/>
              </w:rPr>
              <w:t>7</w:t>
            </w:r>
          </w:p>
        </w:tc>
        <w:tc>
          <w:tcPr>
            <w:tcW w:w="2277" w:type="dxa"/>
            <w:shd w:val="clear" w:color="auto" w:fill="auto"/>
          </w:tcPr>
          <w:p w:rsidR="00F37A92" w:rsidRPr="00D442F1" w:rsidP="00EA1FF1" w14:paraId="1AD74139" w14:textId="127E28C5">
            <w:pPr>
              <w:pStyle w:val="Table"/>
              <w:keepNext/>
              <w:widowControl w:val="0"/>
              <w:spacing w:before="0" w:after="0"/>
              <w:rPr>
                <w:rFonts w:ascii="Times New Roman" w:hAnsi="Times New Roman" w:cs="Times New Roman"/>
                <w:b/>
                <w:color w:val="000000"/>
                <w:sz w:val="22"/>
                <w:szCs w:val="22"/>
                <w:lang w:val="en-GB"/>
              </w:rPr>
            </w:pPr>
            <w:r w:rsidRPr="00D442F1">
              <w:rPr>
                <w:rFonts w:ascii="Times New Roman" w:hAnsi="Times New Roman" w:cs="Times New Roman"/>
                <w:b/>
                <w:color w:val="000000"/>
                <w:sz w:val="22"/>
                <w:szCs w:val="22"/>
                <w:lang w:val="en-GB"/>
              </w:rPr>
              <w:t>N=</w:t>
            </w:r>
            <w:r w:rsidRPr="00D442F1" w:rsidR="00EA1FF1">
              <w:rPr>
                <w:rFonts w:ascii="Times New Roman" w:hAnsi="Times New Roman" w:cs="Times New Roman"/>
                <w:b/>
                <w:color w:val="000000"/>
                <w:sz w:val="22"/>
                <w:szCs w:val="22"/>
                <w:lang w:val="en-GB"/>
              </w:rPr>
              <w:t>65</w:t>
            </w:r>
          </w:p>
        </w:tc>
        <w:tc>
          <w:tcPr>
            <w:tcW w:w="2027" w:type="dxa"/>
          </w:tcPr>
          <w:p w:rsidR="00F37A92" w:rsidRPr="00D442F1" w:rsidP="00F74C88" w14:paraId="4EEDFB07" w14:textId="0CEEC0BF">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b/>
                <w:color w:val="000000"/>
                <w:sz w:val="22"/>
                <w:szCs w:val="22"/>
                <w:lang w:val="en-GB"/>
              </w:rPr>
              <w:t>N=</w:t>
            </w:r>
            <w:r w:rsidRPr="00D442F1" w:rsidR="00F74C88">
              <w:rPr>
                <w:rFonts w:ascii="Times New Roman" w:hAnsi="Times New Roman" w:cs="Times New Roman"/>
                <w:b/>
                <w:color w:val="000000"/>
                <w:sz w:val="22"/>
                <w:szCs w:val="22"/>
                <w:lang w:val="en-GB"/>
              </w:rPr>
              <w:t>65</w:t>
            </w:r>
          </w:p>
        </w:tc>
      </w:tr>
      <w:tr w14:paraId="374056A0" w14:textId="77777777" w:rsidTr="0047511C">
        <w:tblPrEx>
          <w:tblW w:w="0" w:type="auto"/>
          <w:tblLook w:val="04A0"/>
        </w:tblPrEx>
        <w:trPr>
          <w:cantSplit/>
        </w:trPr>
        <w:tc>
          <w:tcPr>
            <w:tcW w:w="4983" w:type="dxa"/>
            <w:shd w:val="clear" w:color="auto" w:fill="auto"/>
          </w:tcPr>
          <w:p w:rsidR="00F37A92" w:rsidRPr="00D442F1" w:rsidP="00F74C88" w14:paraId="6F5E234E" w14:textId="3E651530">
            <w:pPr>
              <w:pStyle w:val="Table"/>
              <w:keepNext/>
              <w:widowControl w:val="0"/>
              <w:spacing w:before="0" w:after="0"/>
              <w:rPr>
                <w:rFonts w:ascii="Times New Roman" w:hAnsi="Times New Roman" w:cs="Times New Roman"/>
                <w:b/>
                <w:bCs/>
                <w:sz w:val="22"/>
                <w:szCs w:val="22"/>
              </w:rPr>
            </w:pPr>
            <w:r w:rsidRPr="00D442F1">
              <w:rPr>
                <w:rFonts w:ascii="Times New Roman" w:eastAsia="Times New Roman" w:hAnsi="Times New Roman" w:cs="Times New Roman"/>
                <w:color w:val="000000"/>
                <w:sz w:val="22"/>
                <w:szCs w:val="22"/>
                <w:lang w:val="en-GB"/>
              </w:rPr>
              <w:t xml:space="preserve">% event free probability at </w:t>
            </w:r>
            <w:r w:rsidRPr="00D442F1" w:rsidR="00F74C88">
              <w:rPr>
                <w:rFonts w:ascii="Times New Roman" w:eastAsia="Times New Roman" w:hAnsi="Times New Roman" w:cs="Times New Roman"/>
                <w:color w:val="000000"/>
                <w:sz w:val="22"/>
                <w:szCs w:val="22"/>
                <w:lang w:val="en-GB"/>
              </w:rPr>
              <w:t>12 </w:t>
            </w:r>
            <w:r w:rsidRPr="00D442F1">
              <w:rPr>
                <w:rFonts w:ascii="Times New Roman" w:eastAsia="Times New Roman" w:hAnsi="Times New Roman" w:cs="Times New Roman"/>
                <w:color w:val="000000"/>
                <w:sz w:val="22"/>
                <w:szCs w:val="22"/>
                <w:lang w:val="en-GB"/>
              </w:rPr>
              <w:t>months</w:t>
            </w:r>
          </w:p>
        </w:tc>
        <w:tc>
          <w:tcPr>
            <w:tcW w:w="2277" w:type="dxa"/>
            <w:shd w:val="clear" w:color="auto" w:fill="auto"/>
          </w:tcPr>
          <w:p w:rsidR="00F37A92" w:rsidRPr="00D442F1" w:rsidP="00166894" w14:paraId="097D61B3" w14:textId="46EA95F3">
            <w:pPr>
              <w:pStyle w:val="Table"/>
              <w:keepNext/>
              <w:widowControl w:val="0"/>
              <w:spacing w:before="0" w:after="0"/>
              <w:rPr>
                <w:rFonts w:ascii="Times New Roman" w:hAnsi="Times New Roman" w:cs="Times New Roman"/>
                <w:b/>
                <w:color w:val="000000"/>
                <w:sz w:val="22"/>
                <w:szCs w:val="22"/>
                <w:lang w:val="en-GB"/>
              </w:rPr>
            </w:pPr>
            <w:r w:rsidRPr="00D442F1">
              <w:rPr>
                <w:rFonts w:ascii="Times New Roman" w:hAnsi="Times New Roman" w:cs="Times New Roman"/>
                <w:color w:val="000000"/>
                <w:sz w:val="22"/>
                <w:szCs w:val="22"/>
                <w:lang w:val="en-GB"/>
              </w:rPr>
              <w:t>66.3</w:t>
            </w:r>
          </w:p>
        </w:tc>
        <w:tc>
          <w:tcPr>
            <w:tcW w:w="2027" w:type="dxa"/>
          </w:tcPr>
          <w:p w:rsidR="00F37A92" w:rsidRPr="00D442F1" w:rsidP="00166894" w14:paraId="2A19B4F8" w14:textId="30875801">
            <w:pPr>
              <w:pStyle w:val="Table"/>
              <w:keepNext/>
              <w:widowControl w:val="0"/>
              <w:spacing w:before="0" w:after="0"/>
              <w:rPr>
                <w:rFonts w:ascii="Times New Roman" w:hAnsi="Times New Roman" w:cs="Times New Roman"/>
                <w:b/>
                <w:color w:val="000000"/>
                <w:sz w:val="22"/>
                <w:szCs w:val="22"/>
                <w:lang w:val="en-GB"/>
              </w:rPr>
            </w:pPr>
            <w:r w:rsidRPr="00D442F1">
              <w:rPr>
                <w:rFonts w:ascii="Times New Roman" w:hAnsi="Times New Roman" w:cs="Times New Roman"/>
                <w:color w:val="000000"/>
                <w:sz w:val="22"/>
                <w:szCs w:val="22"/>
                <w:lang w:val="en-GB"/>
              </w:rPr>
              <w:t>66.3</w:t>
            </w:r>
          </w:p>
        </w:tc>
      </w:tr>
      <w:tr w14:paraId="07F7FBA9" w14:textId="77777777" w:rsidTr="0047511C">
        <w:tblPrEx>
          <w:tblW w:w="0" w:type="auto"/>
          <w:tblLook w:val="04A0"/>
        </w:tblPrEx>
        <w:trPr>
          <w:cantSplit/>
        </w:trPr>
        <w:tc>
          <w:tcPr>
            <w:tcW w:w="4983" w:type="dxa"/>
            <w:shd w:val="clear" w:color="auto" w:fill="auto"/>
          </w:tcPr>
          <w:p w:rsidR="00F74C88" w:rsidRPr="00D442F1" w:rsidP="00F74C88" w14:paraId="3A480B5F" w14:textId="77777777">
            <w:pPr>
              <w:pStyle w:val="Table"/>
              <w:keepNext/>
              <w:widowControl w:val="0"/>
              <w:spacing w:before="0" w:after="0"/>
              <w:rPr>
                <w:rFonts w:ascii="Times New Roman" w:eastAsia="Times New Roman" w:hAnsi="Times New Roman" w:cs="Times New Roman"/>
                <w:color w:val="000000"/>
                <w:sz w:val="22"/>
                <w:szCs w:val="22"/>
                <w:lang w:val="en-GB"/>
              </w:rPr>
            </w:pPr>
            <w:r w:rsidRPr="00D442F1">
              <w:rPr>
                <w:rFonts w:ascii="Times New Roman" w:eastAsia="Times New Roman" w:hAnsi="Times New Roman" w:cs="Times New Roman"/>
                <w:color w:val="000000"/>
                <w:sz w:val="22"/>
                <w:szCs w:val="22"/>
                <w:lang w:val="en-GB"/>
              </w:rPr>
              <w:t>% event free probability at 18 months</w:t>
            </w:r>
          </w:p>
        </w:tc>
        <w:tc>
          <w:tcPr>
            <w:tcW w:w="2277" w:type="dxa"/>
            <w:shd w:val="clear" w:color="auto" w:fill="auto"/>
          </w:tcPr>
          <w:p w:rsidR="00F74C88" w:rsidRPr="00D442F1" w:rsidP="00F74C88" w14:paraId="78E90DC8" w14:textId="77777777">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66.3</w:t>
            </w:r>
          </w:p>
        </w:tc>
        <w:tc>
          <w:tcPr>
            <w:tcW w:w="2027" w:type="dxa"/>
          </w:tcPr>
          <w:p w:rsidR="00F74C88" w:rsidRPr="00D442F1" w:rsidP="00F74C88" w14:paraId="1FC29C6E" w14:textId="77777777">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66.3</w:t>
            </w:r>
          </w:p>
        </w:tc>
      </w:tr>
      <w:tr w14:paraId="232245CE" w14:textId="77777777" w:rsidTr="0047511C">
        <w:tblPrEx>
          <w:tblW w:w="0" w:type="auto"/>
          <w:tblLook w:val="04A0"/>
        </w:tblPrEx>
        <w:trPr>
          <w:cantSplit/>
        </w:trPr>
        <w:tc>
          <w:tcPr>
            <w:tcW w:w="4983" w:type="dxa"/>
            <w:shd w:val="clear" w:color="auto" w:fill="auto"/>
          </w:tcPr>
          <w:p w:rsidR="00F74C88" w:rsidRPr="00D442F1" w:rsidP="00F74C88" w14:paraId="4F7E31C0" w14:textId="77777777">
            <w:pPr>
              <w:pStyle w:val="Table"/>
              <w:keepNext/>
              <w:widowControl w:val="0"/>
              <w:spacing w:before="0" w:after="0"/>
              <w:rPr>
                <w:rFonts w:ascii="Times New Roman" w:eastAsia="Times New Roman" w:hAnsi="Times New Roman" w:cs="Times New Roman"/>
                <w:color w:val="000000"/>
                <w:sz w:val="22"/>
                <w:szCs w:val="22"/>
                <w:lang w:val="en-GB"/>
              </w:rPr>
            </w:pPr>
            <w:r w:rsidRPr="00D442F1">
              <w:rPr>
                <w:rFonts w:ascii="Times New Roman" w:eastAsia="Times New Roman" w:hAnsi="Times New Roman" w:cs="Times New Roman"/>
                <w:color w:val="000000"/>
                <w:sz w:val="22"/>
                <w:szCs w:val="22"/>
                <w:lang w:val="en-GB"/>
              </w:rPr>
              <w:t>Median (months) (95% CI)</w:t>
            </w:r>
          </w:p>
        </w:tc>
        <w:tc>
          <w:tcPr>
            <w:tcW w:w="2277" w:type="dxa"/>
            <w:shd w:val="clear" w:color="auto" w:fill="auto"/>
          </w:tcPr>
          <w:p w:rsidR="00F74C88" w:rsidRPr="00D442F1" w:rsidP="00EA1FF1" w14:paraId="374764CC" w14:textId="5347F834">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Not reached (</w:t>
            </w:r>
            <w:r w:rsidRPr="00D442F1" w:rsidR="00EA1FF1">
              <w:rPr>
                <w:rFonts w:ascii="Times New Roman" w:hAnsi="Times New Roman" w:cs="Times New Roman"/>
                <w:color w:val="000000"/>
                <w:sz w:val="22"/>
                <w:szCs w:val="22"/>
                <w:lang w:val="en-GB"/>
              </w:rPr>
              <w:t>20.0</w:t>
            </w:r>
            <w:r w:rsidRPr="00D442F1">
              <w:rPr>
                <w:rFonts w:ascii="Times New Roman" w:hAnsi="Times New Roman" w:cs="Times New Roman"/>
                <w:color w:val="000000"/>
                <w:sz w:val="22"/>
                <w:szCs w:val="22"/>
                <w:lang w:val="en-GB"/>
              </w:rPr>
              <w:t>, NE</w:t>
            </w:r>
            <w:r w:rsidRPr="00D442F1">
              <w:rPr>
                <w:rFonts w:ascii="Times New Roman" w:hAnsi="Times New Roman" w:cs="Times New Roman"/>
                <w:color w:val="000000"/>
                <w:sz w:val="22"/>
                <w:szCs w:val="22"/>
                <w:vertAlign w:val="superscript"/>
                <w:lang w:val="en-GB"/>
              </w:rPr>
              <w:t>9</w:t>
            </w:r>
            <w:r w:rsidRPr="00D442F1">
              <w:rPr>
                <w:rFonts w:ascii="Times New Roman" w:hAnsi="Times New Roman" w:cs="Times New Roman"/>
                <w:color w:val="000000"/>
                <w:sz w:val="22"/>
                <w:szCs w:val="22"/>
                <w:lang w:val="en-GB"/>
              </w:rPr>
              <w:t>)</w:t>
            </w:r>
          </w:p>
        </w:tc>
        <w:tc>
          <w:tcPr>
            <w:tcW w:w="2027" w:type="dxa"/>
          </w:tcPr>
          <w:p w:rsidR="00F74C88" w:rsidRPr="00D442F1" w:rsidP="00F74C88" w14:paraId="48F2BBFA" w14:textId="0B09B491">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Not reached (20.0, NE)</w:t>
            </w:r>
          </w:p>
        </w:tc>
      </w:tr>
      <w:tr w14:paraId="580F22CC" w14:textId="77777777" w:rsidTr="0047511C">
        <w:tblPrEx>
          <w:tblW w:w="0" w:type="auto"/>
          <w:tblLook w:val="04A0"/>
        </w:tblPrEx>
        <w:trPr>
          <w:cantSplit/>
        </w:trPr>
        <w:tc>
          <w:tcPr>
            <w:tcW w:w="4983" w:type="dxa"/>
            <w:shd w:val="clear" w:color="auto" w:fill="auto"/>
          </w:tcPr>
          <w:p w:rsidR="00F74C88" w:rsidRPr="00D442F1" w:rsidP="00F74C88" w14:paraId="74DCBD75" w14:textId="77777777">
            <w:pPr>
              <w:keepNext/>
              <w:keepLines/>
              <w:widowControl w:val="0"/>
              <w:tabs>
                <w:tab w:val="clear" w:pos="567"/>
              </w:tabs>
              <w:autoSpaceDE w:val="0"/>
              <w:autoSpaceDN w:val="0"/>
              <w:adjustRightInd w:val="0"/>
              <w:spacing w:line="240" w:lineRule="auto"/>
              <w:rPr>
                <w:szCs w:val="22"/>
              </w:rPr>
            </w:pPr>
            <w:r w:rsidRPr="00D442F1">
              <w:rPr>
                <w:b/>
                <w:bCs/>
                <w:szCs w:val="22"/>
              </w:rPr>
              <w:t>Other secondary endpoint</w:t>
            </w:r>
          </w:p>
        </w:tc>
        <w:tc>
          <w:tcPr>
            <w:tcW w:w="2277" w:type="dxa"/>
            <w:shd w:val="clear" w:color="auto" w:fill="auto"/>
          </w:tcPr>
          <w:p w:rsidR="00F74C88" w:rsidRPr="00D442F1" w:rsidP="00EA1FF1" w14:paraId="535D3899" w14:textId="0E60D1B5">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EA1FF1">
              <w:rPr>
                <w:b/>
                <w:szCs w:val="22"/>
              </w:rPr>
              <w:t>97</w:t>
            </w:r>
          </w:p>
        </w:tc>
        <w:tc>
          <w:tcPr>
            <w:tcW w:w="2027" w:type="dxa"/>
          </w:tcPr>
          <w:p w:rsidR="00F74C88" w:rsidRPr="00D442F1" w:rsidP="00F74C88" w14:paraId="3A51329A" w14:textId="3359B49E">
            <w:pPr>
              <w:keepNext/>
              <w:keepLines/>
              <w:widowControl w:val="0"/>
              <w:tabs>
                <w:tab w:val="clear" w:pos="567"/>
              </w:tabs>
              <w:autoSpaceDE w:val="0"/>
              <w:autoSpaceDN w:val="0"/>
              <w:adjustRightInd w:val="0"/>
              <w:spacing w:line="240" w:lineRule="auto"/>
              <w:rPr>
                <w:b/>
                <w:szCs w:val="22"/>
              </w:rPr>
            </w:pPr>
            <w:r w:rsidRPr="00D442F1">
              <w:rPr>
                <w:b/>
                <w:szCs w:val="22"/>
              </w:rPr>
              <w:t>N=79</w:t>
            </w:r>
          </w:p>
        </w:tc>
      </w:tr>
      <w:tr w14:paraId="1B34440A" w14:textId="77777777" w:rsidTr="0047511C">
        <w:tblPrEx>
          <w:tblW w:w="0" w:type="auto"/>
          <w:tblLook w:val="04A0"/>
        </w:tblPrEx>
        <w:trPr>
          <w:cantSplit/>
        </w:trPr>
        <w:tc>
          <w:tcPr>
            <w:tcW w:w="4983" w:type="dxa"/>
            <w:shd w:val="clear" w:color="auto" w:fill="auto"/>
          </w:tcPr>
          <w:p w:rsidR="00F74C88" w:rsidRPr="00D442F1" w:rsidP="00F74C88" w14:paraId="57B6D8AE" w14:textId="77777777">
            <w:pPr>
              <w:pStyle w:val="Table"/>
              <w:keepNext/>
              <w:widowControl w:val="0"/>
              <w:spacing w:before="0" w:after="0"/>
              <w:rPr>
                <w:rFonts w:ascii="Times New Roman" w:eastAsia="Times New Roman" w:hAnsi="Times New Roman" w:cs="Times New Roman"/>
                <w:color w:val="000000"/>
                <w:sz w:val="22"/>
                <w:szCs w:val="22"/>
                <w:lang w:val="en-GB"/>
              </w:rPr>
            </w:pPr>
            <w:r w:rsidRPr="00D442F1">
              <w:rPr>
                <w:rFonts w:ascii="Times New Roman" w:eastAsia="Times New Roman" w:hAnsi="Times New Roman" w:cs="Times New Roman"/>
                <w:color w:val="000000"/>
                <w:sz w:val="22"/>
                <w:szCs w:val="22"/>
                <w:lang w:val="en-GB"/>
              </w:rPr>
              <w:t>Overall survival (OS)</w:t>
            </w:r>
            <w:r w:rsidRPr="00D442F1">
              <w:rPr>
                <w:rFonts w:ascii="Times New Roman" w:eastAsia="Times New Roman" w:hAnsi="Times New Roman" w:cs="Times New Roman"/>
                <w:color w:val="000000"/>
                <w:sz w:val="22"/>
                <w:szCs w:val="22"/>
                <w:vertAlign w:val="superscript"/>
                <w:lang w:val="en-GB"/>
              </w:rPr>
              <w:t>8</w:t>
            </w:r>
          </w:p>
        </w:tc>
        <w:tc>
          <w:tcPr>
            <w:tcW w:w="2277" w:type="dxa"/>
            <w:shd w:val="clear" w:color="auto" w:fill="auto"/>
          </w:tcPr>
          <w:p w:rsidR="00F74C88" w:rsidRPr="00D442F1" w:rsidP="00F74C88" w14:paraId="1CA36C9F" w14:textId="77777777">
            <w:pPr>
              <w:pStyle w:val="Table"/>
              <w:keepNext/>
              <w:widowControl w:val="0"/>
              <w:spacing w:before="0" w:after="0"/>
              <w:rPr>
                <w:rFonts w:ascii="Times New Roman" w:hAnsi="Times New Roman" w:cs="Times New Roman"/>
                <w:color w:val="000000"/>
                <w:sz w:val="22"/>
                <w:szCs w:val="22"/>
                <w:lang w:val="en-GB"/>
              </w:rPr>
            </w:pPr>
          </w:p>
        </w:tc>
        <w:tc>
          <w:tcPr>
            <w:tcW w:w="2027" w:type="dxa"/>
          </w:tcPr>
          <w:p w:rsidR="00F74C88" w:rsidRPr="00D442F1" w:rsidP="00F74C88" w14:paraId="448AC855" w14:textId="77777777">
            <w:pPr>
              <w:pStyle w:val="Table"/>
              <w:keepNext/>
              <w:widowControl w:val="0"/>
              <w:spacing w:before="0" w:after="0"/>
              <w:rPr>
                <w:rFonts w:ascii="Times New Roman" w:hAnsi="Times New Roman" w:cs="Times New Roman"/>
                <w:color w:val="000000"/>
                <w:sz w:val="22"/>
                <w:szCs w:val="22"/>
                <w:lang w:val="en-GB"/>
              </w:rPr>
            </w:pPr>
          </w:p>
        </w:tc>
      </w:tr>
      <w:tr w14:paraId="24D3461E" w14:textId="77777777" w:rsidTr="0047511C">
        <w:tblPrEx>
          <w:tblW w:w="0" w:type="auto"/>
          <w:tblLook w:val="04A0"/>
        </w:tblPrEx>
        <w:trPr>
          <w:cantSplit/>
        </w:trPr>
        <w:tc>
          <w:tcPr>
            <w:tcW w:w="4983" w:type="dxa"/>
            <w:shd w:val="clear" w:color="auto" w:fill="auto"/>
          </w:tcPr>
          <w:p w:rsidR="00F74C88" w:rsidRPr="00D442F1" w:rsidP="00F74C88" w14:paraId="3F230155" w14:textId="1372DD27">
            <w:pPr>
              <w:pStyle w:val="Table"/>
              <w:keepNext/>
              <w:widowControl w:val="0"/>
              <w:spacing w:before="0" w:after="0"/>
              <w:rPr>
                <w:rFonts w:ascii="Times New Roman" w:eastAsia="Times New Roman" w:hAnsi="Times New Roman" w:cs="Times New Roman"/>
                <w:color w:val="000000"/>
                <w:sz w:val="22"/>
                <w:szCs w:val="22"/>
                <w:lang w:val="en-GB"/>
              </w:rPr>
            </w:pPr>
            <w:r w:rsidRPr="00D442F1">
              <w:rPr>
                <w:rFonts w:ascii="Times New Roman" w:eastAsia="Times New Roman" w:hAnsi="Times New Roman" w:cs="Times New Roman"/>
                <w:color w:val="000000"/>
                <w:sz w:val="22"/>
                <w:szCs w:val="22"/>
                <w:lang w:val="en-GB"/>
              </w:rPr>
              <w:tab/>
              <w:t>% survival probability at 12 months</w:t>
            </w:r>
          </w:p>
        </w:tc>
        <w:tc>
          <w:tcPr>
            <w:tcW w:w="2277" w:type="dxa"/>
            <w:shd w:val="clear" w:color="auto" w:fill="auto"/>
          </w:tcPr>
          <w:p w:rsidR="00F74C88" w:rsidRPr="00D442F1" w:rsidP="00F74C88" w14:paraId="3CF70195" w14:textId="389AED25">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69</w:t>
            </w:r>
            <w:r w:rsidRPr="00D442F1" w:rsidR="001C0505">
              <w:rPr>
                <w:rFonts w:ascii="Times New Roman" w:hAnsi="Times New Roman" w:cs="Times New Roman"/>
                <w:color w:val="000000"/>
                <w:sz w:val="22"/>
                <w:szCs w:val="22"/>
                <w:lang w:val="en-GB"/>
              </w:rPr>
              <w:t>.8</w:t>
            </w:r>
          </w:p>
        </w:tc>
        <w:tc>
          <w:tcPr>
            <w:tcW w:w="2027" w:type="dxa"/>
          </w:tcPr>
          <w:p w:rsidR="00F74C88" w:rsidRPr="00D442F1" w:rsidP="00F74C88" w14:paraId="6B047397" w14:textId="2A888553">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76.4</w:t>
            </w:r>
          </w:p>
        </w:tc>
      </w:tr>
      <w:tr w14:paraId="7D25D231" w14:textId="77777777" w:rsidTr="0047511C">
        <w:tblPrEx>
          <w:tblW w:w="0" w:type="auto"/>
          <w:tblLook w:val="04A0"/>
        </w:tblPrEx>
        <w:trPr>
          <w:cantSplit/>
        </w:trPr>
        <w:tc>
          <w:tcPr>
            <w:tcW w:w="4983" w:type="dxa"/>
            <w:shd w:val="clear" w:color="auto" w:fill="auto"/>
          </w:tcPr>
          <w:p w:rsidR="00F74C88" w:rsidRPr="00D442F1" w:rsidP="00F74C88" w14:paraId="5835B3DB" w14:textId="526F95AC">
            <w:pPr>
              <w:pStyle w:val="Table"/>
              <w:keepNext/>
              <w:widowControl w:val="0"/>
              <w:spacing w:before="0" w:after="0"/>
              <w:ind w:left="284"/>
              <w:rPr>
                <w:rFonts w:ascii="Times New Roman" w:eastAsia="Times New Roman" w:hAnsi="Times New Roman" w:cs="Times New Roman"/>
                <w:color w:val="000000"/>
                <w:sz w:val="22"/>
                <w:szCs w:val="22"/>
                <w:lang w:val="en-GB"/>
              </w:rPr>
            </w:pPr>
            <w:r w:rsidRPr="00D442F1">
              <w:rPr>
                <w:rFonts w:ascii="Times New Roman" w:eastAsia="Times New Roman" w:hAnsi="Times New Roman" w:cs="Times New Roman"/>
                <w:color w:val="000000"/>
                <w:sz w:val="22"/>
                <w:szCs w:val="22"/>
                <w:lang w:val="en-GB"/>
              </w:rPr>
              <w:t>% survival probability at 24 months</w:t>
            </w:r>
          </w:p>
        </w:tc>
        <w:tc>
          <w:tcPr>
            <w:tcW w:w="2277" w:type="dxa"/>
            <w:shd w:val="clear" w:color="auto" w:fill="auto"/>
          </w:tcPr>
          <w:p w:rsidR="00F74C88" w:rsidRPr="00D442F1" w:rsidP="00F74C88" w14:paraId="1F41B2ED" w14:textId="1DCDBD21">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56.9</w:t>
            </w:r>
          </w:p>
        </w:tc>
        <w:tc>
          <w:tcPr>
            <w:tcW w:w="2027" w:type="dxa"/>
          </w:tcPr>
          <w:p w:rsidR="00F74C88" w:rsidRPr="00D442F1" w:rsidP="00F74C88" w14:paraId="3679E3D2" w14:textId="78DD6610">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66.3</w:t>
            </w:r>
          </w:p>
        </w:tc>
      </w:tr>
      <w:tr w14:paraId="5D05FF2D" w14:textId="77777777" w:rsidTr="0047511C">
        <w:tblPrEx>
          <w:tblW w:w="0" w:type="auto"/>
          <w:tblLook w:val="04A0"/>
        </w:tblPrEx>
        <w:trPr>
          <w:cantSplit/>
        </w:trPr>
        <w:tc>
          <w:tcPr>
            <w:tcW w:w="4983" w:type="dxa"/>
            <w:shd w:val="clear" w:color="auto" w:fill="auto"/>
          </w:tcPr>
          <w:p w:rsidR="00F74C88" w:rsidRPr="00D442F1" w:rsidP="00F74C88" w14:paraId="2EFD9903" w14:textId="77777777">
            <w:pPr>
              <w:pStyle w:val="Table"/>
              <w:keepNext/>
              <w:widowControl w:val="0"/>
              <w:spacing w:before="0" w:after="0"/>
              <w:rPr>
                <w:rFonts w:ascii="Times New Roman" w:eastAsia="Times New Roman" w:hAnsi="Times New Roman" w:cs="Times New Roman"/>
                <w:color w:val="000000"/>
                <w:sz w:val="22"/>
                <w:szCs w:val="22"/>
                <w:lang w:val="en-GB"/>
              </w:rPr>
            </w:pPr>
            <w:r w:rsidRPr="00D442F1">
              <w:rPr>
                <w:rFonts w:ascii="Times New Roman" w:eastAsia="Times New Roman" w:hAnsi="Times New Roman" w:cs="Times New Roman"/>
                <w:color w:val="000000"/>
                <w:sz w:val="22"/>
                <w:szCs w:val="22"/>
                <w:lang w:val="en-GB"/>
              </w:rPr>
              <w:tab/>
              <w:t>Median (months) (95% CI)</w:t>
            </w:r>
          </w:p>
        </w:tc>
        <w:tc>
          <w:tcPr>
            <w:tcW w:w="2277" w:type="dxa"/>
            <w:shd w:val="clear" w:color="auto" w:fill="auto"/>
          </w:tcPr>
          <w:p w:rsidR="00F74C88" w:rsidRPr="00D442F1" w:rsidP="00153EBE" w14:paraId="51E3E1A1" w14:textId="66CB4BAA">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Not reached</w:t>
            </w:r>
            <w:r w:rsidRPr="00D442F1">
              <w:rPr>
                <w:rFonts w:ascii="Times New Roman" w:hAnsi="Times New Roman" w:cs="Times New Roman"/>
                <w:color w:val="000000"/>
                <w:sz w:val="22"/>
                <w:szCs w:val="22"/>
                <w:lang w:val="en-GB"/>
              </w:rPr>
              <w:t xml:space="preserve"> (</w:t>
            </w:r>
            <w:r w:rsidRPr="00D442F1" w:rsidR="00F76D29">
              <w:rPr>
                <w:rFonts w:ascii="Times New Roman" w:hAnsi="Times New Roman" w:cs="Times New Roman"/>
                <w:color w:val="000000"/>
                <w:sz w:val="22"/>
                <w:szCs w:val="22"/>
                <w:lang w:val="en-GB"/>
              </w:rPr>
              <w:t>19.4</w:t>
            </w:r>
            <w:r w:rsidRPr="00D442F1">
              <w:rPr>
                <w:rFonts w:ascii="Times New Roman" w:hAnsi="Times New Roman" w:cs="Times New Roman"/>
                <w:color w:val="000000"/>
                <w:sz w:val="22"/>
                <w:szCs w:val="22"/>
                <w:lang w:val="en-GB"/>
              </w:rPr>
              <w:t>, NE)</w:t>
            </w:r>
          </w:p>
        </w:tc>
        <w:tc>
          <w:tcPr>
            <w:tcW w:w="2027" w:type="dxa"/>
          </w:tcPr>
          <w:p w:rsidR="00F74C88" w:rsidRPr="00D442F1" w:rsidP="00F74C88" w14:paraId="2E53B9A7" w14:textId="6CDFA0E7">
            <w:pPr>
              <w:pStyle w:val="Table"/>
              <w:keepNext/>
              <w:widowControl w:val="0"/>
              <w:spacing w:before="0" w:after="0"/>
              <w:rPr>
                <w:rFonts w:ascii="Times New Roman" w:hAnsi="Times New Roman" w:cs="Times New Roman"/>
                <w:color w:val="000000"/>
                <w:sz w:val="22"/>
                <w:szCs w:val="22"/>
                <w:lang w:val="en-GB"/>
              </w:rPr>
            </w:pPr>
            <w:r w:rsidRPr="00D442F1">
              <w:rPr>
                <w:rFonts w:ascii="Times New Roman" w:hAnsi="Times New Roman" w:cs="Times New Roman"/>
                <w:color w:val="000000"/>
                <w:sz w:val="22"/>
                <w:szCs w:val="22"/>
                <w:lang w:val="en-GB"/>
              </w:rPr>
              <w:t>Not reached (28.2, NE)</w:t>
            </w:r>
          </w:p>
        </w:tc>
      </w:tr>
      <w:tr w14:paraId="5BF6E753" w14:textId="77777777" w:rsidTr="009559D9">
        <w:tblPrEx>
          <w:tblW w:w="0" w:type="auto"/>
          <w:tblLook w:val="04A0"/>
        </w:tblPrEx>
        <w:trPr>
          <w:cantSplit/>
        </w:trPr>
        <w:tc>
          <w:tcPr>
            <w:tcW w:w="9287" w:type="dxa"/>
            <w:gridSpan w:val="3"/>
            <w:shd w:val="clear" w:color="auto" w:fill="auto"/>
          </w:tcPr>
          <w:p w:rsidR="00F74C88" w:rsidRPr="00D442F1" w:rsidP="00F74C88" w14:paraId="4A1B5470" w14:textId="77777777">
            <w:pPr>
              <w:pStyle w:val="Table"/>
              <w:keepNext/>
              <w:widowControl w:val="0"/>
              <w:tabs>
                <w:tab w:val="clear" w:pos="284"/>
              </w:tabs>
              <w:spacing w:before="0" w:after="0"/>
              <w:ind w:left="567" w:hanging="567"/>
              <w:rPr>
                <w:rFonts w:ascii="Times New Roman" w:eastAsia="Times New Roman" w:hAnsi="Times New Roman" w:cs="Times New Roman"/>
                <w:color w:val="000000"/>
                <w:sz w:val="22"/>
                <w:szCs w:val="22"/>
                <w:lang w:val="en-GB" w:eastAsia="en-US"/>
              </w:rPr>
            </w:pPr>
            <w:r w:rsidRPr="00D442F1">
              <w:rPr>
                <w:rFonts w:ascii="Times New Roman" w:eastAsia="Times New Roman" w:hAnsi="Times New Roman" w:cs="Times New Roman"/>
                <w:color w:val="000000"/>
                <w:sz w:val="22"/>
                <w:szCs w:val="22"/>
                <w:vertAlign w:val="superscript"/>
                <w:lang w:val="en-GB" w:eastAsia="en-US"/>
              </w:rPr>
              <w:t>1</w:t>
            </w:r>
            <w:r w:rsidRPr="00D442F1">
              <w:rPr>
                <w:rFonts w:ascii="Times New Roman" w:eastAsia="Times New Roman" w:hAnsi="Times New Roman" w:cs="Times New Roman"/>
                <w:color w:val="000000"/>
                <w:sz w:val="22"/>
                <w:szCs w:val="22"/>
                <w:lang w:val="en-GB" w:eastAsia="en-US"/>
              </w:rPr>
              <w:tab/>
              <w:t>Requires remission status to be maintained for at least 28 days without clinical evidence of relapse.</w:t>
            </w:r>
          </w:p>
          <w:p w:rsidR="00F74C88" w:rsidRPr="00D442F1" w:rsidP="00F74C88" w14:paraId="15832688" w14:textId="77777777">
            <w:pPr>
              <w:pStyle w:val="Table"/>
              <w:keepNext/>
              <w:widowControl w:val="0"/>
              <w:tabs>
                <w:tab w:val="clear" w:pos="284"/>
              </w:tabs>
              <w:spacing w:before="0" w:after="0"/>
              <w:ind w:left="567" w:hanging="567"/>
              <w:rPr>
                <w:rFonts w:ascii="Times New Roman" w:eastAsia="Times New Roman" w:hAnsi="Times New Roman" w:cs="Times New Roman"/>
                <w:color w:val="000000"/>
                <w:sz w:val="22"/>
                <w:szCs w:val="22"/>
                <w:lang w:val="en-GB" w:eastAsia="en-US"/>
              </w:rPr>
            </w:pPr>
            <w:r w:rsidRPr="00D442F1">
              <w:rPr>
                <w:rFonts w:ascii="Times New Roman" w:eastAsia="Times New Roman" w:hAnsi="Times New Roman" w:cs="Times New Roman"/>
                <w:color w:val="000000"/>
                <w:sz w:val="22"/>
                <w:szCs w:val="22"/>
                <w:vertAlign w:val="superscript"/>
                <w:lang w:val="en-GB" w:eastAsia="en-US"/>
              </w:rPr>
              <w:t>2</w:t>
            </w:r>
            <w:r w:rsidRPr="00D442F1">
              <w:rPr>
                <w:rFonts w:ascii="Times New Roman" w:eastAsia="Times New Roman" w:hAnsi="Times New Roman" w:cs="Times New Roman"/>
                <w:color w:val="000000"/>
                <w:sz w:val="22"/>
                <w:szCs w:val="22"/>
                <w:lang w:val="en-GB" w:eastAsia="en-US"/>
              </w:rPr>
              <w:tab/>
              <w:t>Nominal one</w:t>
            </w:r>
            <w:r w:rsidRPr="00D442F1">
              <w:rPr>
                <w:rFonts w:ascii="Times New Roman" w:eastAsia="Times New Roman" w:hAnsi="Times New Roman" w:cs="Times New Roman"/>
                <w:color w:val="000000"/>
                <w:sz w:val="22"/>
                <w:szCs w:val="22"/>
                <w:lang w:val="en-GB" w:eastAsia="en-US"/>
              </w:rPr>
              <w:noBreakHyphen/>
              <w:t>sided exact p</w:t>
            </w:r>
            <w:r w:rsidRPr="00D442F1">
              <w:rPr>
                <w:rFonts w:ascii="Times New Roman" w:eastAsia="Times New Roman" w:hAnsi="Times New Roman" w:cs="Times New Roman"/>
                <w:color w:val="000000"/>
                <w:sz w:val="22"/>
                <w:szCs w:val="22"/>
                <w:lang w:val="en-GB" w:eastAsia="en-US"/>
              </w:rPr>
              <w:noBreakHyphen/>
              <w:t>value based on H0: ORR ≤20% vs. Ha: ORR &gt;20%</w:t>
            </w:r>
          </w:p>
          <w:p w:rsidR="00F74C88" w:rsidRPr="00D442F1" w:rsidP="00F74C88" w14:paraId="6369DAB7" w14:textId="77777777">
            <w:pPr>
              <w:pStyle w:val="CommentText"/>
              <w:keepNext/>
              <w:keepLines/>
              <w:widowControl w:val="0"/>
              <w:tabs>
                <w:tab w:val="clear" w:pos="567"/>
              </w:tabs>
              <w:ind w:left="567" w:hanging="567"/>
              <w:rPr>
                <w:sz w:val="22"/>
                <w:szCs w:val="22"/>
              </w:rPr>
            </w:pPr>
            <w:r w:rsidRPr="00D442F1">
              <w:rPr>
                <w:color w:val="000000"/>
                <w:sz w:val="22"/>
                <w:szCs w:val="22"/>
                <w:vertAlign w:val="superscript"/>
              </w:rPr>
              <w:t>3</w:t>
            </w:r>
            <w:r w:rsidRPr="00D442F1">
              <w:rPr>
                <w:color w:val="000000"/>
                <w:sz w:val="22"/>
                <w:szCs w:val="22"/>
              </w:rPr>
              <w:tab/>
              <w:t>CR (complete remission) was defined as &lt;5% of blasts in the bone marrow, circulating blasts in blood should be &lt;1%, no evidence of extramedullary disease, and full recovery of peripheral blood counts (platelets &gt;100,000/μL and absolute neutrophil counts [ANC] &gt;1,000/μL) without blood transfusion.</w:t>
            </w:r>
          </w:p>
          <w:p w:rsidR="00F74C88" w:rsidRPr="00D442F1" w:rsidP="00F74C88" w14:paraId="6EF877DE" w14:textId="77777777">
            <w:pPr>
              <w:pStyle w:val="Table"/>
              <w:keepNext/>
              <w:widowControl w:val="0"/>
              <w:tabs>
                <w:tab w:val="clear" w:pos="284"/>
              </w:tabs>
              <w:spacing w:before="0" w:after="0"/>
              <w:ind w:left="567" w:hanging="567"/>
              <w:rPr>
                <w:rFonts w:ascii="Times New Roman" w:eastAsia="Times New Roman" w:hAnsi="Times New Roman" w:cs="Times New Roman"/>
                <w:color w:val="000000"/>
                <w:sz w:val="22"/>
                <w:szCs w:val="22"/>
                <w:lang w:val="en-GB" w:eastAsia="en-US"/>
              </w:rPr>
            </w:pPr>
            <w:r w:rsidRPr="00D442F1">
              <w:rPr>
                <w:rFonts w:ascii="Times New Roman" w:eastAsia="Times New Roman" w:hAnsi="Times New Roman" w:cs="Times New Roman"/>
                <w:color w:val="000000"/>
                <w:sz w:val="22"/>
                <w:szCs w:val="22"/>
                <w:vertAlign w:val="superscript"/>
                <w:lang w:val="en-GB" w:eastAsia="en-US"/>
              </w:rPr>
              <w:t>4</w:t>
            </w:r>
            <w:r w:rsidRPr="00D442F1">
              <w:rPr>
                <w:rFonts w:ascii="Times New Roman" w:eastAsia="Times New Roman" w:hAnsi="Times New Roman" w:cs="Times New Roman"/>
                <w:color w:val="000000"/>
                <w:sz w:val="22"/>
                <w:szCs w:val="22"/>
                <w:lang w:val="en-GB" w:eastAsia="en-US"/>
              </w:rPr>
              <w:tab/>
              <w:t>CRi (complete remission with incomplete blood count recovery) was defined as &lt;5% of blasts in the bone marrow, circulating blasts in blood should be &lt;1%, no evidence of extramedullary disease, and without full recovery of peripheral blood counts with or without blood transfusion.</w:t>
            </w:r>
          </w:p>
          <w:p w:rsidR="00F74C88" w:rsidRPr="00D442F1" w:rsidP="00F74C88" w14:paraId="4D1B743D" w14:textId="77777777">
            <w:pPr>
              <w:pStyle w:val="Table"/>
              <w:keepNext/>
              <w:widowControl w:val="0"/>
              <w:tabs>
                <w:tab w:val="clear" w:pos="284"/>
              </w:tabs>
              <w:spacing w:before="0" w:after="0"/>
              <w:ind w:left="567" w:hanging="567"/>
              <w:rPr>
                <w:rFonts w:ascii="Times New Roman" w:eastAsia="Times New Roman" w:hAnsi="Times New Roman" w:cs="Times New Roman"/>
                <w:color w:val="000000"/>
                <w:sz w:val="22"/>
                <w:szCs w:val="22"/>
                <w:lang w:val="en-GB" w:eastAsia="en-US"/>
              </w:rPr>
            </w:pPr>
            <w:r w:rsidRPr="00D442F1">
              <w:rPr>
                <w:rFonts w:ascii="Times New Roman" w:eastAsia="Times New Roman" w:hAnsi="Times New Roman" w:cs="Times New Roman"/>
                <w:color w:val="000000"/>
                <w:sz w:val="22"/>
                <w:szCs w:val="22"/>
                <w:vertAlign w:val="superscript"/>
                <w:lang w:val="en-GB" w:eastAsia="en-US"/>
              </w:rPr>
              <w:t>5</w:t>
            </w:r>
            <w:r w:rsidRPr="00D442F1">
              <w:rPr>
                <w:rFonts w:ascii="Times New Roman" w:eastAsia="Times New Roman" w:hAnsi="Times New Roman" w:cs="Times New Roman"/>
                <w:color w:val="000000"/>
                <w:sz w:val="22"/>
                <w:szCs w:val="22"/>
                <w:lang w:val="en-GB" w:eastAsia="en-US"/>
              </w:rPr>
              <w:tab/>
              <w:t>MRD (minimal residual disease) negative was defined as MRD by flow cytometry &lt;0.01%.</w:t>
            </w:r>
          </w:p>
          <w:p w:rsidR="00F74C88" w:rsidRPr="00D442F1" w:rsidP="00F74C88" w14:paraId="314713EA" w14:textId="77777777">
            <w:pPr>
              <w:pStyle w:val="Table"/>
              <w:keepNext/>
              <w:widowControl w:val="0"/>
              <w:tabs>
                <w:tab w:val="clear" w:pos="284"/>
              </w:tabs>
              <w:spacing w:before="0" w:after="0"/>
              <w:ind w:left="567" w:hanging="567"/>
              <w:rPr>
                <w:rFonts w:ascii="Times New Roman" w:eastAsia="Times New Roman" w:hAnsi="Times New Roman" w:cs="Times New Roman"/>
                <w:color w:val="000000"/>
                <w:sz w:val="22"/>
                <w:szCs w:val="22"/>
                <w:lang w:val="en-GB" w:eastAsia="en-US"/>
              </w:rPr>
            </w:pPr>
            <w:r w:rsidRPr="00D442F1">
              <w:rPr>
                <w:rFonts w:ascii="Times New Roman" w:eastAsia="Times New Roman" w:hAnsi="Times New Roman" w:cs="Times New Roman"/>
                <w:color w:val="000000"/>
                <w:sz w:val="22"/>
                <w:szCs w:val="22"/>
                <w:vertAlign w:val="superscript"/>
                <w:lang w:val="en-GB" w:eastAsia="en-US"/>
              </w:rPr>
              <w:t>6</w:t>
            </w:r>
            <w:r w:rsidRPr="00D442F1">
              <w:rPr>
                <w:rFonts w:ascii="Times New Roman" w:eastAsia="Times New Roman" w:hAnsi="Times New Roman" w:cs="Times New Roman"/>
                <w:color w:val="000000"/>
                <w:sz w:val="22"/>
                <w:szCs w:val="22"/>
                <w:lang w:val="en-GB" w:eastAsia="en-US"/>
              </w:rPr>
              <w:tab/>
              <w:t>Nominal one</w:t>
            </w:r>
            <w:r w:rsidRPr="00D442F1">
              <w:rPr>
                <w:rFonts w:ascii="Times New Roman" w:eastAsia="Times New Roman" w:hAnsi="Times New Roman" w:cs="Times New Roman"/>
                <w:color w:val="000000"/>
                <w:sz w:val="22"/>
                <w:szCs w:val="22"/>
                <w:lang w:val="en-GB" w:eastAsia="en-US"/>
              </w:rPr>
              <w:noBreakHyphen/>
              <w:t>sided exact p</w:t>
            </w:r>
            <w:r w:rsidRPr="00D442F1">
              <w:rPr>
                <w:rFonts w:ascii="Times New Roman" w:eastAsia="Times New Roman" w:hAnsi="Times New Roman" w:cs="Times New Roman"/>
                <w:color w:val="000000"/>
                <w:sz w:val="22"/>
                <w:szCs w:val="22"/>
                <w:lang w:val="en-GB" w:eastAsia="en-US"/>
              </w:rPr>
              <w:noBreakHyphen/>
              <w:t>value based on H0: Rate of MRD negative remission ≤15% vs. Ha: &gt;15%.</w:t>
            </w:r>
          </w:p>
          <w:p w:rsidR="00F74C88" w:rsidRPr="00D442F1" w:rsidP="00F74C88" w14:paraId="0ED3C3FD" w14:textId="5A2CA9E3">
            <w:pPr>
              <w:pStyle w:val="Table"/>
              <w:keepNext/>
              <w:widowControl w:val="0"/>
              <w:tabs>
                <w:tab w:val="clear" w:pos="284"/>
              </w:tabs>
              <w:spacing w:before="0" w:after="0"/>
              <w:ind w:left="567" w:hanging="567"/>
              <w:rPr>
                <w:rFonts w:ascii="Times New Roman" w:eastAsia="Times New Roman" w:hAnsi="Times New Roman" w:cs="Times New Roman"/>
                <w:color w:val="000000"/>
                <w:sz w:val="22"/>
                <w:szCs w:val="22"/>
                <w:lang w:val="en-GB" w:eastAsia="en-US"/>
              </w:rPr>
            </w:pPr>
            <w:r w:rsidRPr="00D442F1">
              <w:rPr>
                <w:rFonts w:ascii="Times New Roman" w:eastAsia="Times New Roman" w:hAnsi="Times New Roman" w:cs="Times New Roman"/>
                <w:color w:val="000000"/>
                <w:sz w:val="22"/>
                <w:szCs w:val="22"/>
                <w:vertAlign w:val="superscript"/>
                <w:lang w:val="en-GB" w:eastAsia="en-US"/>
              </w:rPr>
              <w:t>7</w:t>
            </w:r>
            <w:r w:rsidRPr="00D442F1">
              <w:rPr>
                <w:rFonts w:ascii="Times New Roman" w:eastAsia="Times New Roman" w:hAnsi="Times New Roman" w:cs="Times New Roman"/>
                <w:color w:val="000000"/>
                <w:sz w:val="22"/>
                <w:szCs w:val="22"/>
                <w:lang w:val="en-GB" w:eastAsia="en-US"/>
              </w:rPr>
              <w:tab/>
              <w:t>DOR was defined as time since onset of CR or CRi to relapse or death due to underlying indication, whichever is earlier (N=65).</w:t>
            </w:r>
          </w:p>
          <w:p w:rsidR="00F74C88" w:rsidRPr="00D442F1" w:rsidP="00F74C88" w14:paraId="6D127B6D" w14:textId="40DCC5B9">
            <w:pPr>
              <w:pStyle w:val="Table"/>
              <w:keepNext/>
              <w:widowControl w:val="0"/>
              <w:tabs>
                <w:tab w:val="clear" w:pos="284"/>
              </w:tabs>
              <w:spacing w:before="0" w:after="0"/>
              <w:ind w:left="567" w:hanging="567"/>
              <w:rPr>
                <w:rFonts w:ascii="Times New Roman" w:eastAsia="Times New Roman" w:hAnsi="Times New Roman" w:cs="Times New Roman"/>
                <w:color w:val="000000"/>
                <w:sz w:val="22"/>
                <w:szCs w:val="22"/>
                <w:lang w:val="en-GB" w:eastAsia="en-US"/>
              </w:rPr>
            </w:pPr>
            <w:r w:rsidRPr="00D442F1">
              <w:rPr>
                <w:rFonts w:ascii="Times New Roman" w:eastAsia="Times New Roman" w:hAnsi="Times New Roman" w:cs="Times New Roman"/>
                <w:color w:val="000000"/>
                <w:sz w:val="22"/>
                <w:szCs w:val="22"/>
                <w:vertAlign w:val="superscript"/>
                <w:lang w:val="en-GB" w:eastAsia="en-US"/>
              </w:rPr>
              <w:t>8</w:t>
            </w:r>
            <w:r w:rsidRPr="00D442F1">
              <w:rPr>
                <w:rFonts w:ascii="Times New Roman" w:eastAsia="Times New Roman" w:hAnsi="Times New Roman" w:cs="Times New Roman"/>
                <w:color w:val="000000"/>
                <w:sz w:val="22"/>
                <w:szCs w:val="22"/>
                <w:lang w:val="en-GB" w:eastAsia="en-US"/>
              </w:rPr>
              <w:tab/>
              <w:t>OS was defined as time from date of Kymriah infusion to the date of death due to any cause for infused patients and from time of date of enrolment to the date of death due to any cause for enrolled patients.</w:t>
            </w:r>
          </w:p>
          <w:p w:rsidR="00F74C88" w:rsidRPr="00D442F1" w:rsidP="00F74C88" w14:paraId="7915FF7A" w14:textId="77777777">
            <w:pPr>
              <w:pStyle w:val="Table"/>
              <w:keepNext/>
              <w:widowControl w:val="0"/>
              <w:tabs>
                <w:tab w:val="clear" w:pos="284"/>
              </w:tabs>
              <w:spacing w:before="0" w:after="0"/>
              <w:ind w:left="567" w:hanging="567"/>
              <w:rPr>
                <w:rFonts w:ascii="Times New Roman" w:eastAsia="Times New Roman" w:hAnsi="Times New Roman" w:cs="Times New Roman"/>
                <w:color w:val="000000"/>
                <w:sz w:val="22"/>
                <w:szCs w:val="22"/>
                <w:vertAlign w:val="superscript"/>
                <w:lang w:val="en-GB" w:eastAsia="en-US"/>
              </w:rPr>
            </w:pPr>
            <w:r w:rsidRPr="00D442F1">
              <w:rPr>
                <w:rFonts w:ascii="Times New Roman" w:eastAsia="Times New Roman" w:hAnsi="Times New Roman" w:cs="Times New Roman"/>
                <w:color w:val="000000"/>
                <w:sz w:val="22"/>
                <w:szCs w:val="22"/>
                <w:vertAlign w:val="superscript"/>
                <w:lang w:val="en-GB" w:eastAsia="en-US"/>
              </w:rPr>
              <w:t>9</w:t>
            </w:r>
            <w:r w:rsidRPr="00D442F1">
              <w:rPr>
                <w:rFonts w:ascii="Times New Roman" w:eastAsia="Times New Roman" w:hAnsi="Times New Roman" w:cs="Times New Roman"/>
                <w:color w:val="000000"/>
                <w:sz w:val="22"/>
                <w:szCs w:val="22"/>
                <w:vertAlign w:val="superscript"/>
                <w:lang w:val="en-GB" w:eastAsia="en-US"/>
              </w:rPr>
              <w:tab/>
            </w:r>
            <w:r w:rsidRPr="00D442F1">
              <w:rPr>
                <w:rFonts w:ascii="Times New Roman" w:eastAsia="Times New Roman" w:hAnsi="Times New Roman" w:cs="Times New Roman"/>
                <w:color w:val="000000"/>
                <w:sz w:val="22"/>
                <w:szCs w:val="22"/>
                <w:lang w:val="en-GB" w:eastAsia="en-US"/>
              </w:rPr>
              <w:t>Not estimable</w:t>
            </w:r>
          </w:p>
        </w:tc>
      </w:tr>
    </w:tbl>
    <w:p w:rsidR="00A56659" w:rsidP="00166894" w14:paraId="2A154CAC" w14:textId="2C9FCD7A">
      <w:pPr>
        <w:widowControl w:val="0"/>
        <w:tabs>
          <w:tab w:val="clear" w:pos="567"/>
        </w:tabs>
        <w:autoSpaceDE w:val="0"/>
        <w:autoSpaceDN w:val="0"/>
        <w:adjustRightInd w:val="0"/>
        <w:spacing w:line="240" w:lineRule="auto"/>
        <w:rPr>
          <w:szCs w:val="22"/>
        </w:rPr>
      </w:pPr>
    </w:p>
    <w:p w:rsidR="008D20A4" w:rsidRPr="00D442F1" w:rsidP="008D20A4" w14:paraId="0975E867" w14:textId="4823ED19">
      <w:pPr>
        <w:widowControl w:val="0"/>
        <w:tabs>
          <w:tab w:val="clear" w:pos="567"/>
        </w:tabs>
        <w:autoSpaceDE w:val="0"/>
        <w:autoSpaceDN w:val="0"/>
        <w:adjustRightInd w:val="0"/>
        <w:spacing w:line="240" w:lineRule="auto"/>
      </w:pPr>
      <w:r w:rsidRPr="00D442F1">
        <w:t>Health</w:t>
      </w:r>
      <w:r w:rsidRPr="00D442F1">
        <w:noBreakHyphen/>
        <w:t>related quality of life (HRQoL) was evaluated by PedsQL and EQ</w:t>
      </w:r>
      <w:r w:rsidRPr="00D442F1">
        <w:noBreakHyphen/>
        <w:t>5D questionnaires completed by patients aged 8 years and above (n=61). Among patients responding (n=51), the mean</w:t>
      </w:r>
      <w:r w:rsidRPr="00D442F1">
        <w:rPr>
          <w:szCs w:val="24"/>
          <w:u w:val="single"/>
        </w:rPr>
        <w:t xml:space="preserve"> </w:t>
      </w:r>
      <w:r w:rsidRPr="00D442F1">
        <w:rPr>
          <w:szCs w:val="24"/>
        </w:rPr>
        <w:t>(SD) change from baseline in the PedsQL total score was 13.1 (13.45) at month 3, 15.4 (16.81) at month 6 and 25.0 (19.09) at month 12, and the mean (SD) change from baseline in the EQ</w:t>
      </w:r>
      <w:r w:rsidRPr="00D442F1">
        <w:rPr>
          <w:szCs w:val="24"/>
        </w:rPr>
        <w:noBreakHyphen/>
        <w:t xml:space="preserve">5D VAS score was 16.0 (16.45) at month 3, 15.3 (18.33) at month 6 and </w:t>
      </w:r>
      <w:r w:rsidRPr="00D442F1">
        <w:rPr>
          <w:color w:val="000000"/>
        </w:rPr>
        <w:t>21.7 (17.14) at month 12</w:t>
      </w:r>
      <w:r w:rsidRPr="00D442F1">
        <w:rPr>
          <w:szCs w:val="24"/>
        </w:rPr>
        <w:t xml:space="preserve">, indicating overall clinically meaningful improvement in HRQoL </w:t>
      </w:r>
      <w:r w:rsidRPr="00D442F1">
        <w:t>following Kymriah infusion.</w:t>
      </w:r>
    </w:p>
    <w:p w:rsidR="008D20A4" w:rsidP="00166894" w14:paraId="31273B94" w14:textId="77777777">
      <w:pPr>
        <w:widowControl w:val="0"/>
        <w:tabs>
          <w:tab w:val="clear" w:pos="567"/>
        </w:tabs>
        <w:autoSpaceDE w:val="0"/>
        <w:autoSpaceDN w:val="0"/>
        <w:adjustRightInd w:val="0"/>
        <w:spacing w:line="240" w:lineRule="auto"/>
        <w:rPr>
          <w:szCs w:val="22"/>
        </w:rPr>
      </w:pPr>
    </w:p>
    <w:p w:rsidR="00130189" w:rsidP="00130189" w14:paraId="5FC1B7D1" w14:textId="07718751">
      <w:pPr>
        <w:widowControl w:val="0"/>
        <w:tabs>
          <w:tab w:val="clear" w:pos="567"/>
        </w:tabs>
        <w:autoSpaceDE w:val="0"/>
        <w:autoSpaceDN w:val="0"/>
        <w:adjustRightInd w:val="0"/>
        <w:spacing w:line="240" w:lineRule="auto"/>
      </w:pPr>
      <w:r>
        <w:t xml:space="preserve">The supportive study B2205J </w:t>
      </w:r>
      <w:r w:rsidR="00947EB3">
        <w:t xml:space="preserve">(ENSIGN) </w:t>
      </w:r>
      <w:r w:rsidR="6D74A48F">
        <w:t>was</w:t>
      </w:r>
      <w:r>
        <w:t xml:space="preserve"> a multicent</w:t>
      </w:r>
      <w:r w:rsidR="6F36932B">
        <w:t>re</w:t>
      </w:r>
      <w:r>
        <w:t xml:space="preserve"> single-arm phase</w:t>
      </w:r>
      <w:r w:rsidR="6F36932B">
        <w:t> </w:t>
      </w:r>
      <w:r w:rsidR="04E8683A">
        <w:t>II</w:t>
      </w:r>
      <w:r>
        <w:t xml:space="preserve"> </w:t>
      </w:r>
      <w:r w:rsidR="3438CBF2">
        <w:t xml:space="preserve">study in </w:t>
      </w:r>
      <w:r>
        <w:t xml:space="preserve">paediatric and young adult patients with r/r B‑cell </w:t>
      </w:r>
      <w:r w:rsidR="00947EB3">
        <w:t>ALL.</w:t>
      </w:r>
      <w:r>
        <w:t xml:space="preserve"> </w:t>
      </w:r>
      <w:r w:rsidR="00947EB3">
        <w:t xml:space="preserve">The study had similar study design and enrolled comparable patient populations as the pivotal </w:t>
      </w:r>
      <w:r w:rsidR="00A00419">
        <w:t xml:space="preserve">study </w:t>
      </w:r>
      <w:r w:rsidR="00947EB3">
        <w:t>B2202. The main difference between the two studies was the definition of the primary efficacy endpoint ORR, which was measured within 6</w:t>
      </w:r>
      <w:r w:rsidR="00241DB4">
        <w:t> </w:t>
      </w:r>
      <w:r w:rsidR="00947EB3">
        <w:t xml:space="preserve">months after Kymriah </w:t>
      </w:r>
      <w:r w:rsidR="00A85AA3">
        <w:t>infusion</w:t>
      </w:r>
      <w:r w:rsidR="00947EB3">
        <w:t xml:space="preserve"> in study B2205J compared to 3</w:t>
      </w:r>
      <w:r w:rsidR="00241DB4">
        <w:t> </w:t>
      </w:r>
      <w:r w:rsidR="00947EB3">
        <w:t>months in the pivotal study</w:t>
      </w:r>
      <w:r>
        <w:t>.</w:t>
      </w:r>
      <w:r w:rsidR="6F36932B">
        <w:t xml:space="preserve"> </w:t>
      </w:r>
      <w:r>
        <w:t>Of 75</w:t>
      </w:r>
      <w:r w:rsidR="6F36932B">
        <w:t> </w:t>
      </w:r>
      <w:r>
        <w:t>patients enrolled, 64 received infusion of Kymriah</w:t>
      </w:r>
      <w:r w:rsidR="04E8683A">
        <w:t>; for 5</w:t>
      </w:r>
      <w:r w:rsidR="6F36932B">
        <w:t> </w:t>
      </w:r>
      <w:r w:rsidR="04E8683A">
        <w:t>patients (</w:t>
      </w:r>
      <w:r w:rsidR="6C400C06">
        <w:t>6.7</w:t>
      </w:r>
      <w:r w:rsidR="04E8683A">
        <w:t>%), Kymriah could not be manufactured</w:t>
      </w:r>
      <w:r w:rsidR="6C400C06">
        <w:t xml:space="preserve"> and 6</w:t>
      </w:r>
      <w:r w:rsidR="6F36932B">
        <w:t> </w:t>
      </w:r>
      <w:r w:rsidR="6C400C06">
        <w:t xml:space="preserve">patients (8.0%) died </w:t>
      </w:r>
      <w:r w:rsidR="00947EB3">
        <w:t>while awaiting Kymriah manufacturing in the clinical study</w:t>
      </w:r>
      <w:r w:rsidRPr="001A44FC" w:rsidR="00947EB3">
        <w:t>.</w:t>
      </w:r>
      <w:r w:rsidR="6C400C06">
        <w:t xml:space="preserve"> </w:t>
      </w:r>
      <w:r w:rsidRPr="00E2636E" w:rsidR="00E2636E">
        <w:t xml:space="preserve">The median </w:t>
      </w:r>
      <w:r w:rsidRPr="00E47024" w:rsidR="00E47024">
        <w:t xml:space="preserve">duration of study follow-up defined as the </w:t>
      </w:r>
      <w:r w:rsidRPr="00E2636E" w:rsidR="00E2636E">
        <w:t xml:space="preserve">time from Kymriah infusion to the date of </w:t>
      </w:r>
      <w:r w:rsidRPr="00E47024" w:rsidR="00E47024">
        <w:t xml:space="preserve">completion or </w:t>
      </w:r>
      <w:r w:rsidRPr="00E2636E" w:rsidR="00E2636E">
        <w:t xml:space="preserve">discontinuation from follow-up </w:t>
      </w:r>
      <w:r w:rsidRPr="00E47024" w:rsidR="00E47024">
        <w:t xml:space="preserve">prior to </w:t>
      </w:r>
      <w:r w:rsidRPr="00E2636E" w:rsidR="00E2636E">
        <w:t>the data cut-off date in the final analyses was 12.</w:t>
      </w:r>
      <w:r w:rsidR="00002A87">
        <w:t>2</w:t>
      </w:r>
      <w:r w:rsidR="00687882">
        <w:t> </w:t>
      </w:r>
      <w:r w:rsidRPr="00E2636E" w:rsidR="00E2636E">
        <w:t>months (range: 0.4-49.3). The median time from Kymriah infusion to the data cut-off date was 31.7</w:t>
      </w:r>
      <w:r w:rsidR="00687882">
        <w:t> </w:t>
      </w:r>
      <w:r w:rsidRPr="00E2636E" w:rsidR="00E2636E">
        <w:t>months (range: 17.6-56.0).</w:t>
      </w:r>
    </w:p>
    <w:p w:rsidR="00947EB3" w:rsidP="066A9B50" w14:paraId="1707692B" w14:textId="72D906E4">
      <w:pPr>
        <w:widowControl w:val="0"/>
        <w:tabs>
          <w:tab w:val="clear" w:pos="567"/>
        </w:tabs>
        <w:autoSpaceDE w:val="0"/>
        <w:autoSpaceDN w:val="0"/>
        <w:adjustRightInd w:val="0"/>
        <w:spacing w:line="240" w:lineRule="auto"/>
      </w:pPr>
    </w:p>
    <w:p w:rsidR="007F7AD9" w:rsidRPr="006A6D80" w:rsidP="066A9B50" w14:paraId="2332AD5B" w14:textId="583EDE16">
      <w:pPr>
        <w:widowControl w:val="0"/>
        <w:tabs>
          <w:tab w:val="clear" w:pos="567"/>
        </w:tabs>
        <w:autoSpaceDE w:val="0"/>
        <w:autoSpaceDN w:val="0"/>
        <w:adjustRightInd w:val="0"/>
        <w:spacing w:line="240" w:lineRule="auto"/>
      </w:pPr>
      <w:r>
        <w:t>Among the patients infused, the median age was 12.</w:t>
      </w:r>
      <w:r w:rsidR="6D3A345E">
        <w:t>5</w:t>
      </w:r>
      <w:r w:rsidR="6F36932B">
        <w:t> </w:t>
      </w:r>
      <w:r>
        <w:t xml:space="preserve">years (range: </w:t>
      </w:r>
      <w:r w:rsidR="0EDBA446">
        <w:t>3</w:t>
      </w:r>
      <w:r w:rsidR="6F36932B">
        <w:t xml:space="preserve"> </w:t>
      </w:r>
      <w:r w:rsidR="1B41D0A1">
        <w:t xml:space="preserve">to </w:t>
      </w:r>
      <w:r w:rsidR="0EDBA446">
        <w:t>25</w:t>
      </w:r>
      <w:r>
        <w:t xml:space="preserve">), </w:t>
      </w:r>
      <w:r w:rsidR="5D82D62F">
        <w:t>34 (</w:t>
      </w:r>
      <w:r w:rsidR="7584569D">
        <w:t>53.1</w:t>
      </w:r>
      <w:r>
        <w:t>%</w:t>
      </w:r>
      <w:r w:rsidR="5D82D62F">
        <w:t>)</w:t>
      </w:r>
      <w:r>
        <w:t xml:space="preserve"> were female</w:t>
      </w:r>
      <w:r w:rsidR="00947EB3">
        <w:t xml:space="preserve"> and 30 (46.9%) were male</w:t>
      </w:r>
      <w:r>
        <w:t xml:space="preserve">, </w:t>
      </w:r>
      <w:r w:rsidR="39A42769">
        <w:t>10.9</w:t>
      </w:r>
      <w:r>
        <w:t xml:space="preserve">% had primary refractory disease, </w:t>
      </w:r>
      <w:r w:rsidR="53E24112">
        <w:t>89.1</w:t>
      </w:r>
      <w:r>
        <w:t xml:space="preserve">% had relapsed disease, and </w:t>
      </w:r>
      <w:r w:rsidR="73E8DF4D">
        <w:t>43.</w:t>
      </w:r>
      <w:r w:rsidR="00947EB3">
        <w:t>8</w:t>
      </w:r>
      <w:r>
        <w:t>% of patients had a</w:t>
      </w:r>
      <w:r w:rsidR="3F0FBDD2">
        <w:t>t least one</w:t>
      </w:r>
      <w:r>
        <w:t xml:space="preserve"> prior h</w:t>
      </w:r>
      <w:r w:rsidR="6F36932B">
        <w:t>a</w:t>
      </w:r>
      <w:r>
        <w:t xml:space="preserve">ematopoietic stem cell </w:t>
      </w:r>
      <w:r w:rsidRPr="00414C66">
        <w:rPr>
          <w:color w:val="000000" w:themeColor="text1"/>
        </w:rPr>
        <w:t>transplant.</w:t>
      </w:r>
      <w:r w:rsidRPr="00414C66" w:rsidR="1C464A05">
        <w:rPr>
          <w:color w:val="000000" w:themeColor="text1"/>
        </w:rPr>
        <w:t xml:space="preserve"> </w:t>
      </w:r>
      <w:r w:rsidRPr="00414C66" w:rsidR="4A40E555">
        <w:rPr>
          <w:rFonts w:eastAsia="Calibri"/>
          <w:color w:val="000000" w:themeColor="text1"/>
        </w:rPr>
        <w:t xml:space="preserve">Baseline disease characteristics were similar in the enrolled </w:t>
      </w:r>
      <w:r w:rsidRPr="00414C66" w:rsidR="005005F4">
        <w:rPr>
          <w:rFonts w:eastAsia="Calibri"/>
          <w:color w:val="000000" w:themeColor="text1"/>
        </w:rPr>
        <w:t xml:space="preserve">patients </w:t>
      </w:r>
      <w:r w:rsidRPr="00414C66" w:rsidR="4A40E555">
        <w:rPr>
          <w:rFonts w:eastAsia="Calibri"/>
          <w:color w:val="000000" w:themeColor="text1"/>
        </w:rPr>
        <w:t xml:space="preserve">with regard to age (median </w:t>
      </w:r>
      <w:r w:rsidRPr="00414C66" w:rsidR="00213E38">
        <w:rPr>
          <w:rFonts w:eastAsia="Calibri"/>
          <w:color w:val="000000" w:themeColor="text1"/>
        </w:rPr>
        <w:t xml:space="preserve">age </w:t>
      </w:r>
      <w:r w:rsidRPr="00414C66" w:rsidR="4A40E555">
        <w:rPr>
          <w:rFonts w:eastAsia="Calibri"/>
          <w:color w:val="000000" w:themeColor="text1"/>
        </w:rPr>
        <w:t>1</w:t>
      </w:r>
      <w:r w:rsidRPr="00414C66" w:rsidR="13884EB5">
        <w:rPr>
          <w:rFonts w:eastAsia="Calibri"/>
          <w:color w:val="000000" w:themeColor="text1"/>
        </w:rPr>
        <w:t>3.0</w:t>
      </w:r>
      <w:r w:rsidR="00414C66">
        <w:rPr>
          <w:rFonts w:eastAsia="Calibri"/>
          <w:color w:val="000000" w:themeColor="text1"/>
        </w:rPr>
        <w:t> </w:t>
      </w:r>
      <w:r w:rsidRPr="00414C66" w:rsidR="00213E38">
        <w:rPr>
          <w:rFonts w:eastAsia="Calibri"/>
          <w:color w:val="000000" w:themeColor="text1"/>
        </w:rPr>
        <w:t>years</w:t>
      </w:r>
      <w:r w:rsidRPr="00414C66" w:rsidR="0033B9A8">
        <w:rPr>
          <w:rFonts w:eastAsia="Calibri"/>
          <w:color w:val="000000" w:themeColor="text1"/>
        </w:rPr>
        <w:t>, range: 3 to 25</w:t>
      </w:r>
      <w:r w:rsidRPr="00414C66" w:rsidR="4A40E555">
        <w:rPr>
          <w:rFonts w:eastAsia="Calibri"/>
          <w:color w:val="000000" w:themeColor="text1"/>
        </w:rPr>
        <w:t xml:space="preserve">), </w:t>
      </w:r>
      <w:r w:rsidRPr="00414C66" w:rsidR="00213E38">
        <w:rPr>
          <w:rFonts w:eastAsia="Calibri"/>
          <w:color w:val="000000" w:themeColor="text1"/>
        </w:rPr>
        <w:t>gender</w:t>
      </w:r>
      <w:r w:rsidRPr="00414C66" w:rsidR="4A40E555">
        <w:rPr>
          <w:rFonts w:eastAsia="Calibri"/>
          <w:color w:val="000000" w:themeColor="text1"/>
        </w:rPr>
        <w:t xml:space="preserve"> (46.7% female</w:t>
      </w:r>
      <w:r w:rsidR="00947EB3">
        <w:rPr>
          <w:rFonts w:eastAsia="Calibri"/>
          <w:color w:val="000000" w:themeColor="text1"/>
        </w:rPr>
        <w:t xml:space="preserve"> </w:t>
      </w:r>
      <w:r w:rsidRPr="3FF9C8E4" w:rsidR="00947EB3">
        <w:rPr>
          <w:rFonts w:eastAsia="Calibri"/>
          <w:color w:val="000000" w:themeColor="text1"/>
        </w:rPr>
        <w:t>and 53.3% male</w:t>
      </w:r>
      <w:r w:rsidRPr="00414C66" w:rsidR="4A40E555">
        <w:rPr>
          <w:rFonts w:eastAsia="Calibri"/>
          <w:color w:val="000000" w:themeColor="text1"/>
        </w:rPr>
        <w:t>), primary refractoriness (</w:t>
      </w:r>
      <w:r w:rsidRPr="00414C66" w:rsidR="1D35E1CF">
        <w:rPr>
          <w:rFonts w:eastAsia="Calibri"/>
          <w:color w:val="000000" w:themeColor="text1"/>
        </w:rPr>
        <w:t>10.7</w:t>
      </w:r>
      <w:r w:rsidRPr="00414C66" w:rsidR="4A40E555">
        <w:rPr>
          <w:rFonts w:eastAsia="Calibri"/>
          <w:color w:val="000000" w:themeColor="text1"/>
        </w:rPr>
        <w:t>%), and prior transplant</w:t>
      </w:r>
      <w:r w:rsidRPr="00414C66" w:rsidR="53FEE188">
        <w:rPr>
          <w:rFonts w:eastAsia="Calibri"/>
          <w:color w:val="000000" w:themeColor="text1"/>
        </w:rPr>
        <w:t xml:space="preserve"> history</w:t>
      </w:r>
      <w:r w:rsidRPr="00414C66" w:rsidR="4A40E555">
        <w:rPr>
          <w:rFonts w:eastAsia="Calibri"/>
          <w:color w:val="000000" w:themeColor="text1"/>
        </w:rPr>
        <w:t xml:space="preserve"> (</w:t>
      </w:r>
      <w:r w:rsidRPr="00414C66" w:rsidR="21858118">
        <w:rPr>
          <w:rFonts w:eastAsia="Calibri"/>
          <w:color w:val="000000" w:themeColor="text1"/>
        </w:rPr>
        <w:t>42.7</w:t>
      </w:r>
      <w:r w:rsidRPr="00414C66" w:rsidR="4A40E555">
        <w:rPr>
          <w:rFonts w:eastAsia="Calibri"/>
          <w:color w:val="000000" w:themeColor="text1"/>
        </w:rPr>
        <w:t>%)</w:t>
      </w:r>
      <w:r w:rsidRPr="00414C66" w:rsidR="6F3A2CA1">
        <w:rPr>
          <w:rFonts w:eastAsia="Calibri"/>
          <w:color w:val="000000" w:themeColor="text1"/>
        </w:rPr>
        <w:t>.</w:t>
      </w:r>
      <w:r w:rsidRPr="00414C66" w:rsidR="4A40E555">
        <w:rPr>
          <w:color w:val="000000" w:themeColor="text1"/>
        </w:rPr>
        <w:t xml:space="preserve"> </w:t>
      </w:r>
      <w:r w:rsidRPr="00414C66" w:rsidR="6C400C06">
        <w:rPr>
          <w:color w:val="000000" w:themeColor="text1"/>
        </w:rPr>
        <w:t xml:space="preserve">The </w:t>
      </w:r>
      <w:r w:rsidRPr="00414C66" w:rsidR="6C400C06">
        <w:t xml:space="preserve">majority of </w:t>
      </w:r>
      <w:r w:rsidRPr="00414C66" w:rsidR="7661C279">
        <w:t xml:space="preserve">infused </w:t>
      </w:r>
      <w:r w:rsidRPr="00414C66" w:rsidR="6C400C06">
        <w:t>patients (57/64, 89.1%) received bridging chemotherapy while waiting for Kymriah. A total of 60 out of 64</w:t>
      </w:r>
      <w:r w:rsidRPr="006A6D80" w:rsidR="6F36932B">
        <w:t> </w:t>
      </w:r>
      <w:r w:rsidRPr="006A6D80" w:rsidR="6C400C06">
        <w:t>patients (93.8%) who received Kymriah infusion also received lymphodepleting chemotherapy after enrolment and prior to infusion of a single dose of Kymriah</w:t>
      </w:r>
      <w:r w:rsidRPr="006A6D80" w:rsidR="00DE5795">
        <w:t>.</w:t>
      </w:r>
    </w:p>
    <w:p w:rsidR="007F7AD9" w:rsidP="00BA62DE" w14:paraId="67DC4366" w14:textId="77777777">
      <w:pPr>
        <w:widowControl w:val="0"/>
        <w:tabs>
          <w:tab w:val="clear" w:pos="567"/>
        </w:tabs>
        <w:autoSpaceDE w:val="0"/>
        <w:autoSpaceDN w:val="0"/>
        <w:adjustRightInd w:val="0"/>
        <w:spacing w:line="240" w:lineRule="auto"/>
      </w:pPr>
    </w:p>
    <w:p w:rsidR="00BA62DE" w:rsidRPr="006A6D80" w:rsidP="066A9B50" w14:paraId="13C2EE0A" w14:textId="59932E63">
      <w:pPr>
        <w:widowControl w:val="0"/>
        <w:tabs>
          <w:tab w:val="clear" w:pos="567"/>
        </w:tabs>
        <w:autoSpaceDE w:val="0"/>
        <w:autoSpaceDN w:val="0"/>
        <w:adjustRightInd w:val="0"/>
        <w:spacing w:line="240" w:lineRule="auto"/>
        <w:rPr>
          <w:color w:val="000000" w:themeColor="text1"/>
          <w:szCs w:val="22"/>
        </w:rPr>
      </w:pPr>
      <w:r>
        <w:t>Efficacy was established through the primary endpoint of ORR, which include</w:t>
      </w:r>
      <w:r w:rsidR="00BA3CDC">
        <w:t>d</w:t>
      </w:r>
      <w:r>
        <w:t xml:space="preserve"> best overall response as CR or CRi </w:t>
      </w:r>
      <w:r w:rsidR="00947EB3">
        <w:t>that were maintained for at least 28</w:t>
      </w:r>
      <w:r w:rsidR="00BA3CDC">
        <w:t> </w:t>
      </w:r>
      <w:r w:rsidR="00947EB3">
        <w:t xml:space="preserve">days </w:t>
      </w:r>
      <w:r>
        <w:t>within 6 months post</w:t>
      </w:r>
      <w:r w:rsidR="00BA3CDC">
        <w:noBreakHyphen/>
      </w:r>
      <w:r>
        <w:t>infusion, as determined by IRC assessment, as well as secondary endpoints including DOR</w:t>
      </w:r>
      <w:r w:rsidR="00F36CAA">
        <w:t>, proportion of patients who achieved CR or CRi with MRD</w:t>
      </w:r>
      <w:r w:rsidR="00BA3CDC">
        <w:noBreakHyphen/>
      </w:r>
      <w:r w:rsidR="00F36CAA">
        <w:t>negative disease status, and OS</w:t>
      </w:r>
      <w:r>
        <w:t>.</w:t>
      </w:r>
      <w:r w:rsidR="00D25A33">
        <w:t xml:space="preserve"> </w:t>
      </w:r>
      <w:r w:rsidR="00FE034D">
        <w:t>Among the</w:t>
      </w:r>
      <w:r w:rsidR="0A9D856F">
        <w:t xml:space="preserve"> patients</w:t>
      </w:r>
      <w:r w:rsidRPr="00FE034D" w:rsidR="00FE034D">
        <w:t xml:space="preserve"> </w:t>
      </w:r>
      <w:r w:rsidR="00FE034D">
        <w:t>infused</w:t>
      </w:r>
      <w:r w:rsidR="0A9D856F">
        <w:t xml:space="preserve">, </w:t>
      </w:r>
      <w:r w:rsidR="00F36CAA">
        <w:t>ORR</w:t>
      </w:r>
      <w:r>
        <w:t xml:space="preserve"> was demonstrated in </w:t>
      </w:r>
      <w:r w:rsidR="0B444A70">
        <w:t>45</w:t>
      </w:r>
      <w:r w:rsidR="00BA3CDC">
        <w:t> </w:t>
      </w:r>
      <w:r w:rsidR="00F36CAA">
        <w:t>patients</w:t>
      </w:r>
      <w:r w:rsidR="0043535A">
        <w:t xml:space="preserve"> </w:t>
      </w:r>
      <w:r>
        <w:t>(</w:t>
      </w:r>
      <w:r w:rsidR="37F18923">
        <w:t>70.3</w:t>
      </w:r>
      <w:r>
        <w:t>%</w:t>
      </w:r>
      <w:r w:rsidR="00F36CAA">
        <w:t xml:space="preserve">; </w:t>
      </w:r>
      <w:r w:rsidR="47D1D367">
        <w:t>59.4</w:t>
      </w:r>
      <w:r>
        <w:t xml:space="preserve">% CR and </w:t>
      </w:r>
      <w:r w:rsidR="7EBB9A0F">
        <w:t>10.9</w:t>
      </w:r>
      <w:r>
        <w:t>% CRi).</w:t>
      </w:r>
      <w:r w:rsidR="00D25A33">
        <w:t xml:space="preserve"> </w:t>
      </w:r>
      <w:r>
        <w:t xml:space="preserve">CR/CRi </w:t>
      </w:r>
      <w:r w:rsidR="005005F4">
        <w:t>with</w:t>
      </w:r>
      <w:r>
        <w:t xml:space="preserve"> MRD</w:t>
      </w:r>
      <w:r w:rsidR="00BA3CDC">
        <w:noBreakHyphen/>
      </w:r>
      <w:r>
        <w:t xml:space="preserve">negative bone marrow was reported in </w:t>
      </w:r>
      <w:r w:rsidR="31AADAEA">
        <w:t>43</w:t>
      </w:r>
      <w:r w:rsidR="00BA3CDC">
        <w:t> </w:t>
      </w:r>
      <w:r w:rsidR="00F36CAA">
        <w:t xml:space="preserve">patients </w:t>
      </w:r>
      <w:r>
        <w:t>(</w:t>
      </w:r>
      <w:r w:rsidR="4C9D30F8">
        <w:t>67.2</w:t>
      </w:r>
      <w:r>
        <w:t>%).</w:t>
      </w:r>
      <w:r w:rsidR="00D25A33">
        <w:t xml:space="preserve"> </w:t>
      </w:r>
      <w:r>
        <w:t xml:space="preserve">The median </w:t>
      </w:r>
      <w:r w:rsidR="00F36CAA">
        <w:t>DOR</w:t>
      </w:r>
      <w:r>
        <w:t xml:space="preserve"> was not reached and the event</w:t>
      </w:r>
      <w:r w:rsidR="00BA3CDC">
        <w:noBreakHyphen/>
      </w:r>
      <w:r>
        <w:t xml:space="preserve">free probability at </w:t>
      </w:r>
      <w:r w:rsidR="47FC06EA">
        <w:t>12</w:t>
      </w:r>
      <w:r w:rsidR="00D25A33">
        <w:t> </w:t>
      </w:r>
      <w:r>
        <w:t xml:space="preserve">months was </w:t>
      </w:r>
      <w:r w:rsidR="769F9489">
        <w:t>70.5</w:t>
      </w:r>
      <w:r>
        <w:t>%.</w:t>
      </w:r>
      <w:r w:rsidR="00D25A33">
        <w:t xml:space="preserve"> </w:t>
      </w:r>
      <w:r w:rsidR="00FE034D">
        <w:t>T</w:t>
      </w:r>
      <w:r>
        <w:t xml:space="preserve">he survival probability at </w:t>
      </w:r>
      <w:r w:rsidR="00320CF6">
        <w:t>24</w:t>
      </w:r>
      <w:r w:rsidR="00D25A33">
        <w:t> </w:t>
      </w:r>
      <w:r>
        <w:t xml:space="preserve">months was </w:t>
      </w:r>
      <w:r w:rsidR="00F36CAA">
        <w:t>54.7</w:t>
      </w:r>
      <w:r>
        <w:t>%</w:t>
      </w:r>
      <w:r w:rsidR="69EFF807">
        <w:t>, and t</w:t>
      </w:r>
      <w:r w:rsidR="00C20313">
        <w:t xml:space="preserve">he median </w:t>
      </w:r>
      <w:r w:rsidR="00F36CAA">
        <w:t>OS</w:t>
      </w:r>
      <w:r w:rsidR="00213E38">
        <w:t xml:space="preserve"> </w:t>
      </w:r>
      <w:r w:rsidR="00D543ED">
        <w:t xml:space="preserve">was </w:t>
      </w:r>
      <w:r w:rsidR="00320CF6">
        <w:t>estimated as 29.9</w:t>
      </w:r>
      <w:r w:rsidR="00DA0C67">
        <w:t> </w:t>
      </w:r>
      <w:r w:rsidR="009D507E">
        <w:t xml:space="preserve">months </w:t>
      </w:r>
      <w:r w:rsidR="00320CF6">
        <w:t>(</w:t>
      </w:r>
      <w:r w:rsidR="00F36CAA">
        <w:t>95% CI: 15.1, 42.4)</w:t>
      </w:r>
      <w:r w:rsidRPr="3FF9C8E4" w:rsidR="00F36CAA">
        <w:rPr>
          <w:color w:val="000000" w:themeColor="text1"/>
        </w:rPr>
        <w:t>. The OS results were confirmed in an updated OS analyses (i.e. median OS 29.9</w:t>
      </w:r>
      <w:r w:rsidR="00A8440F">
        <w:rPr>
          <w:color w:val="000000" w:themeColor="text1"/>
        </w:rPr>
        <w:t> </w:t>
      </w:r>
      <w:r w:rsidRPr="3FF9C8E4" w:rsidR="00F36CAA">
        <w:rPr>
          <w:color w:val="000000" w:themeColor="text1"/>
        </w:rPr>
        <w:t>months [95% CI: 15.2, NE] with 57.6% survival probabil</w:t>
      </w:r>
      <w:r w:rsidR="006365EF">
        <w:rPr>
          <w:color w:val="000000" w:themeColor="text1"/>
        </w:rPr>
        <w:t>i</w:t>
      </w:r>
      <w:r w:rsidRPr="3FF9C8E4" w:rsidR="00F36CAA">
        <w:rPr>
          <w:color w:val="000000" w:themeColor="text1"/>
        </w:rPr>
        <w:t>ty at 24</w:t>
      </w:r>
      <w:r w:rsidR="00A8440F">
        <w:rPr>
          <w:color w:val="000000" w:themeColor="text1"/>
        </w:rPr>
        <w:t> </w:t>
      </w:r>
      <w:r w:rsidRPr="3FF9C8E4" w:rsidR="00F36CAA">
        <w:rPr>
          <w:color w:val="000000" w:themeColor="text1"/>
        </w:rPr>
        <w:t>months; with a median follow</w:t>
      </w:r>
      <w:r w:rsidR="00A8440F">
        <w:rPr>
          <w:color w:val="000000" w:themeColor="text1"/>
        </w:rPr>
        <w:noBreakHyphen/>
      </w:r>
      <w:r w:rsidRPr="3FF9C8E4" w:rsidR="00F36CAA">
        <w:rPr>
          <w:color w:val="000000" w:themeColor="text1"/>
        </w:rPr>
        <w:t>up for OS of 25.9</w:t>
      </w:r>
      <w:r w:rsidR="00A8440F">
        <w:rPr>
          <w:color w:val="000000" w:themeColor="text1"/>
        </w:rPr>
        <w:t> </w:t>
      </w:r>
      <w:r w:rsidRPr="3FF9C8E4" w:rsidR="00F36CAA">
        <w:rPr>
          <w:color w:val="000000" w:themeColor="text1"/>
        </w:rPr>
        <w:t>months), which included patients transitioned to a separate long</w:t>
      </w:r>
      <w:r w:rsidR="00A8440F">
        <w:rPr>
          <w:color w:val="000000" w:themeColor="text1"/>
        </w:rPr>
        <w:noBreakHyphen/>
      </w:r>
      <w:r w:rsidRPr="3FF9C8E4" w:rsidR="00F36CAA">
        <w:rPr>
          <w:color w:val="000000" w:themeColor="text1"/>
        </w:rPr>
        <w:t>term follow</w:t>
      </w:r>
      <w:r w:rsidR="00A8440F">
        <w:rPr>
          <w:color w:val="000000" w:themeColor="text1"/>
        </w:rPr>
        <w:noBreakHyphen/>
      </w:r>
      <w:r w:rsidRPr="3FF9C8E4" w:rsidR="00F36CAA">
        <w:rPr>
          <w:color w:val="000000" w:themeColor="text1"/>
        </w:rPr>
        <w:t xml:space="preserve">up study. </w:t>
      </w:r>
      <w:r w:rsidR="00344BE5">
        <w:t>Seven</w:t>
      </w:r>
      <w:r w:rsidR="00F36CAA">
        <w:t xml:space="preserve"> patients (1</w:t>
      </w:r>
      <w:r w:rsidR="008471A1">
        <w:t>0.9</w:t>
      </w:r>
      <w:r w:rsidR="00F36CAA">
        <w:t>%) who achieved CR/CRi after Kymriah infusion proceeded to haematopoietic stem cell transplant while in remission during the study, of which 5 of the patients (7.8%) proceeded to transplant within the first 6</w:t>
      </w:r>
      <w:r w:rsidR="00A8440F">
        <w:t> </w:t>
      </w:r>
      <w:r w:rsidR="00F36CAA">
        <w:t>months post</w:t>
      </w:r>
      <w:r w:rsidR="00A8440F">
        <w:noBreakHyphen/>
      </w:r>
      <w:r w:rsidR="00F36CAA">
        <w:t>infusion.</w:t>
      </w:r>
      <w:r w:rsidRPr="006A6D80" w:rsidR="673E4F62">
        <w:rPr>
          <w:color w:val="000000" w:themeColor="text1"/>
          <w:szCs w:val="22"/>
        </w:rPr>
        <w:t xml:space="preserve"> </w:t>
      </w:r>
      <w:r w:rsidRPr="006A6D80" w:rsidR="37175B52">
        <w:rPr>
          <w:color w:val="000000" w:themeColor="text1"/>
          <w:szCs w:val="22"/>
        </w:rPr>
        <w:t xml:space="preserve">Efficacy results reported for the enrolled </w:t>
      </w:r>
      <w:r w:rsidRPr="006A6D80" w:rsidR="00213E38">
        <w:rPr>
          <w:color w:val="000000" w:themeColor="text1"/>
          <w:szCs w:val="22"/>
        </w:rPr>
        <w:t>patients</w:t>
      </w:r>
      <w:r w:rsidRPr="006A6D80" w:rsidR="37175B52">
        <w:rPr>
          <w:color w:val="000000" w:themeColor="text1"/>
          <w:szCs w:val="22"/>
        </w:rPr>
        <w:t xml:space="preserve"> (n=7</w:t>
      </w:r>
      <w:r w:rsidRPr="006A6D80" w:rsidR="3786DCFC">
        <w:rPr>
          <w:color w:val="000000" w:themeColor="text1"/>
          <w:szCs w:val="22"/>
        </w:rPr>
        <w:t xml:space="preserve">5) </w:t>
      </w:r>
      <w:r w:rsidRPr="006A6D80" w:rsidR="53BD75B9">
        <w:rPr>
          <w:color w:val="000000" w:themeColor="text1"/>
          <w:szCs w:val="22"/>
        </w:rPr>
        <w:t xml:space="preserve">demonstrate an ORR of </w:t>
      </w:r>
      <w:r w:rsidRPr="006A6D80" w:rsidR="79B64DE1">
        <w:rPr>
          <w:color w:val="000000" w:themeColor="text1"/>
          <w:szCs w:val="22"/>
        </w:rPr>
        <w:t>60.0% (5</w:t>
      </w:r>
      <w:r w:rsidRPr="006A6D80" w:rsidR="4B7CA713">
        <w:rPr>
          <w:color w:val="000000" w:themeColor="text1"/>
          <w:szCs w:val="22"/>
        </w:rPr>
        <w:t>0</w:t>
      </w:r>
      <w:r w:rsidRPr="006A6D80" w:rsidR="79B64DE1">
        <w:rPr>
          <w:color w:val="000000" w:themeColor="text1"/>
          <w:szCs w:val="22"/>
        </w:rPr>
        <w:t>.7% CR and 9.3% CRi</w:t>
      </w:r>
      <w:r w:rsidRPr="006A6D80" w:rsidR="43610EF8">
        <w:rPr>
          <w:color w:val="000000" w:themeColor="text1"/>
          <w:szCs w:val="22"/>
        </w:rPr>
        <w:t>; 57.3% with MRD</w:t>
      </w:r>
      <w:r w:rsidR="00A8440F">
        <w:rPr>
          <w:color w:val="000000" w:themeColor="text1"/>
          <w:szCs w:val="22"/>
        </w:rPr>
        <w:noBreakHyphen/>
      </w:r>
      <w:r w:rsidRPr="006A6D80" w:rsidR="43610EF8">
        <w:rPr>
          <w:color w:val="000000" w:themeColor="text1"/>
          <w:szCs w:val="22"/>
        </w:rPr>
        <w:t>negative bone marrow</w:t>
      </w:r>
      <w:r w:rsidRPr="006A6D80" w:rsidR="79B64DE1">
        <w:rPr>
          <w:color w:val="000000" w:themeColor="text1"/>
          <w:szCs w:val="22"/>
        </w:rPr>
        <w:t>)</w:t>
      </w:r>
      <w:r w:rsidR="00F36CAA">
        <w:rPr>
          <w:color w:val="000000" w:themeColor="text1"/>
          <w:szCs w:val="22"/>
        </w:rPr>
        <w:t>.</w:t>
      </w:r>
      <w:r w:rsidRPr="00F36CAA" w:rsidR="00F36CAA">
        <w:rPr>
          <w:color w:val="000000" w:themeColor="text1"/>
          <w:szCs w:val="22"/>
        </w:rPr>
        <w:t xml:space="preserve"> </w:t>
      </w:r>
      <w:r w:rsidR="00F36CAA">
        <w:rPr>
          <w:color w:val="000000" w:themeColor="text1"/>
          <w:szCs w:val="22"/>
        </w:rPr>
        <w:t>The reported overall survival in the enrolled population is in accordance with the infused population.</w:t>
      </w:r>
    </w:p>
    <w:p w:rsidR="007F7AD9" w:rsidP="00166894" w14:paraId="2A08ED22" w14:textId="0B74DEB3">
      <w:pPr>
        <w:widowControl w:val="0"/>
        <w:tabs>
          <w:tab w:val="clear" w:pos="567"/>
        </w:tabs>
        <w:autoSpaceDE w:val="0"/>
        <w:autoSpaceDN w:val="0"/>
        <w:adjustRightInd w:val="0"/>
        <w:spacing w:line="240" w:lineRule="auto"/>
        <w:rPr>
          <w:szCs w:val="22"/>
        </w:rPr>
      </w:pPr>
    </w:p>
    <w:p w:rsidR="00E1114B" w:rsidRPr="00D442F1" w:rsidP="00E1114B" w14:paraId="27C3CA31" w14:textId="77777777">
      <w:pPr>
        <w:keepNext/>
        <w:widowControl w:val="0"/>
        <w:tabs>
          <w:tab w:val="clear" w:pos="567"/>
        </w:tabs>
        <w:autoSpaceDE w:val="0"/>
        <w:autoSpaceDN w:val="0"/>
        <w:adjustRightInd w:val="0"/>
        <w:spacing w:line="240" w:lineRule="auto"/>
        <w:rPr>
          <w:i/>
          <w:szCs w:val="22"/>
        </w:rPr>
      </w:pPr>
      <w:r w:rsidRPr="00D442F1">
        <w:rPr>
          <w:i/>
          <w:szCs w:val="22"/>
        </w:rPr>
        <w:t>Special populations</w:t>
      </w:r>
    </w:p>
    <w:p w:rsidR="00E1114B" w:rsidRPr="00D442F1" w:rsidP="00E1114B" w14:paraId="1D308568" w14:textId="77777777">
      <w:pPr>
        <w:widowControl w:val="0"/>
        <w:tabs>
          <w:tab w:val="clear" w:pos="567"/>
        </w:tabs>
        <w:autoSpaceDE w:val="0"/>
        <w:autoSpaceDN w:val="0"/>
        <w:adjustRightInd w:val="0"/>
        <w:spacing w:line="240" w:lineRule="auto"/>
        <w:rPr>
          <w:szCs w:val="22"/>
        </w:rPr>
      </w:pPr>
      <w:r w:rsidRPr="00D442F1">
        <w:rPr>
          <w:szCs w:val="22"/>
        </w:rPr>
        <w:t>No differences in efficacy or safety were observed between different age subgroups.</w:t>
      </w:r>
    </w:p>
    <w:p w:rsidR="00E1114B" w:rsidRPr="00D442F1" w:rsidP="00E1114B" w14:paraId="697AA4D2" w14:textId="77777777">
      <w:pPr>
        <w:widowControl w:val="0"/>
        <w:tabs>
          <w:tab w:val="clear" w:pos="567"/>
        </w:tabs>
        <w:autoSpaceDE w:val="0"/>
        <w:autoSpaceDN w:val="0"/>
        <w:adjustRightInd w:val="0"/>
        <w:spacing w:line="240" w:lineRule="auto"/>
        <w:rPr>
          <w:szCs w:val="22"/>
        </w:rPr>
      </w:pPr>
    </w:p>
    <w:p w:rsidR="00E1114B" w:rsidRPr="00D442F1" w:rsidP="00E1114B" w14:paraId="2111F56A" w14:textId="77777777">
      <w:pPr>
        <w:keepNext/>
        <w:widowControl w:val="0"/>
        <w:tabs>
          <w:tab w:val="clear" w:pos="567"/>
        </w:tabs>
        <w:spacing w:line="240" w:lineRule="auto"/>
        <w:outlineLvl w:val="0"/>
        <w:rPr>
          <w:i/>
          <w:szCs w:val="22"/>
        </w:rPr>
      </w:pPr>
      <w:r w:rsidRPr="00D442F1">
        <w:rPr>
          <w:i/>
          <w:szCs w:val="22"/>
        </w:rPr>
        <w:t>Patients with active CNS leukaemia</w:t>
      </w:r>
    </w:p>
    <w:p w:rsidR="00E1114B" w:rsidRPr="00D442F1" w:rsidP="00E1114B" w14:paraId="4900B747" w14:textId="77777777">
      <w:pPr>
        <w:widowControl w:val="0"/>
        <w:tabs>
          <w:tab w:val="clear" w:pos="567"/>
        </w:tabs>
        <w:autoSpaceDE w:val="0"/>
        <w:autoSpaceDN w:val="0"/>
        <w:adjustRightInd w:val="0"/>
        <w:spacing w:line="240" w:lineRule="auto"/>
        <w:rPr>
          <w:szCs w:val="22"/>
        </w:rPr>
      </w:pPr>
      <w:r w:rsidRPr="00D442F1">
        <w:rPr>
          <w:iCs/>
          <w:noProof/>
          <w:szCs w:val="22"/>
        </w:rPr>
        <w:t>Of four patients with active CNS leukaemia (i.e. CNS</w:t>
      </w:r>
      <w:r w:rsidRPr="00D442F1">
        <w:rPr>
          <w:iCs/>
          <w:noProof/>
          <w:szCs w:val="22"/>
        </w:rPr>
        <w:noBreakHyphen/>
        <w:t>3) included in study B2101J, three experienced cytokine release syndrome (Grade 2</w:t>
      </w:r>
      <w:r w:rsidRPr="00D442F1">
        <w:rPr>
          <w:iCs/>
          <w:noProof/>
          <w:szCs w:val="22"/>
        </w:rPr>
        <w:noBreakHyphen/>
        <w:t>4) and transient neurological abnormalities (Grade 1</w:t>
      </w:r>
      <w:r w:rsidRPr="00D442F1">
        <w:rPr>
          <w:iCs/>
          <w:noProof/>
          <w:szCs w:val="22"/>
        </w:rPr>
        <w:noBreakHyphen/>
        <w:t>3) that resolved within 1</w:t>
      </w:r>
      <w:r w:rsidRPr="00D442F1">
        <w:rPr>
          <w:iCs/>
          <w:noProof/>
          <w:szCs w:val="22"/>
        </w:rPr>
        <w:noBreakHyphen/>
        <w:t>3 months of infusion. One patient died due to disease progression and the remaining three patients achieved a CR or CRi and remain alive 1.5</w:t>
      </w:r>
      <w:r w:rsidRPr="00D442F1">
        <w:rPr>
          <w:iCs/>
          <w:noProof/>
          <w:szCs w:val="22"/>
        </w:rPr>
        <w:noBreakHyphen/>
        <w:t>2 years after infusion.</w:t>
      </w:r>
    </w:p>
    <w:p w:rsidR="00BA62DE" w:rsidRPr="00D442F1" w:rsidP="00166894" w14:paraId="4572D7C5" w14:textId="77777777">
      <w:pPr>
        <w:widowControl w:val="0"/>
        <w:tabs>
          <w:tab w:val="clear" w:pos="567"/>
        </w:tabs>
        <w:autoSpaceDE w:val="0"/>
        <w:autoSpaceDN w:val="0"/>
        <w:adjustRightInd w:val="0"/>
        <w:spacing w:line="240" w:lineRule="auto"/>
        <w:rPr>
          <w:szCs w:val="22"/>
        </w:rPr>
      </w:pPr>
    </w:p>
    <w:p w:rsidR="00C363FA" w:rsidRPr="00D442F1" w:rsidP="00166894" w14:paraId="0E2B1D15" w14:textId="77777777">
      <w:pPr>
        <w:keepNext/>
        <w:widowControl w:val="0"/>
        <w:tabs>
          <w:tab w:val="clear" w:pos="567"/>
        </w:tabs>
        <w:autoSpaceDE w:val="0"/>
        <w:autoSpaceDN w:val="0"/>
        <w:adjustRightInd w:val="0"/>
        <w:spacing w:line="240" w:lineRule="auto"/>
        <w:rPr>
          <w:i/>
          <w:szCs w:val="22"/>
          <w:u w:val="single"/>
        </w:rPr>
      </w:pPr>
      <w:r w:rsidRPr="00D442F1">
        <w:rPr>
          <w:i/>
          <w:szCs w:val="22"/>
          <w:u w:val="single"/>
        </w:rPr>
        <w:t>Diffuse large B</w:t>
      </w:r>
      <w:r w:rsidRPr="00D442F1" w:rsidR="00591100">
        <w:rPr>
          <w:i/>
          <w:szCs w:val="22"/>
          <w:u w:val="single"/>
        </w:rPr>
        <w:noBreakHyphen/>
      </w:r>
      <w:r w:rsidRPr="00D442F1">
        <w:rPr>
          <w:i/>
          <w:szCs w:val="22"/>
          <w:u w:val="single"/>
        </w:rPr>
        <w:t>cell lymphoma (DLBCL)</w:t>
      </w:r>
    </w:p>
    <w:p w:rsidR="00C363FA" w:rsidRPr="00D442F1" w:rsidP="00166894" w14:paraId="270763C1" w14:textId="77777777">
      <w:pPr>
        <w:widowControl w:val="0"/>
        <w:tabs>
          <w:tab w:val="clear" w:pos="567"/>
        </w:tabs>
        <w:autoSpaceDE w:val="0"/>
        <w:autoSpaceDN w:val="0"/>
        <w:adjustRightInd w:val="0"/>
        <w:spacing w:line="240" w:lineRule="auto"/>
        <w:rPr>
          <w:szCs w:val="22"/>
        </w:rPr>
      </w:pPr>
      <w:r w:rsidRPr="00D442F1">
        <w:rPr>
          <w:szCs w:val="22"/>
        </w:rPr>
        <w:t>The safety and efficacy of Kymriah treatment in adult patients with relapsed or refractory (r/r) diffuse large B</w:t>
      </w:r>
      <w:r w:rsidRPr="00D442F1" w:rsidR="00591100">
        <w:rPr>
          <w:szCs w:val="22"/>
        </w:rPr>
        <w:noBreakHyphen/>
      </w:r>
      <w:r w:rsidRPr="00D442F1">
        <w:rPr>
          <w:szCs w:val="22"/>
        </w:rPr>
        <w:t>cell lymphoma (DLBCL)</w:t>
      </w:r>
      <w:r w:rsidRPr="00D442F1" w:rsidR="00955388">
        <w:rPr>
          <w:szCs w:val="22"/>
        </w:rPr>
        <w:t xml:space="preserve"> who received ≥2 lines of chemotherapy, including rituximab and anthracycline, or relapsed following autologous haematopoietic stem cell transplantation (HSCT)</w:t>
      </w:r>
      <w:r w:rsidRPr="00D442F1">
        <w:rPr>
          <w:szCs w:val="22"/>
        </w:rPr>
        <w:t>, w</w:t>
      </w:r>
      <w:r w:rsidRPr="00D442F1" w:rsidR="000D3AB0">
        <w:rPr>
          <w:szCs w:val="22"/>
        </w:rPr>
        <w:t>as</w:t>
      </w:r>
      <w:r w:rsidRPr="00D442F1">
        <w:rPr>
          <w:szCs w:val="22"/>
        </w:rPr>
        <w:t xml:space="preserve"> evaluated in an open</w:t>
      </w:r>
      <w:r w:rsidRPr="00D442F1" w:rsidR="00591100">
        <w:rPr>
          <w:szCs w:val="22"/>
        </w:rPr>
        <w:noBreakHyphen/>
      </w:r>
      <w:r w:rsidRPr="00D442F1">
        <w:rPr>
          <w:szCs w:val="22"/>
        </w:rPr>
        <w:t>label, pivotal, single</w:t>
      </w:r>
      <w:r w:rsidRPr="00D442F1" w:rsidR="00591100">
        <w:rPr>
          <w:szCs w:val="22"/>
        </w:rPr>
        <w:noBreakHyphen/>
      </w:r>
      <w:r w:rsidRPr="00D442F1">
        <w:rPr>
          <w:szCs w:val="22"/>
        </w:rPr>
        <w:t>arm study</w:t>
      </w:r>
      <w:r w:rsidRPr="00D442F1" w:rsidR="002D75E2">
        <w:rPr>
          <w:szCs w:val="22"/>
        </w:rPr>
        <w:t>.</w:t>
      </w:r>
      <w:r w:rsidRPr="00D442F1" w:rsidR="00D063BF">
        <w:rPr>
          <w:szCs w:val="22"/>
        </w:rPr>
        <w:t xml:space="preserve"> Patients with T</w:t>
      </w:r>
      <w:r w:rsidRPr="00D442F1" w:rsidR="00D063BF">
        <w:rPr>
          <w:szCs w:val="22"/>
        </w:rPr>
        <w:noBreakHyphen/>
        <w:t>cell rich/histiocyte</w:t>
      </w:r>
      <w:r w:rsidRPr="00D442F1" w:rsidR="00D063BF">
        <w:rPr>
          <w:szCs w:val="22"/>
        </w:rPr>
        <w:noBreakHyphen/>
        <w:t>rich large B</w:t>
      </w:r>
      <w:r w:rsidRPr="00D442F1" w:rsidR="00D063BF">
        <w:rPr>
          <w:szCs w:val="22"/>
        </w:rPr>
        <w:noBreakHyphen/>
        <w:t>cell lymphoma (THRBCL), primary cutaneous large B</w:t>
      </w:r>
      <w:r w:rsidRPr="00D442F1" w:rsidR="00D063BF">
        <w:rPr>
          <w:szCs w:val="22"/>
        </w:rPr>
        <w:noBreakHyphen/>
        <w:t>cell lymphoma, primary mediastinal B</w:t>
      </w:r>
      <w:r w:rsidRPr="00D442F1" w:rsidR="00D063BF">
        <w:rPr>
          <w:szCs w:val="22"/>
        </w:rPr>
        <w:noBreakHyphen/>
        <w:t>cell lymphoma (PMBCL), EBV</w:t>
      </w:r>
      <w:r w:rsidRPr="00D442F1" w:rsidR="00D063BF">
        <w:rPr>
          <w:szCs w:val="22"/>
        </w:rPr>
        <w:noBreakHyphen/>
        <w:t>positive DLBCL of the elderly, Richter’s transformation, and Burkitt lymphoma were not enrolled in study C2201.</w:t>
      </w:r>
    </w:p>
    <w:p w:rsidR="002D75E2" w:rsidRPr="00D442F1" w:rsidP="00166894" w14:paraId="618AB4A2" w14:textId="77777777">
      <w:pPr>
        <w:widowControl w:val="0"/>
        <w:tabs>
          <w:tab w:val="clear" w:pos="567"/>
        </w:tabs>
        <w:autoSpaceDE w:val="0"/>
        <w:autoSpaceDN w:val="0"/>
        <w:adjustRightInd w:val="0"/>
        <w:spacing w:line="240" w:lineRule="auto"/>
        <w:rPr>
          <w:szCs w:val="22"/>
        </w:rPr>
      </w:pPr>
    </w:p>
    <w:p w:rsidR="00200E75" w:rsidRPr="00D442F1" w:rsidP="00166894" w14:paraId="21409CAB" w14:textId="38860F70">
      <w:pPr>
        <w:pStyle w:val="Text"/>
        <w:widowControl w:val="0"/>
        <w:spacing w:before="0"/>
        <w:jc w:val="left"/>
        <w:rPr>
          <w:sz w:val="22"/>
          <w:szCs w:val="22"/>
          <w:lang w:val="en-GB"/>
        </w:rPr>
      </w:pPr>
      <w:r w:rsidRPr="00D442F1">
        <w:rPr>
          <w:sz w:val="22"/>
          <w:szCs w:val="22"/>
          <w:lang w:val="en-GB"/>
        </w:rPr>
        <w:t>The pivotal study C2201</w:t>
      </w:r>
      <w:r w:rsidR="00F36CAA">
        <w:rPr>
          <w:sz w:val="22"/>
          <w:szCs w:val="22"/>
          <w:lang w:val="en-GB"/>
        </w:rPr>
        <w:t xml:space="preserve"> (JULIET</w:t>
      </w:r>
      <w:r w:rsidRPr="00D442F1">
        <w:rPr>
          <w:sz w:val="22"/>
          <w:szCs w:val="22"/>
          <w:lang w:val="en-GB"/>
        </w:rPr>
        <w:t>) is a multicentre, single</w:t>
      </w:r>
      <w:r w:rsidRPr="00D442F1">
        <w:rPr>
          <w:sz w:val="22"/>
          <w:szCs w:val="22"/>
          <w:lang w:val="en-GB"/>
        </w:rPr>
        <w:noBreakHyphen/>
        <w:t xml:space="preserve">arm phase II study in adult patients with relapsed or refractory DLBCL. Of </w:t>
      </w:r>
      <w:r w:rsidRPr="00D442F1" w:rsidR="00187185">
        <w:rPr>
          <w:sz w:val="22"/>
          <w:szCs w:val="22"/>
          <w:lang w:val="en-GB"/>
        </w:rPr>
        <w:t>167 </w:t>
      </w:r>
      <w:r w:rsidRPr="00D442F1">
        <w:rPr>
          <w:sz w:val="22"/>
          <w:szCs w:val="22"/>
          <w:lang w:val="en-GB"/>
        </w:rPr>
        <w:t xml:space="preserve">patients enrolled, </w:t>
      </w:r>
      <w:r w:rsidRPr="00D442F1" w:rsidR="00187185">
        <w:rPr>
          <w:sz w:val="22"/>
          <w:szCs w:val="22"/>
          <w:lang w:val="en-GB"/>
        </w:rPr>
        <w:t>115 </w:t>
      </w:r>
      <w:r w:rsidRPr="00D442F1">
        <w:rPr>
          <w:sz w:val="22"/>
          <w:szCs w:val="22"/>
          <w:lang w:val="en-GB"/>
        </w:rPr>
        <w:t>patients received infusion with Kymriah</w:t>
      </w:r>
      <w:r w:rsidRPr="00D442F1" w:rsidR="00D94E0A">
        <w:rPr>
          <w:sz w:val="22"/>
          <w:szCs w:val="22"/>
          <w:lang w:val="en-GB"/>
        </w:rPr>
        <w:t>.</w:t>
      </w:r>
      <w:r w:rsidRPr="00D442F1">
        <w:rPr>
          <w:sz w:val="22"/>
          <w:szCs w:val="22"/>
          <w:lang w:val="en-GB"/>
        </w:rPr>
        <w:t xml:space="preserve"> </w:t>
      </w:r>
      <w:r w:rsidRPr="00D442F1" w:rsidR="00D94E0A">
        <w:rPr>
          <w:sz w:val="22"/>
          <w:szCs w:val="22"/>
          <w:lang w:val="en-GB"/>
        </w:rPr>
        <w:t xml:space="preserve">Approximately 31% of patients discontinued the study prior to Kymriah </w:t>
      </w:r>
      <w:r w:rsidRPr="00D442F1" w:rsidR="00E70353">
        <w:rPr>
          <w:sz w:val="22"/>
          <w:szCs w:val="22"/>
          <w:lang w:val="en-GB"/>
        </w:rPr>
        <w:t>infusion</w:t>
      </w:r>
      <w:r w:rsidRPr="00D442F1" w:rsidR="00DF7341">
        <w:rPr>
          <w:sz w:val="22"/>
          <w:szCs w:val="22"/>
          <w:lang w:val="en-GB"/>
        </w:rPr>
        <w:t>.</w:t>
      </w:r>
      <w:r w:rsidRPr="00D442F1" w:rsidR="00D94E0A">
        <w:rPr>
          <w:sz w:val="22"/>
          <w:szCs w:val="22"/>
          <w:lang w:val="en-GB"/>
        </w:rPr>
        <w:t xml:space="preserve"> </w:t>
      </w:r>
      <w:r w:rsidRPr="00D442F1" w:rsidR="00DF7341">
        <w:rPr>
          <w:sz w:val="22"/>
          <w:szCs w:val="22"/>
          <w:lang w:val="en-GB"/>
        </w:rPr>
        <w:t>F</w:t>
      </w:r>
      <w:r w:rsidRPr="00D442F1" w:rsidR="006660D3">
        <w:rPr>
          <w:sz w:val="22"/>
          <w:szCs w:val="22"/>
          <w:lang w:val="en-GB"/>
        </w:rPr>
        <w:t>or 13 patients (8%) Kymriah could not be manufactured</w:t>
      </w:r>
      <w:r w:rsidRPr="00D442F1" w:rsidR="00F8118F">
        <w:rPr>
          <w:sz w:val="22"/>
          <w:szCs w:val="22"/>
          <w:lang w:val="en-GB"/>
        </w:rPr>
        <w:t>.</w:t>
      </w:r>
      <w:r w:rsidRPr="00D442F1" w:rsidR="00D86326">
        <w:rPr>
          <w:sz w:val="22"/>
          <w:szCs w:val="22"/>
          <w:lang w:val="en-GB"/>
        </w:rPr>
        <w:t xml:space="preserve"> </w:t>
      </w:r>
      <w:r w:rsidRPr="00D442F1" w:rsidR="00DF7341">
        <w:rPr>
          <w:sz w:val="22"/>
          <w:szCs w:val="22"/>
          <w:lang w:val="en-GB"/>
        </w:rPr>
        <w:t>Other r</w:t>
      </w:r>
      <w:r w:rsidRPr="00D442F1">
        <w:rPr>
          <w:sz w:val="22"/>
          <w:szCs w:val="22"/>
          <w:lang w:val="en-GB"/>
        </w:rPr>
        <w:t xml:space="preserve">easons for discontinuation prior to Kymriah infusion included </w:t>
      </w:r>
      <w:r w:rsidRPr="00D442F1" w:rsidR="00574B67">
        <w:rPr>
          <w:sz w:val="22"/>
          <w:szCs w:val="22"/>
          <w:lang w:val="en-GB"/>
        </w:rPr>
        <w:t>death (</w:t>
      </w:r>
      <w:r w:rsidRPr="00D442F1" w:rsidR="00F8118F">
        <w:rPr>
          <w:sz w:val="22"/>
          <w:szCs w:val="22"/>
          <w:lang w:val="en-GB"/>
        </w:rPr>
        <w:t>n=</w:t>
      </w:r>
      <w:r w:rsidRPr="00D442F1" w:rsidR="00574B67">
        <w:rPr>
          <w:sz w:val="22"/>
          <w:szCs w:val="22"/>
          <w:lang w:val="en-GB"/>
        </w:rPr>
        <w:t>16</w:t>
      </w:r>
      <w:r w:rsidRPr="00D442F1" w:rsidR="00F8118F">
        <w:rPr>
          <w:sz w:val="22"/>
          <w:szCs w:val="22"/>
          <w:lang w:val="en-GB"/>
        </w:rPr>
        <w:t>; 10%</w:t>
      </w:r>
      <w:r w:rsidRPr="00D442F1" w:rsidR="00574B67">
        <w:rPr>
          <w:sz w:val="22"/>
          <w:szCs w:val="22"/>
          <w:lang w:val="en-GB"/>
        </w:rPr>
        <w:t xml:space="preserve">), </w:t>
      </w:r>
      <w:r w:rsidRPr="00D442F1" w:rsidR="00F8118F">
        <w:rPr>
          <w:sz w:val="22"/>
          <w:szCs w:val="22"/>
          <w:lang w:val="en-GB"/>
        </w:rPr>
        <w:t>physician decision/</w:t>
      </w:r>
      <w:r w:rsidRPr="00D442F1">
        <w:rPr>
          <w:sz w:val="22"/>
          <w:szCs w:val="22"/>
          <w:lang w:val="en-GB"/>
        </w:rPr>
        <w:t xml:space="preserve">primary disease progression </w:t>
      </w:r>
      <w:r w:rsidRPr="00D442F1" w:rsidR="00F8118F">
        <w:rPr>
          <w:sz w:val="22"/>
          <w:szCs w:val="22"/>
          <w:lang w:val="en-GB"/>
        </w:rPr>
        <w:t>(n=16; 10%), patient decision (n=</w:t>
      </w:r>
      <w:r w:rsidRPr="00D442F1" w:rsidR="0098647A">
        <w:rPr>
          <w:sz w:val="22"/>
          <w:szCs w:val="22"/>
          <w:lang w:val="en-GB"/>
        </w:rPr>
        <w:t>2</w:t>
      </w:r>
      <w:r w:rsidRPr="00D442F1" w:rsidR="00F8118F">
        <w:rPr>
          <w:sz w:val="22"/>
          <w:szCs w:val="22"/>
          <w:lang w:val="en-GB"/>
        </w:rPr>
        <w:t xml:space="preserve">; </w:t>
      </w:r>
      <w:r w:rsidRPr="00D442F1" w:rsidR="00D86326">
        <w:rPr>
          <w:sz w:val="22"/>
          <w:szCs w:val="22"/>
          <w:lang w:val="en-GB"/>
        </w:rPr>
        <w:t>1</w:t>
      </w:r>
      <w:r w:rsidRPr="00D442F1" w:rsidR="00F8118F">
        <w:rPr>
          <w:sz w:val="22"/>
          <w:szCs w:val="22"/>
          <w:lang w:val="en-GB"/>
        </w:rPr>
        <w:t>%)</w:t>
      </w:r>
      <w:r w:rsidRPr="00D442F1" w:rsidR="00D86326">
        <w:rPr>
          <w:sz w:val="22"/>
          <w:szCs w:val="22"/>
          <w:lang w:val="en-GB"/>
        </w:rPr>
        <w:t>, protocol deviation (n=1; 1%)</w:t>
      </w:r>
      <w:r w:rsidRPr="00D442F1" w:rsidR="00F8118F">
        <w:rPr>
          <w:sz w:val="22"/>
          <w:szCs w:val="22"/>
          <w:lang w:val="en-GB"/>
        </w:rPr>
        <w:t xml:space="preserve"> </w:t>
      </w:r>
      <w:r w:rsidRPr="00D442F1">
        <w:rPr>
          <w:sz w:val="22"/>
          <w:szCs w:val="22"/>
          <w:lang w:val="en-GB"/>
        </w:rPr>
        <w:t>or adverse events</w:t>
      </w:r>
      <w:r w:rsidRPr="00D442F1" w:rsidR="00574B67">
        <w:rPr>
          <w:sz w:val="22"/>
          <w:szCs w:val="22"/>
          <w:lang w:val="en-GB"/>
        </w:rPr>
        <w:t xml:space="preserve"> </w:t>
      </w:r>
      <w:r w:rsidRPr="00D442F1" w:rsidR="00F8118F">
        <w:rPr>
          <w:sz w:val="22"/>
          <w:szCs w:val="22"/>
          <w:lang w:val="en-GB"/>
        </w:rPr>
        <w:t>(n=</w:t>
      </w:r>
      <w:r w:rsidRPr="00D442F1" w:rsidR="00187185">
        <w:rPr>
          <w:sz w:val="22"/>
          <w:szCs w:val="22"/>
          <w:lang w:val="en-GB"/>
        </w:rPr>
        <w:t>4</w:t>
      </w:r>
      <w:r w:rsidRPr="00D442F1" w:rsidR="00F8118F">
        <w:rPr>
          <w:sz w:val="22"/>
          <w:szCs w:val="22"/>
          <w:lang w:val="en-GB"/>
        </w:rPr>
        <w:t xml:space="preserve">; </w:t>
      </w:r>
      <w:r w:rsidRPr="00D442F1" w:rsidR="00187185">
        <w:rPr>
          <w:sz w:val="22"/>
          <w:szCs w:val="22"/>
          <w:lang w:val="en-GB"/>
        </w:rPr>
        <w:t>2</w:t>
      </w:r>
      <w:r w:rsidRPr="00D442F1" w:rsidR="00F8118F">
        <w:rPr>
          <w:sz w:val="22"/>
          <w:szCs w:val="22"/>
          <w:lang w:val="en-GB"/>
        </w:rPr>
        <w:t xml:space="preserve">%) </w:t>
      </w:r>
      <w:r w:rsidRPr="00D442F1" w:rsidR="00574B67">
        <w:rPr>
          <w:sz w:val="22"/>
          <w:szCs w:val="22"/>
          <w:lang w:val="en-GB"/>
        </w:rPr>
        <w:t>while awaiting Kymriah manufactur</w:t>
      </w:r>
      <w:r w:rsidRPr="00D442F1" w:rsidR="00136D62">
        <w:rPr>
          <w:sz w:val="22"/>
          <w:szCs w:val="22"/>
          <w:lang w:val="en-GB"/>
        </w:rPr>
        <w:t>ing</w:t>
      </w:r>
      <w:r w:rsidRPr="00D442F1" w:rsidR="00574B67">
        <w:rPr>
          <w:sz w:val="22"/>
          <w:szCs w:val="22"/>
          <w:lang w:val="en-GB"/>
        </w:rPr>
        <w:t xml:space="preserve"> in the clinical study</w:t>
      </w:r>
      <w:r w:rsidRPr="00D442F1">
        <w:rPr>
          <w:sz w:val="22"/>
          <w:szCs w:val="22"/>
          <w:lang w:val="en-GB"/>
        </w:rPr>
        <w:t>.</w:t>
      </w:r>
      <w:r w:rsidR="00F36CAA">
        <w:rPr>
          <w:sz w:val="22"/>
          <w:szCs w:val="22"/>
          <w:lang w:val="en-GB"/>
        </w:rPr>
        <w:t xml:space="preserve"> </w:t>
      </w:r>
      <w:r w:rsidRPr="00E2636E" w:rsidR="00E2636E">
        <w:rPr>
          <w:sz w:val="22"/>
        </w:rPr>
        <w:t xml:space="preserve">The median </w:t>
      </w:r>
      <w:r w:rsidRPr="006709AF" w:rsidR="006709AF">
        <w:rPr>
          <w:sz w:val="22"/>
        </w:rPr>
        <w:t xml:space="preserve">duration of study follow-up defined as the </w:t>
      </w:r>
      <w:r w:rsidRPr="00E2636E" w:rsidR="00E2636E">
        <w:rPr>
          <w:sz w:val="22"/>
        </w:rPr>
        <w:t xml:space="preserve">time from Kymriah infusion to date of </w:t>
      </w:r>
      <w:r w:rsidRPr="00211EF7" w:rsidR="00211EF7">
        <w:rPr>
          <w:sz w:val="22"/>
        </w:rPr>
        <w:t xml:space="preserve">completion or </w:t>
      </w:r>
      <w:r w:rsidRPr="00E2636E" w:rsidR="00E2636E">
        <w:rPr>
          <w:sz w:val="22"/>
        </w:rPr>
        <w:t xml:space="preserve">discontinuation from follow-up </w:t>
      </w:r>
      <w:r w:rsidRPr="00211EF7" w:rsidR="00211EF7">
        <w:rPr>
          <w:sz w:val="22"/>
        </w:rPr>
        <w:t xml:space="preserve">prior to </w:t>
      </w:r>
      <w:r w:rsidRPr="00E2636E" w:rsidR="00E2636E">
        <w:rPr>
          <w:sz w:val="22"/>
        </w:rPr>
        <w:t>the data cut-off date was 7.7</w:t>
      </w:r>
      <w:r w:rsidR="003A78C6">
        <w:rPr>
          <w:sz w:val="22"/>
        </w:rPr>
        <w:t> </w:t>
      </w:r>
      <w:r w:rsidRPr="00E2636E" w:rsidR="00E2636E">
        <w:rPr>
          <w:sz w:val="22"/>
        </w:rPr>
        <w:t>months (range: 0.4-35.6). The median time from Kymriah infusion to the data cut-off date was 26.0</w:t>
      </w:r>
      <w:r w:rsidR="00687882">
        <w:rPr>
          <w:sz w:val="22"/>
        </w:rPr>
        <w:t> </w:t>
      </w:r>
      <w:r w:rsidRPr="00E2636E" w:rsidR="00E2636E">
        <w:rPr>
          <w:sz w:val="22"/>
        </w:rPr>
        <w:t>months (range: 9.7-38.2). The study is still ongoing.</w:t>
      </w:r>
    </w:p>
    <w:p w:rsidR="00200E75" w:rsidRPr="00D442F1" w:rsidP="00166894" w14:paraId="46C72297" w14:textId="77777777">
      <w:pPr>
        <w:widowControl w:val="0"/>
        <w:autoSpaceDE w:val="0"/>
        <w:autoSpaceDN w:val="0"/>
        <w:spacing w:line="240" w:lineRule="auto"/>
        <w:rPr>
          <w:i/>
          <w:szCs w:val="22"/>
        </w:rPr>
      </w:pPr>
    </w:p>
    <w:p w:rsidR="00200E75" w:rsidRPr="00D442F1" w:rsidP="00166894" w14:paraId="6086C5DB" w14:textId="1E26F673">
      <w:pPr>
        <w:pStyle w:val="Text"/>
        <w:widowControl w:val="0"/>
        <w:spacing w:before="0"/>
        <w:jc w:val="left"/>
        <w:rPr>
          <w:sz w:val="22"/>
          <w:szCs w:val="22"/>
          <w:lang w:val="en-GB"/>
        </w:rPr>
      </w:pPr>
      <w:r w:rsidRPr="00D442F1">
        <w:rPr>
          <w:sz w:val="22"/>
          <w:szCs w:val="22"/>
          <w:lang w:val="en-GB"/>
        </w:rPr>
        <w:t xml:space="preserve">Key baseline information for enrolled and infused patients is presented in Table 5. </w:t>
      </w:r>
      <w:r w:rsidRPr="00D442F1">
        <w:rPr>
          <w:sz w:val="22"/>
          <w:szCs w:val="22"/>
          <w:lang w:val="en-GB"/>
        </w:rPr>
        <w:t>All patients had leukapheresis starting material collected and cryopreserved prior to or during study entry. The majority of patients (</w:t>
      </w:r>
      <w:r w:rsidRPr="00D442F1" w:rsidR="009841F2">
        <w:rPr>
          <w:sz w:val="22"/>
          <w:szCs w:val="22"/>
          <w:lang w:val="en-GB"/>
        </w:rPr>
        <w:t>103</w:t>
      </w:r>
      <w:r w:rsidRPr="00D442F1">
        <w:rPr>
          <w:sz w:val="22"/>
          <w:szCs w:val="22"/>
          <w:lang w:val="en-GB"/>
        </w:rPr>
        <w:t>/</w:t>
      </w:r>
      <w:r w:rsidRPr="00D442F1" w:rsidR="009841F2">
        <w:rPr>
          <w:sz w:val="22"/>
          <w:szCs w:val="22"/>
          <w:lang w:val="en-GB"/>
        </w:rPr>
        <w:t>115</w:t>
      </w:r>
      <w:r w:rsidRPr="00D442F1" w:rsidR="00FB7B54">
        <w:rPr>
          <w:sz w:val="22"/>
          <w:szCs w:val="22"/>
          <w:lang w:val="en-GB"/>
        </w:rPr>
        <w:t xml:space="preserve">, </w:t>
      </w:r>
      <w:r w:rsidRPr="00D442F1" w:rsidR="006F6565">
        <w:rPr>
          <w:sz w:val="22"/>
          <w:szCs w:val="22"/>
          <w:lang w:val="en-GB"/>
        </w:rPr>
        <w:t>90</w:t>
      </w:r>
      <w:r w:rsidRPr="00D442F1" w:rsidR="00FB7B54">
        <w:rPr>
          <w:sz w:val="22"/>
          <w:szCs w:val="22"/>
          <w:lang w:val="en-GB"/>
        </w:rPr>
        <w:t>%</w:t>
      </w:r>
      <w:r w:rsidRPr="00D442F1">
        <w:rPr>
          <w:sz w:val="22"/>
          <w:szCs w:val="22"/>
          <w:lang w:val="en-GB"/>
        </w:rPr>
        <w:t xml:space="preserve">) received bridging therapy for disease stabilisation. The type and duration of bridging therapy was left to the discretion of the physician. </w:t>
      </w:r>
      <w:r w:rsidRPr="00D442F1" w:rsidR="0098647A">
        <w:rPr>
          <w:sz w:val="22"/>
          <w:szCs w:val="22"/>
          <w:lang w:val="en-GB"/>
        </w:rPr>
        <w:t>107</w:t>
      </w:r>
      <w:r w:rsidRPr="00D442F1">
        <w:rPr>
          <w:sz w:val="22"/>
          <w:szCs w:val="22"/>
          <w:lang w:val="en-GB"/>
        </w:rPr>
        <w:t>/</w:t>
      </w:r>
      <w:r w:rsidRPr="00D442F1" w:rsidR="008534BD">
        <w:rPr>
          <w:sz w:val="22"/>
          <w:szCs w:val="22"/>
          <w:lang w:val="en-GB"/>
        </w:rPr>
        <w:t>115 </w:t>
      </w:r>
      <w:r w:rsidRPr="00D442F1">
        <w:rPr>
          <w:sz w:val="22"/>
          <w:szCs w:val="22"/>
          <w:lang w:val="en-GB"/>
        </w:rPr>
        <w:t xml:space="preserve">patients </w:t>
      </w:r>
      <w:r w:rsidRPr="00D442F1" w:rsidR="00995817">
        <w:rPr>
          <w:sz w:val="22"/>
          <w:szCs w:val="22"/>
          <w:lang w:val="en-GB"/>
        </w:rPr>
        <w:t xml:space="preserve">(93%) </w:t>
      </w:r>
      <w:r w:rsidRPr="00D442F1">
        <w:rPr>
          <w:sz w:val="22"/>
          <w:szCs w:val="22"/>
          <w:lang w:val="en-GB"/>
        </w:rPr>
        <w:t>received lymphodepleting chemotherapy prior to Kymriah infusion. Kymriah was given as a single</w:t>
      </w:r>
      <w:r w:rsidRPr="00D442F1">
        <w:rPr>
          <w:sz w:val="22"/>
          <w:szCs w:val="22"/>
          <w:lang w:val="en-GB"/>
        </w:rPr>
        <w:noBreakHyphen/>
        <w:t>dose (0.6</w:t>
      </w:r>
      <w:r w:rsidRPr="00D442F1">
        <w:rPr>
          <w:sz w:val="22"/>
          <w:szCs w:val="22"/>
          <w:lang w:val="en-GB"/>
        </w:rPr>
        <w:noBreakHyphen/>
        <w:t>6.0 x 10</w:t>
      </w:r>
      <w:r w:rsidRPr="00D442F1">
        <w:rPr>
          <w:sz w:val="22"/>
          <w:szCs w:val="22"/>
          <w:vertAlign w:val="superscript"/>
          <w:lang w:val="en-GB"/>
        </w:rPr>
        <w:t>8</w:t>
      </w:r>
      <w:r w:rsidRPr="00D442F1">
        <w:rPr>
          <w:sz w:val="22"/>
          <w:szCs w:val="22"/>
          <w:lang w:val="en-GB"/>
        </w:rPr>
        <w:t xml:space="preserve"> CAR</w:t>
      </w:r>
      <w:r w:rsidRPr="00D442F1">
        <w:rPr>
          <w:sz w:val="22"/>
          <w:szCs w:val="22"/>
          <w:lang w:val="en-GB"/>
        </w:rPr>
        <w:noBreakHyphen/>
        <w:t>positive viable T cells) intravenous infusion in a qualified Kymriah treatment centre in an inpatient and outpatient setting.</w:t>
      </w:r>
    </w:p>
    <w:p w:rsidR="002D75E2" w:rsidRPr="00D442F1" w:rsidP="00166894" w14:paraId="2D615BF2" w14:textId="77777777">
      <w:pPr>
        <w:pStyle w:val="Text"/>
        <w:widowControl w:val="0"/>
        <w:spacing w:before="0"/>
        <w:jc w:val="left"/>
        <w:rPr>
          <w:sz w:val="22"/>
          <w:szCs w:val="22"/>
          <w:lang w:val="en-GB"/>
        </w:rPr>
      </w:pPr>
    </w:p>
    <w:p w:rsidR="00CA1753" w:rsidRPr="00D442F1" w:rsidP="00166894" w14:paraId="0B111049" w14:textId="77777777">
      <w:pPr>
        <w:pStyle w:val="Text"/>
        <w:keepNext/>
        <w:keepLines/>
        <w:widowControl w:val="0"/>
        <w:spacing w:before="0"/>
        <w:ind w:left="1134" w:hanging="1134"/>
        <w:jc w:val="left"/>
        <w:rPr>
          <w:b/>
          <w:sz w:val="22"/>
          <w:szCs w:val="22"/>
          <w:lang w:val="en-GB"/>
        </w:rPr>
      </w:pPr>
      <w:r w:rsidRPr="00D442F1">
        <w:rPr>
          <w:b/>
          <w:sz w:val="22"/>
          <w:szCs w:val="22"/>
          <w:lang w:val="en-GB"/>
        </w:rPr>
        <w:t>Table 5</w:t>
      </w:r>
      <w:r w:rsidRPr="00D442F1">
        <w:rPr>
          <w:b/>
          <w:sz w:val="22"/>
          <w:szCs w:val="22"/>
          <w:lang w:val="en-GB"/>
        </w:rPr>
        <w:tab/>
        <w:t>Study C2201: Baseline information across the enrolled and the infused patient populations</w:t>
      </w:r>
    </w:p>
    <w:p w:rsidR="00CA1753" w:rsidRPr="00D442F1" w:rsidP="00166894" w14:paraId="28AA6AEE" w14:textId="77777777">
      <w:pPr>
        <w:pStyle w:val="Text"/>
        <w:keepNext/>
        <w:keepLines/>
        <w:widowControl w:val="0"/>
        <w:spacing w:before="0"/>
        <w:ind w:left="1134" w:hanging="1134"/>
        <w:jc w:val="left"/>
        <w:rPr>
          <w:sz w:val="22"/>
          <w:szCs w:val="22"/>
          <w:lang w:val="en-GB"/>
        </w:rPr>
      </w:pPr>
    </w:p>
    <w:tbl>
      <w:tblPr>
        <w:tblW w:w="9084" w:type="dxa"/>
        <w:tblBorders>
          <w:top w:val="single" w:sz="4" w:space="0" w:color="auto"/>
          <w:bottom w:val="single" w:sz="4" w:space="0" w:color="auto"/>
        </w:tblBorders>
        <w:tblLayout w:type="fixed"/>
        <w:tblLook w:val="0000"/>
      </w:tblPr>
      <w:tblGrid>
        <w:gridCol w:w="4410"/>
        <w:gridCol w:w="2337"/>
        <w:gridCol w:w="2337"/>
      </w:tblGrid>
      <w:tr w14:paraId="785F70A7" w14:textId="77777777" w:rsidTr="00E93A6F">
        <w:tblPrEx>
          <w:tblW w:w="9084" w:type="dxa"/>
          <w:tblBorders>
            <w:top w:val="single" w:sz="4" w:space="0" w:color="auto"/>
            <w:bottom w:val="single" w:sz="4" w:space="0" w:color="auto"/>
          </w:tblBorders>
          <w:tblLayout w:type="fixed"/>
          <w:tblLook w:val="0000"/>
        </w:tblPrEx>
        <w:trPr>
          <w:trHeight w:val="821"/>
          <w:tblHeader/>
        </w:trPr>
        <w:tc>
          <w:tcPr>
            <w:tcW w:w="4410" w:type="dxa"/>
            <w:tcBorders>
              <w:top w:val="single" w:sz="4" w:space="0" w:color="auto"/>
              <w:left w:val="single" w:sz="4" w:space="0" w:color="auto"/>
              <w:right w:val="single" w:sz="4" w:space="0" w:color="auto"/>
            </w:tcBorders>
            <w:shd w:val="clear" w:color="auto" w:fill="auto"/>
          </w:tcPr>
          <w:p w:rsidR="00CA1753" w:rsidRPr="00D442F1" w:rsidP="00166894" w14:paraId="2CD4FEF5" w14:textId="77777777">
            <w:pPr>
              <w:keepNext/>
              <w:keepLines/>
              <w:widowControl w:val="0"/>
              <w:tabs>
                <w:tab w:val="clear" w:pos="567"/>
              </w:tabs>
              <w:spacing w:line="240" w:lineRule="auto"/>
              <w:rPr>
                <w:rFonts w:eastAsia="MS Mincho"/>
                <w:b/>
                <w:szCs w:val="22"/>
                <w:lang w:val="en-US" w:eastAsia="zh-CN"/>
              </w:rPr>
            </w:pPr>
          </w:p>
        </w:tc>
        <w:tc>
          <w:tcPr>
            <w:tcW w:w="2337" w:type="dxa"/>
            <w:tcBorders>
              <w:top w:val="single" w:sz="4" w:space="0" w:color="auto"/>
              <w:left w:val="single" w:sz="4" w:space="0" w:color="auto"/>
              <w:right w:val="single" w:sz="4" w:space="0" w:color="auto"/>
            </w:tcBorders>
          </w:tcPr>
          <w:p w:rsidR="00CA1753" w:rsidRPr="00D442F1" w:rsidP="00166894" w14:paraId="0245D653"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Enrolled</w:t>
            </w:r>
          </w:p>
          <w:p w:rsidR="00CA1753" w:rsidRPr="00D442F1" w:rsidP="00166894" w14:paraId="4C3BCF0C" w14:textId="57C954BF">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N=</w:t>
            </w:r>
            <w:r w:rsidRPr="00D442F1" w:rsidR="00150447">
              <w:rPr>
                <w:rFonts w:eastAsia="MS Mincho"/>
                <w:b/>
                <w:szCs w:val="22"/>
                <w:lang w:val="en-US" w:eastAsia="zh-CN"/>
              </w:rPr>
              <w:t>167</w:t>
            </w:r>
          </w:p>
          <w:p w:rsidR="00CA1753" w:rsidRPr="00D442F1" w:rsidP="00166894" w14:paraId="2D82CF3D"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n (%)</w:t>
            </w:r>
          </w:p>
        </w:tc>
        <w:tc>
          <w:tcPr>
            <w:tcW w:w="2337" w:type="dxa"/>
            <w:tcBorders>
              <w:top w:val="single" w:sz="4" w:space="0" w:color="auto"/>
              <w:left w:val="single" w:sz="4" w:space="0" w:color="auto"/>
              <w:right w:val="single" w:sz="4" w:space="0" w:color="auto"/>
            </w:tcBorders>
          </w:tcPr>
          <w:p w:rsidR="00CA1753" w:rsidRPr="00D442F1" w:rsidP="00166894" w14:paraId="0E551368"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Infused</w:t>
            </w:r>
          </w:p>
          <w:p w:rsidR="00CA1753" w:rsidRPr="00D442F1" w:rsidP="00166894" w14:paraId="70D631C1" w14:textId="61C4FB5A">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N=</w:t>
            </w:r>
            <w:r w:rsidRPr="00D442F1" w:rsidR="009841F2">
              <w:rPr>
                <w:rFonts w:eastAsia="MS Mincho"/>
                <w:b/>
                <w:szCs w:val="22"/>
                <w:lang w:val="en-US" w:eastAsia="zh-CN"/>
              </w:rPr>
              <w:t>115</w:t>
            </w:r>
          </w:p>
          <w:p w:rsidR="00CA1753" w:rsidRPr="00D442F1" w:rsidP="00166894" w14:paraId="643FA30F"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n (%)</w:t>
            </w:r>
          </w:p>
        </w:tc>
      </w:tr>
      <w:tr w14:paraId="69AAEFCC"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0071C0B1"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Age (years)</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26F9E9E5" w14:textId="77777777">
            <w:pPr>
              <w:keepNext/>
              <w:keepLines/>
              <w:widowControl w:val="0"/>
              <w:tabs>
                <w:tab w:val="clear" w:pos="567"/>
              </w:tabs>
              <w:spacing w:line="240" w:lineRule="auto"/>
              <w:rPr>
                <w:rFonts w:eastAsia="MS Mincho"/>
                <w:szCs w:val="22"/>
                <w:lang w:val="en-US" w:eastAsia="zh-CN"/>
              </w:rPr>
            </w:pP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5C8EB462" w14:textId="77777777">
            <w:pPr>
              <w:keepNext/>
              <w:keepLines/>
              <w:widowControl w:val="0"/>
              <w:tabs>
                <w:tab w:val="clear" w:pos="567"/>
              </w:tabs>
              <w:spacing w:line="240" w:lineRule="auto"/>
              <w:rPr>
                <w:rFonts w:eastAsia="MS Mincho"/>
                <w:szCs w:val="22"/>
                <w:lang w:val="en-US" w:eastAsia="zh-CN"/>
              </w:rPr>
            </w:pPr>
          </w:p>
        </w:tc>
      </w:tr>
      <w:tr w14:paraId="3B794754"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5DBE65AF"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Mean (standard deviation)</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6C4FDF16"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56 (12.9)</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C0505" w14:paraId="4F2E3A24" w14:textId="5CEB8EF9">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54 (13.</w:t>
            </w:r>
            <w:r w:rsidRPr="00D442F1" w:rsidR="001C0505">
              <w:rPr>
                <w:rFonts w:eastAsia="MS Mincho"/>
                <w:szCs w:val="22"/>
                <w:lang w:val="en-US" w:eastAsia="zh-CN"/>
              </w:rPr>
              <w:t>1</w:t>
            </w:r>
            <w:r w:rsidRPr="00D442F1">
              <w:rPr>
                <w:rFonts w:eastAsia="MS Mincho"/>
                <w:szCs w:val="22"/>
                <w:lang w:val="en-US" w:eastAsia="zh-CN"/>
              </w:rPr>
              <w:t>)</w:t>
            </w:r>
          </w:p>
        </w:tc>
      </w:tr>
      <w:tr w14:paraId="48623C52"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36B22999"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Median (minimum – maximum)</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50447" w14:paraId="6BF2A261" w14:textId="53D8DA25">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58 </w:t>
            </w:r>
            <w:r w:rsidRPr="00D442F1">
              <w:rPr>
                <w:rFonts w:eastAsia="MS Mincho"/>
                <w:szCs w:val="22"/>
                <w:lang w:val="en-US" w:eastAsia="zh-CN"/>
              </w:rPr>
              <w:t>(22 - 76)</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564C4E3C"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56 (22 - 76)</w:t>
            </w:r>
          </w:p>
        </w:tc>
      </w:tr>
      <w:tr w14:paraId="19DFE9F8"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7BB0FE89"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Age category (years) - n (%)</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5021CB6C" w14:textId="77777777">
            <w:pPr>
              <w:keepNext/>
              <w:keepLines/>
              <w:widowControl w:val="0"/>
              <w:tabs>
                <w:tab w:val="clear" w:pos="567"/>
              </w:tabs>
              <w:spacing w:line="240" w:lineRule="auto"/>
              <w:rPr>
                <w:rFonts w:eastAsia="MS Mincho"/>
                <w:szCs w:val="22"/>
                <w:lang w:val="en-US" w:eastAsia="zh-CN"/>
              </w:rPr>
            </w:pP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3B85DF9A" w14:textId="77777777">
            <w:pPr>
              <w:keepNext/>
              <w:keepLines/>
              <w:widowControl w:val="0"/>
              <w:tabs>
                <w:tab w:val="clear" w:pos="567"/>
              </w:tabs>
              <w:spacing w:line="240" w:lineRule="auto"/>
              <w:rPr>
                <w:rFonts w:eastAsia="MS Mincho"/>
                <w:szCs w:val="22"/>
                <w:lang w:val="en-US" w:eastAsia="zh-CN"/>
              </w:rPr>
            </w:pPr>
          </w:p>
        </w:tc>
      </w:tr>
      <w:tr w14:paraId="547C3337"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3E1F8C76"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&lt;65 years</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50447" w14:paraId="5B5C5BA3" w14:textId="429458D3">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120 </w:t>
            </w:r>
            <w:r w:rsidRPr="00D442F1">
              <w:rPr>
                <w:rFonts w:eastAsia="MS Mincho"/>
                <w:szCs w:val="22"/>
                <w:lang w:val="en-US" w:eastAsia="zh-CN"/>
              </w:rPr>
              <w:t>(71.</w:t>
            </w:r>
            <w:r w:rsidRPr="00D442F1">
              <w:rPr>
                <w:rFonts w:eastAsia="MS Mincho"/>
                <w:szCs w:val="22"/>
                <w:lang w:val="en-US" w:eastAsia="zh-CN"/>
              </w:rPr>
              <w:t>9</w:t>
            </w:r>
            <w:r w:rsidRPr="00D442F1">
              <w:rPr>
                <w:rFonts w:eastAsia="MS Mincho"/>
                <w:szCs w:val="22"/>
                <w:lang w:val="en-US" w:eastAsia="zh-CN"/>
              </w:rPr>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01347514" w14:textId="07EA1F0D">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89 </w:t>
            </w:r>
            <w:r w:rsidRPr="00D442F1">
              <w:rPr>
                <w:rFonts w:eastAsia="MS Mincho"/>
                <w:szCs w:val="22"/>
                <w:lang w:val="en-US" w:eastAsia="zh-CN"/>
              </w:rPr>
              <w:t>(77.</w:t>
            </w:r>
            <w:r w:rsidRPr="00D442F1">
              <w:rPr>
                <w:rFonts w:eastAsia="MS Mincho"/>
                <w:szCs w:val="22"/>
                <w:lang w:val="en-US" w:eastAsia="zh-CN"/>
              </w:rPr>
              <w:t>4</w:t>
            </w:r>
            <w:r w:rsidRPr="00D442F1">
              <w:rPr>
                <w:rFonts w:eastAsia="MS Mincho"/>
                <w:szCs w:val="22"/>
                <w:lang w:val="en-US" w:eastAsia="zh-CN"/>
              </w:rPr>
              <w:t>)</w:t>
            </w:r>
          </w:p>
        </w:tc>
      </w:tr>
      <w:tr w14:paraId="72FB6480"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3BC5B29A"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≥65 years</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2A619949" w14:textId="3BB5F616">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47 (28.</w:t>
            </w:r>
            <w:r w:rsidRPr="00D442F1" w:rsidR="00150447">
              <w:rPr>
                <w:rFonts w:eastAsia="MS Mincho"/>
                <w:szCs w:val="22"/>
                <w:lang w:val="en-US" w:eastAsia="zh-CN"/>
              </w:rPr>
              <w:t>1</w:t>
            </w:r>
            <w:r w:rsidRPr="00D442F1">
              <w:rPr>
                <w:rFonts w:eastAsia="MS Mincho"/>
                <w:szCs w:val="22"/>
                <w:lang w:val="en-US" w:eastAsia="zh-CN"/>
              </w:rPr>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7D42491A" w14:textId="182F721D">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26 </w:t>
            </w:r>
            <w:r w:rsidRPr="00D442F1">
              <w:rPr>
                <w:rFonts w:eastAsia="MS Mincho"/>
                <w:szCs w:val="22"/>
                <w:lang w:val="en-US" w:eastAsia="zh-CN"/>
              </w:rPr>
              <w:t>(22.</w:t>
            </w:r>
            <w:r w:rsidRPr="00D442F1">
              <w:rPr>
                <w:rFonts w:eastAsia="MS Mincho"/>
                <w:szCs w:val="22"/>
                <w:lang w:val="en-US" w:eastAsia="zh-CN"/>
              </w:rPr>
              <w:t>6</w:t>
            </w:r>
            <w:r w:rsidRPr="00D442F1">
              <w:rPr>
                <w:rFonts w:eastAsia="MS Mincho"/>
                <w:szCs w:val="22"/>
                <w:lang w:val="en-US" w:eastAsia="zh-CN"/>
              </w:rPr>
              <w:t>)</w:t>
            </w:r>
          </w:p>
        </w:tc>
      </w:tr>
      <w:tr w14:paraId="314CE80F"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314B7EA8" w14:textId="77777777">
            <w:pPr>
              <w:keepNext/>
              <w:keepLines/>
              <w:widowControl w:val="0"/>
              <w:tabs>
                <w:tab w:val="clear" w:pos="567"/>
              </w:tabs>
              <w:spacing w:line="240" w:lineRule="auto"/>
              <w:rPr>
                <w:rFonts w:eastAsia="MS Mincho"/>
                <w:b/>
                <w:szCs w:val="22"/>
                <w:lang w:val="en-US" w:eastAsia="zh-CN"/>
              </w:rPr>
            </w:pPr>
            <w:r w:rsidRPr="00D442F1">
              <w:rPr>
                <w:rFonts w:eastAsia="MS Mincho"/>
                <w:b/>
                <w:szCs w:val="22"/>
                <w:lang w:val="en-US" w:eastAsia="zh-CN"/>
              </w:rPr>
              <w:t>Sex - n (%)</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3846CC1F" w14:textId="77777777">
            <w:pPr>
              <w:keepNext/>
              <w:keepLines/>
              <w:widowControl w:val="0"/>
              <w:tabs>
                <w:tab w:val="clear" w:pos="567"/>
              </w:tabs>
              <w:spacing w:line="240" w:lineRule="auto"/>
              <w:rPr>
                <w:rFonts w:eastAsia="MS Mincho"/>
                <w:szCs w:val="22"/>
                <w:lang w:val="en-US" w:eastAsia="zh-CN"/>
              </w:rPr>
            </w:pP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0F1199FB" w14:textId="77777777">
            <w:pPr>
              <w:keepNext/>
              <w:keepLines/>
              <w:widowControl w:val="0"/>
              <w:tabs>
                <w:tab w:val="clear" w:pos="567"/>
              </w:tabs>
              <w:spacing w:line="240" w:lineRule="auto"/>
              <w:rPr>
                <w:rFonts w:eastAsia="MS Mincho"/>
                <w:szCs w:val="22"/>
                <w:lang w:val="en-US" w:eastAsia="zh-CN"/>
              </w:rPr>
            </w:pPr>
          </w:p>
        </w:tc>
      </w:tr>
      <w:tr w14:paraId="0640985A"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6E6F51ED"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Male</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50447" w14:paraId="3FA6E011" w14:textId="0C9BE9CE">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105 </w:t>
            </w:r>
            <w:r w:rsidRPr="00D442F1">
              <w:rPr>
                <w:rFonts w:eastAsia="MS Mincho"/>
                <w:szCs w:val="22"/>
                <w:lang w:val="en-US" w:eastAsia="zh-CN"/>
              </w:rPr>
              <w:t>(62.</w:t>
            </w:r>
            <w:r w:rsidRPr="00D442F1">
              <w:rPr>
                <w:rFonts w:eastAsia="MS Mincho"/>
                <w:szCs w:val="22"/>
                <w:lang w:val="en-US" w:eastAsia="zh-CN"/>
              </w:rPr>
              <w:t>9</w:t>
            </w:r>
            <w:r w:rsidRPr="00D442F1">
              <w:rPr>
                <w:rFonts w:eastAsia="MS Mincho"/>
                <w:szCs w:val="22"/>
                <w:lang w:val="en-US" w:eastAsia="zh-CN"/>
              </w:rPr>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7FEEC676" w14:textId="4B8338AA">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 xml:space="preserve">71 </w:t>
            </w:r>
            <w:r w:rsidRPr="00D442F1">
              <w:rPr>
                <w:rFonts w:eastAsia="MS Mincho"/>
                <w:szCs w:val="22"/>
                <w:lang w:val="en-US" w:eastAsia="zh-CN"/>
              </w:rPr>
              <w:t>(61.</w:t>
            </w:r>
            <w:r w:rsidRPr="00D442F1">
              <w:rPr>
                <w:rFonts w:eastAsia="MS Mincho"/>
                <w:szCs w:val="22"/>
                <w:lang w:val="en-US" w:eastAsia="zh-CN"/>
              </w:rPr>
              <w:t>7</w:t>
            </w:r>
            <w:r w:rsidRPr="00D442F1">
              <w:rPr>
                <w:rFonts w:eastAsia="MS Mincho"/>
                <w:szCs w:val="22"/>
                <w:lang w:val="en-US" w:eastAsia="zh-CN"/>
              </w:rPr>
              <w:t>)</w:t>
            </w:r>
          </w:p>
        </w:tc>
      </w:tr>
      <w:tr w14:paraId="73F787E3"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7721755B" w14:textId="77777777">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ab/>
              <w:t>Female</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50447" w14:paraId="59A01AE5" w14:textId="0421A442">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62 (37.</w:t>
            </w:r>
            <w:r w:rsidRPr="00D442F1" w:rsidR="00150447">
              <w:rPr>
                <w:rFonts w:eastAsia="MS Mincho"/>
                <w:szCs w:val="22"/>
                <w:lang w:val="en-US" w:eastAsia="zh-CN"/>
              </w:rPr>
              <w:t>1</w:t>
            </w:r>
            <w:r w:rsidRPr="00D442F1">
              <w:rPr>
                <w:rFonts w:eastAsia="MS Mincho"/>
                <w:szCs w:val="22"/>
                <w:lang w:val="en-US" w:eastAsia="zh-CN"/>
              </w:rPr>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6E34A053" w14:textId="3D26B3B8">
            <w:pPr>
              <w:keepNext/>
              <w:keepLines/>
              <w:widowControl w:val="0"/>
              <w:tabs>
                <w:tab w:val="clear" w:pos="567"/>
              </w:tabs>
              <w:spacing w:line="240" w:lineRule="auto"/>
              <w:rPr>
                <w:rFonts w:eastAsia="MS Mincho"/>
                <w:szCs w:val="22"/>
                <w:lang w:val="en-US" w:eastAsia="zh-CN"/>
              </w:rPr>
            </w:pPr>
            <w:r w:rsidRPr="00D442F1">
              <w:rPr>
                <w:rFonts w:eastAsia="MS Mincho"/>
                <w:szCs w:val="22"/>
                <w:lang w:val="en-US" w:eastAsia="zh-CN"/>
              </w:rPr>
              <w:t>4</w:t>
            </w:r>
            <w:r w:rsidRPr="00D442F1" w:rsidR="001C0505">
              <w:rPr>
                <w:rFonts w:eastAsia="MS Mincho"/>
                <w:szCs w:val="22"/>
                <w:lang w:val="en-US" w:eastAsia="zh-CN"/>
              </w:rPr>
              <w:t>4</w:t>
            </w:r>
            <w:r w:rsidRPr="00D442F1">
              <w:rPr>
                <w:rFonts w:eastAsia="MS Mincho"/>
                <w:szCs w:val="22"/>
                <w:lang w:val="en-US" w:eastAsia="zh-CN"/>
              </w:rPr>
              <w:t xml:space="preserve"> </w:t>
            </w:r>
            <w:r w:rsidRPr="00D442F1">
              <w:rPr>
                <w:rFonts w:eastAsia="MS Mincho"/>
                <w:szCs w:val="22"/>
                <w:lang w:val="en-US" w:eastAsia="zh-CN"/>
              </w:rPr>
              <w:t>(38.</w:t>
            </w:r>
            <w:r w:rsidRPr="00D442F1">
              <w:rPr>
                <w:rFonts w:eastAsia="MS Mincho"/>
                <w:szCs w:val="22"/>
                <w:lang w:val="en-US" w:eastAsia="zh-CN"/>
              </w:rPr>
              <w:t>3</w:t>
            </w:r>
            <w:r w:rsidRPr="00D442F1">
              <w:rPr>
                <w:rFonts w:eastAsia="MS Mincho"/>
                <w:szCs w:val="22"/>
                <w:lang w:val="en-US" w:eastAsia="zh-CN"/>
              </w:rPr>
              <w:t>)</w:t>
            </w:r>
          </w:p>
        </w:tc>
      </w:tr>
      <w:tr w14:paraId="31489F8A"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7A24F37E" w14:textId="77777777">
            <w:pPr>
              <w:keepNext/>
              <w:keepLines/>
              <w:widowControl w:val="0"/>
              <w:tabs>
                <w:tab w:val="clear" w:pos="567"/>
              </w:tabs>
              <w:spacing w:line="240" w:lineRule="auto"/>
              <w:rPr>
                <w:rFonts w:eastAsia="MS Mincho"/>
                <w:szCs w:val="22"/>
                <w:lang w:val="en-US" w:eastAsia="zh-CN"/>
              </w:rPr>
            </w:pPr>
            <w:r w:rsidRPr="00D442F1">
              <w:rPr>
                <w:b/>
              </w:rPr>
              <w:t>Prior haematopoietic stem cell transplant (SCT) - n (%)</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769E157E" w14:textId="77777777">
            <w:pPr>
              <w:keepNext/>
              <w:keepLines/>
              <w:widowControl w:val="0"/>
              <w:tabs>
                <w:tab w:val="clear" w:pos="567"/>
              </w:tabs>
              <w:spacing w:line="240" w:lineRule="auto"/>
              <w:rPr>
                <w:rFonts w:eastAsia="MS Mincho"/>
                <w:szCs w:val="22"/>
                <w:lang w:val="en-US" w:eastAsia="zh-CN"/>
              </w:rPr>
            </w:pP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29AB7232" w14:textId="77777777">
            <w:pPr>
              <w:keepNext/>
              <w:keepLines/>
              <w:widowControl w:val="0"/>
              <w:tabs>
                <w:tab w:val="clear" w:pos="567"/>
              </w:tabs>
              <w:spacing w:line="240" w:lineRule="auto"/>
              <w:rPr>
                <w:rFonts w:eastAsia="MS Mincho"/>
                <w:szCs w:val="22"/>
                <w:lang w:val="en-US" w:eastAsia="zh-CN"/>
              </w:rPr>
            </w:pPr>
          </w:p>
        </w:tc>
      </w:tr>
      <w:tr w14:paraId="12661AC8"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4A1D2D86" w14:textId="77777777">
            <w:pPr>
              <w:keepNext/>
              <w:keepLines/>
              <w:widowControl w:val="0"/>
              <w:tabs>
                <w:tab w:val="clear" w:pos="567"/>
              </w:tabs>
              <w:spacing w:line="240" w:lineRule="auto"/>
              <w:rPr>
                <w:rFonts w:eastAsia="MS Mincho"/>
                <w:szCs w:val="22"/>
                <w:lang w:val="en-US" w:eastAsia="zh-CN"/>
              </w:rPr>
            </w:pPr>
            <w:r w:rsidRPr="00D442F1">
              <w:tab/>
            </w:r>
            <w:r w:rsidRPr="00D442F1">
              <w:t>No</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26084B" w14:paraId="5C6856F4" w14:textId="10C969B8">
            <w:pPr>
              <w:keepNext/>
              <w:keepLines/>
              <w:widowControl w:val="0"/>
              <w:tabs>
                <w:tab w:val="clear" w:pos="567"/>
              </w:tabs>
              <w:spacing w:line="240" w:lineRule="auto"/>
              <w:rPr>
                <w:rFonts w:eastAsia="MS Mincho"/>
                <w:szCs w:val="22"/>
                <w:lang w:val="en-US" w:eastAsia="zh-CN"/>
              </w:rPr>
            </w:pPr>
            <w:r w:rsidRPr="00D442F1">
              <w:t>93 (</w:t>
            </w:r>
            <w:r w:rsidRPr="00D442F1" w:rsidR="0026084B">
              <w:t>55.7</w:t>
            </w:r>
            <w:r w:rsidRPr="00D442F1">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29DCB059" w14:textId="2E6490D2">
            <w:pPr>
              <w:keepNext/>
              <w:keepLines/>
              <w:widowControl w:val="0"/>
              <w:tabs>
                <w:tab w:val="clear" w:pos="567"/>
              </w:tabs>
              <w:spacing w:line="240" w:lineRule="auto"/>
              <w:rPr>
                <w:rFonts w:eastAsia="MS Mincho"/>
                <w:szCs w:val="22"/>
                <w:lang w:val="en-US" w:eastAsia="zh-CN"/>
              </w:rPr>
            </w:pPr>
            <w:r w:rsidRPr="00D442F1">
              <w:t xml:space="preserve">59 </w:t>
            </w:r>
            <w:r w:rsidRPr="00D442F1">
              <w:t>(51.</w:t>
            </w:r>
            <w:r w:rsidRPr="00D442F1">
              <w:t>3</w:t>
            </w:r>
            <w:r w:rsidRPr="00D442F1">
              <w:t>)</w:t>
            </w:r>
          </w:p>
        </w:tc>
      </w:tr>
      <w:tr w14:paraId="1AEC93ED"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721E12F7" w14:textId="77777777">
            <w:pPr>
              <w:keepNext/>
              <w:keepLines/>
              <w:widowControl w:val="0"/>
              <w:tabs>
                <w:tab w:val="clear" w:pos="567"/>
              </w:tabs>
              <w:spacing w:line="240" w:lineRule="auto"/>
              <w:rPr>
                <w:rFonts w:eastAsia="MS Mincho"/>
                <w:szCs w:val="22"/>
                <w:lang w:val="en-US" w:eastAsia="zh-CN"/>
              </w:rPr>
            </w:pPr>
            <w:r w:rsidRPr="00D442F1">
              <w:tab/>
            </w:r>
            <w:r w:rsidRPr="00D442F1">
              <w:t>Yes</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26084B" w14:paraId="06CA834C" w14:textId="4BA1CF76">
            <w:pPr>
              <w:keepNext/>
              <w:keepLines/>
              <w:widowControl w:val="0"/>
              <w:tabs>
                <w:tab w:val="clear" w:pos="567"/>
              </w:tabs>
              <w:spacing w:line="240" w:lineRule="auto"/>
              <w:rPr>
                <w:rFonts w:eastAsia="MS Mincho"/>
                <w:szCs w:val="22"/>
                <w:lang w:val="en-US" w:eastAsia="zh-CN"/>
              </w:rPr>
            </w:pPr>
            <w:r w:rsidRPr="00D442F1">
              <w:t xml:space="preserve">74 </w:t>
            </w:r>
            <w:r w:rsidRPr="00D442F1">
              <w:t>(</w:t>
            </w:r>
            <w:r w:rsidRPr="00D442F1">
              <w:t>44</w:t>
            </w:r>
            <w:r w:rsidRPr="00D442F1">
              <w:t>.</w:t>
            </w:r>
            <w:r w:rsidRPr="00D442F1">
              <w:t>3</w:t>
            </w:r>
            <w:r w:rsidRPr="00D442F1">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221BADF0" w14:textId="4484D4FD">
            <w:pPr>
              <w:keepNext/>
              <w:keepLines/>
              <w:widowControl w:val="0"/>
              <w:tabs>
                <w:tab w:val="clear" w:pos="567"/>
              </w:tabs>
              <w:spacing w:line="240" w:lineRule="auto"/>
              <w:rPr>
                <w:rFonts w:eastAsia="MS Mincho"/>
                <w:szCs w:val="22"/>
                <w:lang w:val="en-US" w:eastAsia="zh-CN"/>
              </w:rPr>
            </w:pPr>
            <w:r w:rsidRPr="00D442F1">
              <w:t xml:space="preserve">56 </w:t>
            </w:r>
            <w:r w:rsidRPr="00D442F1">
              <w:t>(48.</w:t>
            </w:r>
            <w:r w:rsidRPr="00D442F1">
              <w:t>7</w:t>
            </w:r>
            <w:r w:rsidRPr="00D442F1">
              <w:t>)</w:t>
            </w:r>
          </w:p>
        </w:tc>
      </w:tr>
      <w:tr w14:paraId="1CFBCD10"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00F3A65F" w14:textId="77777777">
            <w:pPr>
              <w:keepNext/>
              <w:keepLines/>
              <w:widowControl w:val="0"/>
              <w:tabs>
                <w:tab w:val="clear" w:pos="567"/>
              </w:tabs>
              <w:spacing w:line="240" w:lineRule="auto"/>
              <w:rPr>
                <w:rFonts w:eastAsia="MS Mincho"/>
                <w:szCs w:val="22"/>
                <w:lang w:val="en-US" w:eastAsia="zh-CN"/>
              </w:rPr>
            </w:pPr>
            <w:r w:rsidRPr="00D442F1">
              <w:rPr>
                <w:b/>
              </w:rPr>
              <w:t>Stage III/IV disease at study entry - n (%)</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1E4231A0" w14:textId="77777777">
            <w:pPr>
              <w:keepNext/>
              <w:keepLines/>
              <w:widowControl w:val="0"/>
              <w:tabs>
                <w:tab w:val="clear" w:pos="567"/>
              </w:tabs>
              <w:spacing w:line="240" w:lineRule="auto"/>
              <w:rPr>
                <w:rFonts w:eastAsia="MS Mincho"/>
                <w:szCs w:val="22"/>
                <w:lang w:val="en-US" w:eastAsia="zh-CN"/>
              </w:rPr>
            </w:pP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6C7699EB" w14:textId="77777777">
            <w:pPr>
              <w:keepNext/>
              <w:keepLines/>
              <w:widowControl w:val="0"/>
              <w:tabs>
                <w:tab w:val="clear" w:pos="567"/>
              </w:tabs>
              <w:spacing w:line="240" w:lineRule="auto"/>
              <w:rPr>
                <w:rFonts w:eastAsia="MS Mincho"/>
                <w:szCs w:val="22"/>
                <w:lang w:val="en-US" w:eastAsia="zh-CN"/>
              </w:rPr>
            </w:pPr>
          </w:p>
        </w:tc>
      </w:tr>
      <w:tr w14:paraId="29D12EB7"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02F6A446" w14:textId="77777777">
            <w:pPr>
              <w:keepNext/>
              <w:keepLines/>
              <w:widowControl w:val="0"/>
              <w:tabs>
                <w:tab w:val="clear" w:pos="567"/>
              </w:tabs>
              <w:spacing w:line="240" w:lineRule="auto"/>
              <w:rPr>
                <w:rFonts w:eastAsia="MS Mincho"/>
                <w:szCs w:val="22"/>
                <w:lang w:val="en-US" w:eastAsia="zh-CN"/>
              </w:rPr>
            </w:pPr>
            <w:r w:rsidRPr="00D442F1">
              <w:tab/>
            </w:r>
            <w:r w:rsidRPr="00D442F1">
              <w:t>No</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50447" w14:paraId="4B08D384" w14:textId="36EBCA5F">
            <w:pPr>
              <w:keepNext/>
              <w:keepLines/>
              <w:widowControl w:val="0"/>
              <w:tabs>
                <w:tab w:val="clear" w:pos="567"/>
              </w:tabs>
              <w:spacing w:line="240" w:lineRule="auto"/>
              <w:rPr>
                <w:rFonts w:eastAsia="MS Mincho"/>
                <w:szCs w:val="22"/>
                <w:lang w:val="en-US" w:eastAsia="zh-CN"/>
              </w:rPr>
            </w:pPr>
            <w:r w:rsidRPr="00D442F1">
              <w:t>36 (21.</w:t>
            </w:r>
            <w:r w:rsidRPr="00D442F1" w:rsidR="00150447">
              <w:t>6</w:t>
            </w:r>
            <w:r w:rsidRPr="00D442F1">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50447" w14:paraId="2CA750BD" w14:textId="0EBF7DE6">
            <w:pPr>
              <w:keepNext/>
              <w:keepLines/>
              <w:widowControl w:val="0"/>
              <w:tabs>
                <w:tab w:val="clear" w:pos="567"/>
              </w:tabs>
              <w:spacing w:line="240" w:lineRule="auto"/>
              <w:rPr>
                <w:rFonts w:eastAsia="MS Mincho"/>
                <w:szCs w:val="22"/>
                <w:lang w:val="en-US" w:eastAsia="zh-CN"/>
              </w:rPr>
            </w:pPr>
            <w:r w:rsidRPr="00D442F1">
              <w:t>27 (</w:t>
            </w:r>
            <w:r w:rsidRPr="00D442F1" w:rsidR="00150447">
              <w:t>23.5</w:t>
            </w:r>
            <w:r w:rsidRPr="00D442F1">
              <w:t>)</w:t>
            </w:r>
          </w:p>
        </w:tc>
      </w:tr>
      <w:tr w14:paraId="7FE3674D"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58F9E3F7" w14:textId="77777777">
            <w:pPr>
              <w:keepNext/>
              <w:keepLines/>
              <w:widowControl w:val="0"/>
              <w:tabs>
                <w:tab w:val="clear" w:pos="567"/>
              </w:tabs>
              <w:spacing w:line="240" w:lineRule="auto"/>
              <w:rPr>
                <w:rFonts w:eastAsia="MS Mincho"/>
                <w:szCs w:val="22"/>
                <w:lang w:val="en-US" w:eastAsia="zh-CN"/>
              </w:rPr>
            </w:pPr>
            <w:r w:rsidRPr="00D442F1">
              <w:tab/>
            </w:r>
            <w:r w:rsidRPr="00D442F1">
              <w:t>Yes</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50447" w14:paraId="05AB717F" w14:textId="33851973">
            <w:pPr>
              <w:keepNext/>
              <w:keepLines/>
              <w:widowControl w:val="0"/>
              <w:tabs>
                <w:tab w:val="clear" w:pos="567"/>
              </w:tabs>
              <w:spacing w:line="240" w:lineRule="auto"/>
              <w:rPr>
                <w:rFonts w:eastAsia="MS Mincho"/>
                <w:szCs w:val="22"/>
                <w:lang w:val="en-US" w:eastAsia="zh-CN"/>
              </w:rPr>
            </w:pPr>
            <w:r w:rsidRPr="00D442F1">
              <w:t xml:space="preserve">131 </w:t>
            </w:r>
            <w:r w:rsidRPr="00D442F1">
              <w:t>(78.</w:t>
            </w:r>
            <w:r w:rsidRPr="00D442F1">
              <w:t>4</w:t>
            </w:r>
            <w:r w:rsidRPr="00D442F1">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1D2DC4CB" w14:textId="35BBCF67">
            <w:pPr>
              <w:keepNext/>
              <w:keepLines/>
              <w:widowControl w:val="0"/>
              <w:tabs>
                <w:tab w:val="clear" w:pos="567"/>
              </w:tabs>
              <w:spacing w:line="240" w:lineRule="auto"/>
              <w:rPr>
                <w:rFonts w:eastAsia="MS Mincho"/>
                <w:szCs w:val="22"/>
                <w:lang w:val="en-US" w:eastAsia="zh-CN"/>
              </w:rPr>
            </w:pPr>
            <w:r w:rsidRPr="00D442F1">
              <w:t xml:space="preserve">88 </w:t>
            </w:r>
            <w:r w:rsidRPr="00D442F1">
              <w:t>(</w:t>
            </w:r>
            <w:r w:rsidRPr="00D442F1">
              <w:t>76</w:t>
            </w:r>
            <w:r w:rsidRPr="00D442F1">
              <w:t>.</w:t>
            </w:r>
            <w:r w:rsidRPr="00D442F1">
              <w:t>5</w:t>
            </w:r>
            <w:r w:rsidRPr="00D442F1">
              <w:t>)</w:t>
            </w:r>
          </w:p>
        </w:tc>
      </w:tr>
      <w:tr w14:paraId="27F579E8"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51FEE0B8" w14:textId="77777777">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b/>
                <w:sz w:val="22"/>
                <w:szCs w:val="22"/>
              </w:rPr>
              <w:t>Number of prior lines of antineoplastic therapy – n (%)</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39FFD47A" w14:textId="77777777">
            <w:pPr>
              <w:pStyle w:val="Table"/>
              <w:keepNext/>
              <w:widowControl w:val="0"/>
              <w:tabs>
                <w:tab w:val="clear" w:pos="284"/>
              </w:tabs>
              <w:spacing w:before="0" w:after="0"/>
              <w:rPr>
                <w:rFonts w:ascii="Times New Roman" w:hAnsi="Times New Roman" w:cs="Times New Roman"/>
                <w:sz w:val="22"/>
                <w:szCs w:val="22"/>
              </w:rPr>
            </w:pP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268719CC" w14:textId="77777777">
            <w:pPr>
              <w:pStyle w:val="Table"/>
              <w:keepNext/>
              <w:widowControl w:val="0"/>
              <w:tabs>
                <w:tab w:val="clear" w:pos="284"/>
              </w:tabs>
              <w:spacing w:before="0" w:after="0"/>
              <w:rPr>
                <w:rFonts w:ascii="Times New Roman" w:hAnsi="Times New Roman" w:cs="Times New Roman"/>
                <w:sz w:val="22"/>
                <w:szCs w:val="22"/>
              </w:rPr>
            </w:pPr>
          </w:p>
        </w:tc>
      </w:tr>
      <w:tr w14:paraId="7775458C"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0F52881C" w14:textId="77777777">
            <w:pPr>
              <w:pStyle w:val="Table"/>
              <w:keepNext/>
              <w:widowControl w:val="0"/>
              <w:tabs>
                <w:tab w:val="clear" w:pos="284"/>
              </w:tabs>
              <w:spacing w:before="0" w:after="0"/>
              <w:jc w:val="both"/>
              <w:rPr>
                <w:rFonts w:ascii="Times New Roman" w:hAnsi="Times New Roman" w:cs="Times New Roman"/>
                <w:sz w:val="22"/>
                <w:szCs w:val="22"/>
              </w:rPr>
            </w:pPr>
            <w:r w:rsidRPr="00D442F1">
              <w:rPr>
                <w:rFonts w:ascii="Times New Roman" w:hAnsi="Times New Roman" w:cs="Times New Roman"/>
                <w:sz w:val="22"/>
                <w:szCs w:val="22"/>
              </w:rPr>
              <w:tab/>
            </w:r>
            <w:r w:rsidRPr="00D442F1">
              <w:rPr>
                <w:rFonts w:ascii="Times New Roman" w:hAnsi="Times New Roman" w:cs="Times New Roman"/>
                <w:sz w:val="22"/>
                <w:szCs w:val="22"/>
              </w:rPr>
              <w:t>1</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6C3C50F1" w14:textId="77777777">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sz w:val="22"/>
                <w:szCs w:val="22"/>
              </w:rPr>
              <w:t>6 (3.6)</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D837E6" w14:paraId="60FA2549" w14:textId="01107478">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sz w:val="22"/>
                <w:szCs w:val="22"/>
              </w:rPr>
              <w:t>5 (4.</w:t>
            </w:r>
            <w:r w:rsidRPr="00D442F1" w:rsidR="00D837E6">
              <w:rPr>
                <w:rFonts w:ascii="Times New Roman" w:hAnsi="Times New Roman" w:cs="Times New Roman"/>
                <w:sz w:val="22"/>
                <w:szCs w:val="22"/>
              </w:rPr>
              <w:t>3</w:t>
            </w:r>
            <w:r w:rsidRPr="00D442F1">
              <w:rPr>
                <w:rFonts w:ascii="Times New Roman" w:hAnsi="Times New Roman" w:cs="Times New Roman"/>
                <w:sz w:val="22"/>
                <w:szCs w:val="22"/>
              </w:rPr>
              <w:t>)</w:t>
            </w:r>
          </w:p>
        </w:tc>
      </w:tr>
      <w:tr w14:paraId="6D6B06C5"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68F9F881" w14:textId="77777777">
            <w:pPr>
              <w:pStyle w:val="Table"/>
              <w:keepNext/>
              <w:widowControl w:val="0"/>
              <w:tabs>
                <w:tab w:val="clear" w:pos="284"/>
              </w:tabs>
              <w:spacing w:before="0" w:after="0"/>
              <w:jc w:val="both"/>
              <w:rPr>
                <w:rFonts w:ascii="Times New Roman" w:hAnsi="Times New Roman" w:cs="Times New Roman"/>
                <w:sz w:val="22"/>
                <w:szCs w:val="22"/>
              </w:rPr>
            </w:pPr>
            <w:r w:rsidRPr="00D442F1">
              <w:rPr>
                <w:rFonts w:ascii="Times New Roman" w:hAnsi="Times New Roman" w:cs="Times New Roman"/>
                <w:sz w:val="22"/>
                <w:szCs w:val="22"/>
              </w:rPr>
              <w:tab/>
            </w:r>
            <w:r w:rsidRPr="00D442F1">
              <w:rPr>
                <w:rFonts w:ascii="Times New Roman" w:hAnsi="Times New Roman" w:cs="Times New Roman"/>
                <w:sz w:val="22"/>
                <w:szCs w:val="22"/>
              </w:rPr>
              <w:t>2</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50447" w14:paraId="58BF5563" w14:textId="0A25D212">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sz w:val="22"/>
                <w:szCs w:val="22"/>
              </w:rPr>
              <w:t xml:space="preserve">73 </w:t>
            </w:r>
            <w:r w:rsidRPr="00D442F1">
              <w:rPr>
                <w:rFonts w:ascii="Times New Roman" w:hAnsi="Times New Roman" w:cs="Times New Roman"/>
                <w:sz w:val="22"/>
                <w:szCs w:val="22"/>
              </w:rPr>
              <w:t>(43.</w:t>
            </w:r>
            <w:r w:rsidRPr="00D442F1">
              <w:rPr>
                <w:rFonts w:ascii="Times New Roman" w:hAnsi="Times New Roman" w:cs="Times New Roman"/>
                <w:sz w:val="22"/>
                <w:szCs w:val="22"/>
              </w:rPr>
              <w:t>7</w:t>
            </w:r>
            <w:r w:rsidRPr="00D442F1">
              <w:rPr>
                <w:rFonts w:ascii="Times New Roman" w:hAnsi="Times New Roman" w:cs="Times New Roman"/>
                <w:sz w:val="22"/>
                <w:szCs w:val="22"/>
              </w:rPr>
              <w:t>)</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D837E6" w14:paraId="3F3B9FB7" w14:textId="4A6E5C29">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sz w:val="22"/>
                <w:szCs w:val="22"/>
              </w:rPr>
              <w:t xml:space="preserve">51 </w:t>
            </w:r>
            <w:r w:rsidRPr="00D442F1">
              <w:rPr>
                <w:rFonts w:ascii="Times New Roman" w:hAnsi="Times New Roman" w:cs="Times New Roman"/>
                <w:sz w:val="22"/>
                <w:szCs w:val="22"/>
              </w:rPr>
              <w:t>(44.</w:t>
            </w:r>
            <w:r w:rsidRPr="00D442F1">
              <w:rPr>
                <w:rFonts w:ascii="Times New Roman" w:hAnsi="Times New Roman" w:cs="Times New Roman"/>
                <w:sz w:val="22"/>
                <w:szCs w:val="22"/>
              </w:rPr>
              <w:t>3</w:t>
            </w:r>
            <w:r w:rsidRPr="00D442F1">
              <w:rPr>
                <w:rFonts w:ascii="Times New Roman" w:hAnsi="Times New Roman" w:cs="Times New Roman"/>
                <w:sz w:val="22"/>
                <w:szCs w:val="22"/>
              </w:rPr>
              <w:t>)</w:t>
            </w:r>
          </w:p>
        </w:tc>
      </w:tr>
      <w:tr w14:paraId="275A4E19"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3DEFA4DC" w14:textId="77777777">
            <w:pPr>
              <w:pStyle w:val="Table"/>
              <w:keepNext/>
              <w:widowControl w:val="0"/>
              <w:tabs>
                <w:tab w:val="clear" w:pos="284"/>
              </w:tabs>
              <w:spacing w:before="0" w:after="0"/>
              <w:jc w:val="both"/>
              <w:rPr>
                <w:rFonts w:ascii="Times New Roman" w:hAnsi="Times New Roman" w:cs="Times New Roman"/>
                <w:sz w:val="22"/>
                <w:szCs w:val="22"/>
              </w:rPr>
            </w:pPr>
            <w:r w:rsidRPr="00D442F1">
              <w:rPr>
                <w:rFonts w:ascii="Times New Roman" w:hAnsi="Times New Roman" w:cs="Times New Roman"/>
                <w:sz w:val="22"/>
                <w:szCs w:val="22"/>
              </w:rPr>
              <w:tab/>
            </w:r>
            <w:r w:rsidRPr="00D442F1">
              <w:rPr>
                <w:rFonts w:ascii="Times New Roman" w:hAnsi="Times New Roman" w:cs="Times New Roman"/>
                <w:sz w:val="22"/>
                <w:szCs w:val="22"/>
              </w:rPr>
              <w:t>3</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26084B" w14:paraId="2D9457FA" w14:textId="50754A0E">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sz w:val="22"/>
                <w:szCs w:val="22"/>
              </w:rPr>
              <w:t xml:space="preserve">52 </w:t>
            </w:r>
            <w:r w:rsidRPr="00D442F1">
              <w:rPr>
                <w:rFonts w:ascii="Times New Roman" w:hAnsi="Times New Roman" w:cs="Times New Roman"/>
                <w:sz w:val="22"/>
                <w:szCs w:val="22"/>
              </w:rPr>
              <w:t>(</w:t>
            </w:r>
            <w:r w:rsidRPr="00D442F1">
              <w:rPr>
                <w:rFonts w:ascii="Times New Roman" w:hAnsi="Times New Roman" w:cs="Times New Roman"/>
                <w:sz w:val="22"/>
                <w:szCs w:val="22"/>
              </w:rPr>
              <w:t>31.1</w:t>
            </w:r>
            <w:r w:rsidRPr="00D442F1">
              <w:rPr>
                <w:rFonts w:ascii="Times New Roman" w:hAnsi="Times New Roman" w:cs="Times New Roman"/>
                <w:sz w:val="22"/>
                <w:szCs w:val="22"/>
              </w:rPr>
              <w:t>)</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D837E6" w14:paraId="2EFFD34F" w14:textId="235FC175">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sz w:val="22"/>
                <w:szCs w:val="22"/>
              </w:rPr>
              <w:t xml:space="preserve">36 </w:t>
            </w:r>
            <w:r w:rsidRPr="00D442F1">
              <w:rPr>
                <w:rFonts w:ascii="Times New Roman" w:hAnsi="Times New Roman" w:cs="Times New Roman"/>
                <w:sz w:val="22"/>
                <w:szCs w:val="22"/>
              </w:rPr>
              <w:t>(</w:t>
            </w:r>
            <w:r w:rsidRPr="00D442F1">
              <w:rPr>
                <w:rFonts w:ascii="Times New Roman" w:hAnsi="Times New Roman" w:cs="Times New Roman"/>
                <w:sz w:val="22"/>
                <w:szCs w:val="22"/>
              </w:rPr>
              <w:t>31.3</w:t>
            </w:r>
            <w:r w:rsidRPr="00D442F1">
              <w:rPr>
                <w:rFonts w:ascii="Times New Roman" w:hAnsi="Times New Roman" w:cs="Times New Roman"/>
                <w:sz w:val="22"/>
                <w:szCs w:val="22"/>
              </w:rPr>
              <w:t>)</w:t>
            </w:r>
          </w:p>
        </w:tc>
      </w:tr>
      <w:tr w14:paraId="7D644BDD"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4E72EB19" w14:textId="77777777">
            <w:pPr>
              <w:pStyle w:val="Table"/>
              <w:keepNext/>
              <w:widowControl w:val="0"/>
              <w:tabs>
                <w:tab w:val="clear" w:pos="284"/>
              </w:tabs>
              <w:spacing w:before="0" w:after="0"/>
              <w:jc w:val="both"/>
              <w:rPr>
                <w:rFonts w:ascii="Times New Roman" w:hAnsi="Times New Roman" w:cs="Times New Roman"/>
                <w:sz w:val="22"/>
                <w:szCs w:val="22"/>
              </w:rPr>
            </w:pPr>
            <w:r w:rsidRPr="00D442F1">
              <w:rPr>
                <w:rFonts w:ascii="Times New Roman" w:hAnsi="Times New Roman" w:cs="Times New Roman"/>
                <w:sz w:val="22"/>
                <w:szCs w:val="22"/>
              </w:rPr>
              <w:tab/>
            </w:r>
            <w:r w:rsidRPr="00D442F1">
              <w:rPr>
                <w:rFonts w:ascii="Times New Roman" w:hAnsi="Times New Roman" w:cs="Times New Roman"/>
                <w:sz w:val="22"/>
                <w:szCs w:val="22"/>
              </w:rPr>
              <w:t>≥4</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26084B" w14:paraId="29B20C01" w14:textId="2B8D7767">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sz w:val="22"/>
                <w:szCs w:val="22"/>
              </w:rPr>
              <w:t>36 (21.</w:t>
            </w:r>
            <w:r w:rsidRPr="00D442F1" w:rsidR="0026084B">
              <w:rPr>
                <w:rFonts w:ascii="Times New Roman" w:hAnsi="Times New Roman" w:cs="Times New Roman"/>
                <w:sz w:val="22"/>
                <w:szCs w:val="22"/>
              </w:rPr>
              <w:t>6</w:t>
            </w:r>
            <w:r w:rsidRPr="00D442F1">
              <w:rPr>
                <w:rFonts w:ascii="Times New Roman" w:hAnsi="Times New Roman" w:cs="Times New Roman"/>
                <w:sz w:val="22"/>
                <w:szCs w:val="22"/>
              </w:rPr>
              <w:t>)</w:t>
            </w:r>
          </w:p>
        </w:tc>
        <w:tc>
          <w:tcPr>
            <w:tcW w:w="2337"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C0505" w14:paraId="2E8347C0" w14:textId="6D2A7259">
            <w:pPr>
              <w:pStyle w:val="Table"/>
              <w:keepNext/>
              <w:widowControl w:val="0"/>
              <w:tabs>
                <w:tab w:val="clear" w:pos="284"/>
              </w:tabs>
              <w:spacing w:before="0" w:after="0"/>
              <w:rPr>
                <w:rFonts w:ascii="Times New Roman" w:hAnsi="Times New Roman" w:cs="Times New Roman"/>
                <w:sz w:val="22"/>
                <w:szCs w:val="22"/>
              </w:rPr>
            </w:pPr>
            <w:r w:rsidRPr="00D442F1">
              <w:rPr>
                <w:rFonts w:ascii="Times New Roman" w:hAnsi="Times New Roman" w:cs="Times New Roman"/>
                <w:sz w:val="22"/>
                <w:szCs w:val="22"/>
              </w:rPr>
              <w:t>23 (20.</w:t>
            </w:r>
            <w:r w:rsidRPr="00D442F1" w:rsidR="001C0505">
              <w:rPr>
                <w:rFonts w:ascii="Times New Roman" w:hAnsi="Times New Roman" w:cs="Times New Roman"/>
                <w:sz w:val="22"/>
                <w:szCs w:val="22"/>
              </w:rPr>
              <w:t>0</w:t>
            </w:r>
            <w:r w:rsidRPr="00D442F1">
              <w:rPr>
                <w:rFonts w:ascii="Times New Roman" w:hAnsi="Times New Roman" w:cs="Times New Roman"/>
                <w:sz w:val="22"/>
                <w:szCs w:val="22"/>
              </w:rPr>
              <w:t>)</w:t>
            </w:r>
          </w:p>
        </w:tc>
      </w:tr>
      <w:tr w14:paraId="0EF927B1"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shd w:val="clear" w:color="auto" w:fill="auto"/>
          </w:tcPr>
          <w:p w:rsidR="00CA1753" w:rsidRPr="00D442F1" w:rsidP="00166894" w14:paraId="0BBF698E" w14:textId="77777777">
            <w:pPr>
              <w:keepNext/>
              <w:keepLines/>
              <w:widowControl w:val="0"/>
              <w:tabs>
                <w:tab w:val="clear" w:pos="567"/>
              </w:tabs>
              <w:spacing w:line="240" w:lineRule="auto"/>
              <w:jc w:val="both"/>
              <w:rPr>
                <w:rFonts w:eastAsia="MS Mincho"/>
                <w:b/>
                <w:szCs w:val="22"/>
                <w:lang w:val="en-US" w:eastAsia="zh-CN"/>
              </w:rPr>
            </w:pPr>
            <w:r w:rsidRPr="00D442F1">
              <w:rPr>
                <w:rFonts w:eastAsia="MS Mincho"/>
                <w:b/>
                <w:szCs w:val="22"/>
                <w:lang w:val="en-US" w:eastAsia="zh-CN"/>
              </w:rPr>
              <w:t>Disease status (%)</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49412143" w14:textId="77777777">
            <w:pPr>
              <w:keepNext/>
              <w:keepLines/>
              <w:widowControl w:val="0"/>
              <w:tabs>
                <w:tab w:val="clear" w:pos="567"/>
              </w:tabs>
              <w:spacing w:line="240" w:lineRule="auto"/>
              <w:jc w:val="both"/>
              <w:rPr>
                <w:rFonts w:eastAsia="MS Mincho"/>
                <w:szCs w:val="22"/>
                <w:lang w:val="en-US" w:eastAsia="zh-CN"/>
              </w:rPr>
            </w:pPr>
          </w:p>
        </w:tc>
        <w:tc>
          <w:tcPr>
            <w:tcW w:w="2337" w:type="dxa"/>
            <w:tcBorders>
              <w:top w:val="single" w:sz="4" w:space="0" w:color="auto"/>
              <w:left w:val="single" w:sz="4" w:space="0" w:color="auto"/>
              <w:bottom w:val="single" w:sz="4" w:space="0" w:color="auto"/>
              <w:right w:val="single" w:sz="4" w:space="0" w:color="auto"/>
            </w:tcBorders>
          </w:tcPr>
          <w:p w:rsidR="00CA1753" w:rsidRPr="00D442F1" w:rsidP="00166894" w14:paraId="62A5D56A" w14:textId="77777777">
            <w:pPr>
              <w:keepNext/>
              <w:keepLines/>
              <w:widowControl w:val="0"/>
              <w:tabs>
                <w:tab w:val="clear" w:pos="567"/>
              </w:tabs>
              <w:spacing w:line="240" w:lineRule="auto"/>
              <w:jc w:val="both"/>
              <w:rPr>
                <w:rFonts w:eastAsia="MS Mincho"/>
                <w:szCs w:val="22"/>
                <w:lang w:val="en-US" w:eastAsia="zh-CN"/>
              </w:rPr>
            </w:pPr>
          </w:p>
        </w:tc>
      </w:tr>
      <w:tr w14:paraId="56D82C47"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tcPr>
          <w:p w:rsidR="00CA1753" w:rsidRPr="00D442F1" w:rsidP="00166894" w14:paraId="07745F29" w14:textId="77777777">
            <w:pPr>
              <w:keepNext/>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ab/>
            </w:r>
            <w:r w:rsidRPr="00D442F1">
              <w:rPr>
                <w:rFonts w:eastAsia="MS Mincho"/>
                <w:szCs w:val="22"/>
                <w:lang w:val="en-US" w:eastAsia="zh-CN"/>
              </w:rPr>
              <w:t>Refractory to last line of therapy</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26084B" w14:paraId="167361AB" w14:textId="735C42E6">
            <w:pPr>
              <w:keepNext/>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 xml:space="preserve">98 </w:t>
            </w:r>
            <w:r w:rsidRPr="00D442F1">
              <w:rPr>
                <w:rFonts w:eastAsia="MS Mincho"/>
                <w:szCs w:val="22"/>
                <w:lang w:val="en-US" w:eastAsia="zh-CN"/>
              </w:rPr>
              <w:t>(58.</w:t>
            </w:r>
            <w:r w:rsidRPr="00D442F1">
              <w:rPr>
                <w:rFonts w:eastAsia="MS Mincho"/>
                <w:szCs w:val="22"/>
                <w:lang w:val="en-US" w:eastAsia="zh-CN"/>
              </w:rPr>
              <w:t>7</w:t>
            </w:r>
            <w:r w:rsidRPr="00D442F1">
              <w:rPr>
                <w:rFonts w:eastAsia="MS Mincho"/>
                <w:szCs w:val="22"/>
                <w:lang w:val="en-US" w:eastAsia="zh-CN"/>
              </w:rPr>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63769251" w14:textId="398E7769">
            <w:pPr>
              <w:keepNext/>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 xml:space="preserve">63 </w:t>
            </w:r>
            <w:r w:rsidRPr="00D442F1">
              <w:rPr>
                <w:rFonts w:eastAsia="MS Mincho"/>
                <w:szCs w:val="22"/>
                <w:lang w:val="en-US" w:eastAsia="zh-CN"/>
              </w:rPr>
              <w:t>(5</w:t>
            </w:r>
            <w:r w:rsidRPr="00D442F1">
              <w:rPr>
                <w:rFonts w:eastAsia="MS Mincho"/>
                <w:szCs w:val="22"/>
                <w:lang w:val="en-US" w:eastAsia="zh-CN"/>
              </w:rPr>
              <w:t>4.8</w:t>
            </w:r>
            <w:r w:rsidRPr="00D442F1">
              <w:rPr>
                <w:rFonts w:eastAsia="MS Mincho"/>
                <w:szCs w:val="22"/>
                <w:lang w:val="en-US" w:eastAsia="zh-CN"/>
              </w:rPr>
              <w:t>)</w:t>
            </w:r>
          </w:p>
        </w:tc>
      </w:tr>
      <w:tr w14:paraId="267E3180" w14:textId="77777777" w:rsidTr="00E93A6F">
        <w:tblPrEx>
          <w:tblW w:w="9084" w:type="dxa"/>
          <w:tblLayout w:type="fixed"/>
          <w:tblLook w:val="0000"/>
        </w:tblPrEx>
        <w:tc>
          <w:tcPr>
            <w:tcW w:w="4410" w:type="dxa"/>
            <w:tcBorders>
              <w:top w:val="single" w:sz="4" w:space="0" w:color="auto"/>
              <w:left w:val="single" w:sz="4" w:space="0" w:color="auto"/>
              <w:bottom w:val="single" w:sz="4" w:space="0" w:color="auto"/>
              <w:right w:val="single" w:sz="4" w:space="0" w:color="auto"/>
            </w:tcBorders>
          </w:tcPr>
          <w:p w:rsidR="00CA1753" w:rsidRPr="00D442F1" w:rsidP="00166894" w14:paraId="3E278D7D" w14:textId="77777777">
            <w:pPr>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ab/>
            </w:r>
            <w:r w:rsidRPr="00D442F1">
              <w:rPr>
                <w:rFonts w:eastAsia="MS Mincho"/>
                <w:szCs w:val="22"/>
                <w:lang w:val="en-US" w:eastAsia="zh-CN"/>
              </w:rPr>
              <w:t>Relapse to last line of therapy</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26084B" w14:paraId="0E6BCB41" w14:textId="2987D914">
            <w:pPr>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69 (41.</w:t>
            </w:r>
            <w:r w:rsidRPr="00D442F1" w:rsidR="0026084B">
              <w:rPr>
                <w:rFonts w:eastAsia="MS Mincho"/>
                <w:szCs w:val="22"/>
                <w:lang w:val="en-US" w:eastAsia="zh-CN"/>
              </w:rPr>
              <w:t>3</w:t>
            </w:r>
            <w:r w:rsidRPr="00D442F1">
              <w:rPr>
                <w:rFonts w:eastAsia="MS Mincho"/>
                <w:szCs w:val="22"/>
                <w:lang w:val="en-US" w:eastAsia="zh-CN"/>
              </w:rPr>
              <w:t>)</w:t>
            </w:r>
          </w:p>
        </w:tc>
        <w:tc>
          <w:tcPr>
            <w:tcW w:w="2337" w:type="dxa"/>
            <w:tcBorders>
              <w:top w:val="single" w:sz="4" w:space="0" w:color="auto"/>
              <w:left w:val="single" w:sz="4" w:space="0" w:color="auto"/>
              <w:bottom w:val="single" w:sz="4" w:space="0" w:color="auto"/>
              <w:right w:val="single" w:sz="4" w:space="0" w:color="auto"/>
            </w:tcBorders>
          </w:tcPr>
          <w:p w:rsidR="00CA1753" w:rsidRPr="00D442F1" w:rsidP="00D837E6" w14:paraId="58614418" w14:textId="147A5AEE">
            <w:pPr>
              <w:keepLines/>
              <w:widowControl w:val="0"/>
              <w:tabs>
                <w:tab w:val="clear" w:pos="567"/>
              </w:tabs>
              <w:spacing w:line="240" w:lineRule="auto"/>
              <w:jc w:val="both"/>
              <w:rPr>
                <w:rFonts w:eastAsia="MS Mincho"/>
                <w:szCs w:val="22"/>
                <w:lang w:val="en-US" w:eastAsia="zh-CN"/>
              </w:rPr>
            </w:pPr>
            <w:r w:rsidRPr="00D442F1">
              <w:rPr>
                <w:rFonts w:eastAsia="MS Mincho"/>
                <w:szCs w:val="22"/>
                <w:lang w:val="en-US" w:eastAsia="zh-CN"/>
              </w:rPr>
              <w:t xml:space="preserve">52 </w:t>
            </w:r>
            <w:r w:rsidRPr="00D442F1">
              <w:rPr>
                <w:rFonts w:eastAsia="MS Mincho"/>
                <w:szCs w:val="22"/>
                <w:lang w:val="en-US" w:eastAsia="zh-CN"/>
              </w:rPr>
              <w:t>(45.</w:t>
            </w:r>
            <w:r w:rsidRPr="00D442F1">
              <w:rPr>
                <w:rFonts w:eastAsia="MS Mincho"/>
                <w:szCs w:val="22"/>
                <w:lang w:val="en-US" w:eastAsia="zh-CN"/>
              </w:rPr>
              <w:t>2</w:t>
            </w:r>
            <w:r w:rsidRPr="00D442F1">
              <w:rPr>
                <w:rFonts w:eastAsia="MS Mincho"/>
                <w:szCs w:val="22"/>
                <w:lang w:val="en-US" w:eastAsia="zh-CN"/>
              </w:rPr>
              <w:t>)</w:t>
            </w:r>
          </w:p>
        </w:tc>
      </w:tr>
    </w:tbl>
    <w:p w:rsidR="00CA1753" w:rsidRPr="00D442F1" w:rsidP="00166894" w14:paraId="523DBABD" w14:textId="77777777">
      <w:pPr>
        <w:pStyle w:val="Text"/>
        <w:widowControl w:val="0"/>
        <w:spacing w:before="0"/>
        <w:jc w:val="left"/>
        <w:rPr>
          <w:sz w:val="22"/>
          <w:szCs w:val="22"/>
          <w:lang w:val="en-GB"/>
        </w:rPr>
      </w:pPr>
    </w:p>
    <w:p w:rsidR="00C363FA" w:rsidRPr="00D442F1" w:rsidP="00D837E6" w14:paraId="2531CA31" w14:textId="36A62C49">
      <w:pPr>
        <w:pStyle w:val="CommentText"/>
        <w:widowControl w:val="0"/>
        <w:rPr>
          <w:sz w:val="22"/>
          <w:szCs w:val="22"/>
        </w:rPr>
      </w:pPr>
      <w:r w:rsidRPr="00D442F1">
        <w:rPr>
          <w:sz w:val="22"/>
          <w:szCs w:val="22"/>
        </w:rPr>
        <w:t xml:space="preserve">The efficacy of Kymriah was evaluated through the primary endpoint of best overall response rate (ORR), which includes complete response (CR) and partial response (PR) as determined by </w:t>
      </w:r>
      <w:r w:rsidRPr="00D442F1" w:rsidR="00001E5C">
        <w:rPr>
          <w:sz w:val="22"/>
          <w:szCs w:val="22"/>
        </w:rPr>
        <w:t>Independent Review Committee (</w:t>
      </w:r>
      <w:r w:rsidRPr="00D442F1">
        <w:rPr>
          <w:sz w:val="22"/>
          <w:szCs w:val="22"/>
        </w:rPr>
        <w:t>IRC</w:t>
      </w:r>
      <w:r w:rsidRPr="00D442F1" w:rsidR="00001E5C">
        <w:rPr>
          <w:sz w:val="22"/>
          <w:szCs w:val="22"/>
        </w:rPr>
        <w:t>)</w:t>
      </w:r>
      <w:r w:rsidRPr="00D442F1">
        <w:rPr>
          <w:sz w:val="22"/>
          <w:szCs w:val="22"/>
        </w:rPr>
        <w:t xml:space="preserve"> assessment </w:t>
      </w:r>
      <w:r w:rsidRPr="00D442F1" w:rsidR="00F20305">
        <w:rPr>
          <w:sz w:val="22"/>
          <w:szCs w:val="22"/>
        </w:rPr>
        <w:t>a</w:t>
      </w:r>
      <w:r w:rsidRPr="00D442F1">
        <w:rPr>
          <w:sz w:val="22"/>
          <w:szCs w:val="22"/>
        </w:rPr>
        <w:t xml:space="preserve">s well as secondary endpoints </w:t>
      </w:r>
      <w:r w:rsidRPr="00D442F1" w:rsidR="009C6071">
        <w:rPr>
          <w:sz w:val="22"/>
          <w:szCs w:val="22"/>
        </w:rPr>
        <w:t xml:space="preserve">including duration of response </w:t>
      </w:r>
      <w:r w:rsidRPr="00D442F1" w:rsidR="001548D8">
        <w:rPr>
          <w:sz w:val="22"/>
          <w:szCs w:val="22"/>
        </w:rPr>
        <w:t>(Table </w:t>
      </w:r>
      <w:r w:rsidRPr="00D442F1" w:rsidR="001918EA">
        <w:rPr>
          <w:sz w:val="22"/>
          <w:szCs w:val="22"/>
        </w:rPr>
        <w:t>6</w:t>
      </w:r>
      <w:r w:rsidRPr="00D442F1">
        <w:rPr>
          <w:sz w:val="22"/>
          <w:szCs w:val="22"/>
        </w:rPr>
        <w:t>).</w:t>
      </w:r>
    </w:p>
    <w:p w:rsidR="00C363FA" w:rsidRPr="00D442F1" w:rsidP="00166894" w14:paraId="02267200" w14:textId="77777777">
      <w:pPr>
        <w:widowControl w:val="0"/>
        <w:tabs>
          <w:tab w:val="clear" w:pos="567"/>
        </w:tabs>
        <w:autoSpaceDE w:val="0"/>
        <w:autoSpaceDN w:val="0"/>
        <w:adjustRightInd w:val="0"/>
        <w:spacing w:line="240" w:lineRule="auto"/>
        <w:rPr>
          <w:szCs w:val="22"/>
        </w:rPr>
      </w:pPr>
      <w:bookmarkStart w:id="0" w:name="_hd6_Table_4_2_Best_overall27158"/>
      <w:bookmarkStart w:id="1" w:name="_hd7_Figure_4_1_Kaplan_Meie31722"/>
      <w:bookmarkEnd w:id="0"/>
      <w:bookmarkEnd w:id="1"/>
    </w:p>
    <w:p w:rsidR="006C0509" w:rsidRPr="00D442F1" w:rsidP="00166894" w14:paraId="17F02652" w14:textId="72583C3F">
      <w:pPr>
        <w:keepNext/>
        <w:keepLines/>
        <w:widowControl w:val="0"/>
        <w:tabs>
          <w:tab w:val="clear" w:pos="567"/>
        </w:tabs>
        <w:autoSpaceDE w:val="0"/>
        <w:autoSpaceDN w:val="0"/>
        <w:adjustRightInd w:val="0"/>
        <w:spacing w:line="240" w:lineRule="auto"/>
        <w:ind w:left="1134" w:hanging="1134"/>
        <w:rPr>
          <w:b/>
          <w:szCs w:val="22"/>
        </w:rPr>
      </w:pPr>
      <w:bookmarkStart w:id="2" w:name="_Toc488242409"/>
      <w:r w:rsidRPr="00D442F1">
        <w:rPr>
          <w:b/>
          <w:szCs w:val="22"/>
        </w:rPr>
        <w:t>Table </w:t>
      </w:r>
      <w:r w:rsidRPr="00D442F1" w:rsidR="001918EA">
        <w:rPr>
          <w:b/>
          <w:szCs w:val="22"/>
        </w:rPr>
        <w:t>6</w:t>
      </w:r>
      <w:r w:rsidRPr="00D442F1">
        <w:rPr>
          <w:b/>
          <w:szCs w:val="22"/>
        </w:rPr>
        <w:tab/>
      </w:r>
      <w:bookmarkEnd w:id="2"/>
      <w:r w:rsidRPr="00D442F1" w:rsidR="004E6307">
        <w:rPr>
          <w:b/>
          <w:szCs w:val="22"/>
        </w:rPr>
        <w:t xml:space="preserve">Study </w:t>
      </w:r>
      <w:r w:rsidRPr="00D442F1" w:rsidR="0097625B">
        <w:rPr>
          <w:b/>
          <w:szCs w:val="22"/>
        </w:rPr>
        <w:t>C2201: Efficacy results in adult patients with relapsed or refractory diffuse large B</w:t>
      </w:r>
      <w:r w:rsidRPr="00D442F1" w:rsidR="00591100">
        <w:rPr>
          <w:b/>
          <w:szCs w:val="22"/>
        </w:rPr>
        <w:noBreakHyphen/>
      </w:r>
      <w:r w:rsidRPr="00D442F1" w:rsidR="0097625B">
        <w:rPr>
          <w:b/>
          <w:szCs w:val="22"/>
        </w:rPr>
        <w:t xml:space="preserve">cell lymphoma (DLBCL) </w:t>
      </w:r>
      <w:r w:rsidRPr="00D442F1" w:rsidR="00535EF4">
        <w:rPr>
          <w:b/>
          <w:szCs w:val="22"/>
        </w:rPr>
        <w:t>after two or more lines of systemic therapy</w:t>
      </w:r>
    </w:p>
    <w:p w:rsidR="0097625B" w:rsidRPr="00D442F1" w:rsidP="00166894" w14:paraId="72FAD3BB" w14:textId="77777777">
      <w:pPr>
        <w:keepNext/>
        <w:keepLines/>
        <w:widowControl w:val="0"/>
        <w:tabs>
          <w:tab w:val="clear" w:pos="567"/>
        </w:tabs>
        <w:autoSpaceDE w:val="0"/>
        <w:autoSpaceDN w:val="0"/>
        <w:adjustRightInd w:val="0"/>
        <w:spacing w:line="240" w:lineRule="auto"/>
        <w:rPr>
          <w:szCs w:val="2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2410"/>
        <w:gridCol w:w="2410"/>
      </w:tblGrid>
      <w:tr w14:paraId="06689203" w14:textId="77777777" w:rsidTr="00054918">
        <w:tblPrEx>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Pr>
        <w:tc>
          <w:tcPr>
            <w:tcW w:w="4927" w:type="dxa"/>
            <w:shd w:val="clear" w:color="auto" w:fill="auto"/>
          </w:tcPr>
          <w:p w:rsidR="00574B67" w:rsidRPr="00D442F1" w:rsidP="00166894" w14:paraId="1B99A9C4" w14:textId="77777777">
            <w:pPr>
              <w:keepNext/>
              <w:keepLines/>
              <w:widowControl w:val="0"/>
              <w:tabs>
                <w:tab w:val="clear" w:pos="567"/>
              </w:tabs>
              <w:autoSpaceDE w:val="0"/>
              <w:autoSpaceDN w:val="0"/>
              <w:adjustRightInd w:val="0"/>
              <w:spacing w:line="240" w:lineRule="auto"/>
              <w:rPr>
                <w:b/>
                <w:szCs w:val="22"/>
              </w:rPr>
            </w:pPr>
          </w:p>
        </w:tc>
        <w:tc>
          <w:tcPr>
            <w:tcW w:w="2410" w:type="dxa"/>
            <w:shd w:val="clear" w:color="auto" w:fill="auto"/>
          </w:tcPr>
          <w:p w:rsidR="00574B67" w:rsidRPr="00D442F1" w:rsidP="00166894" w14:paraId="71128F5B" w14:textId="77777777">
            <w:pPr>
              <w:keepNext/>
              <w:keepLines/>
              <w:widowControl w:val="0"/>
              <w:tabs>
                <w:tab w:val="clear" w:pos="567"/>
              </w:tabs>
              <w:autoSpaceDE w:val="0"/>
              <w:autoSpaceDN w:val="0"/>
              <w:adjustRightInd w:val="0"/>
              <w:spacing w:line="240" w:lineRule="auto"/>
              <w:rPr>
                <w:b/>
                <w:szCs w:val="22"/>
              </w:rPr>
            </w:pPr>
            <w:r w:rsidRPr="00D442F1">
              <w:rPr>
                <w:b/>
                <w:szCs w:val="22"/>
              </w:rPr>
              <w:t>Enrolled</w:t>
            </w:r>
            <w:r w:rsidRPr="00D442F1">
              <w:rPr>
                <w:b/>
                <w:szCs w:val="22"/>
              </w:rPr>
              <w:t xml:space="preserve"> patients</w:t>
            </w:r>
          </w:p>
          <w:p w:rsidR="005E21CF" w:rsidRPr="00D442F1" w:rsidP="005E21CF" w14:paraId="70127703" w14:textId="36134D35">
            <w:pPr>
              <w:keepNext/>
              <w:keepLines/>
              <w:widowControl w:val="0"/>
              <w:tabs>
                <w:tab w:val="clear" w:pos="567"/>
              </w:tabs>
              <w:autoSpaceDE w:val="0"/>
              <w:autoSpaceDN w:val="0"/>
              <w:adjustRightInd w:val="0"/>
              <w:spacing w:line="240" w:lineRule="auto"/>
              <w:rPr>
                <w:b/>
                <w:szCs w:val="22"/>
              </w:rPr>
            </w:pPr>
            <w:r w:rsidRPr="00D442F1">
              <w:rPr>
                <w:b/>
                <w:szCs w:val="22"/>
              </w:rPr>
              <w:t>N=167</w:t>
            </w:r>
          </w:p>
        </w:tc>
        <w:tc>
          <w:tcPr>
            <w:tcW w:w="2410" w:type="dxa"/>
          </w:tcPr>
          <w:p w:rsidR="00574B67" w:rsidRPr="00D442F1" w:rsidP="00166894" w14:paraId="0F6CB018" w14:textId="77777777">
            <w:pPr>
              <w:keepNext/>
              <w:keepLines/>
              <w:widowControl w:val="0"/>
              <w:tabs>
                <w:tab w:val="clear" w:pos="567"/>
              </w:tabs>
              <w:autoSpaceDE w:val="0"/>
              <w:autoSpaceDN w:val="0"/>
              <w:adjustRightInd w:val="0"/>
              <w:spacing w:line="240" w:lineRule="auto"/>
              <w:rPr>
                <w:b/>
                <w:szCs w:val="22"/>
              </w:rPr>
            </w:pPr>
            <w:r w:rsidRPr="00D442F1">
              <w:rPr>
                <w:b/>
                <w:szCs w:val="22"/>
              </w:rPr>
              <w:t xml:space="preserve">Infused </w:t>
            </w:r>
            <w:r w:rsidRPr="00D442F1">
              <w:rPr>
                <w:b/>
                <w:szCs w:val="22"/>
              </w:rPr>
              <w:t>patients</w:t>
            </w:r>
          </w:p>
          <w:p w:rsidR="005E21CF" w:rsidRPr="00D442F1" w:rsidP="00166894" w14:paraId="57AC41E3" w14:textId="7D2152A6">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Pr>
                <w:b/>
                <w:szCs w:val="22"/>
              </w:rPr>
              <w:t>=115</w:t>
            </w:r>
          </w:p>
        </w:tc>
      </w:tr>
      <w:tr w14:paraId="54B094DE" w14:textId="77777777" w:rsidTr="00054918">
        <w:tblPrEx>
          <w:tblW w:w="9747" w:type="dxa"/>
          <w:tblLook w:val="04A0"/>
        </w:tblPrEx>
        <w:trPr>
          <w:cantSplit/>
        </w:trPr>
        <w:tc>
          <w:tcPr>
            <w:tcW w:w="4927" w:type="dxa"/>
            <w:shd w:val="clear" w:color="auto" w:fill="auto"/>
          </w:tcPr>
          <w:p w:rsidR="00574B67" w:rsidRPr="00D442F1" w:rsidP="00EF5D7F" w14:paraId="74B629D2" w14:textId="77777777">
            <w:pPr>
              <w:keepNext/>
              <w:keepLines/>
              <w:widowControl w:val="0"/>
              <w:tabs>
                <w:tab w:val="clear" w:pos="567"/>
              </w:tabs>
              <w:autoSpaceDE w:val="0"/>
              <w:autoSpaceDN w:val="0"/>
              <w:adjustRightInd w:val="0"/>
              <w:spacing w:line="240" w:lineRule="auto"/>
              <w:rPr>
                <w:b/>
                <w:szCs w:val="22"/>
              </w:rPr>
            </w:pPr>
            <w:r w:rsidRPr="00D442F1">
              <w:rPr>
                <w:b/>
                <w:szCs w:val="22"/>
              </w:rPr>
              <w:t>Primary endpoint</w:t>
            </w:r>
            <w:r w:rsidRPr="00D442F1" w:rsidR="00EF5D7F">
              <w:rPr>
                <w:b/>
                <w:szCs w:val="22"/>
                <w:vertAlign w:val="superscript"/>
              </w:rPr>
              <w:t>1</w:t>
            </w:r>
          </w:p>
        </w:tc>
        <w:tc>
          <w:tcPr>
            <w:tcW w:w="2410" w:type="dxa"/>
            <w:shd w:val="clear" w:color="auto" w:fill="auto"/>
          </w:tcPr>
          <w:p w:rsidR="00574B67" w:rsidRPr="00D442F1" w:rsidP="00EF5D7F" w14:paraId="0B6F47FE" w14:textId="1FFDB833">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EF5D7F">
              <w:rPr>
                <w:b/>
                <w:szCs w:val="22"/>
              </w:rPr>
              <w:t>147</w:t>
            </w:r>
          </w:p>
        </w:tc>
        <w:tc>
          <w:tcPr>
            <w:tcW w:w="2410" w:type="dxa"/>
          </w:tcPr>
          <w:p w:rsidR="00574B67" w:rsidRPr="00D442F1" w:rsidP="00EF5D7F" w14:paraId="1E5C4430" w14:textId="0E134312">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AD5FA9">
              <w:rPr>
                <w:b/>
                <w:szCs w:val="22"/>
              </w:rPr>
              <w:t>99</w:t>
            </w:r>
          </w:p>
        </w:tc>
      </w:tr>
      <w:tr w14:paraId="654E74C0" w14:textId="77777777" w:rsidTr="00054918">
        <w:tblPrEx>
          <w:tblW w:w="9747" w:type="dxa"/>
          <w:tblLook w:val="04A0"/>
        </w:tblPrEx>
        <w:trPr>
          <w:cantSplit/>
        </w:trPr>
        <w:tc>
          <w:tcPr>
            <w:tcW w:w="4927" w:type="dxa"/>
            <w:shd w:val="clear" w:color="auto" w:fill="auto"/>
          </w:tcPr>
          <w:p w:rsidR="00574B67" w:rsidRPr="00D442F1" w:rsidP="00166894" w14:paraId="154BE1AB" w14:textId="1400C2DD">
            <w:pPr>
              <w:pStyle w:val="Table"/>
              <w:keepNext/>
              <w:widowControl w:val="0"/>
              <w:spacing w:before="0" w:after="0"/>
              <w:rPr>
                <w:rFonts w:ascii="Times New Roman" w:hAnsi="Times New Roman" w:cs="Times New Roman"/>
                <w:sz w:val="22"/>
                <w:szCs w:val="22"/>
                <w:lang w:val="en-GB"/>
              </w:rPr>
            </w:pPr>
            <w:r w:rsidRPr="00D442F1">
              <w:rPr>
                <w:rFonts w:ascii="Times New Roman" w:hAnsi="Times New Roman" w:cs="Times New Roman"/>
                <w:b/>
                <w:sz w:val="22"/>
                <w:szCs w:val="22"/>
                <w:lang w:val="en-GB"/>
              </w:rPr>
              <w:t>Overall response rate</w:t>
            </w:r>
            <w:r w:rsidRPr="00D442F1">
              <w:rPr>
                <w:rFonts w:ascii="Times New Roman" w:hAnsi="Times New Roman" w:cs="Times New Roman"/>
                <w:sz w:val="22"/>
                <w:szCs w:val="22"/>
                <w:lang w:val="en-GB"/>
              </w:rPr>
              <w:t xml:space="preserve"> </w:t>
            </w:r>
            <w:r w:rsidRPr="00D442F1">
              <w:rPr>
                <w:rFonts w:ascii="Times New Roman" w:hAnsi="Times New Roman" w:cs="Times New Roman"/>
                <w:b/>
                <w:sz w:val="22"/>
                <w:szCs w:val="22"/>
                <w:lang w:val="en-GB"/>
              </w:rPr>
              <w:t>(ORR)</w:t>
            </w:r>
            <w:r w:rsidRPr="00D442F1">
              <w:rPr>
                <w:rFonts w:ascii="Times New Roman" w:hAnsi="Times New Roman" w:cs="Times New Roman"/>
                <w:sz w:val="22"/>
                <w:szCs w:val="22"/>
                <w:lang w:val="en-GB"/>
              </w:rPr>
              <w:t xml:space="preserve"> (CR+PR)</w:t>
            </w:r>
            <w:r w:rsidRPr="00D442F1" w:rsidR="00EF5D7F">
              <w:rPr>
                <w:rFonts w:ascii="Times New Roman" w:hAnsi="Times New Roman" w:cs="Times New Roman"/>
                <w:sz w:val="22"/>
                <w:szCs w:val="22"/>
                <w:vertAlign w:val="superscript"/>
                <w:lang w:val="en-GB"/>
              </w:rPr>
              <w:t>2</w:t>
            </w:r>
            <w:r w:rsidRPr="00D442F1">
              <w:rPr>
                <w:rFonts w:ascii="Times New Roman" w:hAnsi="Times New Roman" w:cs="Times New Roman"/>
                <w:sz w:val="22"/>
                <w:szCs w:val="22"/>
                <w:lang w:val="en-GB"/>
              </w:rPr>
              <w:t>, n (%)</w:t>
            </w:r>
          </w:p>
          <w:p w:rsidR="00574B67" w:rsidRPr="00D442F1" w:rsidP="00166894" w14:paraId="1B1D0882" w14:textId="77777777">
            <w:pPr>
              <w:keepNext/>
              <w:keepLines/>
              <w:widowControl w:val="0"/>
              <w:tabs>
                <w:tab w:val="clear" w:pos="567"/>
              </w:tabs>
              <w:autoSpaceDE w:val="0"/>
              <w:autoSpaceDN w:val="0"/>
              <w:adjustRightInd w:val="0"/>
              <w:spacing w:line="240" w:lineRule="auto"/>
              <w:rPr>
                <w:szCs w:val="22"/>
              </w:rPr>
            </w:pPr>
            <w:r w:rsidRPr="00D442F1">
              <w:rPr>
                <w:szCs w:val="22"/>
              </w:rPr>
              <w:t>95% CI</w:t>
            </w:r>
          </w:p>
        </w:tc>
        <w:tc>
          <w:tcPr>
            <w:tcW w:w="2410" w:type="dxa"/>
            <w:shd w:val="clear" w:color="auto" w:fill="auto"/>
          </w:tcPr>
          <w:p w:rsidR="001918EA" w:rsidRPr="00D442F1" w:rsidP="00166894" w14:paraId="43DC1D39" w14:textId="49652C7C">
            <w:pPr>
              <w:pStyle w:val="Table"/>
              <w:keepNext/>
              <w:widowControl w:val="0"/>
              <w:spacing w:before="0" w:after="0"/>
              <w:rPr>
                <w:rFonts w:ascii="Times New Roman" w:hAnsi="Times New Roman" w:cs="Times New Roman"/>
                <w:b/>
                <w:sz w:val="22"/>
                <w:szCs w:val="22"/>
                <w:lang w:val="fr-CH"/>
              </w:rPr>
            </w:pPr>
            <w:r w:rsidRPr="00D442F1">
              <w:rPr>
                <w:rFonts w:ascii="Times New Roman" w:hAnsi="Times New Roman" w:cs="Times New Roman"/>
                <w:b/>
                <w:sz w:val="22"/>
                <w:szCs w:val="22"/>
                <w:lang w:val="fr-CH"/>
              </w:rPr>
              <w:t xml:space="preserve">53 </w:t>
            </w:r>
            <w:r w:rsidRPr="00D442F1">
              <w:rPr>
                <w:rFonts w:ascii="Times New Roman" w:hAnsi="Times New Roman" w:cs="Times New Roman"/>
                <w:b/>
                <w:sz w:val="22"/>
                <w:szCs w:val="22"/>
                <w:lang w:val="fr-CH"/>
              </w:rPr>
              <w:t>(</w:t>
            </w:r>
            <w:r w:rsidRPr="00D442F1" w:rsidR="00B74652">
              <w:rPr>
                <w:rFonts w:ascii="Times New Roman" w:hAnsi="Times New Roman" w:cs="Times New Roman"/>
                <w:b/>
                <w:sz w:val="22"/>
                <w:szCs w:val="22"/>
                <w:lang w:val="fr-CH"/>
              </w:rPr>
              <w:t>36.1</w:t>
            </w:r>
            <w:r w:rsidRPr="00D442F1">
              <w:rPr>
                <w:rFonts w:ascii="Times New Roman" w:hAnsi="Times New Roman" w:cs="Times New Roman"/>
                <w:b/>
                <w:sz w:val="22"/>
                <w:szCs w:val="22"/>
                <w:lang w:val="fr-CH"/>
              </w:rPr>
              <w:t>)</w:t>
            </w:r>
          </w:p>
          <w:p w:rsidR="00574B67" w:rsidRPr="00D442F1" w:rsidP="00880B5B" w14:paraId="6E59DDCF" w14:textId="487FB99E">
            <w:pPr>
              <w:pStyle w:val="Table"/>
              <w:keepNext/>
              <w:widowControl w:val="0"/>
              <w:spacing w:before="0" w:after="0"/>
              <w:rPr>
                <w:rFonts w:ascii="Times New Roman" w:hAnsi="Times New Roman" w:cs="Times New Roman"/>
                <w:sz w:val="22"/>
                <w:szCs w:val="22"/>
                <w:lang w:val="fr-CH"/>
              </w:rPr>
            </w:pPr>
            <w:r w:rsidRPr="00D442F1">
              <w:rPr>
                <w:rFonts w:ascii="Times New Roman" w:hAnsi="Times New Roman" w:cs="Times New Roman"/>
                <w:sz w:val="22"/>
                <w:szCs w:val="22"/>
                <w:lang w:val="fr-CH"/>
              </w:rPr>
              <w:t>(</w:t>
            </w:r>
            <w:r w:rsidRPr="00D442F1" w:rsidR="00DA087D">
              <w:rPr>
                <w:rFonts w:ascii="Times New Roman" w:hAnsi="Times New Roman" w:cs="Times New Roman"/>
                <w:sz w:val="22"/>
                <w:szCs w:val="22"/>
                <w:lang w:val="fr-CH"/>
              </w:rPr>
              <w:t>28.3</w:t>
            </w:r>
            <w:r w:rsidRPr="00D442F1">
              <w:rPr>
                <w:rFonts w:ascii="Times New Roman" w:hAnsi="Times New Roman" w:cs="Times New Roman"/>
                <w:sz w:val="22"/>
                <w:szCs w:val="22"/>
                <w:lang w:val="fr-CH"/>
              </w:rPr>
              <w:t xml:space="preserve">, </w:t>
            </w:r>
            <w:r w:rsidRPr="00D442F1" w:rsidR="00DA087D">
              <w:rPr>
                <w:rFonts w:ascii="Times New Roman" w:hAnsi="Times New Roman" w:cs="Times New Roman"/>
                <w:sz w:val="22"/>
                <w:szCs w:val="22"/>
                <w:lang w:val="fr-CH"/>
              </w:rPr>
              <w:t>44.4</w:t>
            </w:r>
            <w:r w:rsidRPr="00D442F1">
              <w:rPr>
                <w:rFonts w:ascii="Times New Roman" w:hAnsi="Times New Roman" w:cs="Times New Roman"/>
                <w:sz w:val="22"/>
                <w:szCs w:val="22"/>
                <w:lang w:val="fr-CH"/>
              </w:rPr>
              <w:t>)</w:t>
            </w:r>
          </w:p>
        </w:tc>
        <w:tc>
          <w:tcPr>
            <w:tcW w:w="2410" w:type="dxa"/>
          </w:tcPr>
          <w:p w:rsidR="001918EA" w:rsidRPr="00D442F1" w:rsidP="00166894" w14:paraId="089F40B1" w14:textId="43BB721B">
            <w:pPr>
              <w:pStyle w:val="Table"/>
              <w:keepNext/>
              <w:widowControl w:val="0"/>
              <w:spacing w:before="0" w:after="0"/>
              <w:rPr>
                <w:rFonts w:ascii="Times New Roman" w:hAnsi="Times New Roman" w:cs="Times New Roman"/>
                <w:b/>
                <w:sz w:val="22"/>
                <w:szCs w:val="22"/>
                <w:lang w:val="fr-CH"/>
              </w:rPr>
            </w:pPr>
            <w:r w:rsidRPr="00D442F1">
              <w:rPr>
                <w:rFonts w:ascii="Times New Roman" w:hAnsi="Times New Roman" w:cs="Times New Roman"/>
                <w:b/>
                <w:sz w:val="22"/>
                <w:szCs w:val="22"/>
                <w:lang w:val="fr-CH"/>
              </w:rPr>
              <w:t xml:space="preserve">53 </w:t>
            </w:r>
            <w:r w:rsidRPr="00D442F1">
              <w:rPr>
                <w:rFonts w:ascii="Times New Roman" w:hAnsi="Times New Roman" w:cs="Times New Roman"/>
                <w:b/>
                <w:sz w:val="22"/>
                <w:szCs w:val="22"/>
                <w:lang w:val="fr-CH"/>
              </w:rPr>
              <w:t>(</w:t>
            </w:r>
            <w:r w:rsidRPr="00D442F1">
              <w:rPr>
                <w:rFonts w:ascii="Times New Roman" w:hAnsi="Times New Roman" w:cs="Times New Roman"/>
                <w:b/>
                <w:sz w:val="22"/>
                <w:szCs w:val="22"/>
                <w:lang w:val="fr-CH"/>
              </w:rPr>
              <w:t>53</w:t>
            </w:r>
            <w:r w:rsidRPr="00D442F1">
              <w:rPr>
                <w:rFonts w:ascii="Times New Roman" w:hAnsi="Times New Roman" w:cs="Times New Roman"/>
                <w:b/>
                <w:sz w:val="22"/>
                <w:szCs w:val="22"/>
                <w:lang w:val="fr-CH"/>
              </w:rPr>
              <w:t>.</w:t>
            </w:r>
            <w:r w:rsidRPr="00D442F1">
              <w:rPr>
                <w:rFonts w:ascii="Times New Roman" w:hAnsi="Times New Roman" w:cs="Times New Roman"/>
                <w:b/>
                <w:sz w:val="22"/>
                <w:szCs w:val="22"/>
                <w:lang w:val="fr-CH"/>
              </w:rPr>
              <w:t>5</w:t>
            </w:r>
            <w:r w:rsidRPr="00D442F1">
              <w:rPr>
                <w:rFonts w:ascii="Times New Roman" w:hAnsi="Times New Roman" w:cs="Times New Roman"/>
                <w:b/>
                <w:sz w:val="22"/>
                <w:szCs w:val="22"/>
                <w:lang w:val="fr-CH"/>
              </w:rPr>
              <w:t>)</w:t>
            </w:r>
          </w:p>
          <w:p w:rsidR="00574B67" w:rsidRPr="00D442F1" w:rsidP="00DE6171" w14:paraId="60818EC1" w14:textId="10EE0CDE">
            <w:pPr>
              <w:pStyle w:val="Table"/>
              <w:keepNext/>
              <w:widowControl w:val="0"/>
              <w:spacing w:before="0" w:after="0"/>
              <w:rPr>
                <w:rFonts w:ascii="Times New Roman" w:hAnsi="Times New Roman" w:cs="Times New Roman"/>
                <w:sz w:val="22"/>
                <w:szCs w:val="22"/>
                <w:lang w:val="fr-CH"/>
              </w:rPr>
            </w:pPr>
            <w:r w:rsidRPr="00D442F1">
              <w:rPr>
                <w:rFonts w:ascii="Times New Roman" w:hAnsi="Times New Roman" w:cs="Times New Roman"/>
                <w:sz w:val="22"/>
                <w:szCs w:val="22"/>
                <w:lang w:val="fr-CH"/>
              </w:rPr>
              <w:t>(</w:t>
            </w:r>
            <w:r w:rsidRPr="00D442F1" w:rsidR="00DE6171">
              <w:rPr>
                <w:rFonts w:ascii="Times New Roman" w:hAnsi="Times New Roman" w:cs="Times New Roman"/>
                <w:sz w:val="22"/>
                <w:szCs w:val="22"/>
                <w:lang w:val="fr-CH"/>
              </w:rPr>
              <w:t>43.2</w:t>
            </w:r>
            <w:r w:rsidRPr="00D442F1">
              <w:rPr>
                <w:rFonts w:ascii="Times New Roman" w:hAnsi="Times New Roman" w:cs="Times New Roman"/>
                <w:sz w:val="22"/>
                <w:szCs w:val="22"/>
                <w:lang w:val="fr-CH"/>
              </w:rPr>
              <w:t xml:space="preserve">, </w:t>
            </w:r>
            <w:r w:rsidRPr="00D442F1" w:rsidR="00DE6171">
              <w:rPr>
                <w:rFonts w:ascii="Times New Roman" w:hAnsi="Times New Roman" w:cs="Times New Roman"/>
                <w:sz w:val="22"/>
                <w:szCs w:val="22"/>
                <w:lang w:val="fr-CH"/>
              </w:rPr>
              <w:t>63.6</w:t>
            </w:r>
            <w:r w:rsidRPr="00D442F1">
              <w:rPr>
                <w:rFonts w:ascii="Times New Roman" w:hAnsi="Times New Roman" w:cs="Times New Roman"/>
                <w:sz w:val="22"/>
                <w:szCs w:val="22"/>
                <w:lang w:val="fr-CH"/>
              </w:rPr>
              <w:t>)</w:t>
            </w:r>
          </w:p>
        </w:tc>
      </w:tr>
      <w:tr w14:paraId="46C3040A" w14:textId="77777777" w:rsidTr="00054918">
        <w:tblPrEx>
          <w:tblW w:w="9747" w:type="dxa"/>
          <w:tblLook w:val="04A0"/>
        </w:tblPrEx>
        <w:trPr>
          <w:cantSplit/>
        </w:trPr>
        <w:tc>
          <w:tcPr>
            <w:tcW w:w="4927" w:type="dxa"/>
            <w:shd w:val="clear" w:color="auto" w:fill="auto"/>
          </w:tcPr>
          <w:p w:rsidR="00574B67" w:rsidRPr="00D442F1" w:rsidP="00166894" w14:paraId="0DE1E682" w14:textId="77777777">
            <w:pPr>
              <w:keepNext/>
              <w:keepLines/>
              <w:widowControl w:val="0"/>
              <w:tabs>
                <w:tab w:val="clear" w:pos="567"/>
              </w:tabs>
              <w:autoSpaceDE w:val="0"/>
              <w:autoSpaceDN w:val="0"/>
              <w:adjustRightInd w:val="0"/>
              <w:spacing w:line="240" w:lineRule="auto"/>
              <w:ind w:left="360"/>
              <w:rPr>
                <w:szCs w:val="22"/>
                <w:lang w:val="fr-CH"/>
              </w:rPr>
            </w:pPr>
            <w:r w:rsidRPr="00D442F1">
              <w:rPr>
                <w:szCs w:val="22"/>
                <w:lang w:val="fr-CH"/>
              </w:rPr>
              <w:t>CR, n (%)</w:t>
            </w:r>
          </w:p>
        </w:tc>
        <w:tc>
          <w:tcPr>
            <w:tcW w:w="2410" w:type="dxa"/>
            <w:shd w:val="clear" w:color="auto" w:fill="auto"/>
          </w:tcPr>
          <w:p w:rsidR="00574B67" w:rsidRPr="00D442F1" w:rsidP="00166894" w14:paraId="2E54CD43" w14:textId="177068E2">
            <w:pPr>
              <w:keepNext/>
              <w:keepLines/>
              <w:widowControl w:val="0"/>
              <w:tabs>
                <w:tab w:val="clear" w:pos="567"/>
              </w:tabs>
              <w:autoSpaceDE w:val="0"/>
              <w:autoSpaceDN w:val="0"/>
              <w:adjustRightInd w:val="0"/>
              <w:spacing w:line="240" w:lineRule="auto"/>
              <w:rPr>
                <w:szCs w:val="22"/>
                <w:lang w:val="fr-CH"/>
              </w:rPr>
            </w:pPr>
            <w:r w:rsidRPr="00D442F1">
              <w:rPr>
                <w:szCs w:val="22"/>
                <w:lang w:val="fr-CH"/>
              </w:rPr>
              <w:t>40 (2</w:t>
            </w:r>
            <w:r w:rsidRPr="00D442F1" w:rsidR="00B74652">
              <w:rPr>
                <w:szCs w:val="22"/>
                <w:lang w:val="fr-CH"/>
              </w:rPr>
              <w:t>7</w:t>
            </w:r>
            <w:r w:rsidRPr="00D442F1">
              <w:rPr>
                <w:szCs w:val="22"/>
                <w:lang w:val="fr-CH"/>
              </w:rPr>
              <w:t>.2)</w:t>
            </w:r>
          </w:p>
        </w:tc>
        <w:tc>
          <w:tcPr>
            <w:tcW w:w="2410" w:type="dxa"/>
          </w:tcPr>
          <w:p w:rsidR="00574B67" w:rsidRPr="00D442F1" w:rsidP="00DE6171" w14:paraId="06535A7C" w14:textId="6132CDB6">
            <w:pPr>
              <w:keepNext/>
              <w:keepLines/>
              <w:widowControl w:val="0"/>
              <w:tabs>
                <w:tab w:val="clear" w:pos="567"/>
              </w:tabs>
              <w:autoSpaceDE w:val="0"/>
              <w:autoSpaceDN w:val="0"/>
              <w:adjustRightInd w:val="0"/>
              <w:spacing w:line="240" w:lineRule="auto"/>
              <w:rPr>
                <w:szCs w:val="22"/>
                <w:lang w:val="fr-CH"/>
              </w:rPr>
            </w:pPr>
            <w:r w:rsidRPr="00D442F1">
              <w:rPr>
                <w:szCs w:val="22"/>
                <w:lang w:val="fr-CH"/>
              </w:rPr>
              <w:t>40</w:t>
            </w:r>
            <w:r w:rsidRPr="00D442F1" w:rsidR="001918EA">
              <w:rPr>
                <w:szCs w:val="22"/>
                <w:lang w:val="fr-CH"/>
              </w:rPr>
              <w:t>(</w:t>
            </w:r>
            <w:r w:rsidRPr="00D442F1">
              <w:rPr>
                <w:szCs w:val="22"/>
                <w:lang w:val="fr-CH"/>
              </w:rPr>
              <w:t>40.4</w:t>
            </w:r>
            <w:r w:rsidRPr="00D442F1" w:rsidR="001918EA">
              <w:rPr>
                <w:szCs w:val="22"/>
                <w:lang w:val="fr-CH"/>
              </w:rPr>
              <w:t>)</w:t>
            </w:r>
          </w:p>
        </w:tc>
      </w:tr>
      <w:tr w14:paraId="45D997F5" w14:textId="77777777" w:rsidTr="00054918">
        <w:tblPrEx>
          <w:tblW w:w="9747" w:type="dxa"/>
          <w:tblLook w:val="04A0"/>
        </w:tblPrEx>
        <w:trPr>
          <w:cantSplit/>
        </w:trPr>
        <w:tc>
          <w:tcPr>
            <w:tcW w:w="4927" w:type="dxa"/>
            <w:shd w:val="clear" w:color="auto" w:fill="auto"/>
          </w:tcPr>
          <w:p w:rsidR="00574B67" w:rsidRPr="00D442F1" w:rsidP="00166894" w14:paraId="427EC7ED" w14:textId="77777777">
            <w:pPr>
              <w:keepNext/>
              <w:keepLines/>
              <w:widowControl w:val="0"/>
              <w:tabs>
                <w:tab w:val="clear" w:pos="567"/>
              </w:tabs>
              <w:autoSpaceDE w:val="0"/>
              <w:autoSpaceDN w:val="0"/>
              <w:adjustRightInd w:val="0"/>
              <w:spacing w:line="240" w:lineRule="auto"/>
              <w:ind w:left="360"/>
              <w:rPr>
                <w:szCs w:val="22"/>
                <w:lang w:val="fr-CH"/>
              </w:rPr>
            </w:pPr>
            <w:r w:rsidRPr="00D442F1">
              <w:rPr>
                <w:szCs w:val="22"/>
                <w:lang w:val="fr-CH"/>
              </w:rPr>
              <w:t>PR, n (%)</w:t>
            </w:r>
          </w:p>
        </w:tc>
        <w:tc>
          <w:tcPr>
            <w:tcW w:w="2410" w:type="dxa"/>
            <w:shd w:val="clear" w:color="auto" w:fill="auto"/>
          </w:tcPr>
          <w:p w:rsidR="00574B67" w:rsidRPr="00D442F1" w:rsidP="00B74652" w14:paraId="14C8B634" w14:textId="3287BBB7">
            <w:pPr>
              <w:keepNext/>
              <w:keepLines/>
              <w:widowControl w:val="0"/>
              <w:tabs>
                <w:tab w:val="clear" w:pos="567"/>
              </w:tabs>
              <w:autoSpaceDE w:val="0"/>
              <w:autoSpaceDN w:val="0"/>
              <w:adjustRightInd w:val="0"/>
              <w:spacing w:line="240" w:lineRule="auto"/>
              <w:rPr>
                <w:szCs w:val="22"/>
                <w:lang w:val="fr-CH"/>
              </w:rPr>
            </w:pPr>
            <w:r w:rsidRPr="00D442F1">
              <w:rPr>
                <w:szCs w:val="22"/>
                <w:lang w:val="fr-CH"/>
              </w:rPr>
              <w:t xml:space="preserve">13 </w:t>
            </w:r>
            <w:r w:rsidRPr="00D442F1" w:rsidR="001918EA">
              <w:rPr>
                <w:szCs w:val="22"/>
                <w:lang w:val="fr-CH"/>
              </w:rPr>
              <w:t>(</w:t>
            </w:r>
            <w:r w:rsidRPr="00D442F1" w:rsidR="00B74652">
              <w:rPr>
                <w:szCs w:val="22"/>
                <w:lang w:val="fr-CH"/>
              </w:rPr>
              <w:t>8</w:t>
            </w:r>
            <w:r w:rsidRPr="00D442F1" w:rsidR="001918EA">
              <w:rPr>
                <w:szCs w:val="22"/>
                <w:lang w:val="fr-CH"/>
              </w:rPr>
              <w:t>.</w:t>
            </w:r>
            <w:r w:rsidRPr="00D442F1" w:rsidR="00B74652">
              <w:rPr>
                <w:szCs w:val="22"/>
                <w:lang w:val="fr-CH"/>
              </w:rPr>
              <w:t>8</w:t>
            </w:r>
            <w:r w:rsidRPr="00D442F1" w:rsidR="001918EA">
              <w:rPr>
                <w:szCs w:val="22"/>
                <w:lang w:val="fr-CH"/>
              </w:rPr>
              <w:t>)</w:t>
            </w:r>
          </w:p>
        </w:tc>
        <w:tc>
          <w:tcPr>
            <w:tcW w:w="2410" w:type="dxa"/>
          </w:tcPr>
          <w:p w:rsidR="00574B67" w:rsidRPr="00D442F1" w:rsidP="00DE6171" w14:paraId="730299F7" w14:textId="58130FBB">
            <w:pPr>
              <w:keepNext/>
              <w:keepLines/>
              <w:widowControl w:val="0"/>
              <w:tabs>
                <w:tab w:val="clear" w:pos="567"/>
              </w:tabs>
              <w:autoSpaceDE w:val="0"/>
              <w:autoSpaceDN w:val="0"/>
              <w:adjustRightInd w:val="0"/>
              <w:spacing w:line="240" w:lineRule="auto"/>
              <w:rPr>
                <w:szCs w:val="22"/>
                <w:lang w:val="fr-CH"/>
              </w:rPr>
            </w:pPr>
            <w:r w:rsidRPr="00D442F1">
              <w:rPr>
                <w:szCs w:val="22"/>
                <w:lang w:val="fr-CH"/>
              </w:rPr>
              <w:t>1</w:t>
            </w:r>
            <w:r w:rsidRPr="00D442F1" w:rsidR="00DE6171">
              <w:rPr>
                <w:szCs w:val="22"/>
                <w:lang w:val="fr-CH"/>
              </w:rPr>
              <w:t>3</w:t>
            </w:r>
            <w:r w:rsidRPr="00D442F1">
              <w:rPr>
                <w:szCs w:val="22"/>
                <w:lang w:val="fr-CH"/>
              </w:rPr>
              <w:t xml:space="preserve"> (</w:t>
            </w:r>
            <w:r w:rsidRPr="00D442F1" w:rsidR="00DE6171">
              <w:rPr>
                <w:szCs w:val="22"/>
                <w:lang w:val="fr-CH"/>
              </w:rPr>
              <w:t>13.1</w:t>
            </w:r>
            <w:r w:rsidRPr="00D442F1">
              <w:rPr>
                <w:szCs w:val="22"/>
                <w:lang w:val="fr-CH"/>
              </w:rPr>
              <w:t>)</w:t>
            </w:r>
          </w:p>
        </w:tc>
      </w:tr>
      <w:tr w14:paraId="61500380" w14:textId="77777777" w:rsidTr="00054918">
        <w:tblPrEx>
          <w:tblW w:w="9747" w:type="dxa"/>
          <w:tblLook w:val="04A0"/>
        </w:tblPrEx>
        <w:trPr>
          <w:cantSplit/>
        </w:trPr>
        <w:tc>
          <w:tcPr>
            <w:tcW w:w="4927" w:type="dxa"/>
            <w:shd w:val="clear" w:color="auto" w:fill="auto"/>
          </w:tcPr>
          <w:p w:rsidR="00574B67" w:rsidRPr="00D442F1" w:rsidP="00166894" w14:paraId="47A77C54" w14:textId="77777777">
            <w:pPr>
              <w:keepNext/>
              <w:keepLines/>
              <w:widowControl w:val="0"/>
              <w:tabs>
                <w:tab w:val="clear" w:pos="567"/>
              </w:tabs>
              <w:autoSpaceDE w:val="0"/>
              <w:autoSpaceDN w:val="0"/>
              <w:adjustRightInd w:val="0"/>
              <w:spacing w:line="240" w:lineRule="auto"/>
              <w:rPr>
                <w:szCs w:val="22"/>
              </w:rPr>
            </w:pPr>
            <w:r w:rsidRPr="00D442F1">
              <w:rPr>
                <w:szCs w:val="22"/>
                <w:lang w:val="fr-CH"/>
              </w:rPr>
              <w:t>Response a</w:t>
            </w:r>
            <w:r w:rsidRPr="00D442F1">
              <w:rPr>
                <w:szCs w:val="22"/>
              </w:rPr>
              <w:t>t month 3</w:t>
            </w:r>
          </w:p>
        </w:tc>
        <w:tc>
          <w:tcPr>
            <w:tcW w:w="2410" w:type="dxa"/>
            <w:shd w:val="clear" w:color="auto" w:fill="auto"/>
          </w:tcPr>
          <w:p w:rsidR="00574B67" w:rsidRPr="00D442F1" w:rsidP="00EF5D7F" w14:paraId="7F5972AF" w14:textId="741EA7FD">
            <w:pPr>
              <w:keepNext/>
              <w:keepLines/>
              <w:widowControl w:val="0"/>
              <w:tabs>
                <w:tab w:val="clear" w:pos="567"/>
              </w:tabs>
              <w:autoSpaceDE w:val="0"/>
              <w:autoSpaceDN w:val="0"/>
              <w:adjustRightInd w:val="0"/>
              <w:spacing w:line="240" w:lineRule="auto"/>
              <w:rPr>
                <w:szCs w:val="22"/>
              </w:rPr>
            </w:pPr>
            <w:r w:rsidRPr="00D442F1">
              <w:rPr>
                <w:szCs w:val="22"/>
              </w:rPr>
              <w:t>N=</w:t>
            </w:r>
            <w:r w:rsidRPr="00D442F1" w:rsidR="00EF5D7F">
              <w:rPr>
                <w:szCs w:val="22"/>
              </w:rPr>
              <w:t>147</w:t>
            </w:r>
          </w:p>
        </w:tc>
        <w:tc>
          <w:tcPr>
            <w:tcW w:w="2410" w:type="dxa"/>
          </w:tcPr>
          <w:p w:rsidR="00574B67" w:rsidRPr="00D442F1" w:rsidP="00182905" w14:paraId="2591B16A" w14:textId="571F7ABD">
            <w:pPr>
              <w:keepNext/>
              <w:keepLines/>
              <w:widowControl w:val="0"/>
              <w:tabs>
                <w:tab w:val="clear" w:pos="567"/>
              </w:tabs>
              <w:autoSpaceDE w:val="0"/>
              <w:autoSpaceDN w:val="0"/>
              <w:adjustRightInd w:val="0"/>
              <w:spacing w:line="240" w:lineRule="auto"/>
              <w:rPr>
                <w:szCs w:val="22"/>
              </w:rPr>
            </w:pPr>
            <w:r w:rsidRPr="00D442F1">
              <w:rPr>
                <w:szCs w:val="22"/>
              </w:rPr>
              <w:t>N=</w:t>
            </w:r>
            <w:r w:rsidRPr="00D442F1" w:rsidR="00182905">
              <w:rPr>
                <w:szCs w:val="22"/>
              </w:rPr>
              <w:t>99</w:t>
            </w:r>
          </w:p>
        </w:tc>
      </w:tr>
      <w:tr w14:paraId="710D20B9" w14:textId="77777777" w:rsidTr="00054918">
        <w:tblPrEx>
          <w:tblW w:w="9747" w:type="dxa"/>
          <w:tblLook w:val="04A0"/>
        </w:tblPrEx>
        <w:trPr>
          <w:cantSplit/>
        </w:trPr>
        <w:tc>
          <w:tcPr>
            <w:tcW w:w="4927" w:type="dxa"/>
            <w:shd w:val="clear" w:color="auto" w:fill="auto"/>
          </w:tcPr>
          <w:p w:rsidR="00574B67" w:rsidRPr="00D442F1" w:rsidP="00166894" w14:paraId="55A33717" w14:textId="77777777">
            <w:pPr>
              <w:keepNext/>
              <w:keepLines/>
              <w:widowControl w:val="0"/>
              <w:tabs>
                <w:tab w:val="clear" w:pos="567"/>
              </w:tabs>
              <w:autoSpaceDE w:val="0"/>
              <w:autoSpaceDN w:val="0"/>
              <w:adjustRightInd w:val="0"/>
              <w:spacing w:line="240" w:lineRule="auto"/>
              <w:ind w:left="360"/>
              <w:rPr>
                <w:szCs w:val="22"/>
              </w:rPr>
            </w:pPr>
            <w:r w:rsidRPr="00D442F1">
              <w:rPr>
                <w:szCs w:val="22"/>
              </w:rPr>
              <w:t>ORR (%)</w:t>
            </w:r>
          </w:p>
        </w:tc>
        <w:tc>
          <w:tcPr>
            <w:tcW w:w="2410" w:type="dxa"/>
            <w:shd w:val="clear" w:color="auto" w:fill="auto"/>
          </w:tcPr>
          <w:p w:rsidR="00574B67" w:rsidRPr="00D442F1" w:rsidP="00987F2A" w14:paraId="71855547" w14:textId="6DB478CD">
            <w:pPr>
              <w:keepNext/>
              <w:keepLines/>
              <w:widowControl w:val="0"/>
              <w:tabs>
                <w:tab w:val="clear" w:pos="567"/>
              </w:tabs>
              <w:autoSpaceDE w:val="0"/>
              <w:autoSpaceDN w:val="0"/>
              <w:adjustRightInd w:val="0"/>
              <w:spacing w:line="240" w:lineRule="auto"/>
              <w:rPr>
                <w:szCs w:val="22"/>
              </w:rPr>
            </w:pPr>
            <w:r w:rsidRPr="00D442F1">
              <w:rPr>
                <w:szCs w:val="22"/>
              </w:rPr>
              <w:t>39 (</w:t>
            </w:r>
            <w:r w:rsidRPr="00D442F1" w:rsidR="006F3984">
              <w:rPr>
                <w:szCs w:val="22"/>
              </w:rPr>
              <w:t>26.5</w:t>
            </w:r>
            <w:r w:rsidRPr="00D442F1">
              <w:rPr>
                <w:szCs w:val="22"/>
              </w:rPr>
              <w:t>)</w:t>
            </w:r>
          </w:p>
        </w:tc>
        <w:tc>
          <w:tcPr>
            <w:tcW w:w="2410" w:type="dxa"/>
          </w:tcPr>
          <w:p w:rsidR="00574B67" w:rsidRPr="00D442F1" w:rsidP="00182905" w14:paraId="23258286" w14:textId="5E88EFD5">
            <w:pPr>
              <w:keepNext/>
              <w:keepLines/>
              <w:widowControl w:val="0"/>
              <w:tabs>
                <w:tab w:val="clear" w:pos="567"/>
              </w:tabs>
              <w:autoSpaceDE w:val="0"/>
              <w:autoSpaceDN w:val="0"/>
              <w:adjustRightInd w:val="0"/>
              <w:spacing w:line="240" w:lineRule="auto"/>
              <w:rPr>
                <w:szCs w:val="22"/>
              </w:rPr>
            </w:pPr>
            <w:r w:rsidRPr="00D442F1">
              <w:rPr>
                <w:szCs w:val="22"/>
              </w:rPr>
              <w:t xml:space="preserve">39 </w:t>
            </w:r>
            <w:r w:rsidRPr="00D442F1" w:rsidR="001918EA">
              <w:rPr>
                <w:szCs w:val="22"/>
              </w:rPr>
              <w:t>(</w:t>
            </w:r>
            <w:r w:rsidRPr="00D442F1">
              <w:rPr>
                <w:szCs w:val="22"/>
              </w:rPr>
              <w:t>39.4</w:t>
            </w:r>
            <w:r w:rsidRPr="00D442F1" w:rsidR="001918EA">
              <w:rPr>
                <w:szCs w:val="22"/>
              </w:rPr>
              <w:t>)</w:t>
            </w:r>
          </w:p>
        </w:tc>
      </w:tr>
      <w:tr w14:paraId="2DB53BB0" w14:textId="77777777" w:rsidTr="00054918">
        <w:tblPrEx>
          <w:tblW w:w="9747" w:type="dxa"/>
          <w:tblLook w:val="04A0"/>
        </w:tblPrEx>
        <w:trPr>
          <w:cantSplit/>
        </w:trPr>
        <w:tc>
          <w:tcPr>
            <w:tcW w:w="4927" w:type="dxa"/>
            <w:shd w:val="clear" w:color="auto" w:fill="auto"/>
          </w:tcPr>
          <w:p w:rsidR="00574B67" w:rsidRPr="00D442F1" w:rsidP="00166894" w14:paraId="1FAD5571" w14:textId="77777777">
            <w:pPr>
              <w:keepNext/>
              <w:keepLines/>
              <w:widowControl w:val="0"/>
              <w:tabs>
                <w:tab w:val="clear" w:pos="567"/>
              </w:tabs>
              <w:autoSpaceDE w:val="0"/>
              <w:autoSpaceDN w:val="0"/>
              <w:adjustRightInd w:val="0"/>
              <w:spacing w:line="240" w:lineRule="auto"/>
              <w:ind w:left="360"/>
              <w:rPr>
                <w:szCs w:val="22"/>
              </w:rPr>
            </w:pPr>
            <w:r w:rsidRPr="00D442F1">
              <w:rPr>
                <w:szCs w:val="22"/>
              </w:rPr>
              <w:t>CR (%)</w:t>
            </w:r>
          </w:p>
        </w:tc>
        <w:tc>
          <w:tcPr>
            <w:tcW w:w="2410" w:type="dxa"/>
            <w:shd w:val="clear" w:color="auto" w:fill="auto"/>
          </w:tcPr>
          <w:p w:rsidR="00574B67" w:rsidRPr="00D442F1" w:rsidP="00987F2A" w14:paraId="57B389D2" w14:textId="4461F8EF">
            <w:pPr>
              <w:keepNext/>
              <w:keepLines/>
              <w:widowControl w:val="0"/>
              <w:tabs>
                <w:tab w:val="clear" w:pos="567"/>
              </w:tabs>
              <w:autoSpaceDE w:val="0"/>
              <w:autoSpaceDN w:val="0"/>
              <w:adjustRightInd w:val="0"/>
              <w:spacing w:line="240" w:lineRule="auto"/>
              <w:rPr>
                <w:szCs w:val="22"/>
              </w:rPr>
            </w:pPr>
            <w:r w:rsidRPr="00D442F1">
              <w:rPr>
                <w:szCs w:val="22"/>
              </w:rPr>
              <w:t>3</w:t>
            </w:r>
            <w:r w:rsidRPr="00D442F1" w:rsidR="00987F2A">
              <w:rPr>
                <w:szCs w:val="22"/>
              </w:rPr>
              <w:t>4</w:t>
            </w:r>
            <w:r w:rsidRPr="00D442F1">
              <w:rPr>
                <w:szCs w:val="22"/>
              </w:rPr>
              <w:t xml:space="preserve"> (</w:t>
            </w:r>
            <w:r w:rsidRPr="00D442F1" w:rsidR="006F3984">
              <w:rPr>
                <w:szCs w:val="22"/>
              </w:rPr>
              <w:t>23.1</w:t>
            </w:r>
            <w:r w:rsidRPr="00D442F1">
              <w:rPr>
                <w:szCs w:val="22"/>
              </w:rPr>
              <w:t>)</w:t>
            </w:r>
          </w:p>
        </w:tc>
        <w:tc>
          <w:tcPr>
            <w:tcW w:w="2410" w:type="dxa"/>
          </w:tcPr>
          <w:p w:rsidR="00574B67" w:rsidRPr="00D442F1" w:rsidP="00166894" w14:paraId="1DBB18DB" w14:textId="44D405BF">
            <w:pPr>
              <w:keepNext/>
              <w:keepLines/>
              <w:widowControl w:val="0"/>
              <w:tabs>
                <w:tab w:val="clear" w:pos="567"/>
              </w:tabs>
              <w:autoSpaceDE w:val="0"/>
              <w:autoSpaceDN w:val="0"/>
              <w:adjustRightInd w:val="0"/>
              <w:spacing w:line="240" w:lineRule="auto"/>
              <w:rPr>
                <w:szCs w:val="22"/>
              </w:rPr>
            </w:pPr>
            <w:r w:rsidRPr="00D442F1">
              <w:rPr>
                <w:szCs w:val="22"/>
              </w:rPr>
              <w:t xml:space="preserve">34 </w:t>
            </w:r>
            <w:r w:rsidRPr="00D442F1" w:rsidR="001918EA">
              <w:rPr>
                <w:szCs w:val="22"/>
              </w:rPr>
              <w:t>(3</w:t>
            </w:r>
            <w:r w:rsidRPr="00D442F1">
              <w:rPr>
                <w:szCs w:val="22"/>
              </w:rPr>
              <w:t>4</w:t>
            </w:r>
            <w:r w:rsidRPr="00D442F1" w:rsidR="001918EA">
              <w:rPr>
                <w:szCs w:val="22"/>
              </w:rPr>
              <w:t>.3)</w:t>
            </w:r>
          </w:p>
        </w:tc>
      </w:tr>
      <w:tr w14:paraId="632A9D8D" w14:textId="77777777" w:rsidTr="00054918">
        <w:tblPrEx>
          <w:tblW w:w="9747" w:type="dxa"/>
          <w:tblLook w:val="04A0"/>
        </w:tblPrEx>
        <w:trPr>
          <w:cantSplit/>
        </w:trPr>
        <w:tc>
          <w:tcPr>
            <w:tcW w:w="4927" w:type="dxa"/>
            <w:shd w:val="clear" w:color="auto" w:fill="auto"/>
          </w:tcPr>
          <w:p w:rsidR="00574B67" w:rsidRPr="00D442F1" w:rsidP="00166894" w14:paraId="1CBF9646" w14:textId="77777777">
            <w:pPr>
              <w:keepNext/>
              <w:keepLines/>
              <w:widowControl w:val="0"/>
              <w:tabs>
                <w:tab w:val="clear" w:pos="567"/>
              </w:tabs>
              <w:autoSpaceDE w:val="0"/>
              <w:autoSpaceDN w:val="0"/>
              <w:adjustRightInd w:val="0"/>
              <w:spacing w:line="240" w:lineRule="auto"/>
              <w:rPr>
                <w:szCs w:val="22"/>
              </w:rPr>
            </w:pPr>
            <w:r w:rsidRPr="00D442F1">
              <w:rPr>
                <w:szCs w:val="22"/>
              </w:rPr>
              <w:t>Response at month 6</w:t>
            </w:r>
          </w:p>
        </w:tc>
        <w:tc>
          <w:tcPr>
            <w:tcW w:w="2410" w:type="dxa"/>
            <w:shd w:val="clear" w:color="auto" w:fill="auto"/>
          </w:tcPr>
          <w:p w:rsidR="00574B67" w:rsidRPr="00D442F1" w:rsidP="00EF5D7F" w14:paraId="7CF4ABE8" w14:textId="14ED3DA4">
            <w:pPr>
              <w:keepNext/>
              <w:keepLines/>
              <w:widowControl w:val="0"/>
              <w:tabs>
                <w:tab w:val="clear" w:pos="567"/>
              </w:tabs>
              <w:autoSpaceDE w:val="0"/>
              <w:autoSpaceDN w:val="0"/>
              <w:adjustRightInd w:val="0"/>
              <w:spacing w:line="240" w:lineRule="auto"/>
              <w:rPr>
                <w:szCs w:val="22"/>
              </w:rPr>
            </w:pPr>
            <w:r w:rsidRPr="00D442F1">
              <w:rPr>
                <w:szCs w:val="22"/>
              </w:rPr>
              <w:t>N=</w:t>
            </w:r>
            <w:r w:rsidRPr="00D442F1" w:rsidR="00EF5D7F">
              <w:rPr>
                <w:szCs w:val="22"/>
              </w:rPr>
              <w:t>147</w:t>
            </w:r>
          </w:p>
        </w:tc>
        <w:tc>
          <w:tcPr>
            <w:tcW w:w="2410" w:type="dxa"/>
          </w:tcPr>
          <w:p w:rsidR="00574B67" w:rsidRPr="00D442F1" w:rsidP="00987F2A" w14:paraId="5173D120" w14:textId="6C627A77">
            <w:pPr>
              <w:keepNext/>
              <w:keepLines/>
              <w:widowControl w:val="0"/>
              <w:tabs>
                <w:tab w:val="clear" w:pos="567"/>
              </w:tabs>
              <w:autoSpaceDE w:val="0"/>
              <w:autoSpaceDN w:val="0"/>
              <w:adjustRightInd w:val="0"/>
              <w:spacing w:line="240" w:lineRule="auto"/>
              <w:rPr>
                <w:szCs w:val="22"/>
              </w:rPr>
            </w:pPr>
            <w:r w:rsidRPr="00D442F1">
              <w:rPr>
                <w:szCs w:val="22"/>
              </w:rPr>
              <w:t>N=</w:t>
            </w:r>
            <w:r w:rsidRPr="00D442F1" w:rsidR="00987F2A">
              <w:rPr>
                <w:szCs w:val="22"/>
              </w:rPr>
              <w:t>99</w:t>
            </w:r>
          </w:p>
        </w:tc>
      </w:tr>
      <w:tr w14:paraId="3E632568" w14:textId="77777777" w:rsidTr="00054918">
        <w:tblPrEx>
          <w:tblW w:w="9747" w:type="dxa"/>
          <w:tblLook w:val="04A0"/>
        </w:tblPrEx>
        <w:trPr>
          <w:cantSplit/>
        </w:trPr>
        <w:tc>
          <w:tcPr>
            <w:tcW w:w="4927" w:type="dxa"/>
            <w:shd w:val="clear" w:color="auto" w:fill="auto"/>
          </w:tcPr>
          <w:p w:rsidR="00574B67" w:rsidRPr="00D442F1" w:rsidP="00166894" w14:paraId="74EB1DC2" w14:textId="77777777">
            <w:pPr>
              <w:keepNext/>
              <w:keepLines/>
              <w:widowControl w:val="0"/>
              <w:tabs>
                <w:tab w:val="clear" w:pos="567"/>
              </w:tabs>
              <w:autoSpaceDE w:val="0"/>
              <w:autoSpaceDN w:val="0"/>
              <w:adjustRightInd w:val="0"/>
              <w:spacing w:line="240" w:lineRule="auto"/>
              <w:ind w:left="360"/>
              <w:rPr>
                <w:szCs w:val="22"/>
              </w:rPr>
            </w:pPr>
            <w:r w:rsidRPr="00D442F1">
              <w:rPr>
                <w:szCs w:val="22"/>
              </w:rPr>
              <w:t>ORR (%)</w:t>
            </w:r>
          </w:p>
        </w:tc>
        <w:tc>
          <w:tcPr>
            <w:tcW w:w="2410" w:type="dxa"/>
            <w:shd w:val="clear" w:color="auto" w:fill="auto"/>
          </w:tcPr>
          <w:p w:rsidR="00574B67" w:rsidRPr="00D442F1" w:rsidP="00987F2A" w14:paraId="7AE19F1F" w14:textId="190128C9">
            <w:pPr>
              <w:keepNext/>
              <w:keepLines/>
              <w:widowControl w:val="0"/>
              <w:tabs>
                <w:tab w:val="clear" w:pos="567"/>
              </w:tabs>
              <w:autoSpaceDE w:val="0"/>
              <w:autoSpaceDN w:val="0"/>
              <w:adjustRightInd w:val="0"/>
              <w:spacing w:line="240" w:lineRule="auto"/>
              <w:rPr>
                <w:szCs w:val="22"/>
              </w:rPr>
            </w:pPr>
            <w:r w:rsidRPr="00D442F1">
              <w:rPr>
                <w:szCs w:val="22"/>
              </w:rPr>
              <w:t>34 (</w:t>
            </w:r>
            <w:r w:rsidRPr="00D442F1" w:rsidR="006F3984">
              <w:rPr>
                <w:szCs w:val="22"/>
              </w:rPr>
              <w:t>23.1</w:t>
            </w:r>
            <w:r w:rsidRPr="00D442F1">
              <w:rPr>
                <w:szCs w:val="22"/>
              </w:rPr>
              <w:t>)</w:t>
            </w:r>
          </w:p>
        </w:tc>
        <w:tc>
          <w:tcPr>
            <w:tcW w:w="2410" w:type="dxa"/>
          </w:tcPr>
          <w:p w:rsidR="00574B67" w:rsidRPr="00D442F1" w:rsidP="00987F2A" w14:paraId="3CA26E02" w14:textId="29A0C7EE">
            <w:pPr>
              <w:keepNext/>
              <w:keepLines/>
              <w:widowControl w:val="0"/>
              <w:tabs>
                <w:tab w:val="clear" w:pos="567"/>
              </w:tabs>
              <w:autoSpaceDE w:val="0"/>
              <w:autoSpaceDN w:val="0"/>
              <w:adjustRightInd w:val="0"/>
              <w:spacing w:line="240" w:lineRule="auto"/>
              <w:rPr>
                <w:szCs w:val="22"/>
              </w:rPr>
            </w:pPr>
            <w:r w:rsidRPr="00D442F1">
              <w:rPr>
                <w:szCs w:val="22"/>
              </w:rPr>
              <w:t xml:space="preserve">34 </w:t>
            </w:r>
            <w:r w:rsidRPr="00D442F1" w:rsidR="001918EA">
              <w:rPr>
                <w:szCs w:val="22"/>
              </w:rPr>
              <w:t>(</w:t>
            </w:r>
            <w:r w:rsidRPr="00D442F1">
              <w:rPr>
                <w:szCs w:val="22"/>
              </w:rPr>
              <w:t>34.3</w:t>
            </w:r>
            <w:r w:rsidRPr="00D442F1" w:rsidR="001918EA">
              <w:rPr>
                <w:szCs w:val="22"/>
              </w:rPr>
              <w:t>)</w:t>
            </w:r>
          </w:p>
        </w:tc>
      </w:tr>
      <w:tr w14:paraId="70831D90" w14:textId="77777777" w:rsidTr="00054918">
        <w:tblPrEx>
          <w:tblW w:w="9747" w:type="dxa"/>
          <w:tblLook w:val="04A0"/>
        </w:tblPrEx>
        <w:trPr>
          <w:cantSplit/>
        </w:trPr>
        <w:tc>
          <w:tcPr>
            <w:tcW w:w="4927" w:type="dxa"/>
            <w:shd w:val="clear" w:color="auto" w:fill="auto"/>
          </w:tcPr>
          <w:p w:rsidR="00574B67" w:rsidRPr="00D442F1" w:rsidP="00166894" w14:paraId="7C9EE915" w14:textId="77777777">
            <w:pPr>
              <w:keepNext/>
              <w:keepLines/>
              <w:widowControl w:val="0"/>
              <w:tabs>
                <w:tab w:val="clear" w:pos="567"/>
              </w:tabs>
              <w:autoSpaceDE w:val="0"/>
              <w:autoSpaceDN w:val="0"/>
              <w:adjustRightInd w:val="0"/>
              <w:spacing w:line="240" w:lineRule="auto"/>
              <w:ind w:left="360"/>
              <w:rPr>
                <w:szCs w:val="22"/>
              </w:rPr>
            </w:pPr>
            <w:r w:rsidRPr="00D442F1">
              <w:rPr>
                <w:szCs w:val="22"/>
              </w:rPr>
              <w:t>CR (%)</w:t>
            </w:r>
          </w:p>
        </w:tc>
        <w:tc>
          <w:tcPr>
            <w:tcW w:w="2410" w:type="dxa"/>
            <w:shd w:val="clear" w:color="auto" w:fill="auto"/>
          </w:tcPr>
          <w:p w:rsidR="00574B67" w:rsidRPr="00D442F1" w:rsidP="00987F2A" w14:paraId="7760D6D1" w14:textId="091E9E2B">
            <w:pPr>
              <w:keepNext/>
              <w:keepLines/>
              <w:widowControl w:val="0"/>
              <w:tabs>
                <w:tab w:val="clear" w:pos="567"/>
              </w:tabs>
              <w:autoSpaceDE w:val="0"/>
              <w:autoSpaceDN w:val="0"/>
              <w:adjustRightInd w:val="0"/>
              <w:spacing w:line="240" w:lineRule="auto"/>
              <w:rPr>
                <w:szCs w:val="22"/>
              </w:rPr>
            </w:pPr>
            <w:r w:rsidRPr="00D442F1">
              <w:rPr>
                <w:szCs w:val="22"/>
              </w:rPr>
              <w:t xml:space="preserve">31 </w:t>
            </w:r>
            <w:r w:rsidRPr="00D442F1" w:rsidR="001918EA">
              <w:rPr>
                <w:szCs w:val="22"/>
              </w:rPr>
              <w:t>(</w:t>
            </w:r>
            <w:r w:rsidRPr="00D442F1" w:rsidR="006F3984">
              <w:rPr>
                <w:szCs w:val="22"/>
              </w:rPr>
              <w:t>21.1</w:t>
            </w:r>
            <w:r w:rsidRPr="00D442F1" w:rsidR="001918EA">
              <w:rPr>
                <w:szCs w:val="22"/>
              </w:rPr>
              <w:t>)</w:t>
            </w:r>
          </w:p>
        </w:tc>
        <w:tc>
          <w:tcPr>
            <w:tcW w:w="2410" w:type="dxa"/>
          </w:tcPr>
          <w:p w:rsidR="00574B67" w:rsidRPr="00D442F1" w:rsidP="00987F2A" w14:paraId="591E0A6F" w14:textId="6D80D7C5">
            <w:pPr>
              <w:keepNext/>
              <w:keepLines/>
              <w:widowControl w:val="0"/>
              <w:tabs>
                <w:tab w:val="clear" w:pos="567"/>
              </w:tabs>
              <w:autoSpaceDE w:val="0"/>
              <w:autoSpaceDN w:val="0"/>
              <w:adjustRightInd w:val="0"/>
              <w:spacing w:line="240" w:lineRule="auto"/>
              <w:rPr>
                <w:szCs w:val="22"/>
              </w:rPr>
            </w:pPr>
            <w:r w:rsidRPr="00D442F1">
              <w:rPr>
                <w:szCs w:val="22"/>
              </w:rPr>
              <w:t>31</w:t>
            </w:r>
            <w:r w:rsidRPr="00D442F1" w:rsidR="001918EA">
              <w:rPr>
                <w:szCs w:val="22"/>
              </w:rPr>
              <w:t xml:space="preserve"> (</w:t>
            </w:r>
            <w:r w:rsidRPr="00D442F1">
              <w:rPr>
                <w:szCs w:val="22"/>
              </w:rPr>
              <w:t>31</w:t>
            </w:r>
            <w:r w:rsidRPr="00D442F1" w:rsidR="001918EA">
              <w:rPr>
                <w:szCs w:val="22"/>
              </w:rPr>
              <w:t>.3)</w:t>
            </w:r>
          </w:p>
        </w:tc>
      </w:tr>
      <w:tr w14:paraId="2E4BCDB0" w14:textId="77777777" w:rsidTr="00054918">
        <w:tblPrEx>
          <w:tblW w:w="9747" w:type="dxa"/>
          <w:tblLook w:val="04A0"/>
        </w:tblPrEx>
        <w:trPr>
          <w:cantSplit/>
        </w:trPr>
        <w:tc>
          <w:tcPr>
            <w:tcW w:w="4927" w:type="dxa"/>
            <w:shd w:val="clear" w:color="auto" w:fill="auto"/>
          </w:tcPr>
          <w:p w:rsidR="00054918" w:rsidRPr="00D442F1" w:rsidP="00EF5D7F" w14:paraId="711203F6" w14:textId="02E29349">
            <w:pPr>
              <w:keepNext/>
              <w:keepLines/>
              <w:widowControl w:val="0"/>
              <w:tabs>
                <w:tab w:val="clear" w:pos="567"/>
              </w:tabs>
              <w:autoSpaceDE w:val="0"/>
              <w:autoSpaceDN w:val="0"/>
              <w:adjustRightInd w:val="0"/>
              <w:spacing w:line="240" w:lineRule="auto"/>
              <w:rPr>
                <w:b/>
                <w:szCs w:val="22"/>
              </w:rPr>
            </w:pPr>
            <w:r w:rsidRPr="00D442F1">
              <w:rPr>
                <w:b/>
                <w:szCs w:val="22"/>
              </w:rPr>
              <w:t>Duration of response (DOR)</w:t>
            </w:r>
            <w:r w:rsidRPr="00D442F1" w:rsidR="00EF5D7F">
              <w:rPr>
                <w:b/>
                <w:szCs w:val="22"/>
                <w:vertAlign w:val="superscript"/>
              </w:rPr>
              <w:t>3</w:t>
            </w:r>
          </w:p>
        </w:tc>
        <w:tc>
          <w:tcPr>
            <w:tcW w:w="2410" w:type="dxa"/>
            <w:shd w:val="clear" w:color="auto" w:fill="auto"/>
          </w:tcPr>
          <w:p w:rsidR="00054918" w:rsidRPr="00D442F1" w:rsidP="007D1AD5" w14:paraId="5B2EEEE0" w14:textId="49390E97">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7D1AD5">
              <w:rPr>
                <w:b/>
                <w:szCs w:val="22"/>
              </w:rPr>
              <w:t>53</w:t>
            </w:r>
          </w:p>
        </w:tc>
        <w:tc>
          <w:tcPr>
            <w:tcW w:w="2410" w:type="dxa"/>
            <w:shd w:val="clear" w:color="auto" w:fill="auto"/>
          </w:tcPr>
          <w:p w:rsidR="00054918" w:rsidRPr="00D442F1" w:rsidP="00DE6171" w14:paraId="328EE09E" w14:textId="2CF1A41B">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DE6171">
              <w:rPr>
                <w:b/>
                <w:szCs w:val="22"/>
              </w:rPr>
              <w:t>53</w:t>
            </w:r>
          </w:p>
        </w:tc>
      </w:tr>
      <w:tr w14:paraId="6036C1AB" w14:textId="77777777" w:rsidTr="00054918">
        <w:tblPrEx>
          <w:tblW w:w="9747" w:type="dxa"/>
          <w:tblLook w:val="04A0"/>
        </w:tblPrEx>
        <w:trPr>
          <w:cantSplit/>
        </w:trPr>
        <w:tc>
          <w:tcPr>
            <w:tcW w:w="4927" w:type="dxa"/>
            <w:shd w:val="clear" w:color="auto" w:fill="auto"/>
          </w:tcPr>
          <w:p w:rsidR="00054918" w:rsidRPr="00D442F1" w:rsidP="00166894" w14:paraId="2D1EACEF" w14:textId="77777777">
            <w:pPr>
              <w:keepNext/>
              <w:keepLines/>
              <w:widowControl w:val="0"/>
              <w:tabs>
                <w:tab w:val="clear" w:pos="567"/>
              </w:tabs>
              <w:autoSpaceDE w:val="0"/>
              <w:autoSpaceDN w:val="0"/>
              <w:adjustRightInd w:val="0"/>
              <w:spacing w:line="240" w:lineRule="auto"/>
              <w:rPr>
                <w:szCs w:val="22"/>
              </w:rPr>
            </w:pPr>
            <w:r w:rsidRPr="00D442F1">
              <w:rPr>
                <w:szCs w:val="22"/>
              </w:rPr>
              <w:t>Median (months) (95% CI)</w:t>
            </w:r>
          </w:p>
        </w:tc>
        <w:tc>
          <w:tcPr>
            <w:tcW w:w="2410" w:type="dxa"/>
            <w:shd w:val="clear" w:color="auto" w:fill="auto"/>
          </w:tcPr>
          <w:p w:rsidR="00054918" w:rsidRPr="00D442F1" w:rsidP="00EF5D7F" w14:paraId="0CDD180E" w14:textId="4D3163D8">
            <w:pPr>
              <w:pStyle w:val="Table"/>
              <w:keepNext/>
              <w:widowControl w:val="0"/>
              <w:spacing w:before="0" w:after="0"/>
              <w:rPr>
                <w:rFonts w:ascii="Times New Roman" w:hAnsi="Times New Roman" w:cs="Times New Roman"/>
                <w:sz w:val="22"/>
                <w:szCs w:val="22"/>
                <w:lang w:val="en-GB"/>
              </w:rPr>
            </w:pPr>
            <w:r w:rsidRPr="00D442F1">
              <w:rPr>
                <w:rFonts w:ascii="Times New Roman" w:hAnsi="Times New Roman" w:cs="Times New Roman"/>
                <w:sz w:val="22"/>
                <w:szCs w:val="22"/>
                <w:lang w:val="en-GB"/>
              </w:rPr>
              <w:t>Not reached (10.0, NE</w:t>
            </w:r>
            <w:r w:rsidRPr="00D442F1" w:rsidR="00EF5D7F">
              <w:rPr>
                <w:rFonts w:ascii="Times New Roman" w:hAnsi="Times New Roman" w:cs="Times New Roman"/>
                <w:sz w:val="22"/>
                <w:szCs w:val="22"/>
                <w:vertAlign w:val="superscript"/>
                <w:lang w:val="en-GB"/>
              </w:rPr>
              <w:t>5</w:t>
            </w:r>
            <w:r w:rsidRPr="00D442F1">
              <w:rPr>
                <w:rFonts w:ascii="Times New Roman" w:hAnsi="Times New Roman" w:cs="Times New Roman"/>
                <w:sz w:val="22"/>
                <w:szCs w:val="22"/>
                <w:lang w:val="en-GB"/>
              </w:rPr>
              <w:t>)</w:t>
            </w:r>
          </w:p>
        </w:tc>
        <w:tc>
          <w:tcPr>
            <w:tcW w:w="2410" w:type="dxa"/>
            <w:shd w:val="clear" w:color="auto" w:fill="auto"/>
          </w:tcPr>
          <w:p w:rsidR="00054918" w:rsidRPr="00D442F1" w:rsidP="00EF5D7F" w14:paraId="18F092A7" w14:textId="7AD02C9B">
            <w:pPr>
              <w:pStyle w:val="Table"/>
              <w:keepNext/>
              <w:widowControl w:val="0"/>
              <w:spacing w:before="0" w:after="0"/>
              <w:rPr>
                <w:rFonts w:ascii="Times New Roman" w:hAnsi="Times New Roman" w:cs="Times New Roman"/>
                <w:sz w:val="22"/>
                <w:szCs w:val="22"/>
                <w:lang w:val="en-GB"/>
              </w:rPr>
            </w:pPr>
            <w:r w:rsidRPr="00D442F1">
              <w:rPr>
                <w:rFonts w:ascii="Times New Roman" w:hAnsi="Times New Roman" w:cs="Times New Roman"/>
                <w:sz w:val="22"/>
                <w:szCs w:val="22"/>
                <w:lang w:val="en-GB"/>
              </w:rPr>
              <w:t>Not reached (10.0, NE</w:t>
            </w:r>
            <w:r w:rsidRPr="00D442F1" w:rsidR="00EF5D7F">
              <w:rPr>
                <w:rFonts w:ascii="Times New Roman" w:hAnsi="Times New Roman" w:cs="Times New Roman"/>
                <w:sz w:val="22"/>
                <w:szCs w:val="22"/>
                <w:vertAlign w:val="superscript"/>
                <w:lang w:val="en-GB"/>
              </w:rPr>
              <w:t>5</w:t>
            </w:r>
            <w:r w:rsidRPr="00D442F1">
              <w:rPr>
                <w:rFonts w:ascii="Times New Roman" w:hAnsi="Times New Roman" w:cs="Times New Roman"/>
                <w:sz w:val="22"/>
                <w:szCs w:val="22"/>
                <w:lang w:val="en-GB"/>
              </w:rPr>
              <w:t>)</w:t>
            </w:r>
          </w:p>
        </w:tc>
      </w:tr>
      <w:tr w14:paraId="6A5990BA" w14:textId="77777777" w:rsidTr="00FC7778">
        <w:tblPrEx>
          <w:tblW w:w="9747" w:type="dxa"/>
          <w:tblLook w:val="04A0"/>
        </w:tblPrEx>
        <w:trPr>
          <w:cantSplit/>
        </w:trPr>
        <w:tc>
          <w:tcPr>
            <w:tcW w:w="4927" w:type="dxa"/>
            <w:shd w:val="clear" w:color="auto" w:fill="auto"/>
          </w:tcPr>
          <w:p w:rsidR="00054918" w:rsidRPr="00D442F1" w:rsidP="00082A98" w14:paraId="2FB0B562" w14:textId="1F4C4007">
            <w:pPr>
              <w:keepNext/>
              <w:keepLines/>
              <w:widowControl w:val="0"/>
              <w:tabs>
                <w:tab w:val="clear" w:pos="567"/>
              </w:tabs>
              <w:autoSpaceDE w:val="0"/>
              <w:autoSpaceDN w:val="0"/>
              <w:adjustRightInd w:val="0"/>
              <w:spacing w:line="240" w:lineRule="auto"/>
              <w:rPr>
                <w:szCs w:val="22"/>
              </w:rPr>
            </w:pPr>
            <w:r w:rsidRPr="00D442F1">
              <w:rPr>
                <w:szCs w:val="22"/>
              </w:rPr>
              <w:t xml:space="preserve">% relapse free probability at </w:t>
            </w:r>
            <w:r w:rsidRPr="00D442F1" w:rsidR="00082A98">
              <w:rPr>
                <w:szCs w:val="22"/>
              </w:rPr>
              <w:t>12 </w:t>
            </w:r>
            <w:r w:rsidRPr="00D442F1">
              <w:rPr>
                <w:szCs w:val="22"/>
              </w:rPr>
              <w:t>months</w:t>
            </w:r>
          </w:p>
        </w:tc>
        <w:tc>
          <w:tcPr>
            <w:tcW w:w="2410" w:type="dxa"/>
            <w:shd w:val="clear" w:color="auto" w:fill="auto"/>
          </w:tcPr>
          <w:p w:rsidR="00054918" w:rsidRPr="00D442F1" w:rsidP="00166894" w14:paraId="292B3889" w14:textId="4B4120FD">
            <w:pPr>
              <w:keepNext/>
              <w:keepLines/>
              <w:widowControl w:val="0"/>
              <w:tabs>
                <w:tab w:val="clear" w:pos="567"/>
              </w:tabs>
              <w:autoSpaceDE w:val="0"/>
              <w:autoSpaceDN w:val="0"/>
              <w:adjustRightInd w:val="0"/>
              <w:spacing w:line="240" w:lineRule="auto"/>
              <w:rPr>
                <w:szCs w:val="22"/>
              </w:rPr>
            </w:pPr>
            <w:r w:rsidRPr="00D442F1">
              <w:rPr>
                <w:szCs w:val="22"/>
              </w:rPr>
              <w:t>63.2</w:t>
            </w:r>
          </w:p>
        </w:tc>
        <w:tc>
          <w:tcPr>
            <w:tcW w:w="2410" w:type="dxa"/>
            <w:shd w:val="clear" w:color="auto" w:fill="auto"/>
          </w:tcPr>
          <w:p w:rsidR="00054918" w:rsidRPr="00D442F1" w:rsidP="00DE6171" w14:paraId="7A24A1A1" w14:textId="0EA241B2">
            <w:pPr>
              <w:keepNext/>
              <w:keepLines/>
              <w:widowControl w:val="0"/>
              <w:tabs>
                <w:tab w:val="clear" w:pos="567"/>
              </w:tabs>
              <w:autoSpaceDE w:val="0"/>
              <w:autoSpaceDN w:val="0"/>
              <w:adjustRightInd w:val="0"/>
              <w:spacing w:line="240" w:lineRule="auto"/>
              <w:rPr>
                <w:szCs w:val="22"/>
              </w:rPr>
            </w:pPr>
            <w:r w:rsidRPr="00D442F1">
              <w:rPr>
                <w:szCs w:val="22"/>
              </w:rPr>
              <w:t>63</w:t>
            </w:r>
            <w:r w:rsidRPr="00D442F1" w:rsidR="001918EA">
              <w:rPr>
                <w:szCs w:val="22"/>
              </w:rPr>
              <w:t>.2</w:t>
            </w:r>
          </w:p>
        </w:tc>
      </w:tr>
      <w:tr w14:paraId="347758C6" w14:textId="77777777" w:rsidTr="00FC7778">
        <w:tblPrEx>
          <w:tblW w:w="9747" w:type="dxa"/>
          <w:tblLook w:val="04A0"/>
        </w:tblPrEx>
        <w:trPr>
          <w:cantSplit/>
        </w:trPr>
        <w:tc>
          <w:tcPr>
            <w:tcW w:w="4927" w:type="dxa"/>
            <w:shd w:val="clear" w:color="auto" w:fill="auto"/>
          </w:tcPr>
          <w:p w:rsidR="00054918" w:rsidRPr="00D442F1" w:rsidP="00082A98" w14:paraId="09121780" w14:textId="01BEFCEB">
            <w:pPr>
              <w:keepNext/>
              <w:keepLines/>
              <w:widowControl w:val="0"/>
              <w:tabs>
                <w:tab w:val="clear" w:pos="567"/>
              </w:tabs>
              <w:autoSpaceDE w:val="0"/>
              <w:autoSpaceDN w:val="0"/>
              <w:adjustRightInd w:val="0"/>
              <w:spacing w:line="240" w:lineRule="auto"/>
              <w:rPr>
                <w:szCs w:val="22"/>
              </w:rPr>
            </w:pPr>
            <w:r w:rsidRPr="00D442F1">
              <w:rPr>
                <w:szCs w:val="22"/>
              </w:rPr>
              <w:t xml:space="preserve">% relapse free probability at </w:t>
            </w:r>
            <w:r w:rsidRPr="00D442F1" w:rsidR="00082A98">
              <w:rPr>
                <w:szCs w:val="22"/>
              </w:rPr>
              <w:t>18 </w:t>
            </w:r>
            <w:r w:rsidRPr="00D442F1">
              <w:rPr>
                <w:szCs w:val="22"/>
              </w:rPr>
              <w:t>months</w:t>
            </w:r>
          </w:p>
        </w:tc>
        <w:tc>
          <w:tcPr>
            <w:tcW w:w="2410" w:type="dxa"/>
            <w:shd w:val="clear" w:color="auto" w:fill="auto"/>
          </w:tcPr>
          <w:p w:rsidR="00054918" w:rsidRPr="00D442F1" w:rsidP="00166894" w14:paraId="161C3A82" w14:textId="16F98024">
            <w:pPr>
              <w:keepNext/>
              <w:keepLines/>
              <w:widowControl w:val="0"/>
              <w:tabs>
                <w:tab w:val="clear" w:pos="567"/>
              </w:tabs>
              <w:autoSpaceDE w:val="0"/>
              <w:autoSpaceDN w:val="0"/>
              <w:adjustRightInd w:val="0"/>
              <w:spacing w:line="240" w:lineRule="auto"/>
              <w:rPr>
                <w:szCs w:val="22"/>
              </w:rPr>
            </w:pPr>
            <w:r w:rsidRPr="00D442F1">
              <w:rPr>
                <w:szCs w:val="22"/>
              </w:rPr>
              <w:t>63.2</w:t>
            </w:r>
          </w:p>
        </w:tc>
        <w:tc>
          <w:tcPr>
            <w:tcW w:w="2410" w:type="dxa"/>
            <w:shd w:val="clear" w:color="auto" w:fill="auto"/>
          </w:tcPr>
          <w:p w:rsidR="00054918" w:rsidRPr="00D442F1" w:rsidP="00166894" w14:paraId="53FD38C2" w14:textId="5F7373B2">
            <w:pPr>
              <w:keepNext/>
              <w:keepLines/>
              <w:widowControl w:val="0"/>
              <w:tabs>
                <w:tab w:val="clear" w:pos="567"/>
              </w:tabs>
              <w:autoSpaceDE w:val="0"/>
              <w:autoSpaceDN w:val="0"/>
              <w:adjustRightInd w:val="0"/>
              <w:spacing w:line="240" w:lineRule="auto"/>
              <w:rPr>
                <w:szCs w:val="22"/>
              </w:rPr>
            </w:pPr>
            <w:r w:rsidRPr="00D442F1">
              <w:rPr>
                <w:szCs w:val="22"/>
              </w:rPr>
              <w:t>63.2</w:t>
            </w:r>
          </w:p>
        </w:tc>
      </w:tr>
      <w:tr w14:paraId="7E306E52" w14:textId="77777777" w:rsidTr="00054918">
        <w:tblPrEx>
          <w:tblW w:w="9747" w:type="dxa"/>
          <w:tblLook w:val="04A0"/>
        </w:tblPrEx>
        <w:trPr>
          <w:cantSplit/>
        </w:trPr>
        <w:tc>
          <w:tcPr>
            <w:tcW w:w="4927" w:type="dxa"/>
            <w:shd w:val="clear" w:color="auto" w:fill="auto"/>
          </w:tcPr>
          <w:p w:rsidR="00574B67" w:rsidRPr="00D442F1" w:rsidP="00166894" w14:paraId="619565CA" w14:textId="77777777">
            <w:pPr>
              <w:keepNext/>
              <w:keepLines/>
              <w:widowControl w:val="0"/>
              <w:tabs>
                <w:tab w:val="clear" w:pos="567"/>
              </w:tabs>
              <w:autoSpaceDE w:val="0"/>
              <w:autoSpaceDN w:val="0"/>
              <w:adjustRightInd w:val="0"/>
              <w:spacing w:line="240" w:lineRule="auto"/>
              <w:rPr>
                <w:b/>
                <w:szCs w:val="22"/>
              </w:rPr>
            </w:pPr>
            <w:r w:rsidRPr="00D442F1">
              <w:rPr>
                <w:b/>
                <w:szCs w:val="22"/>
              </w:rPr>
              <w:t>Other secondary endpoints</w:t>
            </w:r>
          </w:p>
        </w:tc>
        <w:tc>
          <w:tcPr>
            <w:tcW w:w="2410" w:type="dxa"/>
            <w:shd w:val="clear" w:color="auto" w:fill="auto"/>
          </w:tcPr>
          <w:p w:rsidR="00574B67" w:rsidRPr="00D442F1" w:rsidP="00694A54" w14:paraId="2905608A" w14:textId="6B2A6747">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694A54">
              <w:rPr>
                <w:b/>
                <w:szCs w:val="22"/>
              </w:rPr>
              <w:t>167</w:t>
            </w:r>
          </w:p>
        </w:tc>
        <w:tc>
          <w:tcPr>
            <w:tcW w:w="2410" w:type="dxa"/>
          </w:tcPr>
          <w:p w:rsidR="00420932" w:rsidRPr="00D442F1" w:rsidP="00DE6171" w14:paraId="3B0D0974" w14:textId="705AB6BA">
            <w:pPr>
              <w:keepNext/>
              <w:keepLines/>
              <w:widowControl w:val="0"/>
              <w:tabs>
                <w:tab w:val="clear" w:pos="567"/>
              </w:tabs>
              <w:autoSpaceDE w:val="0"/>
              <w:autoSpaceDN w:val="0"/>
              <w:adjustRightInd w:val="0"/>
              <w:spacing w:line="240" w:lineRule="auto"/>
              <w:rPr>
                <w:b/>
                <w:szCs w:val="22"/>
              </w:rPr>
            </w:pPr>
            <w:r w:rsidRPr="00D442F1">
              <w:rPr>
                <w:b/>
                <w:szCs w:val="22"/>
              </w:rPr>
              <w:t>N=</w:t>
            </w:r>
            <w:r w:rsidRPr="00D442F1" w:rsidR="00DE6171">
              <w:rPr>
                <w:b/>
                <w:szCs w:val="22"/>
              </w:rPr>
              <w:t>115</w:t>
            </w:r>
          </w:p>
        </w:tc>
      </w:tr>
      <w:tr w14:paraId="4A8787A0" w14:textId="77777777" w:rsidTr="00054918">
        <w:tblPrEx>
          <w:tblW w:w="9747" w:type="dxa"/>
          <w:tblLook w:val="04A0"/>
        </w:tblPrEx>
        <w:trPr>
          <w:cantSplit/>
        </w:trPr>
        <w:tc>
          <w:tcPr>
            <w:tcW w:w="4927" w:type="dxa"/>
            <w:shd w:val="clear" w:color="auto" w:fill="auto"/>
          </w:tcPr>
          <w:p w:rsidR="00574B67" w:rsidRPr="00D442F1" w:rsidP="00EF5D7F" w14:paraId="23052F0F" w14:textId="6320F9A6">
            <w:pPr>
              <w:keepNext/>
              <w:keepLines/>
              <w:widowControl w:val="0"/>
              <w:tabs>
                <w:tab w:val="clear" w:pos="567"/>
              </w:tabs>
              <w:autoSpaceDE w:val="0"/>
              <w:autoSpaceDN w:val="0"/>
              <w:adjustRightInd w:val="0"/>
              <w:spacing w:line="240" w:lineRule="auto"/>
              <w:rPr>
                <w:szCs w:val="22"/>
              </w:rPr>
            </w:pPr>
            <w:r w:rsidRPr="00D442F1">
              <w:rPr>
                <w:szCs w:val="22"/>
              </w:rPr>
              <w:t>Overall survival (OS)</w:t>
            </w:r>
            <w:r w:rsidRPr="00D442F1" w:rsidR="00EF5D7F">
              <w:rPr>
                <w:szCs w:val="22"/>
                <w:vertAlign w:val="superscript"/>
              </w:rPr>
              <w:t>4</w:t>
            </w:r>
          </w:p>
        </w:tc>
        <w:tc>
          <w:tcPr>
            <w:tcW w:w="2410" w:type="dxa"/>
            <w:shd w:val="clear" w:color="auto" w:fill="auto"/>
          </w:tcPr>
          <w:p w:rsidR="00574B67" w:rsidRPr="00D442F1" w:rsidP="00166894" w14:paraId="18EB2240" w14:textId="77777777">
            <w:pPr>
              <w:keepNext/>
              <w:keepLines/>
              <w:widowControl w:val="0"/>
              <w:tabs>
                <w:tab w:val="clear" w:pos="567"/>
              </w:tabs>
              <w:autoSpaceDE w:val="0"/>
              <w:autoSpaceDN w:val="0"/>
              <w:adjustRightInd w:val="0"/>
              <w:spacing w:line="240" w:lineRule="auto"/>
              <w:rPr>
                <w:szCs w:val="22"/>
              </w:rPr>
            </w:pPr>
          </w:p>
        </w:tc>
        <w:tc>
          <w:tcPr>
            <w:tcW w:w="2410" w:type="dxa"/>
          </w:tcPr>
          <w:p w:rsidR="00574B67" w:rsidRPr="00D442F1" w:rsidP="00166894" w14:paraId="0F8DB5E3" w14:textId="77777777">
            <w:pPr>
              <w:keepNext/>
              <w:keepLines/>
              <w:widowControl w:val="0"/>
              <w:tabs>
                <w:tab w:val="clear" w:pos="567"/>
              </w:tabs>
              <w:autoSpaceDE w:val="0"/>
              <w:autoSpaceDN w:val="0"/>
              <w:adjustRightInd w:val="0"/>
              <w:spacing w:line="240" w:lineRule="auto"/>
              <w:rPr>
                <w:szCs w:val="22"/>
              </w:rPr>
            </w:pPr>
          </w:p>
        </w:tc>
      </w:tr>
      <w:tr w14:paraId="3C5BE6C7" w14:textId="77777777" w:rsidTr="00054918">
        <w:tblPrEx>
          <w:tblW w:w="9747" w:type="dxa"/>
          <w:tblLook w:val="04A0"/>
        </w:tblPrEx>
        <w:trPr>
          <w:cantSplit/>
        </w:trPr>
        <w:tc>
          <w:tcPr>
            <w:tcW w:w="4927" w:type="dxa"/>
            <w:shd w:val="clear" w:color="auto" w:fill="auto"/>
          </w:tcPr>
          <w:p w:rsidR="00685658" w:rsidRPr="00D442F1" w:rsidP="00082A98" w14:paraId="4C6AEDE0" w14:textId="03164DB8">
            <w:pPr>
              <w:keepNext/>
              <w:keepLines/>
              <w:widowControl w:val="0"/>
              <w:tabs>
                <w:tab w:val="clear" w:pos="567"/>
              </w:tabs>
              <w:autoSpaceDE w:val="0"/>
              <w:autoSpaceDN w:val="0"/>
              <w:adjustRightInd w:val="0"/>
              <w:spacing w:line="240" w:lineRule="auto"/>
              <w:ind w:left="360"/>
              <w:rPr>
                <w:szCs w:val="22"/>
              </w:rPr>
            </w:pPr>
            <w:r w:rsidRPr="00D442F1">
              <w:rPr>
                <w:szCs w:val="22"/>
              </w:rPr>
              <w:t xml:space="preserve">% survival probability at </w:t>
            </w:r>
            <w:r w:rsidRPr="00D442F1" w:rsidR="00082A98">
              <w:rPr>
                <w:szCs w:val="22"/>
              </w:rPr>
              <w:t>12 </w:t>
            </w:r>
            <w:r w:rsidRPr="00D442F1">
              <w:rPr>
                <w:szCs w:val="22"/>
              </w:rPr>
              <w:t>months</w:t>
            </w:r>
          </w:p>
        </w:tc>
        <w:tc>
          <w:tcPr>
            <w:tcW w:w="2410" w:type="dxa"/>
            <w:shd w:val="clear" w:color="auto" w:fill="auto"/>
          </w:tcPr>
          <w:p w:rsidR="00685658" w:rsidRPr="00D442F1" w:rsidP="00166894" w14:paraId="3D3481AB" w14:textId="09B03B5A">
            <w:pPr>
              <w:keepNext/>
              <w:keepLines/>
              <w:widowControl w:val="0"/>
              <w:tabs>
                <w:tab w:val="clear" w:pos="567"/>
              </w:tabs>
              <w:autoSpaceDE w:val="0"/>
              <w:autoSpaceDN w:val="0"/>
              <w:adjustRightInd w:val="0"/>
              <w:spacing w:line="240" w:lineRule="auto"/>
              <w:rPr>
                <w:szCs w:val="22"/>
              </w:rPr>
            </w:pPr>
            <w:r w:rsidRPr="00D442F1">
              <w:rPr>
                <w:szCs w:val="22"/>
              </w:rPr>
              <w:t>40.9</w:t>
            </w:r>
          </w:p>
        </w:tc>
        <w:tc>
          <w:tcPr>
            <w:tcW w:w="2410" w:type="dxa"/>
          </w:tcPr>
          <w:p w:rsidR="00685658" w:rsidRPr="00D442F1" w:rsidP="00166894" w14:paraId="225F480D" w14:textId="48E1A551">
            <w:pPr>
              <w:keepNext/>
              <w:keepLines/>
              <w:widowControl w:val="0"/>
              <w:tabs>
                <w:tab w:val="clear" w:pos="567"/>
              </w:tabs>
              <w:autoSpaceDE w:val="0"/>
              <w:autoSpaceDN w:val="0"/>
              <w:adjustRightInd w:val="0"/>
              <w:spacing w:line="240" w:lineRule="auto"/>
              <w:rPr>
                <w:szCs w:val="22"/>
              </w:rPr>
            </w:pPr>
            <w:r w:rsidRPr="00D442F1">
              <w:rPr>
                <w:szCs w:val="22"/>
              </w:rPr>
              <w:t>47.9</w:t>
            </w:r>
          </w:p>
        </w:tc>
      </w:tr>
      <w:tr w14:paraId="7D321C5D" w14:textId="77777777" w:rsidTr="00054918">
        <w:tblPrEx>
          <w:tblW w:w="9747" w:type="dxa"/>
          <w:tblLook w:val="04A0"/>
        </w:tblPrEx>
        <w:trPr>
          <w:cantSplit/>
        </w:trPr>
        <w:tc>
          <w:tcPr>
            <w:tcW w:w="4927" w:type="dxa"/>
            <w:shd w:val="clear" w:color="auto" w:fill="auto"/>
          </w:tcPr>
          <w:p w:rsidR="00685658" w:rsidRPr="00D442F1" w:rsidP="00082A98" w14:paraId="2CB121C8" w14:textId="138FF90C">
            <w:pPr>
              <w:keepNext/>
              <w:keepLines/>
              <w:widowControl w:val="0"/>
              <w:tabs>
                <w:tab w:val="clear" w:pos="567"/>
              </w:tabs>
              <w:autoSpaceDE w:val="0"/>
              <w:autoSpaceDN w:val="0"/>
              <w:adjustRightInd w:val="0"/>
              <w:spacing w:line="240" w:lineRule="auto"/>
              <w:ind w:left="360"/>
              <w:rPr>
                <w:szCs w:val="22"/>
              </w:rPr>
            </w:pPr>
            <w:r w:rsidRPr="00D442F1">
              <w:rPr>
                <w:szCs w:val="22"/>
              </w:rPr>
              <w:t xml:space="preserve">% survival probability at </w:t>
            </w:r>
            <w:r w:rsidRPr="00D442F1" w:rsidR="00082A98">
              <w:rPr>
                <w:szCs w:val="22"/>
              </w:rPr>
              <w:t>24 </w:t>
            </w:r>
            <w:r w:rsidRPr="00D442F1">
              <w:rPr>
                <w:szCs w:val="22"/>
              </w:rPr>
              <w:t>months</w:t>
            </w:r>
          </w:p>
        </w:tc>
        <w:tc>
          <w:tcPr>
            <w:tcW w:w="2410" w:type="dxa"/>
            <w:shd w:val="clear" w:color="auto" w:fill="auto"/>
          </w:tcPr>
          <w:p w:rsidR="00685658" w:rsidRPr="00D442F1" w:rsidP="00166894" w14:paraId="2269C60E" w14:textId="155209BE">
            <w:pPr>
              <w:keepNext/>
              <w:keepLines/>
              <w:widowControl w:val="0"/>
              <w:tabs>
                <w:tab w:val="clear" w:pos="567"/>
              </w:tabs>
              <w:autoSpaceDE w:val="0"/>
              <w:autoSpaceDN w:val="0"/>
              <w:adjustRightInd w:val="0"/>
              <w:spacing w:line="240" w:lineRule="auto"/>
              <w:rPr>
                <w:szCs w:val="22"/>
              </w:rPr>
            </w:pPr>
            <w:r w:rsidRPr="00D442F1">
              <w:rPr>
                <w:szCs w:val="22"/>
              </w:rPr>
              <w:t>32.5</w:t>
            </w:r>
          </w:p>
        </w:tc>
        <w:tc>
          <w:tcPr>
            <w:tcW w:w="2410" w:type="dxa"/>
          </w:tcPr>
          <w:p w:rsidR="00685658" w:rsidRPr="00D442F1" w:rsidP="00166894" w14:paraId="4EDFDD1A" w14:textId="074C8356">
            <w:pPr>
              <w:keepNext/>
              <w:keepLines/>
              <w:widowControl w:val="0"/>
              <w:tabs>
                <w:tab w:val="clear" w:pos="567"/>
              </w:tabs>
              <w:autoSpaceDE w:val="0"/>
              <w:autoSpaceDN w:val="0"/>
              <w:adjustRightInd w:val="0"/>
              <w:spacing w:line="240" w:lineRule="auto"/>
              <w:rPr>
                <w:szCs w:val="22"/>
              </w:rPr>
            </w:pPr>
            <w:r w:rsidRPr="00D442F1">
              <w:rPr>
                <w:szCs w:val="22"/>
              </w:rPr>
              <w:t>39.1</w:t>
            </w:r>
          </w:p>
        </w:tc>
      </w:tr>
      <w:tr w14:paraId="4A10BBF8" w14:textId="77777777" w:rsidTr="00054918">
        <w:tblPrEx>
          <w:tblW w:w="9747" w:type="dxa"/>
          <w:tblLook w:val="04A0"/>
        </w:tblPrEx>
        <w:trPr>
          <w:cantSplit/>
        </w:trPr>
        <w:tc>
          <w:tcPr>
            <w:tcW w:w="4927" w:type="dxa"/>
            <w:shd w:val="clear" w:color="auto" w:fill="auto"/>
          </w:tcPr>
          <w:p w:rsidR="00685658" w:rsidRPr="00D442F1" w:rsidP="00166894" w14:paraId="06770789" w14:textId="77777777">
            <w:pPr>
              <w:keepNext/>
              <w:keepLines/>
              <w:widowControl w:val="0"/>
              <w:tabs>
                <w:tab w:val="clear" w:pos="567"/>
              </w:tabs>
              <w:autoSpaceDE w:val="0"/>
              <w:autoSpaceDN w:val="0"/>
              <w:adjustRightInd w:val="0"/>
              <w:spacing w:line="240" w:lineRule="auto"/>
              <w:ind w:left="360"/>
              <w:rPr>
                <w:szCs w:val="22"/>
              </w:rPr>
            </w:pPr>
            <w:r w:rsidRPr="00D442F1">
              <w:rPr>
                <w:szCs w:val="22"/>
              </w:rPr>
              <w:t>Median (months) (95% CI)</w:t>
            </w:r>
          </w:p>
        </w:tc>
        <w:tc>
          <w:tcPr>
            <w:tcW w:w="2410" w:type="dxa"/>
            <w:shd w:val="clear" w:color="auto" w:fill="auto"/>
          </w:tcPr>
          <w:p w:rsidR="00685658" w:rsidRPr="00D442F1" w:rsidP="00166894" w14:paraId="1F68CE0A" w14:textId="77777777">
            <w:pPr>
              <w:keepNext/>
              <w:keepLines/>
              <w:widowControl w:val="0"/>
              <w:tabs>
                <w:tab w:val="clear" w:pos="567"/>
              </w:tabs>
              <w:autoSpaceDE w:val="0"/>
              <w:autoSpaceDN w:val="0"/>
              <w:adjustRightInd w:val="0"/>
              <w:spacing w:line="240" w:lineRule="auto"/>
              <w:rPr>
                <w:szCs w:val="22"/>
              </w:rPr>
            </w:pPr>
            <w:r w:rsidRPr="00D442F1">
              <w:rPr>
                <w:szCs w:val="22"/>
              </w:rPr>
              <w:t>8.2 (5.8, 11.7)</w:t>
            </w:r>
          </w:p>
        </w:tc>
        <w:tc>
          <w:tcPr>
            <w:tcW w:w="2410" w:type="dxa"/>
          </w:tcPr>
          <w:p w:rsidR="00685658" w:rsidRPr="00D442F1" w:rsidP="00880B5B" w14:paraId="12B5231D" w14:textId="349B9C5A">
            <w:pPr>
              <w:keepNext/>
              <w:keepLines/>
              <w:widowControl w:val="0"/>
              <w:tabs>
                <w:tab w:val="clear" w:pos="567"/>
              </w:tabs>
              <w:autoSpaceDE w:val="0"/>
              <w:autoSpaceDN w:val="0"/>
              <w:adjustRightInd w:val="0"/>
              <w:spacing w:line="240" w:lineRule="auto"/>
              <w:rPr>
                <w:szCs w:val="22"/>
              </w:rPr>
            </w:pPr>
            <w:r w:rsidRPr="00D442F1">
              <w:rPr>
                <w:szCs w:val="22"/>
              </w:rPr>
              <w:t>10.3</w:t>
            </w:r>
            <w:r w:rsidRPr="00D442F1" w:rsidR="001918EA">
              <w:rPr>
                <w:szCs w:val="22"/>
              </w:rPr>
              <w:t xml:space="preserve"> </w:t>
            </w:r>
            <w:r w:rsidRPr="00D442F1" w:rsidR="001918EA">
              <w:rPr>
                <w:color w:val="000000"/>
                <w:szCs w:val="22"/>
              </w:rPr>
              <w:t xml:space="preserve">(6.6, </w:t>
            </w:r>
            <w:r w:rsidRPr="00D442F1">
              <w:rPr>
                <w:color w:val="000000"/>
                <w:szCs w:val="22"/>
              </w:rPr>
              <w:t>21.1</w:t>
            </w:r>
            <w:r w:rsidRPr="00D442F1" w:rsidR="001918EA">
              <w:rPr>
                <w:color w:val="000000"/>
                <w:szCs w:val="22"/>
              </w:rPr>
              <w:t>)</w:t>
            </w:r>
          </w:p>
        </w:tc>
      </w:tr>
      <w:tr w14:paraId="333E4384" w14:textId="77777777" w:rsidTr="0047511C">
        <w:tblPrEx>
          <w:tblW w:w="9747" w:type="dxa"/>
          <w:tblLook w:val="04A0"/>
        </w:tblPrEx>
        <w:trPr>
          <w:cantSplit/>
        </w:trPr>
        <w:tc>
          <w:tcPr>
            <w:tcW w:w="9747" w:type="dxa"/>
            <w:gridSpan w:val="3"/>
            <w:shd w:val="clear" w:color="auto" w:fill="auto"/>
          </w:tcPr>
          <w:p w:rsidR="00EF5D7F" w:rsidRPr="00D442F1" w:rsidP="00EF5D7F" w14:paraId="7F07E7EA" w14:textId="77777777">
            <w:pPr>
              <w:pStyle w:val="Legend"/>
              <w:keepNext/>
              <w:widowControl w:val="0"/>
              <w:tabs>
                <w:tab w:val="clear" w:pos="284"/>
              </w:tabs>
              <w:spacing w:before="0" w:after="0"/>
              <w:ind w:left="567" w:hanging="567"/>
              <w:rPr>
                <w:rFonts w:ascii="Times New Roman" w:hAnsi="Times New Roman" w:cs="Times New Roman"/>
                <w:sz w:val="22"/>
                <w:szCs w:val="22"/>
                <w:lang w:val="en-GB" w:eastAsia="en-US"/>
              </w:rPr>
            </w:pPr>
            <w:r w:rsidRPr="00D442F1">
              <w:rPr>
                <w:rFonts w:ascii="Times New Roman" w:hAnsi="Times New Roman" w:cs="Times New Roman"/>
                <w:sz w:val="22"/>
                <w:szCs w:val="22"/>
                <w:vertAlign w:val="superscript"/>
                <w:lang w:val="en-GB" w:eastAsia="en-US"/>
              </w:rPr>
              <w:t>1</w:t>
            </w:r>
            <w:r w:rsidRPr="00D442F1">
              <w:rPr>
                <w:rFonts w:ascii="Times New Roman" w:hAnsi="Times New Roman" w:cs="Times New Roman"/>
                <w:sz w:val="22"/>
                <w:szCs w:val="22"/>
                <w:vertAlign w:val="superscript"/>
                <w:lang w:val="en-GB" w:eastAsia="en-US"/>
              </w:rPr>
              <w:tab/>
            </w:r>
            <w:r w:rsidRPr="00D442F1">
              <w:rPr>
                <w:rFonts w:ascii="Times New Roman" w:hAnsi="Times New Roman" w:cs="Times New Roman"/>
                <w:sz w:val="22"/>
                <w:szCs w:val="22"/>
                <w:lang w:val="en-GB" w:eastAsia="en-US"/>
              </w:rPr>
              <w:t>The primary endpoint was analysed on all patients whose Kymriah was manufactured at the Novartis US facility.</w:t>
            </w:r>
          </w:p>
          <w:p w:rsidR="00054918" w:rsidRPr="00D442F1" w:rsidP="00EF5D7F" w14:paraId="6D58FF81" w14:textId="50CA035C">
            <w:pPr>
              <w:pStyle w:val="Legend"/>
              <w:keepNext/>
              <w:widowControl w:val="0"/>
              <w:tabs>
                <w:tab w:val="clear" w:pos="284"/>
              </w:tabs>
              <w:spacing w:before="0" w:after="0"/>
              <w:ind w:left="567" w:hanging="567"/>
              <w:rPr>
                <w:rFonts w:ascii="Times New Roman" w:hAnsi="Times New Roman" w:cs="Times New Roman"/>
                <w:sz w:val="22"/>
                <w:szCs w:val="22"/>
                <w:lang w:val="en-GB" w:eastAsia="en-US"/>
              </w:rPr>
            </w:pPr>
            <w:r w:rsidRPr="00D442F1">
              <w:rPr>
                <w:rFonts w:ascii="Times New Roman" w:hAnsi="Times New Roman" w:cs="Times New Roman"/>
                <w:sz w:val="22"/>
                <w:szCs w:val="22"/>
                <w:vertAlign w:val="superscript"/>
                <w:lang w:val="en-GB" w:eastAsia="en-US"/>
              </w:rPr>
              <w:t>2</w:t>
            </w:r>
            <w:r w:rsidRPr="00D442F1" w:rsidR="00DE35C7">
              <w:rPr>
                <w:rFonts w:ascii="Times New Roman" w:hAnsi="Times New Roman" w:cs="Times New Roman"/>
                <w:sz w:val="22"/>
                <w:szCs w:val="22"/>
                <w:lang w:val="en-GB" w:eastAsia="en-US"/>
              </w:rPr>
              <w:tab/>
            </w:r>
            <w:r w:rsidRPr="00D442F1">
              <w:rPr>
                <w:rFonts w:ascii="Times New Roman" w:hAnsi="Times New Roman" w:cs="Times New Roman"/>
                <w:sz w:val="22"/>
                <w:szCs w:val="22"/>
                <w:lang w:val="en-GB" w:eastAsia="en-US"/>
              </w:rPr>
              <w:t>ORR is the proportion of patients with best overall response (BOR) of CR or PR based on the Lugano response criteria (Cheson 2014); non</w:t>
            </w:r>
            <w:r w:rsidRPr="00D442F1" w:rsidR="0013441A">
              <w:rPr>
                <w:rFonts w:ascii="Times New Roman" w:hAnsi="Times New Roman" w:cs="Times New Roman"/>
                <w:sz w:val="22"/>
                <w:szCs w:val="22"/>
                <w:lang w:val="en-GB" w:eastAsia="en-US"/>
              </w:rPr>
              <w:noBreakHyphen/>
            </w:r>
            <w:r w:rsidRPr="00D442F1">
              <w:rPr>
                <w:rFonts w:ascii="Times New Roman" w:hAnsi="Times New Roman" w:cs="Times New Roman"/>
                <w:sz w:val="22"/>
                <w:szCs w:val="22"/>
                <w:lang w:val="en-GB" w:eastAsia="en-US"/>
              </w:rPr>
              <w:t>infused patients were assigned BOR=Unknown (i.e. non</w:t>
            </w:r>
            <w:r w:rsidRPr="00D442F1" w:rsidR="0013441A">
              <w:rPr>
                <w:rFonts w:ascii="Times New Roman" w:hAnsi="Times New Roman" w:cs="Times New Roman"/>
                <w:sz w:val="22"/>
                <w:szCs w:val="22"/>
                <w:lang w:val="en-GB" w:eastAsia="en-US"/>
              </w:rPr>
              <w:noBreakHyphen/>
            </w:r>
            <w:r w:rsidRPr="00D442F1">
              <w:rPr>
                <w:rFonts w:ascii="Times New Roman" w:hAnsi="Times New Roman" w:cs="Times New Roman"/>
                <w:sz w:val="22"/>
                <w:szCs w:val="22"/>
                <w:lang w:val="en-GB" w:eastAsia="en-US"/>
              </w:rPr>
              <w:t>responders).</w:t>
            </w:r>
          </w:p>
          <w:p w:rsidR="00685658" w:rsidRPr="00D442F1" w:rsidP="00166894" w14:paraId="0A4EEFAD" w14:textId="368D3C3D">
            <w:pPr>
              <w:pStyle w:val="Legend"/>
              <w:keepNext/>
              <w:widowControl w:val="0"/>
              <w:tabs>
                <w:tab w:val="clear" w:pos="284"/>
              </w:tabs>
              <w:spacing w:before="0" w:after="0"/>
              <w:ind w:left="567" w:hanging="567"/>
              <w:rPr>
                <w:rFonts w:ascii="Times New Roman" w:hAnsi="Times New Roman" w:cs="Times New Roman"/>
                <w:sz w:val="22"/>
                <w:szCs w:val="22"/>
                <w:lang w:val="en-GB" w:eastAsia="en-US"/>
              </w:rPr>
            </w:pPr>
            <w:r w:rsidRPr="00D442F1">
              <w:rPr>
                <w:rFonts w:ascii="Times New Roman" w:hAnsi="Times New Roman" w:cs="Times New Roman"/>
                <w:sz w:val="22"/>
                <w:szCs w:val="22"/>
                <w:vertAlign w:val="superscript"/>
                <w:lang w:val="en-GB" w:eastAsia="en-US"/>
              </w:rPr>
              <w:t>3</w:t>
            </w:r>
            <w:r w:rsidRPr="00D442F1">
              <w:rPr>
                <w:rFonts w:ascii="Times New Roman" w:hAnsi="Times New Roman" w:cs="Times New Roman"/>
                <w:sz w:val="22"/>
                <w:szCs w:val="22"/>
                <w:vertAlign w:val="superscript"/>
                <w:lang w:val="en-GB" w:eastAsia="en-US"/>
              </w:rPr>
              <w:tab/>
            </w:r>
            <w:r w:rsidRPr="00D442F1">
              <w:rPr>
                <w:rFonts w:ascii="Times New Roman" w:hAnsi="Times New Roman" w:cs="Times New Roman"/>
                <w:sz w:val="22"/>
                <w:szCs w:val="22"/>
                <w:lang w:val="en-GB" w:eastAsia="en-US"/>
              </w:rPr>
              <w:t>DOR was defined as time from achievement of CR or PR</w:t>
            </w:r>
            <w:r w:rsidRPr="00D442F1" w:rsidR="00BB1BC1">
              <w:rPr>
                <w:rFonts w:ascii="Times New Roman" w:hAnsi="Times New Roman" w:cs="Times New Roman"/>
                <w:sz w:val="22"/>
                <w:szCs w:val="22"/>
                <w:lang w:val="en-GB" w:eastAsia="en-US"/>
              </w:rPr>
              <w:t xml:space="preserve"> to relapse or death due to DLBCL</w:t>
            </w:r>
            <w:r w:rsidRPr="00D442F1">
              <w:rPr>
                <w:rFonts w:ascii="Times New Roman" w:hAnsi="Times New Roman" w:cs="Times New Roman"/>
                <w:sz w:val="22"/>
                <w:szCs w:val="22"/>
                <w:lang w:val="en-GB" w:eastAsia="en-US"/>
              </w:rPr>
              <w:t>, whichever occurs first.</w:t>
            </w:r>
          </w:p>
          <w:p w:rsidR="00685658" w:rsidRPr="00D442F1" w:rsidP="00166894" w14:paraId="114D8469" w14:textId="78ADD952">
            <w:pPr>
              <w:keepNext/>
              <w:keepLines/>
              <w:widowControl w:val="0"/>
              <w:tabs>
                <w:tab w:val="clear" w:pos="567"/>
              </w:tabs>
              <w:autoSpaceDE w:val="0"/>
              <w:autoSpaceDN w:val="0"/>
              <w:adjustRightInd w:val="0"/>
              <w:spacing w:line="240" w:lineRule="auto"/>
              <w:ind w:left="567" w:hanging="567"/>
              <w:rPr>
                <w:szCs w:val="22"/>
              </w:rPr>
            </w:pPr>
            <w:r w:rsidRPr="00D442F1">
              <w:rPr>
                <w:szCs w:val="22"/>
                <w:vertAlign w:val="superscript"/>
              </w:rPr>
              <w:t>4</w:t>
            </w:r>
            <w:r w:rsidRPr="00D442F1">
              <w:rPr>
                <w:szCs w:val="22"/>
                <w:vertAlign w:val="superscript"/>
              </w:rPr>
              <w:tab/>
            </w:r>
            <w:r w:rsidRPr="00D442F1">
              <w:rPr>
                <w:szCs w:val="22"/>
              </w:rPr>
              <w:t>OS was defined as time from date of Kymriah infusion to the date of death due to any cause</w:t>
            </w:r>
            <w:r w:rsidRPr="00D442F1" w:rsidR="0013441A">
              <w:rPr>
                <w:szCs w:val="22"/>
              </w:rPr>
              <w:t xml:space="preserve"> </w:t>
            </w:r>
            <w:r w:rsidRPr="00D442F1">
              <w:rPr>
                <w:szCs w:val="22"/>
              </w:rPr>
              <w:t>(N=</w:t>
            </w:r>
            <w:r w:rsidRPr="00D442F1" w:rsidR="00082A98">
              <w:rPr>
                <w:szCs w:val="22"/>
              </w:rPr>
              <w:t>115</w:t>
            </w:r>
            <w:r w:rsidRPr="00D442F1">
              <w:rPr>
                <w:szCs w:val="22"/>
              </w:rPr>
              <w:t>)</w:t>
            </w:r>
            <w:r w:rsidRPr="00D442F1" w:rsidR="0013441A">
              <w:rPr>
                <w:szCs w:val="22"/>
              </w:rPr>
              <w:t xml:space="preserve"> </w:t>
            </w:r>
            <w:r w:rsidRPr="00D442F1">
              <w:rPr>
                <w:szCs w:val="22"/>
              </w:rPr>
              <w:t>and time from date of enrolment to the date of death due to any cause for enrolled patients</w:t>
            </w:r>
            <w:r w:rsidRPr="00D442F1" w:rsidR="00054918">
              <w:rPr>
                <w:szCs w:val="22"/>
              </w:rPr>
              <w:t xml:space="preserve"> (N=</w:t>
            </w:r>
            <w:r w:rsidRPr="00D442F1" w:rsidR="00BB1BC1">
              <w:rPr>
                <w:szCs w:val="22"/>
              </w:rPr>
              <w:t>167</w:t>
            </w:r>
            <w:r w:rsidRPr="00D442F1" w:rsidR="00054918">
              <w:rPr>
                <w:szCs w:val="22"/>
              </w:rPr>
              <w:t>)</w:t>
            </w:r>
            <w:r w:rsidRPr="00D442F1">
              <w:rPr>
                <w:szCs w:val="22"/>
              </w:rPr>
              <w:t>.</w:t>
            </w:r>
          </w:p>
          <w:p w:rsidR="002B6717" w:rsidRPr="00D442F1" w:rsidP="00880B5B" w14:paraId="2D15AA98" w14:textId="6C15B9B8">
            <w:pPr>
              <w:pStyle w:val="Legend"/>
              <w:keepNext/>
              <w:widowControl w:val="0"/>
              <w:tabs>
                <w:tab w:val="clear" w:pos="284"/>
              </w:tabs>
              <w:spacing w:before="0" w:after="0"/>
              <w:ind w:left="567" w:hanging="567"/>
              <w:rPr>
                <w:rFonts w:ascii="Times New Roman" w:hAnsi="Times New Roman" w:cs="Times New Roman"/>
                <w:sz w:val="22"/>
                <w:szCs w:val="22"/>
                <w:vertAlign w:val="superscript"/>
                <w:lang w:val="en-GB" w:eastAsia="en-US"/>
              </w:rPr>
            </w:pPr>
            <w:r w:rsidRPr="00D442F1">
              <w:rPr>
                <w:rFonts w:ascii="Times New Roman" w:hAnsi="Times New Roman" w:cs="Times New Roman"/>
                <w:sz w:val="22"/>
                <w:szCs w:val="22"/>
                <w:vertAlign w:val="superscript"/>
              </w:rPr>
              <w:t>5</w:t>
            </w:r>
            <w:r w:rsidRPr="00D442F1" w:rsidR="00685658">
              <w:rPr>
                <w:rFonts w:ascii="Times New Roman" w:hAnsi="Times New Roman" w:cs="Times New Roman"/>
                <w:sz w:val="22"/>
                <w:szCs w:val="22"/>
              </w:rPr>
              <w:tab/>
              <w:t>Not estimable.</w:t>
            </w:r>
          </w:p>
        </w:tc>
      </w:tr>
    </w:tbl>
    <w:p w:rsidR="00EA6DC6" w:rsidRPr="00D442F1" w:rsidP="00166894" w14:paraId="76B0DE90" w14:textId="77777777">
      <w:pPr>
        <w:widowControl w:val="0"/>
        <w:tabs>
          <w:tab w:val="clear" w:pos="567"/>
        </w:tabs>
        <w:autoSpaceDE w:val="0"/>
        <w:autoSpaceDN w:val="0"/>
        <w:adjustRightInd w:val="0"/>
        <w:spacing w:line="240" w:lineRule="auto"/>
        <w:rPr>
          <w:szCs w:val="22"/>
        </w:rPr>
      </w:pPr>
      <w:bookmarkStart w:id="3" w:name="_Toc485048491"/>
      <w:bookmarkStart w:id="4" w:name="_Toc488242412"/>
    </w:p>
    <w:p w:rsidR="005E21CF" w:rsidRPr="00D442F1" w:rsidP="005E21CF" w14:paraId="7A5742AE" w14:textId="6AD86396">
      <w:pPr>
        <w:pStyle w:val="CommentText"/>
        <w:widowControl w:val="0"/>
        <w:rPr>
          <w:sz w:val="22"/>
          <w:szCs w:val="22"/>
        </w:rPr>
      </w:pPr>
      <w:r w:rsidRPr="00D442F1">
        <w:rPr>
          <w:sz w:val="22"/>
          <w:szCs w:val="22"/>
        </w:rPr>
        <w:t>Among the 40</w:t>
      </w:r>
      <w:r w:rsidRPr="00D442F1" w:rsidR="00DE35C7">
        <w:rPr>
          <w:sz w:val="22"/>
          <w:szCs w:val="22"/>
        </w:rPr>
        <w:t> </w:t>
      </w:r>
      <w:r w:rsidRPr="00D442F1">
        <w:rPr>
          <w:sz w:val="22"/>
          <w:szCs w:val="22"/>
        </w:rPr>
        <w:t>patients who achieved CR, 15</w:t>
      </w:r>
      <w:r w:rsidRPr="00D442F1" w:rsidR="00DE35C7">
        <w:rPr>
          <w:sz w:val="22"/>
          <w:szCs w:val="22"/>
        </w:rPr>
        <w:t> </w:t>
      </w:r>
      <w:r w:rsidRPr="00D442F1">
        <w:rPr>
          <w:sz w:val="22"/>
          <w:szCs w:val="22"/>
        </w:rPr>
        <w:t>patients initially had an overall disease response of PR which improved to CR over time; most patients (13/15) achieved PR to CR conversion within 6</w:t>
      </w:r>
      <w:r w:rsidRPr="00D442F1" w:rsidR="00DE35C7">
        <w:rPr>
          <w:sz w:val="22"/>
          <w:szCs w:val="22"/>
        </w:rPr>
        <w:t> </w:t>
      </w:r>
      <w:r w:rsidRPr="00D442F1">
        <w:rPr>
          <w:sz w:val="22"/>
          <w:szCs w:val="22"/>
        </w:rPr>
        <w:t>months post-tisagenlecleucel infusion. ORR was consistent across subgroups.</w:t>
      </w:r>
    </w:p>
    <w:p w:rsidR="005E21CF" w:rsidRPr="00D442F1" w:rsidP="00166894" w14:paraId="00A5FD88" w14:textId="77777777">
      <w:pPr>
        <w:widowControl w:val="0"/>
        <w:tabs>
          <w:tab w:val="clear" w:pos="567"/>
        </w:tabs>
        <w:autoSpaceDE w:val="0"/>
        <w:autoSpaceDN w:val="0"/>
        <w:adjustRightInd w:val="0"/>
        <w:spacing w:line="240" w:lineRule="auto"/>
        <w:rPr>
          <w:szCs w:val="22"/>
        </w:rPr>
      </w:pPr>
    </w:p>
    <w:p w:rsidR="00EF45AC" w:rsidRPr="00D442F1" w:rsidP="00166894" w14:paraId="7AFC08AB" w14:textId="77777777">
      <w:pPr>
        <w:keepNext/>
        <w:widowControl w:val="0"/>
        <w:tabs>
          <w:tab w:val="clear" w:pos="567"/>
        </w:tabs>
        <w:spacing w:line="240" w:lineRule="auto"/>
        <w:rPr>
          <w:bCs/>
          <w:iCs/>
          <w:szCs w:val="22"/>
        </w:rPr>
      </w:pPr>
      <w:bookmarkEnd w:id="3"/>
      <w:bookmarkEnd w:id="4"/>
      <w:r w:rsidRPr="00D442F1">
        <w:rPr>
          <w:bCs/>
          <w:iCs/>
          <w:szCs w:val="22"/>
          <w:u w:val="single"/>
        </w:rPr>
        <w:t>Special populations</w:t>
      </w:r>
    </w:p>
    <w:p w:rsidR="00EF45AC" w:rsidRPr="00D442F1" w:rsidP="00166894" w14:paraId="31E58627" w14:textId="77777777">
      <w:pPr>
        <w:keepNext/>
        <w:widowControl w:val="0"/>
        <w:tabs>
          <w:tab w:val="clear" w:pos="567"/>
        </w:tabs>
        <w:spacing w:line="240" w:lineRule="auto"/>
        <w:outlineLvl w:val="0"/>
        <w:rPr>
          <w:szCs w:val="22"/>
        </w:rPr>
      </w:pPr>
    </w:p>
    <w:p w:rsidR="00EF45AC" w:rsidRPr="00D442F1" w:rsidP="00166894" w14:paraId="4D58591D" w14:textId="77777777">
      <w:pPr>
        <w:widowControl w:val="0"/>
        <w:tabs>
          <w:tab w:val="clear" w:pos="567"/>
        </w:tabs>
        <w:spacing w:line="240" w:lineRule="auto"/>
        <w:outlineLvl w:val="0"/>
        <w:rPr>
          <w:szCs w:val="22"/>
        </w:rPr>
      </w:pPr>
      <w:r w:rsidRPr="00D442F1">
        <w:rPr>
          <w:szCs w:val="22"/>
        </w:rPr>
        <w:t xml:space="preserve">There are not enough data to determine whether there are any differences in efficacy or safety between different age subgroups, although the clinical benefit and safety experience in elderly patients </w:t>
      </w:r>
      <w:r w:rsidRPr="00D442F1" w:rsidR="00F8118F">
        <w:rPr>
          <w:szCs w:val="22"/>
        </w:rPr>
        <w:t xml:space="preserve">with DLBCL </w:t>
      </w:r>
      <w:r w:rsidRPr="00D442F1">
        <w:rPr>
          <w:szCs w:val="22"/>
        </w:rPr>
        <w:t xml:space="preserve">above the age of 65 years (23% of the study population) </w:t>
      </w:r>
      <w:r w:rsidRPr="00D442F1" w:rsidR="00F8118F">
        <w:rPr>
          <w:szCs w:val="22"/>
        </w:rPr>
        <w:t>were</w:t>
      </w:r>
      <w:r w:rsidRPr="00D442F1">
        <w:rPr>
          <w:szCs w:val="22"/>
        </w:rPr>
        <w:t xml:space="preserve"> comparable to the overall population.</w:t>
      </w:r>
    </w:p>
    <w:p w:rsidR="00EF45AC" w:rsidRPr="00D442F1" w:rsidP="00166894" w14:paraId="515F8A4C" w14:textId="77777777">
      <w:pPr>
        <w:widowControl w:val="0"/>
        <w:tabs>
          <w:tab w:val="clear" w:pos="567"/>
        </w:tabs>
        <w:spacing w:line="240" w:lineRule="auto"/>
        <w:outlineLvl w:val="0"/>
        <w:rPr>
          <w:szCs w:val="22"/>
        </w:rPr>
      </w:pPr>
    </w:p>
    <w:p w:rsidR="009F5981" w:rsidRPr="00D442F1" w:rsidP="00166894" w14:paraId="59495A80" w14:textId="77777777">
      <w:pPr>
        <w:keepNext/>
        <w:widowControl w:val="0"/>
        <w:tabs>
          <w:tab w:val="clear" w:pos="567"/>
        </w:tabs>
        <w:spacing w:line="240" w:lineRule="auto"/>
        <w:rPr>
          <w:bCs/>
          <w:iCs/>
          <w:szCs w:val="22"/>
        </w:rPr>
      </w:pPr>
      <w:r w:rsidRPr="00D442F1">
        <w:rPr>
          <w:bCs/>
          <w:iCs/>
          <w:szCs w:val="22"/>
          <w:u w:val="single"/>
        </w:rPr>
        <w:t>Paediatric population</w:t>
      </w:r>
    </w:p>
    <w:p w:rsidR="00D179C6" w:rsidRPr="00D442F1" w:rsidP="00166894" w14:paraId="6E21D8FB" w14:textId="77777777">
      <w:pPr>
        <w:keepNext/>
        <w:widowControl w:val="0"/>
        <w:tabs>
          <w:tab w:val="clear" w:pos="567"/>
        </w:tabs>
        <w:spacing w:line="240" w:lineRule="auto"/>
        <w:outlineLvl w:val="0"/>
        <w:rPr>
          <w:szCs w:val="22"/>
        </w:rPr>
      </w:pPr>
    </w:p>
    <w:p w:rsidR="009F5981" w:rsidRPr="00D442F1" w:rsidP="00166894" w14:paraId="238E1863" w14:textId="77777777">
      <w:pPr>
        <w:widowControl w:val="0"/>
        <w:tabs>
          <w:tab w:val="clear" w:pos="567"/>
        </w:tabs>
        <w:spacing w:line="240" w:lineRule="auto"/>
        <w:outlineLvl w:val="0"/>
        <w:rPr>
          <w:szCs w:val="22"/>
        </w:rPr>
      </w:pPr>
      <w:r w:rsidRPr="00D442F1">
        <w:rPr>
          <w:szCs w:val="22"/>
        </w:rPr>
        <w:t>The European Medicines Agency has deferred the obligation to submit the results of studies with Kymriah</w:t>
      </w:r>
      <w:r w:rsidRPr="00D442F1">
        <w:rPr>
          <w:rFonts w:eastAsia="SimSun"/>
          <w:color w:val="00B050"/>
          <w:szCs w:val="22"/>
          <w:lang w:eastAsia="zh-CN"/>
        </w:rPr>
        <w:t xml:space="preserve"> </w:t>
      </w:r>
      <w:r w:rsidRPr="00D442F1">
        <w:rPr>
          <w:szCs w:val="22"/>
        </w:rPr>
        <w:t xml:space="preserve">in one or more subsets of the paediatric population in the </w:t>
      </w:r>
      <w:r w:rsidRPr="00D442F1" w:rsidR="005C353B">
        <w:rPr>
          <w:szCs w:val="22"/>
        </w:rPr>
        <w:t xml:space="preserve">following conditions: </w:t>
      </w:r>
      <w:r w:rsidRPr="00D442F1" w:rsidR="00EF45AC">
        <w:rPr>
          <w:szCs w:val="22"/>
        </w:rPr>
        <w:t>a)</w:t>
      </w:r>
      <w:r w:rsidRPr="00D442F1" w:rsidR="00136D62">
        <w:rPr>
          <w:szCs w:val="22"/>
        </w:rPr>
        <w:t> </w:t>
      </w:r>
      <w:r w:rsidRPr="00D442F1" w:rsidR="005C353B">
        <w:rPr>
          <w:szCs w:val="22"/>
        </w:rPr>
        <w:t>treatment of B</w:t>
      </w:r>
      <w:r w:rsidRPr="00D442F1" w:rsidR="00591100">
        <w:rPr>
          <w:szCs w:val="22"/>
        </w:rPr>
        <w:noBreakHyphen/>
      </w:r>
      <w:r w:rsidRPr="00D442F1" w:rsidR="005C353B">
        <w:rPr>
          <w:szCs w:val="22"/>
        </w:rPr>
        <w:t xml:space="preserve">cell </w:t>
      </w:r>
      <w:r w:rsidRPr="00D442F1" w:rsidR="00EF45AC">
        <w:rPr>
          <w:szCs w:val="22"/>
        </w:rPr>
        <w:t>lymphoblastic lymphoma</w:t>
      </w:r>
      <w:r w:rsidRPr="00D442F1" w:rsidR="00136D62">
        <w:rPr>
          <w:szCs w:val="22"/>
        </w:rPr>
        <w:t>,</w:t>
      </w:r>
      <w:r w:rsidRPr="00D442F1" w:rsidR="00EF45AC">
        <w:rPr>
          <w:szCs w:val="22"/>
        </w:rPr>
        <w:t xml:space="preserve"> and b)</w:t>
      </w:r>
      <w:r w:rsidRPr="00D442F1" w:rsidR="00136D62">
        <w:rPr>
          <w:szCs w:val="22"/>
        </w:rPr>
        <w:t> </w:t>
      </w:r>
      <w:r w:rsidRPr="00D442F1" w:rsidR="00EF45AC">
        <w:rPr>
          <w:szCs w:val="22"/>
        </w:rPr>
        <w:t>treatment of mature B</w:t>
      </w:r>
      <w:r w:rsidRPr="00D442F1" w:rsidR="00EF45AC">
        <w:rPr>
          <w:szCs w:val="22"/>
        </w:rPr>
        <w:noBreakHyphen/>
        <w:t xml:space="preserve">cell </w:t>
      </w:r>
      <w:r w:rsidRPr="00D442F1" w:rsidR="0062449A">
        <w:rPr>
          <w:szCs w:val="22"/>
        </w:rPr>
        <w:t>neoplasms</w:t>
      </w:r>
      <w:r w:rsidRPr="00D442F1" w:rsidR="009D00EB">
        <w:rPr>
          <w:szCs w:val="22"/>
        </w:rPr>
        <w:t xml:space="preserve"> </w:t>
      </w:r>
      <w:r w:rsidRPr="00D442F1" w:rsidR="00D179C6">
        <w:rPr>
          <w:szCs w:val="22"/>
        </w:rPr>
        <w:t>(see section </w:t>
      </w:r>
      <w:r w:rsidRPr="00D442F1">
        <w:rPr>
          <w:szCs w:val="22"/>
        </w:rPr>
        <w:t>4.2 for information on paediatric use).</w:t>
      </w:r>
    </w:p>
    <w:p w:rsidR="00C4175C" w:rsidRPr="00D442F1" w:rsidP="00166894" w14:paraId="1D4A438B" w14:textId="77777777">
      <w:pPr>
        <w:widowControl w:val="0"/>
        <w:numPr>
          <w:ilvl w:val="12"/>
          <w:numId w:val="0"/>
        </w:numPr>
        <w:tabs>
          <w:tab w:val="clear" w:pos="567"/>
        </w:tabs>
        <w:spacing w:line="240" w:lineRule="auto"/>
        <w:ind w:right="-2"/>
        <w:rPr>
          <w:iCs/>
          <w:noProof/>
          <w:szCs w:val="22"/>
        </w:rPr>
      </w:pPr>
    </w:p>
    <w:p w:rsidR="00812D16" w:rsidRPr="00D442F1" w:rsidP="00166894" w14:paraId="450DDA1A" w14:textId="77777777">
      <w:pPr>
        <w:keepNext/>
        <w:widowControl w:val="0"/>
        <w:tabs>
          <w:tab w:val="clear" w:pos="567"/>
        </w:tabs>
        <w:spacing w:line="240" w:lineRule="auto"/>
        <w:ind w:left="567" w:hanging="567"/>
        <w:outlineLvl w:val="0"/>
        <w:rPr>
          <w:b/>
          <w:noProof/>
          <w:szCs w:val="22"/>
        </w:rPr>
      </w:pPr>
      <w:r w:rsidRPr="00D442F1">
        <w:rPr>
          <w:b/>
          <w:noProof/>
          <w:szCs w:val="22"/>
        </w:rPr>
        <w:t>5.2</w:t>
      </w:r>
      <w:r w:rsidRPr="00D442F1">
        <w:rPr>
          <w:b/>
          <w:noProof/>
          <w:szCs w:val="22"/>
        </w:rPr>
        <w:tab/>
        <w:t>Pharmacokinetic properties</w:t>
      </w:r>
    </w:p>
    <w:p w:rsidR="00812D16" w:rsidRPr="00D442F1" w:rsidP="00166894" w14:paraId="3F74F089" w14:textId="77777777">
      <w:pPr>
        <w:keepNext/>
        <w:widowControl w:val="0"/>
        <w:tabs>
          <w:tab w:val="clear" w:pos="567"/>
        </w:tabs>
      </w:pPr>
    </w:p>
    <w:p w:rsidR="00633F7C" w:rsidRPr="00D442F1" w:rsidP="00166894" w14:paraId="043C907D" w14:textId="4F958DA4">
      <w:pPr>
        <w:widowControl w:val="0"/>
        <w:numPr>
          <w:ilvl w:val="12"/>
          <w:numId w:val="0"/>
        </w:numPr>
        <w:tabs>
          <w:tab w:val="clear" w:pos="567"/>
        </w:tabs>
        <w:spacing w:line="240" w:lineRule="auto"/>
        <w:ind w:right="-2"/>
        <w:rPr>
          <w:u w:val="single"/>
        </w:rPr>
      </w:pPr>
      <w:r w:rsidRPr="00D442F1">
        <w:t>Following infusion of Kymriah into paediatric and young adult r/r B</w:t>
      </w:r>
      <w:r w:rsidRPr="00D442F1" w:rsidR="00591100">
        <w:noBreakHyphen/>
      </w:r>
      <w:r w:rsidRPr="00D442F1">
        <w:t xml:space="preserve">cell ALL and r/r DLBCL patients, </w:t>
      </w:r>
      <w:r w:rsidRPr="00D442F1" w:rsidR="00EC7156">
        <w:t>tisagenlecleucel</w:t>
      </w:r>
      <w:r w:rsidRPr="00D442F1" w:rsidR="00452ABA">
        <w:t xml:space="preserve"> </w:t>
      </w:r>
      <w:r w:rsidRPr="00D442F1">
        <w:t>typically exhibited an initial rapid expansion followed by a slower bi</w:t>
      </w:r>
      <w:r w:rsidRPr="00D442F1" w:rsidR="00591100">
        <w:noBreakHyphen/>
      </w:r>
      <w:r w:rsidRPr="00D442F1">
        <w:t>exponential decline.</w:t>
      </w:r>
    </w:p>
    <w:p w:rsidR="00633F7C" w:rsidRPr="00D442F1" w:rsidP="00166894" w14:paraId="227FC149" w14:textId="77777777">
      <w:pPr>
        <w:widowControl w:val="0"/>
        <w:numPr>
          <w:ilvl w:val="12"/>
          <w:numId w:val="0"/>
        </w:numPr>
        <w:tabs>
          <w:tab w:val="clear" w:pos="567"/>
        </w:tabs>
        <w:spacing w:line="240" w:lineRule="auto"/>
        <w:ind w:right="-2"/>
        <w:rPr>
          <w:u w:val="single"/>
        </w:rPr>
      </w:pPr>
    </w:p>
    <w:p w:rsidR="00425F32" w:rsidRPr="00D442F1" w:rsidP="00166894" w14:paraId="1A26D800" w14:textId="77777777">
      <w:pPr>
        <w:keepNext/>
        <w:widowControl w:val="0"/>
        <w:numPr>
          <w:ilvl w:val="12"/>
          <w:numId w:val="0"/>
        </w:numPr>
        <w:tabs>
          <w:tab w:val="clear" w:pos="567"/>
        </w:tabs>
        <w:spacing w:line="240" w:lineRule="auto"/>
        <w:rPr>
          <w:u w:val="single"/>
        </w:rPr>
      </w:pPr>
      <w:r w:rsidRPr="00D442F1">
        <w:rPr>
          <w:u w:val="single"/>
        </w:rPr>
        <w:t>Cellular kinetics</w:t>
      </w:r>
      <w:r w:rsidRPr="00D442F1" w:rsidR="00692CE3">
        <w:rPr>
          <w:u w:val="single"/>
        </w:rPr>
        <w:t xml:space="preserve"> in p</w:t>
      </w:r>
      <w:r w:rsidRPr="00D442F1" w:rsidR="002C35B9">
        <w:rPr>
          <w:u w:val="single"/>
        </w:rPr>
        <w:t>a</w:t>
      </w:r>
      <w:r w:rsidRPr="00D442F1" w:rsidR="00692CE3">
        <w:rPr>
          <w:u w:val="single"/>
        </w:rPr>
        <w:t>ediatric and young adult B</w:t>
      </w:r>
      <w:r w:rsidRPr="00D442F1" w:rsidR="00591100">
        <w:rPr>
          <w:u w:val="single"/>
        </w:rPr>
        <w:noBreakHyphen/>
      </w:r>
      <w:r w:rsidRPr="00D442F1" w:rsidR="00692CE3">
        <w:rPr>
          <w:u w:val="single"/>
        </w:rPr>
        <w:t>cell ALL patients</w:t>
      </w:r>
    </w:p>
    <w:p w:rsidR="00D179C6" w:rsidRPr="00D442F1" w:rsidP="00166894" w14:paraId="5F39409B" w14:textId="77777777">
      <w:pPr>
        <w:keepNext/>
        <w:widowControl w:val="0"/>
        <w:tabs>
          <w:tab w:val="clear" w:pos="567"/>
        </w:tabs>
        <w:spacing w:line="240" w:lineRule="auto"/>
        <w:outlineLvl w:val="0"/>
        <w:rPr>
          <w:szCs w:val="22"/>
        </w:rPr>
      </w:pPr>
    </w:p>
    <w:p w:rsidR="00930C40" w:rsidRPr="00D442F1" w:rsidP="00930C40" w14:paraId="315F91A9" w14:textId="7EEB7BA4">
      <w:pPr>
        <w:widowControl w:val="0"/>
        <w:numPr>
          <w:ilvl w:val="12"/>
          <w:numId w:val="0"/>
        </w:numPr>
        <w:tabs>
          <w:tab w:val="clear" w:pos="567"/>
        </w:tabs>
        <w:spacing w:line="240" w:lineRule="auto"/>
        <w:ind w:right="-2"/>
      </w:pPr>
      <w:r w:rsidRPr="00D442F1">
        <w:t xml:space="preserve">A summary of cellular kinetic parameters of tisagenlecleucel </w:t>
      </w:r>
      <w:r w:rsidRPr="00D442F1" w:rsidR="00495EEE">
        <w:t>in paediatric and young adult B</w:t>
      </w:r>
      <w:r w:rsidRPr="00D442F1" w:rsidR="00495EEE">
        <w:noBreakHyphen/>
        <w:t xml:space="preserve">cell ALL patients </w:t>
      </w:r>
      <w:r w:rsidRPr="00D442F1" w:rsidR="00B22520">
        <w:t>is</w:t>
      </w:r>
      <w:r w:rsidRPr="00D442F1" w:rsidR="00D179C6">
        <w:t xml:space="preserve"> provided in Table </w:t>
      </w:r>
      <w:r w:rsidRPr="00D442F1" w:rsidR="002B6717">
        <w:t>7</w:t>
      </w:r>
      <w:r w:rsidRPr="00D442F1">
        <w:t xml:space="preserve"> below. The maximal expansion (C</w:t>
      </w:r>
      <w:r w:rsidRPr="00D442F1">
        <w:rPr>
          <w:vertAlign w:val="subscript"/>
        </w:rPr>
        <w:t>max</w:t>
      </w:r>
      <w:r w:rsidRPr="00D442F1">
        <w:t xml:space="preserve">) was approximately </w:t>
      </w:r>
      <w:r w:rsidRPr="00D442F1" w:rsidR="00AC057C">
        <w:t>1.6</w:t>
      </w:r>
      <w:r w:rsidRPr="00D442F1" w:rsidR="00591100">
        <w:noBreakHyphen/>
      </w:r>
      <w:r w:rsidRPr="00D442F1">
        <w:t>fold higher in CR/CRi patients (n=</w:t>
      </w:r>
      <w:r w:rsidRPr="00D442F1" w:rsidR="00A526C4">
        <w:t>10</w:t>
      </w:r>
      <w:r w:rsidRPr="00D442F1" w:rsidR="00CA287A">
        <w:t>3</w:t>
      </w:r>
      <w:r w:rsidRPr="00D442F1">
        <w:t>) compared with non</w:t>
      </w:r>
      <w:r w:rsidRPr="00D442F1" w:rsidR="00591100">
        <w:noBreakHyphen/>
      </w:r>
      <w:r w:rsidRPr="00D442F1">
        <w:t>responding (NR) patients (n=</w:t>
      </w:r>
      <w:r w:rsidRPr="00D442F1" w:rsidR="00343688">
        <w:t>10</w:t>
      </w:r>
      <w:r w:rsidRPr="00D442F1">
        <w:t>) as measured by qPCR.</w:t>
      </w:r>
      <w:r w:rsidRPr="00D442F1" w:rsidR="00C0668C">
        <w:t xml:space="preserve"> </w:t>
      </w:r>
      <w:r w:rsidRPr="00D442F1">
        <w:t>Delayed and lower expansion was observed in NR</w:t>
      </w:r>
      <w:r w:rsidRPr="00D442F1" w:rsidR="003B0807">
        <w:t xml:space="preserve"> </w:t>
      </w:r>
      <w:r w:rsidRPr="00D442F1">
        <w:t>patients compared to CR/C</w:t>
      </w:r>
      <w:r w:rsidRPr="00D442F1" w:rsidR="003943A0">
        <w:t>R</w:t>
      </w:r>
      <w:r w:rsidRPr="00D442F1">
        <w:t>i</w:t>
      </w:r>
      <w:r w:rsidRPr="00D442F1" w:rsidR="003B0807">
        <w:t xml:space="preserve"> </w:t>
      </w:r>
      <w:r w:rsidRPr="00D442F1">
        <w:t>patients.</w:t>
      </w:r>
    </w:p>
    <w:p w:rsidR="00AB09C9" w:rsidRPr="00D442F1" w:rsidP="00166894" w14:paraId="1A6766D5" w14:textId="77777777">
      <w:pPr>
        <w:widowControl w:val="0"/>
        <w:numPr>
          <w:ilvl w:val="12"/>
          <w:numId w:val="0"/>
        </w:numPr>
        <w:tabs>
          <w:tab w:val="clear" w:pos="567"/>
        </w:tabs>
        <w:spacing w:line="240" w:lineRule="auto"/>
        <w:ind w:right="-2"/>
        <w:rPr>
          <w:u w:val="single"/>
        </w:rPr>
      </w:pPr>
    </w:p>
    <w:p w:rsidR="00633F7C" w:rsidRPr="00D442F1" w:rsidP="00166894" w14:paraId="0BE0BE2B" w14:textId="77777777">
      <w:pPr>
        <w:pStyle w:val="Heading6"/>
        <w:widowControl w:val="0"/>
        <w:spacing w:before="0" w:after="0"/>
        <w:ind w:left="1134" w:hanging="1134"/>
        <w:rPr>
          <w:rFonts w:ascii="Times New Roman" w:hAnsi="Times New Roman" w:cs="Times New Roman"/>
          <w:lang w:val="en-GB"/>
        </w:rPr>
      </w:pPr>
      <w:bookmarkStart w:id="5" w:name="_Toc491696953"/>
      <w:r w:rsidRPr="00D442F1">
        <w:rPr>
          <w:rFonts w:ascii="Times New Roman" w:hAnsi="Times New Roman" w:cs="Times New Roman"/>
          <w:lang w:val="en-GB"/>
        </w:rPr>
        <w:t>Table </w:t>
      </w:r>
      <w:r w:rsidRPr="00D442F1" w:rsidR="002B6717">
        <w:rPr>
          <w:rFonts w:ascii="Times New Roman" w:hAnsi="Times New Roman" w:cs="Times New Roman"/>
          <w:lang w:val="en-GB"/>
        </w:rPr>
        <w:t>7</w:t>
      </w:r>
      <w:r w:rsidRPr="00D442F1">
        <w:rPr>
          <w:rFonts w:ascii="Times New Roman" w:hAnsi="Times New Roman" w:cs="Times New Roman"/>
          <w:lang w:val="en-GB"/>
        </w:rPr>
        <w:tab/>
        <w:t>Cellular kinetic parameters of tisagenlecleucel in paediatric and young adult r/r B</w:t>
      </w:r>
      <w:r w:rsidRPr="00D442F1" w:rsidR="00591100">
        <w:rPr>
          <w:rFonts w:ascii="Times New Roman" w:hAnsi="Times New Roman" w:cs="Times New Roman"/>
          <w:lang w:val="en-GB"/>
        </w:rPr>
        <w:noBreakHyphen/>
      </w:r>
      <w:r w:rsidRPr="00D442F1">
        <w:rPr>
          <w:rFonts w:ascii="Times New Roman" w:hAnsi="Times New Roman" w:cs="Times New Roman"/>
          <w:lang w:val="en-GB"/>
        </w:rPr>
        <w:t>cell ALL</w:t>
      </w:r>
      <w:bookmarkEnd w:id="5"/>
      <w:r w:rsidRPr="00D442F1" w:rsidR="00AB0B7F">
        <w:rPr>
          <w:rFonts w:ascii="Times New Roman" w:hAnsi="Times New Roman" w:cs="Times New Roman"/>
          <w:lang w:val="en-GB"/>
        </w:rPr>
        <w:t xml:space="preserve"> (</w:t>
      </w:r>
      <w:r w:rsidRPr="00D442F1" w:rsidR="001F4D0B">
        <w:rPr>
          <w:rFonts w:ascii="Times New Roman" w:hAnsi="Times New Roman" w:cs="Times New Roman"/>
          <w:lang w:val="en-GB"/>
        </w:rPr>
        <w:t xml:space="preserve">Studies </w:t>
      </w:r>
      <w:r w:rsidRPr="00D442F1" w:rsidR="00AB0B7F">
        <w:rPr>
          <w:rFonts w:ascii="Times New Roman" w:hAnsi="Times New Roman" w:cs="Times New Roman"/>
          <w:lang w:val="en-GB"/>
        </w:rPr>
        <w:t>B2202</w:t>
      </w:r>
      <w:r w:rsidRPr="00D442F1" w:rsidR="001F4D0B">
        <w:rPr>
          <w:rFonts w:ascii="Times New Roman" w:hAnsi="Times New Roman" w:cs="Times New Roman"/>
          <w:lang w:val="en-GB"/>
        </w:rPr>
        <w:t xml:space="preserve"> and</w:t>
      </w:r>
      <w:r w:rsidRPr="00D442F1" w:rsidR="00AB0B7F">
        <w:rPr>
          <w:rFonts w:ascii="Times New Roman" w:hAnsi="Times New Roman" w:cs="Times New Roman"/>
          <w:lang w:val="en-GB"/>
        </w:rPr>
        <w:t xml:space="preserve"> B2205J)</w:t>
      </w:r>
    </w:p>
    <w:p w:rsidR="00D179C6" w:rsidRPr="00D442F1" w:rsidP="00166894" w14:paraId="47EC215B" w14:textId="77777777">
      <w:pPr>
        <w:pStyle w:val="Text"/>
        <w:keepNext/>
        <w:keepLines/>
        <w:widowControl w:val="0"/>
        <w:spacing w:before="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2"/>
        <w:gridCol w:w="2179"/>
        <w:gridCol w:w="2250"/>
        <w:gridCol w:w="2290"/>
      </w:tblGrid>
      <w:tr w14:paraId="11269D75" w14:textId="77777777" w:rsidTr="005160B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390" w:type="dxa"/>
            <w:shd w:val="clear" w:color="auto" w:fill="auto"/>
          </w:tcPr>
          <w:p w:rsidR="004C732F" w:rsidRPr="00D442F1" w:rsidP="00166894" w14:paraId="48C88091" w14:textId="77777777">
            <w:pPr>
              <w:pStyle w:val="CommentText"/>
              <w:keepNext/>
              <w:keepLines/>
              <w:widowControl w:val="0"/>
              <w:spacing w:line="240" w:lineRule="auto"/>
              <w:rPr>
                <w:iCs/>
                <w:sz w:val="22"/>
                <w:szCs w:val="22"/>
              </w:rPr>
            </w:pPr>
            <w:r w:rsidRPr="00D442F1">
              <w:rPr>
                <w:iCs/>
                <w:sz w:val="22"/>
                <w:szCs w:val="22"/>
              </w:rPr>
              <w:t>Parameter</w:t>
            </w:r>
          </w:p>
        </w:tc>
        <w:tc>
          <w:tcPr>
            <w:tcW w:w="2246" w:type="dxa"/>
            <w:shd w:val="clear" w:color="auto" w:fill="auto"/>
          </w:tcPr>
          <w:p w:rsidR="004C732F" w:rsidRPr="00D442F1" w:rsidP="00166894" w14:paraId="4EF912B7" w14:textId="77777777">
            <w:pPr>
              <w:pStyle w:val="CommentText"/>
              <w:keepNext/>
              <w:keepLines/>
              <w:widowControl w:val="0"/>
              <w:spacing w:line="240" w:lineRule="auto"/>
              <w:rPr>
                <w:iCs/>
                <w:sz w:val="22"/>
                <w:szCs w:val="22"/>
              </w:rPr>
            </w:pPr>
            <w:r w:rsidRPr="00D442F1">
              <w:rPr>
                <w:iCs/>
                <w:sz w:val="22"/>
                <w:szCs w:val="22"/>
              </w:rPr>
              <w:t xml:space="preserve">Summary </w:t>
            </w:r>
            <w:r w:rsidRPr="00D442F1" w:rsidR="006C0303">
              <w:rPr>
                <w:iCs/>
                <w:sz w:val="22"/>
                <w:szCs w:val="22"/>
              </w:rPr>
              <w:t>s</w:t>
            </w:r>
            <w:r w:rsidRPr="00D442F1">
              <w:rPr>
                <w:iCs/>
                <w:sz w:val="22"/>
                <w:szCs w:val="22"/>
              </w:rPr>
              <w:t>tatistics</w:t>
            </w:r>
          </w:p>
        </w:tc>
        <w:tc>
          <w:tcPr>
            <w:tcW w:w="2317" w:type="dxa"/>
            <w:shd w:val="clear" w:color="auto" w:fill="auto"/>
          </w:tcPr>
          <w:p w:rsidR="004C732F" w:rsidRPr="00D442F1" w:rsidP="00166894" w14:paraId="444FE0BB" w14:textId="77777777">
            <w:pPr>
              <w:pStyle w:val="CommentText"/>
              <w:keepNext/>
              <w:keepLines/>
              <w:widowControl w:val="0"/>
              <w:spacing w:line="240" w:lineRule="auto"/>
              <w:rPr>
                <w:iCs/>
                <w:sz w:val="22"/>
                <w:szCs w:val="22"/>
              </w:rPr>
            </w:pPr>
            <w:r w:rsidRPr="00D442F1">
              <w:rPr>
                <w:iCs/>
                <w:sz w:val="22"/>
                <w:szCs w:val="22"/>
              </w:rPr>
              <w:t xml:space="preserve">Responding </w:t>
            </w:r>
            <w:r w:rsidRPr="00D442F1" w:rsidR="006C0303">
              <w:rPr>
                <w:iCs/>
                <w:sz w:val="22"/>
                <w:szCs w:val="22"/>
              </w:rPr>
              <w:t>p</w:t>
            </w:r>
            <w:r w:rsidRPr="00D442F1">
              <w:rPr>
                <w:iCs/>
                <w:sz w:val="22"/>
                <w:szCs w:val="22"/>
              </w:rPr>
              <w:t>atients</w:t>
            </w:r>
            <w:r w:rsidRPr="00D442F1" w:rsidR="00797125">
              <w:rPr>
                <w:iCs/>
                <w:sz w:val="22"/>
                <w:szCs w:val="22"/>
              </w:rPr>
              <w:t xml:space="preserve"> (CR/CRi)</w:t>
            </w:r>
          </w:p>
          <w:p w:rsidR="004C732F" w:rsidRPr="00D442F1" w:rsidP="00C0668C" w14:paraId="476D2F23" w14:textId="2AF3445B">
            <w:pPr>
              <w:pStyle w:val="CommentText"/>
              <w:keepNext/>
              <w:keepLines/>
              <w:widowControl w:val="0"/>
              <w:spacing w:line="240" w:lineRule="auto"/>
              <w:rPr>
                <w:iCs/>
                <w:sz w:val="22"/>
                <w:szCs w:val="22"/>
              </w:rPr>
            </w:pPr>
            <w:r w:rsidRPr="00D442F1">
              <w:rPr>
                <w:iCs/>
                <w:sz w:val="22"/>
                <w:szCs w:val="22"/>
              </w:rPr>
              <w:t>N</w:t>
            </w:r>
            <w:r w:rsidRPr="00D442F1">
              <w:rPr>
                <w:iCs/>
                <w:sz w:val="22"/>
                <w:szCs w:val="22"/>
              </w:rPr>
              <w:t>=</w:t>
            </w:r>
            <w:r w:rsidRPr="00D442F1" w:rsidR="00C0668C">
              <w:rPr>
                <w:iCs/>
                <w:sz w:val="22"/>
                <w:szCs w:val="22"/>
              </w:rPr>
              <w:t>105</w:t>
            </w:r>
          </w:p>
        </w:tc>
        <w:tc>
          <w:tcPr>
            <w:tcW w:w="2334" w:type="dxa"/>
            <w:shd w:val="clear" w:color="auto" w:fill="auto"/>
          </w:tcPr>
          <w:p w:rsidR="004C732F" w:rsidRPr="00D442F1" w:rsidP="00166894" w14:paraId="42B63D50" w14:textId="77777777">
            <w:pPr>
              <w:pStyle w:val="CommentText"/>
              <w:keepNext/>
              <w:keepLines/>
              <w:widowControl w:val="0"/>
              <w:spacing w:line="240" w:lineRule="auto"/>
              <w:rPr>
                <w:iCs/>
                <w:sz w:val="22"/>
                <w:szCs w:val="22"/>
              </w:rPr>
            </w:pPr>
            <w:r w:rsidRPr="00D442F1">
              <w:rPr>
                <w:iCs/>
                <w:sz w:val="22"/>
                <w:szCs w:val="22"/>
              </w:rPr>
              <w:t>Non</w:t>
            </w:r>
            <w:r w:rsidRPr="00D442F1" w:rsidR="00591100">
              <w:rPr>
                <w:iCs/>
                <w:sz w:val="22"/>
                <w:szCs w:val="22"/>
              </w:rPr>
              <w:noBreakHyphen/>
            </w:r>
            <w:r w:rsidRPr="00D442F1" w:rsidR="006C0303">
              <w:rPr>
                <w:iCs/>
                <w:sz w:val="22"/>
                <w:szCs w:val="22"/>
              </w:rPr>
              <w:t>r</w:t>
            </w:r>
            <w:r w:rsidRPr="00D442F1">
              <w:rPr>
                <w:iCs/>
                <w:sz w:val="22"/>
                <w:szCs w:val="22"/>
              </w:rPr>
              <w:t xml:space="preserve">esponding </w:t>
            </w:r>
            <w:r w:rsidRPr="00D442F1" w:rsidR="006C0303">
              <w:rPr>
                <w:iCs/>
                <w:sz w:val="22"/>
                <w:szCs w:val="22"/>
              </w:rPr>
              <w:t>p</w:t>
            </w:r>
            <w:r w:rsidRPr="00D442F1">
              <w:rPr>
                <w:iCs/>
                <w:sz w:val="22"/>
                <w:szCs w:val="22"/>
              </w:rPr>
              <w:t>atients</w:t>
            </w:r>
            <w:r w:rsidRPr="00D442F1" w:rsidR="00797125">
              <w:rPr>
                <w:iCs/>
                <w:sz w:val="22"/>
                <w:szCs w:val="22"/>
              </w:rPr>
              <w:t xml:space="preserve"> (NR)</w:t>
            </w:r>
          </w:p>
          <w:p w:rsidR="004C732F" w:rsidRPr="00D442F1" w:rsidP="00C0668C" w14:paraId="645AF99B" w14:textId="5192219D">
            <w:pPr>
              <w:pStyle w:val="CommentText"/>
              <w:keepNext/>
              <w:keepLines/>
              <w:widowControl w:val="0"/>
              <w:spacing w:line="240" w:lineRule="auto"/>
              <w:rPr>
                <w:iCs/>
                <w:sz w:val="22"/>
                <w:szCs w:val="22"/>
              </w:rPr>
            </w:pPr>
            <w:r w:rsidRPr="00D442F1">
              <w:rPr>
                <w:iCs/>
                <w:color w:val="000000" w:themeColor="text1"/>
                <w:sz w:val="22"/>
                <w:szCs w:val="22"/>
              </w:rPr>
              <w:t>N</w:t>
            </w:r>
            <w:r w:rsidRPr="00D442F1">
              <w:rPr>
                <w:iCs/>
                <w:sz w:val="22"/>
                <w:szCs w:val="22"/>
              </w:rPr>
              <w:t>=</w:t>
            </w:r>
            <w:r w:rsidRPr="00D442F1" w:rsidR="00C0668C">
              <w:rPr>
                <w:iCs/>
                <w:sz w:val="22"/>
                <w:szCs w:val="22"/>
              </w:rPr>
              <w:t>12</w:t>
            </w:r>
          </w:p>
        </w:tc>
      </w:tr>
      <w:tr w14:paraId="0CD5A8D5" w14:textId="77777777" w:rsidTr="005160BE">
        <w:tblPrEx>
          <w:tblW w:w="0" w:type="auto"/>
          <w:tblLook w:val="04A0"/>
        </w:tblPrEx>
        <w:tc>
          <w:tcPr>
            <w:tcW w:w="2390" w:type="dxa"/>
            <w:shd w:val="clear" w:color="auto" w:fill="auto"/>
          </w:tcPr>
          <w:p w:rsidR="004C732F" w:rsidRPr="00D442F1" w:rsidP="00166894" w14:paraId="1173456F" w14:textId="77777777">
            <w:pPr>
              <w:pStyle w:val="CommentText"/>
              <w:keepNext/>
              <w:keepLines/>
              <w:widowControl w:val="0"/>
              <w:spacing w:line="240" w:lineRule="auto"/>
              <w:rPr>
                <w:iCs/>
                <w:sz w:val="22"/>
                <w:szCs w:val="22"/>
              </w:rPr>
            </w:pPr>
            <w:r w:rsidRPr="00D442F1">
              <w:rPr>
                <w:iCs/>
                <w:sz w:val="22"/>
                <w:szCs w:val="22"/>
              </w:rPr>
              <w:t>C</w:t>
            </w:r>
            <w:r w:rsidRPr="00D442F1">
              <w:rPr>
                <w:iCs/>
                <w:sz w:val="22"/>
                <w:szCs w:val="22"/>
                <w:vertAlign w:val="subscript"/>
              </w:rPr>
              <w:t>max</w:t>
            </w:r>
            <w:r w:rsidRPr="00D442F1">
              <w:rPr>
                <w:iCs/>
                <w:sz w:val="22"/>
                <w:szCs w:val="22"/>
              </w:rPr>
              <w:t xml:space="preserve"> (copies/</w:t>
            </w:r>
            <w:r w:rsidRPr="00D442F1">
              <w:rPr>
                <w:rStyle w:val="st1"/>
                <w:color w:val="545454"/>
                <w:sz w:val="22"/>
                <w:szCs w:val="22"/>
              </w:rPr>
              <w:t>μ</w:t>
            </w:r>
            <w:r w:rsidRPr="00D442F1">
              <w:rPr>
                <w:iCs/>
                <w:sz w:val="22"/>
                <w:szCs w:val="22"/>
              </w:rPr>
              <w:t>g)</w:t>
            </w:r>
          </w:p>
        </w:tc>
        <w:tc>
          <w:tcPr>
            <w:tcW w:w="2246" w:type="dxa"/>
            <w:shd w:val="clear" w:color="auto" w:fill="auto"/>
          </w:tcPr>
          <w:p w:rsidR="004C732F" w:rsidRPr="00D442F1" w:rsidP="00166894" w14:paraId="0E3B6215" w14:textId="77777777">
            <w:pPr>
              <w:pStyle w:val="CommentText"/>
              <w:keepNext/>
              <w:keepLines/>
              <w:widowControl w:val="0"/>
              <w:spacing w:line="240" w:lineRule="auto"/>
              <w:rPr>
                <w:iCs/>
                <w:sz w:val="22"/>
                <w:szCs w:val="22"/>
              </w:rPr>
            </w:pPr>
            <w:r w:rsidRPr="00D442F1">
              <w:rPr>
                <w:iCs/>
                <w:sz w:val="22"/>
                <w:szCs w:val="22"/>
              </w:rPr>
              <w:t>Geometric mean (CV%),</w:t>
            </w:r>
            <w:r w:rsidRPr="00D442F1" w:rsidR="008A0185">
              <w:rPr>
                <w:iCs/>
                <w:sz w:val="22"/>
                <w:szCs w:val="22"/>
              </w:rPr>
              <w:t xml:space="preserve"> </w:t>
            </w:r>
            <w:r w:rsidRPr="00D442F1">
              <w:rPr>
                <w:iCs/>
                <w:sz w:val="22"/>
                <w:szCs w:val="22"/>
              </w:rPr>
              <w:t>n</w:t>
            </w:r>
          </w:p>
        </w:tc>
        <w:tc>
          <w:tcPr>
            <w:tcW w:w="2317" w:type="dxa"/>
            <w:shd w:val="clear" w:color="auto" w:fill="auto"/>
          </w:tcPr>
          <w:p w:rsidR="004C732F" w:rsidRPr="00D442F1" w:rsidP="00C0668C" w14:paraId="172E804B" w14:textId="61F20511">
            <w:pPr>
              <w:pStyle w:val="CommentText"/>
              <w:keepNext/>
              <w:keepLines/>
              <w:widowControl w:val="0"/>
              <w:spacing w:line="240" w:lineRule="auto"/>
              <w:rPr>
                <w:iCs/>
                <w:sz w:val="22"/>
                <w:szCs w:val="22"/>
              </w:rPr>
            </w:pPr>
            <w:r w:rsidRPr="00D442F1">
              <w:rPr>
                <w:iCs/>
                <w:sz w:val="22"/>
                <w:szCs w:val="22"/>
              </w:rPr>
              <w:t>35</w:t>
            </w:r>
            <w:r w:rsidRPr="00D442F1">
              <w:rPr>
                <w:iCs/>
                <w:sz w:val="22"/>
                <w:szCs w:val="22"/>
              </w:rPr>
              <w:t>,</w:t>
            </w:r>
            <w:r w:rsidRPr="00D442F1">
              <w:rPr>
                <w:iCs/>
                <w:sz w:val="22"/>
                <w:szCs w:val="22"/>
              </w:rPr>
              <w:t xml:space="preserve">300 </w:t>
            </w:r>
            <w:r w:rsidRPr="00D442F1">
              <w:rPr>
                <w:iCs/>
                <w:sz w:val="22"/>
                <w:szCs w:val="22"/>
              </w:rPr>
              <w:t>(</w:t>
            </w:r>
            <w:r w:rsidRPr="00D442F1">
              <w:rPr>
                <w:iCs/>
                <w:sz w:val="22"/>
                <w:szCs w:val="22"/>
              </w:rPr>
              <w:t>154.0</w:t>
            </w:r>
            <w:r w:rsidRPr="00D442F1">
              <w:rPr>
                <w:iCs/>
                <w:sz w:val="22"/>
                <w:szCs w:val="22"/>
              </w:rPr>
              <w:t xml:space="preserve">), </w:t>
            </w:r>
            <w:r w:rsidRPr="00D442F1">
              <w:rPr>
                <w:iCs/>
                <w:sz w:val="22"/>
                <w:szCs w:val="22"/>
              </w:rPr>
              <w:t>103</w:t>
            </w:r>
          </w:p>
        </w:tc>
        <w:tc>
          <w:tcPr>
            <w:tcW w:w="2334" w:type="dxa"/>
            <w:shd w:val="clear" w:color="auto" w:fill="auto"/>
          </w:tcPr>
          <w:p w:rsidR="004C732F" w:rsidRPr="00D442F1" w:rsidP="00C0668C" w14:paraId="6DFC8DB7" w14:textId="0915DF67">
            <w:pPr>
              <w:pStyle w:val="CommentText"/>
              <w:keepNext/>
              <w:keepLines/>
              <w:widowControl w:val="0"/>
              <w:spacing w:line="240" w:lineRule="auto"/>
              <w:rPr>
                <w:iCs/>
                <w:sz w:val="22"/>
                <w:szCs w:val="22"/>
              </w:rPr>
            </w:pPr>
            <w:r w:rsidRPr="00D442F1">
              <w:rPr>
                <w:iCs/>
                <w:sz w:val="22"/>
                <w:szCs w:val="22"/>
              </w:rPr>
              <w:t>21,900</w:t>
            </w:r>
            <w:r w:rsidRPr="00D442F1">
              <w:rPr>
                <w:iCs/>
                <w:sz w:val="22"/>
                <w:szCs w:val="22"/>
              </w:rPr>
              <w:t xml:space="preserve"> (</w:t>
            </w:r>
            <w:r w:rsidRPr="00D442F1">
              <w:rPr>
                <w:iCs/>
                <w:sz w:val="22"/>
                <w:szCs w:val="22"/>
              </w:rPr>
              <w:t>80.7</w:t>
            </w:r>
            <w:r w:rsidRPr="00D442F1">
              <w:rPr>
                <w:iCs/>
                <w:sz w:val="22"/>
                <w:szCs w:val="22"/>
              </w:rPr>
              <w:t>), 10</w:t>
            </w:r>
          </w:p>
        </w:tc>
      </w:tr>
      <w:tr w14:paraId="182CAD75" w14:textId="77777777" w:rsidTr="005160BE">
        <w:tblPrEx>
          <w:tblW w:w="0" w:type="auto"/>
          <w:tblLook w:val="04A0"/>
        </w:tblPrEx>
        <w:tc>
          <w:tcPr>
            <w:tcW w:w="2390" w:type="dxa"/>
            <w:shd w:val="clear" w:color="auto" w:fill="auto"/>
          </w:tcPr>
          <w:p w:rsidR="004C732F" w:rsidRPr="00D442F1" w:rsidP="00166894" w14:paraId="7BBAB6E3" w14:textId="77777777">
            <w:pPr>
              <w:pStyle w:val="CommentText"/>
              <w:keepNext/>
              <w:keepLines/>
              <w:widowControl w:val="0"/>
              <w:spacing w:line="240" w:lineRule="auto"/>
              <w:rPr>
                <w:iCs/>
                <w:sz w:val="22"/>
                <w:szCs w:val="22"/>
              </w:rPr>
            </w:pPr>
            <w:r w:rsidRPr="00D442F1">
              <w:rPr>
                <w:iCs/>
                <w:sz w:val="22"/>
                <w:szCs w:val="22"/>
              </w:rPr>
              <w:t>T</w:t>
            </w:r>
            <w:r w:rsidRPr="00D442F1">
              <w:rPr>
                <w:iCs/>
                <w:sz w:val="22"/>
                <w:szCs w:val="22"/>
                <w:vertAlign w:val="subscript"/>
              </w:rPr>
              <w:t>max</w:t>
            </w:r>
            <w:r w:rsidRPr="00D442F1">
              <w:rPr>
                <w:iCs/>
                <w:sz w:val="22"/>
                <w:szCs w:val="22"/>
                <w:vertAlign w:val="superscript"/>
              </w:rPr>
              <w:t>‡</w:t>
            </w:r>
            <w:r w:rsidRPr="00D442F1">
              <w:rPr>
                <w:iCs/>
                <w:sz w:val="22"/>
                <w:szCs w:val="22"/>
              </w:rPr>
              <w:t xml:space="preserve"> (day)</w:t>
            </w:r>
          </w:p>
        </w:tc>
        <w:tc>
          <w:tcPr>
            <w:tcW w:w="2246" w:type="dxa"/>
            <w:shd w:val="clear" w:color="auto" w:fill="auto"/>
          </w:tcPr>
          <w:p w:rsidR="004C732F" w:rsidRPr="00D442F1" w:rsidP="00166894" w14:paraId="4507158E" w14:textId="77777777">
            <w:pPr>
              <w:pStyle w:val="CommentText"/>
              <w:keepNext/>
              <w:keepLines/>
              <w:widowControl w:val="0"/>
              <w:spacing w:line="240" w:lineRule="auto"/>
              <w:rPr>
                <w:iCs/>
                <w:sz w:val="22"/>
                <w:szCs w:val="22"/>
              </w:rPr>
            </w:pPr>
            <w:r w:rsidRPr="00D442F1">
              <w:rPr>
                <w:iCs/>
                <w:sz w:val="22"/>
                <w:szCs w:val="22"/>
              </w:rPr>
              <w:t>Median [min;max], n</w:t>
            </w:r>
          </w:p>
        </w:tc>
        <w:tc>
          <w:tcPr>
            <w:tcW w:w="2317" w:type="dxa"/>
            <w:shd w:val="clear" w:color="auto" w:fill="auto"/>
          </w:tcPr>
          <w:p w:rsidR="004C732F" w:rsidRPr="00D442F1" w:rsidP="00C0668C" w14:paraId="3BD2C26D" w14:textId="4C92B939">
            <w:pPr>
              <w:pStyle w:val="CommentText"/>
              <w:keepNext/>
              <w:keepLines/>
              <w:widowControl w:val="0"/>
              <w:spacing w:line="240" w:lineRule="auto"/>
              <w:rPr>
                <w:iCs/>
                <w:sz w:val="22"/>
                <w:szCs w:val="22"/>
              </w:rPr>
            </w:pPr>
            <w:r w:rsidRPr="00D442F1">
              <w:rPr>
                <w:iCs/>
                <w:sz w:val="22"/>
                <w:szCs w:val="22"/>
              </w:rPr>
              <w:t>9.83 [</w:t>
            </w:r>
            <w:r w:rsidRPr="00D442F1" w:rsidR="00C0668C">
              <w:rPr>
                <w:iCs/>
                <w:sz w:val="22"/>
                <w:szCs w:val="22"/>
              </w:rPr>
              <w:t>5.70</w:t>
            </w:r>
            <w:r w:rsidRPr="00D442F1">
              <w:rPr>
                <w:iCs/>
                <w:sz w:val="22"/>
                <w:szCs w:val="22"/>
              </w:rPr>
              <w:t>;</w:t>
            </w:r>
            <w:r w:rsidRPr="00D442F1" w:rsidR="00A926B2">
              <w:rPr>
                <w:iCs/>
                <w:sz w:val="22"/>
                <w:szCs w:val="22"/>
              </w:rPr>
              <w:t xml:space="preserve"> </w:t>
            </w:r>
            <w:r w:rsidRPr="00D442F1">
              <w:rPr>
                <w:iCs/>
                <w:sz w:val="22"/>
                <w:szCs w:val="22"/>
              </w:rPr>
              <w:t xml:space="preserve">27.8], </w:t>
            </w:r>
            <w:r w:rsidRPr="00D442F1" w:rsidR="00C0668C">
              <w:rPr>
                <w:iCs/>
                <w:sz w:val="22"/>
                <w:szCs w:val="22"/>
              </w:rPr>
              <w:t>103</w:t>
            </w:r>
          </w:p>
        </w:tc>
        <w:tc>
          <w:tcPr>
            <w:tcW w:w="2334" w:type="dxa"/>
            <w:shd w:val="clear" w:color="auto" w:fill="auto"/>
          </w:tcPr>
          <w:p w:rsidR="004C732F" w:rsidRPr="00D442F1" w:rsidP="00C0668C" w14:paraId="1F79A146" w14:textId="16B86AD8">
            <w:pPr>
              <w:pStyle w:val="CommentText"/>
              <w:keepNext/>
              <w:keepLines/>
              <w:widowControl w:val="0"/>
              <w:spacing w:line="240" w:lineRule="auto"/>
              <w:rPr>
                <w:iCs/>
                <w:sz w:val="22"/>
                <w:szCs w:val="22"/>
              </w:rPr>
            </w:pPr>
            <w:r w:rsidRPr="00D442F1">
              <w:rPr>
                <w:iCs/>
                <w:sz w:val="22"/>
                <w:szCs w:val="22"/>
              </w:rPr>
              <w:t>20.</w:t>
            </w:r>
            <w:r w:rsidRPr="00D442F1" w:rsidR="00C0668C">
              <w:rPr>
                <w:iCs/>
                <w:sz w:val="22"/>
                <w:szCs w:val="22"/>
              </w:rPr>
              <w:t xml:space="preserve">1 </w:t>
            </w:r>
            <w:r w:rsidRPr="00D442F1">
              <w:rPr>
                <w:iCs/>
                <w:sz w:val="22"/>
                <w:szCs w:val="22"/>
              </w:rPr>
              <w:t>[</w:t>
            </w:r>
            <w:r w:rsidRPr="00D442F1" w:rsidR="00C0668C">
              <w:rPr>
                <w:iCs/>
                <w:sz w:val="22"/>
                <w:szCs w:val="22"/>
              </w:rPr>
              <w:t>12.6</w:t>
            </w:r>
            <w:r w:rsidRPr="00D442F1">
              <w:rPr>
                <w:iCs/>
                <w:sz w:val="22"/>
                <w:szCs w:val="22"/>
              </w:rPr>
              <w:t>;</w:t>
            </w:r>
            <w:r w:rsidRPr="00D442F1" w:rsidR="00A926B2">
              <w:rPr>
                <w:iCs/>
                <w:sz w:val="22"/>
                <w:szCs w:val="22"/>
              </w:rPr>
              <w:t xml:space="preserve"> </w:t>
            </w:r>
            <w:r w:rsidRPr="00D442F1">
              <w:rPr>
                <w:iCs/>
                <w:sz w:val="22"/>
                <w:szCs w:val="22"/>
              </w:rPr>
              <w:t>62.7], 10</w:t>
            </w:r>
          </w:p>
        </w:tc>
      </w:tr>
      <w:tr w14:paraId="77BF8316" w14:textId="77777777" w:rsidTr="005160BE">
        <w:tblPrEx>
          <w:tblW w:w="0" w:type="auto"/>
          <w:tblLook w:val="04A0"/>
        </w:tblPrEx>
        <w:tc>
          <w:tcPr>
            <w:tcW w:w="2390" w:type="dxa"/>
            <w:shd w:val="clear" w:color="auto" w:fill="auto"/>
          </w:tcPr>
          <w:p w:rsidR="004C732F" w:rsidRPr="00D442F1" w:rsidP="00166894" w14:paraId="05072FBC" w14:textId="77777777">
            <w:pPr>
              <w:pStyle w:val="CommentText"/>
              <w:keepNext/>
              <w:keepLines/>
              <w:widowControl w:val="0"/>
              <w:spacing w:line="240" w:lineRule="auto"/>
              <w:rPr>
                <w:iCs/>
                <w:sz w:val="22"/>
                <w:szCs w:val="22"/>
              </w:rPr>
            </w:pPr>
            <w:r w:rsidRPr="00D442F1">
              <w:rPr>
                <w:iCs/>
                <w:sz w:val="22"/>
                <w:szCs w:val="22"/>
              </w:rPr>
              <w:t>AUC</w:t>
            </w:r>
            <w:r w:rsidRPr="00D442F1">
              <w:rPr>
                <w:iCs/>
                <w:sz w:val="22"/>
                <w:szCs w:val="22"/>
                <w:vertAlign w:val="subscript"/>
              </w:rPr>
              <w:t>0</w:t>
            </w:r>
            <w:r w:rsidRPr="00D442F1" w:rsidR="00591100">
              <w:rPr>
                <w:iCs/>
                <w:sz w:val="22"/>
                <w:szCs w:val="22"/>
                <w:vertAlign w:val="subscript"/>
              </w:rPr>
              <w:noBreakHyphen/>
            </w:r>
            <w:r w:rsidRPr="00D442F1">
              <w:rPr>
                <w:iCs/>
                <w:sz w:val="22"/>
                <w:szCs w:val="22"/>
                <w:vertAlign w:val="subscript"/>
              </w:rPr>
              <w:t xml:space="preserve">28d </w:t>
            </w:r>
            <w:r w:rsidRPr="00D442F1">
              <w:rPr>
                <w:iCs/>
                <w:sz w:val="22"/>
                <w:szCs w:val="22"/>
              </w:rPr>
              <w:t>(copies/</w:t>
            </w:r>
            <w:r w:rsidRPr="00D442F1">
              <w:rPr>
                <w:rStyle w:val="st1"/>
                <w:color w:val="545454"/>
                <w:sz w:val="22"/>
                <w:szCs w:val="22"/>
              </w:rPr>
              <w:t>μ</w:t>
            </w:r>
            <w:r w:rsidRPr="00D442F1">
              <w:rPr>
                <w:iCs/>
                <w:sz w:val="22"/>
                <w:szCs w:val="22"/>
              </w:rPr>
              <w:t>g*day)</w:t>
            </w:r>
          </w:p>
        </w:tc>
        <w:tc>
          <w:tcPr>
            <w:tcW w:w="2246" w:type="dxa"/>
            <w:shd w:val="clear" w:color="auto" w:fill="auto"/>
          </w:tcPr>
          <w:p w:rsidR="004C732F" w:rsidRPr="00D442F1" w:rsidP="00166894" w14:paraId="7FBEE4AF" w14:textId="77777777">
            <w:pPr>
              <w:pStyle w:val="CommentText"/>
              <w:keepNext/>
              <w:keepLines/>
              <w:widowControl w:val="0"/>
              <w:spacing w:line="240" w:lineRule="auto"/>
              <w:rPr>
                <w:iCs/>
                <w:sz w:val="22"/>
                <w:szCs w:val="22"/>
              </w:rPr>
            </w:pPr>
            <w:r w:rsidRPr="00D442F1">
              <w:rPr>
                <w:iCs/>
                <w:sz w:val="22"/>
                <w:szCs w:val="22"/>
              </w:rPr>
              <w:t>Geometric mean (CV%),</w:t>
            </w:r>
            <w:r w:rsidRPr="00D442F1" w:rsidR="008A0185">
              <w:rPr>
                <w:iCs/>
                <w:sz w:val="22"/>
                <w:szCs w:val="22"/>
              </w:rPr>
              <w:t xml:space="preserve"> </w:t>
            </w:r>
            <w:r w:rsidRPr="00D442F1">
              <w:rPr>
                <w:iCs/>
                <w:sz w:val="22"/>
                <w:szCs w:val="22"/>
              </w:rPr>
              <w:t>n</w:t>
            </w:r>
          </w:p>
        </w:tc>
        <w:tc>
          <w:tcPr>
            <w:tcW w:w="2317" w:type="dxa"/>
            <w:shd w:val="clear" w:color="auto" w:fill="auto"/>
          </w:tcPr>
          <w:p w:rsidR="004C732F" w:rsidRPr="00D442F1" w:rsidP="00C0668C" w14:paraId="5957FFEA" w14:textId="54346B6D">
            <w:pPr>
              <w:pStyle w:val="CommentText"/>
              <w:keepNext/>
              <w:keepLines/>
              <w:widowControl w:val="0"/>
              <w:spacing w:line="240" w:lineRule="auto"/>
              <w:rPr>
                <w:iCs/>
                <w:sz w:val="22"/>
                <w:szCs w:val="22"/>
              </w:rPr>
            </w:pPr>
            <w:r w:rsidRPr="00D442F1">
              <w:rPr>
                <w:iCs/>
                <w:sz w:val="22"/>
                <w:szCs w:val="22"/>
              </w:rPr>
              <w:t>309</w:t>
            </w:r>
            <w:r w:rsidRPr="00D442F1">
              <w:rPr>
                <w:iCs/>
                <w:sz w:val="22"/>
                <w:szCs w:val="22"/>
              </w:rPr>
              <w:t>,000 (</w:t>
            </w:r>
            <w:r w:rsidRPr="00D442F1">
              <w:rPr>
                <w:iCs/>
                <w:sz w:val="22"/>
                <w:szCs w:val="22"/>
              </w:rPr>
              <w:t>178.1</w:t>
            </w:r>
            <w:r w:rsidRPr="00D442F1">
              <w:rPr>
                <w:iCs/>
                <w:sz w:val="22"/>
                <w:szCs w:val="22"/>
              </w:rPr>
              <w:t xml:space="preserve">), </w:t>
            </w:r>
            <w:r w:rsidRPr="00D442F1">
              <w:rPr>
                <w:iCs/>
                <w:sz w:val="22"/>
                <w:szCs w:val="22"/>
              </w:rPr>
              <w:t>103</w:t>
            </w:r>
          </w:p>
        </w:tc>
        <w:tc>
          <w:tcPr>
            <w:tcW w:w="2334" w:type="dxa"/>
            <w:shd w:val="clear" w:color="auto" w:fill="auto"/>
          </w:tcPr>
          <w:p w:rsidR="004C732F" w:rsidRPr="00D442F1" w:rsidP="00C0668C" w14:paraId="2001950B" w14:textId="70A1BBCB">
            <w:pPr>
              <w:pStyle w:val="CommentText"/>
              <w:keepNext/>
              <w:keepLines/>
              <w:widowControl w:val="0"/>
              <w:spacing w:line="240" w:lineRule="auto"/>
              <w:rPr>
                <w:iCs/>
                <w:sz w:val="22"/>
                <w:szCs w:val="22"/>
              </w:rPr>
            </w:pPr>
            <w:r w:rsidRPr="00D442F1">
              <w:rPr>
                <w:iCs/>
                <w:sz w:val="22"/>
                <w:szCs w:val="22"/>
              </w:rPr>
              <w:t>232</w:t>
            </w:r>
            <w:r w:rsidRPr="00D442F1">
              <w:rPr>
                <w:iCs/>
                <w:sz w:val="22"/>
                <w:szCs w:val="22"/>
              </w:rPr>
              <w:t>,000 (</w:t>
            </w:r>
            <w:r w:rsidRPr="00D442F1">
              <w:rPr>
                <w:iCs/>
                <w:sz w:val="22"/>
                <w:szCs w:val="22"/>
              </w:rPr>
              <w:t>104.5</w:t>
            </w:r>
            <w:r w:rsidRPr="00D442F1">
              <w:rPr>
                <w:iCs/>
                <w:sz w:val="22"/>
                <w:szCs w:val="22"/>
              </w:rPr>
              <w:t>), 8</w:t>
            </w:r>
          </w:p>
        </w:tc>
      </w:tr>
      <w:tr w14:paraId="580B9177" w14:textId="77777777" w:rsidTr="005160BE">
        <w:tblPrEx>
          <w:tblW w:w="0" w:type="auto"/>
          <w:tblLook w:val="04A0"/>
        </w:tblPrEx>
        <w:tc>
          <w:tcPr>
            <w:tcW w:w="2390" w:type="dxa"/>
            <w:shd w:val="clear" w:color="auto" w:fill="auto"/>
          </w:tcPr>
          <w:p w:rsidR="004C732F" w:rsidRPr="00D442F1" w:rsidP="00166894" w14:paraId="0914D6C3" w14:textId="77777777">
            <w:pPr>
              <w:pStyle w:val="CommentText"/>
              <w:keepNext/>
              <w:keepLines/>
              <w:widowControl w:val="0"/>
              <w:spacing w:line="240" w:lineRule="auto"/>
              <w:rPr>
                <w:iCs/>
                <w:sz w:val="22"/>
                <w:szCs w:val="22"/>
              </w:rPr>
            </w:pPr>
            <w:r w:rsidRPr="00D442F1">
              <w:rPr>
                <w:iCs/>
                <w:sz w:val="22"/>
                <w:szCs w:val="22"/>
              </w:rPr>
              <w:t>T</w:t>
            </w:r>
            <w:r w:rsidRPr="00D442F1">
              <w:rPr>
                <w:iCs/>
                <w:sz w:val="22"/>
                <w:szCs w:val="22"/>
                <w:vertAlign w:val="subscript"/>
              </w:rPr>
              <w:t>½</w:t>
            </w:r>
            <w:r w:rsidRPr="00D442F1">
              <w:rPr>
                <w:iCs/>
                <w:sz w:val="22"/>
                <w:szCs w:val="22"/>
              </w:rPr>
              <w:t xml:space="preserve"> (day)</w:t>
            </w:r>
          </w:p>
        </w:tc>
        <w:tc>
          <w:tcPr>
            <w:tcW w:w="2246" w:type="dxa"/>
            <w:shd w:val="clear" w:color="auto" w:fill="auto"/>
          </w:tcPr>
          <w:p w:rsidR="004C732F" w:rsidRPr="00D442F1" w:rsidP="00166894" w14:paraId="7F7F9C60" w14:textId="77777777">
            <w:pPr>
              <w:pStyle w:val="CommentText"/>
              <w:keepNext/>
              <w:keepLines/>
              <w:widowControl w:val="0"/>
              <w:spacing w:line="240" w:lineRule="auto"/>
              <w:rPr>
                <w:iCs/>
                <w:sz w:val="22"/>
                <w:szCs w:val="22"/>
              </w:rPr>
            </w:pPr>
            <w:r w:rsidRPr="00D442F1">
              <w:rPr>
                <w:iCs/>
                <w:sz w:val="22"/>
                <w:szCs w:val="22"/>
              </w:rPr>
              <w:t>Geometric mean (CV%), n</w:t>
            </w:r>
          </w:p>
        </w:tc>
        <w:tc>
          <w:tcPr>
            <w:tcW w:w="2317" w:type="dxa"/>
            <w:shd w:val="clear" w:color="auto" w:fill="auto"/>
          </w:tcPr>
          <w:p w:rsidR="004C732F" w:rsidRPr="00D442F1" w:rsidP="00C0668C" w14:paraId="5D9F0F27" w14:textId="60883591">
            <w:pPr>
              <w:pStyle w:val="CommentText"/>
              <w:keepNext/>
              <w:keepLines/>
              <w:widowControl w:val="0"/>
              <w:spacing w:line="240" w:lineRule="auto"/>
              <w:rPr>
                <w:iCs/>
                <w:sz w:val="22"/>
                <w:szCs w:val="22"/>
              </w:rPr>
            </w:pPr>
            <w:r w:rsidRPr="00D442F1">
              <w:rPr>
                <w:iCs/>
                <w:sz w:val="22"/>
                <w:szCs w:val="22"/>
              </w:rPr>
              <w:t>25.2</w:t>
            </w:r>
            <w:r w:rsidRPr="00D442F1">
              <w:rPr>
                <w:iCs/>
                <w:sz w:val="22"/>
                <w:szCs w:val="22"/>
              </w:rPr>
              <w:t xml:space="preserve"> (</w:t>
            </w:r>
            <w:r w:rsidRPr="00D442F1">
              <w:rPr>
                <w:iCs/>
                <w:sz w:val="22"/>
                <w:szCs w:val="22"/>
              </w:rPr>
              <w:t>307.8</w:t>
            </w:r>
            <w:r w:rsidRPr="00D442F1">
              <w:rPr>
                <w:iCs/>
                <w:sz w:val="22"/>
                <w:szCs w:val="22"/>
              </w:rPr>
              <w:t xml:space="preserve">), </w:t>
            </w:r>
            <w:r w:rsidRPr="00D442F1">
              <w:rPr>
                <w:iCs/>
                <w:sz w:val="22"/>
                <w:szCs w:val="22"/>
              </w:rPr>
              <w:t>71</w:t>
            </w:r>
          </w:p>
        </w:tc>
        <w:tc>
          <w:tcPr>
            <w:tcW w:w="2334" w:type="dxa"/>
            <w:shd w:val="clear" w:color="auto" w:fill="auto"/>
          </w:tcPr>
          <w:p w:rsidR="004C732F" w:rsidRPr="00D442F1" w:rsidP="00C0668C" w14:paraId="3A1523CF" w14:textId="0CFB6DA5">
            <w:pPr>
              <w:pStyle w:val="CommentText"/>
              <w:keepNext/>
              <w:keepLines/>
              <w:widowControl w:val="0"/>
              <w:spacing w:line="240" w:lineRule="auto"/>
              <w:rPr>
                <w:iCs/>
                <w:sz w:val="22"/>
                <w:szCs w:val="22"/>
              </w:rPr>
            </w:pPr>
            <w:r w:rsidRPr="00D442F1">
              <w:rPr>
                <w:iCs/>
                <w:sz w:val="22"/>
                <w:szCs w:val="22"/>
              </w:rPr>
              <w:t>3.80</w:t>
            </w:r>
            <w:r w:rsidRPr="00D442F1">
              <w:rPr>
                <w:iCs/>
                <w:sz w:val="22"/>
                <w:szCs w:val="22"/>
              </w:rPr>
              <w:t xml:space="preserve"> (</w:t>
            </w:r>
            <w:r w:rsidRPr="00D442F1">
              <w:rPr>
                <w:iCs/>
                <w:sz w:val="22"/>
                <w:szCs w:val="22"/>
              </w:rPr>
              <w:t>182.4</w:t>
            </w:r>
            <w:r w:rsidRPr="00D442F1">
              <w:rPr>
                <w:iCs/>
                <w:sz w:val="22"/>
                <w:szCs w:val="22"/>
              </w:rPr>
              <w:t xml:space="preserve">), </w:t>
            </w:r>
            <w:r w:rsidRPr="00D442F1">
              <w:rPr>
                <w:iCs/>
                <w:sz w:val="22"/>
                <w:szCs w:val="22"/>
              </w:rPr>
              <w:t>4</w:t>
            </w:r>
          </w:p>
        </w:tc>
      </w:tr>
      <w:tr w14:paraId="26B3431F" w14:textId="77777777" w:rsidTr="005160BE">
        <w:tblPrEx>
          <w:tblW w:w="0" w:type="auto"/>
          <w:tblLook w:val="04A0"/>
        </w:tblPrEx>
        <w:tc>
          <w:tcPr>
            <w:tcW w:w="2390" w:type="dxa"/>
            <w:shd w:val="clear" w:color="auto" w:fill="auto"/>
          </w:tcPr>
          <w:p w:rsidR="00797125" w:rsidRPr="00D442F1" w:rsidP="00166894" w14:paraId="4ED87731" w14:textId="77777777">
            <w:pPr>
              <w:pStyle w:val="CommentText"/>
              <w:keepNext/>
              <w:keepLines/>
              <w:widowControl w:val="0"/>
              <w:spacing w:line="240" w:lineRule="auto"/>
              <w:rPr>
                <w:iCs/>
                <w:sz w:val="22"/>
                <w:szCs w:val="22"/>
              </w:rPr>
            </w:pPr>
            <w:r w:rsidRPr="00D442F1">
              <w:rPr>
                <w:iCs/>
                <w:sz w:val="22"/>
                <w:szCs w:val="22"/>
              </w:rPr>
              <w:t>T</w:t>
            </w:r>
            <w:r w:rsidRPr="00D442F1">
              <w:rPr>
                <w:iCs/>
                <w:sz w:val="22"/>
                <w:szCs w:val="22"/>
                <w:vertAlign w:val="subscript"/>
              </w:rPr>
              <w:t>last</w:t>
            </w:r>
          </w:p>
        </w:tc>
        <w:tc>
          <w:tcPr>
            <w:tcW w:w="2246" w:type="dxa"/>
            <w:shd w:val="clear" w:color="auto" w:fill="auto"/>
          </w:tcPr>
          <w:p w:rsidR="00797125" w:rsidRPr="00D442F1" w:rsidP="00166894" w14:paraId="61618165" w14:textId="77777777">
            <w:pPr>
              <w:pStyle w:val="CommentText"/>
              <w:keepNext/>
              <w:keepLines/>
              <w:widowControl w:val="0"/>
              <w:spacing w:line="240" w:lineRule="auto"/>
              <w:rPr>
                <w:iCs/>
                <w:sz w:val="22"/>
                <w:szCs w:val="22"/>
              </w:rPr>
            </w:pPr>
            <w:r w:rsidRPr="00D442F1">
              <w:rPr>
                <w:iCs/>
                <w:sz w:val="22"/>
                <w:szCs w:val="22"/>
              </w:rPr>
              <w:t>Median [min;max], n</w:t>
            </w:r>
          </w:p>
        </w:tc>
        <w:tc>
          <w:tcPr>
            <w:tcW w:w="2317" w:type="dxa"/>
            <w:shd w:val="clear" w:color="auto" w:fill="auto"/>
          </w:tcPr>
          <w:p w:rsidR="00797125" w:rsidRPr="00D442F1" w:rsidP="00C0668C" w14:paraId="74ADDD6C" w14:textId="581C7D75">
            <w:pPr>
              <w:pStyle w:val="CommentText"/>
              <w:keepNext/>
              <w:keepLines/>
              <w:widowControl w:val="0"/>
              <w:spacing w:line="240" w:lineRule="auto"/>
              <w:rPr>
                <w:iCs/>
                <w:sz w:val="22"/>
                <w:szCs w:val="22"/>
              </w:rPr>
            </w:pPr>
            <w:r w:rsidRPr="00D442F1">
              <w:rPr>
                <w:iCs/>
                <w:sz w:val="22"/>
                <w:szCs w:val="22"/>
              </w:rPr>
              <w:t xml:space="preserve">166 </w:t>
            </w:r>
            <w:r w:rsidRPr="00D442F1">
              <w:rPr>
                <w:iCs/>
                <w:sz w:val="22"/>
                <w:szCs w:val="22"/>
              </w:rPr>
              <w:t>[</w:t>
            </w:r>
            <w:r w:rsidRPr="00D442F1">
              <w:rPr>
                <w:iCs/>
                <w:sz w:val="22"/>
                <w:szCs w:val="22"/>
              </w:rPr>
              <w:t>20.9</w:t>
            </w:r>
            <w:r w:rsidRPr="00D442F1">
              <w:rPr>
                <w:iCs/>
                <w:sz w:val="22"/>
                <w:szCs w:val="22"/>
              </w:rPr>
              <w:t xml:space="preserve">; </w:t>
            </w:r>
            <w:r w:rsidRPr="00D442F1">
              <w:rPr>
                <w:iCs/>
                <w:sz w:val="22"/>
                <w:szCs w:val="22"/>
              </w:rPr>
              <w:t>916</w:t>
            </w:r>
            <w:r w:rsidRPr="00D442F1">
              <w:rPr>
                <w:iCs/>
                <w:sz w:val="22"/>
                <w:szCs w:val="22"/>
              </w:rPr>
              <w:t xml:space="preserve">], </w:t>
            </w:r>
            <w:r w:rsidRPr="00D442F1">
              <w:rPr>
                <w:iCs/>
                <w:sz w:val="22"/>
                <w:szCs w:val="22"/>
              </w:rPr>
              <w:t>103</w:t>
            </w:r>
          </w:p>
        </w:tc>
        <w:tc>
          <w:tcPr>
            <w:tcW w:w="2334" w:type="dxa"/>
            <w:shd w:val="clear" w:color="auto" w:fill="auto"/>
          </w:tcPr>
          <w:p w:rsidR="00797125" w:rsidRPr="00D442F1" w:rsidP="00C0668C" w14:paraId="4D14815A" w14:textId="09EE3884">
            <w:pPr>
              <w:pStyle w:val="CommentText"/>
              <w:keepNext/>
              <w:keepLines/>
              <w:widowControl w:val="0"/>
              <w:spacing w:line="240" w:lineRule="auto"/>
              <w:rPr>
                <w:iCs/>
                <w:sz w:val="22"/>
                <w:szCs w:val="22"/>
              </w:rPr>
            </w:pPr>
            <w:r w:rsidRPr="00D442F1">
              <w:rPr>
                <w:iCs/>
                <w:sz w:val="22"/>
                <w:szCs w:val="22"/>
              </w:rPr>
              <w:t>28.8 [</w:t>
            </w:r>
            <w:r w:rsidRPr="00D442F1" w:rsidR="00C0668C">
              <w:rPr>
                <w:iCs/>
                <w:sz w:val="22"/>
                <w:szCs w:val="22"/>
              </w:rPr>
              <w:t>26.7</w:t>
            </w:r>
            <w:r w:rsidRPr="00D442F1">
              <w:rPr>
                <w:iCs/>
                <w:sz w:val="22"/>
                <w:szCs w:val="22"/>
              </w:rPr>
              <w:t xml:space="preserve">; </w:t>
            </w:r>
            <w:r w:rsidRPr="00D442F1" w:rsidR="00C0668C">
              <w:rPr>
                <w:iCs/>
                <w:sz w:val="22"/>
                <w:szCs w:val="22"/>
              </w:rPr>
              <w:t>742</w:t>
            </w:r>
            <w:r w:rsidRPr="00D442F1">
              <w:rPr>
                <w:iCs/>
                <w:sz w:val="22"/>
                <w:szCs w:val="22"/>
              </w:rPr>
              <w:t xml:space="preserve">], </w:t>
            </w:r>
            <w:r w:rsidRPr="00D442F1" w:rsidR="00C0668C">
              <w:rPr>
                <w:iCs/>
                <w:sz w:val="22"/>
                <w:szCs w:val="22"/>
              </w:rPr>
              <w:t>9</w:t>
            </w:r>
          </w:p>
        </w:tc>
      </w:tr>
      <w:tr w14:paraId="3F0131B3" w14:textId="77777777" w:rsidTr="005160BE">
        <w:tblPrEx>
          <w:tblW w:w="0" w:type="auto"/>
          <w:tblLook w:val="04A0"/>
        </w:tblPrEx>
        <w:tc>
          <w:tcPr>
            <w:tcW w:w="9287" w:type="dxa"/>
            <w:gridSpan w:val="4"/>
            <w:shd w:val="clear" w:color="auto" w:fill="auto"/>
          </w:tcPr>
          <w:p w:rsidR="00D179C6" w:rsidRPr="00D442F1" w:rsidP="00166894" w14:paraId="4622C58B" w14:textId="679D0DEF">
            <w:pPr>
              <w:pStyle w:val="CommentText"/>
              <w:keepNext/>
              <w:keepLines/>
              <w:widowControl w:val="0"/>
              <w:spacing w:line="240" w:lineRule="auto"/>
              <w:rPr>
                <w:iCs/>
                <w:sz w:val="22"/>
                <w:szCs w:val="22"/>
              </w:rPr>
            </w:pPr>
          </w:p>
        </w:tc>
      </w:tr>
    </w:tbl>
    <w:p w:rsidR="00692CE3" w:rsidRPr="00D442F1" w:rsidP="00166894" w14:paraId="2BDC6F74" w14:textId="77777777">
      <w:pPr>
        <w:widowControl w:val="0"/>
        <w:numPr>
          <w:ilvl w:val="12"/>
          <w:numId w:val="0"/>
        </w:numPr>
        <w:tabs>
          <w:tab w:val="clear" w:pos="567"/>
        </w:tabs>
        <w:spacing w:line="240" w:lineRule="auto"/>
        <w:ind w:right="-2"/>
      </w:pPr>
    </w:p>
    <w:p w:rsidR="00692CE3" w:rsidRPr="00D442F1" w:rsidP="00166894" w14:paraId="42AC7D4C" w14:textId="77777777">
      <w:pPr>
        <w:keepNext/>
        <w:widowControl w:val="0"/>
        <w:numPr>
          <w:ilvl w:val="12"/>
          <w:numId w:val="0"/>
        </w:numPr>
        <w:tabs>
          <w:tab w:val="clear" w:pos="567"/>
        </w:tabs>
        <w:spacing w:line="240" w:lineRule="auto"/>
        <w:rPr>
          <w:u w:val="single"/>
        </w:rPr>
      </w:pPr>
      <w:r w:rsidRPr="00D442F1">
        <w:rPr>
          <w:u w:val="single"/>
        </w:rPr>
        <w:t xml:space="preserve">Cellular kinetics in </w:t>
      </w:r>
      <w:r w:rsidRPr="00D442F1" w:rsidR="00C55B4C">
        <w:rPr>
          <w:u w:val="single"/>
        </w:rPr>
        <w:t xml:space="preserve">adult </w:t>
      </w:r>
      <w:r w:rsidRPr="00D442F1">
        <w:rPr>
          <w:u w:val="single"/>
        </w:rPr>
        <w:t>DLBCL patients</w:t>
      </w:r>
    </w:p>
    <w:p w:rsidR="00CB2406" w:rsidRPr="00D442F1" w:rsidP="00166894" w14:paraId="6E4FA360" w14:textId="77777777">
      <w:pPr>
        <w:keepNext/>
        <w:widowControl w:val="0"/>
        <w:tabs>
          <w:tab w:val="clear" w:pos="567"/>
        </w:tabs>
        <w:spacing w:line="240" w:lineRule="auto"/>
      </w:pPr>
    </w:p>
    <w:p w:rsidR="00692CE3" w:rsidRPr="00D442F1" w:rsidP="00166894" w14:paraId="003B80C1" w14:textId="77777777">
      <w:pPr>
        <w:widowControl w:val="0"/>
        <w:tabs>
          <w:tab w:val="clear" w:pos="567"/>
        </w:tabs>
        <w:spacing w:line="240" w:lineRule="auto"/>
      </w:pPr>
      <w:r w:rsidRPr="00D442F1">
        <w:t xml:space="preserve">A summary of cellular kinetic parameters of tisagenlecleucel </w:t>
      </w:r>
      <w:r w:rsidRPr="00D442F1" w:rsidR="00B22520">
        <w:t xml:space="preserve">in DLBCL patients </w:t>
      </w:r>
      <w:r w:rsidRPr="00D442F1">
        <w:t>is provided in Table</w:t>
      </w:r>
      <w:r w:rsidRPr="00D442F1" w:rsidR="00CB2406">
        <w:t> </w:t>
      </w:r>
      <w:r w:rsidRPr="00D442F1" w:rsidR="002B6717">
        <w:t>8</w:t>
      </w:r>
      <w:r w:rsidRPr="00D442F1">
        <w:t xml:space="preserve"> below.</w:t>
      </w:r>
    </w:p>
    <w:p w:rsidR="00CB2406" w:rsidRPr="00D442F1" w:rsidP="00166894" w14:paraId="05C72EBA" w14:textId="77777777">
      <w:pPr>
        <w:widowControl w:val="0"/>
        <w:tabs>
          <w:tab w:val="clear" w:pos="567"/>
        </w:tabs>
        <w:spacing w:line="240" w:lineRule="auto"/>
      </w:pPr>
    </w:p>
    <w:p w:rsidR="003650EF" w:rsidRPr="00D442F1" w:rsidP="00166894" w14:paraId="45585B68" w14:textId="0F2C7F17">
      <w:pPr>
        <w:pStyle w:val="Heading6"/>
        <w:widowControl w:val="0"/>
        <w:spacing w:before="0" w:after="0"/>
        <w:ind w:left="1134" w:hanging="1134"/>
        <w:rPr>
          <w:rFonts w:ascii="Times New Roman" w:hAnsi="Times New Roman" w:cs="Times New Roman"/>
          <w:szCs w:val="22"/>
          <w:lang w:val="en-GB"/>
        </w:rPr>
      </w:pPr>
      <w:bookmarkStart w:id="6" w:name="_Toc491696954"/>
      <w:r w:rsidRPr="00D442F1">
        <w:rPr>
          <w:rFonts w:ascii="Times New Roman" w:hAnsi="Times New Roman" w:cs="Times New Roman"/>
          <w:szCs w:val="22"/>
          <w:lang w:val="en-GB"/>
        </w:rPr>
        <w:t>Table</w:t>
      </w:r>
      <w:r w:rsidRPr="00D442F1" w:rsidR="00CB2406">
        <w:rPr>
          <w:rFonts w:ascii="Times New Roman" w:hAnsi="Times New Roman" w:cs="Times New Roman"/>
          <w:szCs w:val="22"/>
          <w:lang w:val="en-GB"/>
        </w:rPr>
        <w:t> </w:t>
      </w:r>
      <w:r w:rsidRPr="00D442F1" w:rsidR="002B6717">
        <w:rPr>
          <w:rFonts w:ascii="Times New Roman" w:hAnsi="Times New Roman" w:cs="Times New Roman"/>
          <w:szCs w:val="22"/>
          <w:lang w:val="en-GB"/>
        </w:rPr>
        <w:t>8</w:t>
      </w:r>
      <w:r w:rsidRPr="00D442F1">
        <w:rPr>
          <w:rFonts w:ascii="Times New Roman" w:hAnsi="Times New Roman" w:cs="Times New Roman"/>
          <w:szCs w:val="22"/>
          <w:lang w:val="en-GB"/>
        </w:rPr>
        <w:tab/>
        <w:t>Cellular kinetic parameters of tisagenlecleucel in r/r DLBCL patients</w:t>
      </w:r>
      <w:bookmarkEnd w:id="6"/>
    </w:p>
    <w:p w:rsidR="00CB2406" w:rsidRPr="00D442F1" w:rsidP="00166894" w14:paraId="69B771B7" w14:textId="77777777">
      <w:pPr>
        <w:keepNext/>
        <w:widowControl w:val="0"/>
        <w:tabs>
          <w:tab w:val="clear" w:pos="567"/>
        </w:tab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2134"/>
        <w:gridCol w:w="2208"/>
        <w:gridCol w:w="2407"/>
      </w:tblGrid>
      <w:tr w14:paraId="433C9CBD" w14:textId="77777777" w:rsidTr="005160B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361" w:type="dxa"/>
            <w:shd w:val="clear" w:color="auto" w:fill="auto"/>
          </w:tcPr>
          <w:p w:rsidR="003650EF" w:rsidRPr="00D442F1" w:rsidP="00166894" w14:paraId="3D9277BC" w14:textId="77777777">
            <w:pPr>
              <w:pStyle w:val="CommentText"/>
              <w:keepNext/>
              <w:keepLines/>
              <w:widowControl w:val="0"/>
              <w:spacing w:line="240" w:lineRule="auto"/>
              <w:rPr>
                <w:iCs/>
                <w:sz w:val="22"/>
                <w:szCs w:val="22"/>
              </w:rPr>
            </w:pPr>
            <w:r w:rsidRPr="00D442F1">
              <w:rPr>
                <w:iCs/>
                <w:sz w:val="22"/>
                <w:szCs w:val="22"/>
              </w:rPr>
              <w:t>Parameter</w:t>
            </w:r>
          </w:p>
        </w:tc>
        <w:tc>
          <w:tcPr>
            <w:tcW w:w="2204" w:type="dxa"/>
            <w:shd w:val="clear" w:color="auto" w:fill="auto"/>
          </w:tcPr>
          <w:p w:rsidR="003650EF" w:rsidRPr="00D442F1" w:rsidP="00166894" w14:paraId="3708439C" w14:textId="77777777">
            <w:pPr>
              <w:pStyle w:val="CommentText"/>
              <w:keepNext/>
              <w:keepLines/>
              <w:widowControl w:val="0"/>
              <w:spacing w:line="240" w:lineRule="auto"/>
              <w:rPr>
                <w:iCs/>
                <w:sz w:val="22"/>
                <w:szCs w:val="22"/>
              </w:rPr>
            </w:pPr>
            <w:r w:rsidRPr="00D442F1">
              <w:rPr>
                <w:iCs/>
                <w:sz w:val="22"/>
                <w:szCs w:val="22"/>
              </w:rPr>
              <w:t xml:space="preserve">Summary </w:t>
            </w:r>
            <w:r w:rsidRPr="00D442F1" w:rsidR="006C0303">
              <w:rPr>
                <w:iCs/>
                <w:sz w:val="22"/>
                <w:szCs w:val="22"/>
              </w:rPr>
              <w:t>s</w:t>
            </w:r>
            <w:r w:rsidRPr="00D442F1">
              <w:rPr>
                <w:iCs/>
                <w:sz w:val="22"/>
                <w:szCs w:val="22"/>
              </w:rPr>
              <w:t>tatistics</w:t>
            </w:r>
          </w:p>
        </w:tc>
        <w:tc>
          <w:tcPr>
            <w:tcW w:w="2278" w:type="dxa"/>
            <w:shd w:val="clear" w:color="auto" w:fill="auto"/>
          </w:tcPr>
          <w:p w:rsidR="003650EF" w:rsidRPr="00D442F1" w:rsidP="00166894" w14:paraId="5316891E" w14:textId="77777777">
            <w:pPr>
              <w:pStyle w:val="CommentText"/>
              <w:keepNext/>
              <w:keepLines/>
              <w:widowControl w:val="0"/>
              <w:spacing w:line="240" w:lineRule="auto"/>
              <w:rPr>
                <w:iCs/>
                <w:sz w:val="22"/>
                <w:szCs w:val="22"/>
              </w:rPr>
            </w:pPr>
            <w:r w:rsidRPr="00D442F1">
              <w:rPr>
                <w:iCs/>
                <w:sz w:val="22"/>
                <w:szCs w:val="22"/>
              </w:rPr>
              <w:t xml:space="preserve">Responding </w:t>
            </w:r>
            <w:r w:rsidRPr="00D442F1" w:rsidR="006C0303">
              <w:rPr>
                <w:iCs/>
                <w:sz w:val="22"/>
                <w:szCs w:val="22"/>
              </w:rPr>
              <w:t>p</w:t>
            </w:r>
            <w:r w:rsidRPr="00D442F1">
              <w:rPr>
                <w:iCs/>
                <w:sz w:val="22"/>
                <w:szCs w:val="22"/>
              </w:rPr>
              <w:t>atients</w:t>
            </w:r>
          </w:p>
          <w:p w:rsidR="003650EF" w:rsidRPr="00D442F1" w:rsidP="00166894" w14:paraId="22972EC0" w14:textId="77777777">
            <w:pPr>
              <w:pStyle w:val="CommentText"/>
              <w:keepNext/>
              <w:keepLines/>
              <w:widowControl w:val="0"/>
              <w:spacing w:line="240" w:lineRule="auto"/>
              <w:rPr>
                <w:iCs/>
                <w:sz w:val="22"/>
                <w:szCs w:val="22"/>
              </w:rPr>
            </w:pPr>
            <w:r w:rsidRPr="00D442F1">
              <w:rPr>
                <w:iCs/>
                <w:sz w:val="22"/>
                <w:szCs w:val="22"/>
              </w:rPr>
              <w:t>(CR and PR)</w:t>
            </w:r>
          </w:p>
          <w:p w:rsidR="003650EF" w:rsidRPr="00D442F1" w:rsidP="00452ABA" w14:paraId="1CE92FFA" w14:textId="39145319">
            <w:pPr>
              <w:pStyle w:val="CommentText"/>
              <w:keepNext/>
              <w:keepLines/>
              <w:widowControl w:val="0"/>
              <w:spacing w:line="240" w:lineRule="auto"/>
              <w:rPr>
                <w:iCs/>
                <w:sz w:val="22"/>
                <w:szCs w:val="22"/>
              </w:rPr>
            </w:pPr>
            <w:r w:rsidRPr="00D442F1">
              <w:rPr>
                <w:iCs/>
                <w:sz w:val="22"/>
                <w:szCs w:val="22"/>
              </w:rPr>
              <w:t>N=</w:t>
            </w:r>
            <w:r w:rsidRPr="00D442F1" w:rsidR="00452ABA">
              <w:rPr>
                <w:iCs/>
                <w:sz w:val="22"/>
                <w:szCs w:val="22"/>
              </w:rPr>
              <w:t>43</w:t>
            </w:r>
          </w:p>
        </w:tc>
        <w:tc>
          <w:tcPr>
            <w:tcW w:w="2444" w:type="dxa"/>
            <w:shd w:val="clear" w:color="auto" w:fill="auto"/>
          </w:tcPr>
          <w:p w:rsidR="003650EF" w:rsidRPr="00D442F1" w:rsidP="00166894" w14:paraId="38E25473" w14:textId="77777777">
            <w:pPr>
              <w:pStyle w:val="CommentText"/>
              <w:keepNext/>
              <w:keepLines/>
              <w:widowControl w:val="0"/>
              <w:spacing w:line="240" w:lineRule="auto"/>
              <w:rPr>
                <w:iCs/>
                <w:sz w:val="22"/>
                <w:szCs w:val="22"/>
              </w:rPr>
            </w:pPr>
            <w:r w:rsidRPr="00D442F1">
              <w:rPr>
                <w:iCs/>
                <w:sz w:val="22"/>
                <w:szCs w:val="22"/>
              </w:rPr>
              <w:t>Non</w:t>
            </w:r>
            <w:r w:rsidRPr="00D442F1" w:rsidR="00591100">
              <w:rPr>
                <w:iCs/>
                <w:sz w:val="22"/>
                <w:szCs w:val="22"/>
              </w:rPr>
              <w:noBreakHyphen/>
            </w:r>
            <w:r w:rsidRPr="00D442F1" w:rsidR="006C0303">
              <w:rPr>
                <w:iCs/>
                <w:sz w:val="22"/>
                <w:szCs w:val="22"/>
              </w:rPr>
              <w:t>r</w:t>
            </w:r>
            <w:r w:rsidRPr="00D442F1">
              <w:rPr>
                <w:iCs/>
                <w:sz w:val="22"/>
                <w:szCs w:val="22"/>
              </w:rPr>
              <w:t xml:space="preserve">esponding </w:t>
            </w:r>
            <w:r w:rsidRPr="00D442F1" w:rsidR="006C0303">
              <w:rPr>
                <w:iCs/>
                <w:sz w:val="22"/>
                <w:szCs w:val="22"/>
              </w:rPr>
              <w:t>p</w:t>
            </w:r>
            <w:r w:rsidRPr="00D442F1">
              <w:rPr>
                <w:iCs/>
                <w:sz w:val="22"/>
                <w:szCs w:val="22"/>
              </w:rPr>
              <w:t>atients</w:t>
            </w:r>
          </w:p>
          <w:p w:rsidR="003650EF" w:rsidRPr="00D442F1" w:rsidP="00166894" w14:paraId="5DCE9651" w14:textId="77777777">
            <w:pPr>
              <w:pStyle w:val="CommentText"/>
              <w:keepNext/>
              <w:keepLines/>
              <w:widowControl w:val="0"/>
              <w:spacing w:line="240" w:lineRule="auto"/>
              <w:rPr>
                <w:iCs/>
                <w:sz w:val="22"/>
                <w:szCs w:val="22"/>
              </w:rPr>
            </w:pPr>
            <w:r w:rsidRPr="00D442F1">
              <w:rPr>
                <w:iCs/>
                <w:sz w:val="22"/>
                <w:szCs w:val="22"/>
              </w:rPr>
              <w:t>(SD/PD/Unknown)</w:t>
            </w:r>
          </w:p>
          <w:p w:rsidR="003650EF" w:rsidRPr="00D442F1" w:rsidP="00452ABA" w14:paraId="596999C2" w14:textId="5BC4B355">
            <w:pPr>
              <w:pStyle w:val="CommentText"/>
              <w:keepNext/>
              <w:keepLines/>
              <w:widowControl w:val="0"/>
              <w:spacing w:line="240" w:lineRule="auto"/>
              <w:rPr>
                <w:iCs/>
                <w:sz w:val="22"/>
                <w:szCs w:val="22"/>
              </w:rPr>
            </w:pPr>
            <w:r w:rsidRPr="00D442F1">
              <w:rPr>
                <w:iCs/>
                <w:sz w:val="22"/>
                <w:szCs w:val="22"/>
              </w:rPr>
              <w:t>N=</w:t>
            </w:r>
            <w:r w:rsidRPr="00D442F1" w:rsidR="00452ABA">
              <w:rPr>
                <w:iCs/>
                <w:sz w:val="22"/>
                <w:szCs w:val="22"/>
              </w:rPr>
              <w:t>72</w:t>
            </w:r>
          </w:p>
        </w:tc>
      </w:tr>
      <w:tr w14:paraId="0398D0C1" w14:textId="77777777" w:rsidTr="005160BE">
        <w:tblPrEx>
          <w:tblW w:w="0" w:type="auto"/>
          <w:tblLook w:val="04A0"/>
        </w:tblPrEx>
        <w:tc>
          <w:tcPr>
            <w:tcW w:w="2361" w:type="dxa"/>
            <w:shd w:val="clear" w:color="auto" w:fill="auto"/>
          </w:tcPr>
          <w:p w:rsidR="003650EF" w:rsidRPr="00D442F1" w:rsidP="00166894" w14:paraId="0755E2C5" w14:textId="77777777">
            <w:pPr>
              <w:pStyle w:val="CommentText"/>
              <w:keepNext/>
              <w:keepLines/>
              <w:widowControl w:val="0"/>
              <w:spacing w:line="240" w:lineRule="auto"/>
              <w:rPr>
                <w:iCs/>
                <w:sz w:val="22"/>
                <w:szCs w:val="22"/>
              </w:rPr>
            </w:pPr>
            <w:r w:rsidRPr="00D442F1">
              <w:rPr>
                <w:iCs/>
                <w:sz w:val="22"/>
                <w:szCs w:val="22"/>
              </w:rPr>
              <w:t>C</w:t>
            </w:r>
            <w:r w:rsidRPr="00D442F1">
              <w:rPr>
                <w:iCs/>
                <w:sz w:val="22"/>
                <w:szCs w:val="22"/>
                <w:vertAlign w:val="subscript"/>
              </w:rPr>
              <w:t>max</w:t>
            </w:r>
            <w:r w:rsidRPr="00D442F1">
              <w:rPr>
                <w:iCs/>
                <w:sz w:val="22"/>
                <w:szCs w:val="22"/>
              </w:rPr>
              <w:t xml:space="preserve"> (copies/</w:t>
            </w:r>
            <w:r w:rsidRPr="00D442F1">
              <w:rPr>
                <w:rStyle w:val="st1"/>
                <w:color w:val="545454"/>
                <w:sz w:val="22"/>
                <w:szCs w:val="22"/>
              </w:rPr>
              <w:t>μ</w:t>
            </w:r>
            <w:r w:rsidRPr="00D442F1">
              <w:rPr>
                <w:iCs/>
                <w:sz w:val="22"/>
                <w:szCs w:val="22"/>
              </w:rPr>
              <w:t>g)</w:t>
            </w:r>
          </w:p>
        </w:tc>
        <w:tc>
          <w:tcPr>
            <w:tcW w:w="2204" w:type="dxa"/>
            <w:shd w:val="clear" w:color="auto" w:fill="auto"/>
          </w:tcPr>
          <w:p w:rsidR="003650EF" w:rsidRPr="00D442F1" w:rsidP="00166894" w14:paraId="04E94675" w14:textId="77777777">
            <w:pPr>
              <w:pStyle w:val="CommentText"/>
              <w:keepNext/>
              <w:keepLines/>
              <w:widowControl w:val="0"/>
              <w:spacing w:line="240" w:lineRule="auto"/>
              <w:rPr>
                <w:iCs/>
                <w:sz w:val="22"/>
                <w:szCs w:val="22"/>
              </w:rPr>
            </w:pPr>
            <w:r w:rsidRPr="00D442F1">
              <w:rPr>
                <w:iCs/>
                <w:sz w:val="22"/>
                <w:szCs w:val="22"/>
              </w:rPr>
              <w:t>Geometric mean (CV%),</w:t>
            </w:r>
            <w:r w:rsidRPr="00D442F1" w:rsidR="00E901A2">
              <w:rPr>
                <w:iCs/>
                <w:sz w:val="22"/>
                <w:szCs w:val="22"/>
              </w:rPr>
              <w:t xml:space="preserve"> </w:t>
            </w:r>
            <w:r w:rsidRPr="00D442F1">
              <w:rPr>
                <w:iCs/>
                <w:sz w:val="22"/>
                <w:szCs w:val="22"/>
              </w:rPr>
              <w:t>n</w:t>
            </w:r>
          </w:p>
        </w:tc>
        <w:tc>
          <w:tcPr>
            <w:tcW w:w="2278" w:type="dxa"/>
            <w:shd w:val="clear" w:color="auto" w:fill="auto"/>
          </w:tcPr>
          <w:p w:rsidR="003650EF" w:rsidRPr="00D442F1" w:rsidP="00371F22" w14:paraId="0440B466" w14:textId="6F1F9C60">
            <w:pPr>
              <w:pStyle w:val="CommentText"/>
              <w:keepNext/>
              <w:keepLines/>
              <w:widowControl w:val="0"/>
              <w:spacing w:line="240" w:lineRule="auto"/>
              <w:rPr>
                <w:iCs/>
                <w:sz w:val="22"/>
                <w:szCs w:val="22"/>
              </w:rPr>
            </w:pPr>
            <w:r w:rsidRPr="00D442F1">
              <w:rPr>
                <w:iCs/>
                <w:sz w:val="22"/>
                <w:szCs w:val="22"/>
              </w:rPr>
              <w:t>5</w:t>
            </w:r>
            <w:r w:rsidRPr="00D442F1" w:rsidR="00A926B2">
              <w:rPr>
                <w:iCs/>
                <w:sz w:val="22"/>
                <w:szCs w:val="22"/>
              </w:rPr>
              <w:t>,</w:t>
            </w:r>
            <w:r w:rsidRPr="00D442F1">
              <w:rPr>
                <w:iCs/>
                <w:sz w:val="22"/>
                <w:szCs w:val="22"/>
              </w:rPr>
              <w:t xml:space="preserve">840 </w:t>
            </w:r>
            <w:r w:rsidRPr="00D442F1" w:rsidR="00423052">
              <w:rPr>
                <w:iCs/>
                <w:sz w:val="22"/>
                <w:szCs w:val="22"/>
              </w:rPr>
              <w:t>(</w:t>
            </w:r>
            <w:r w:rsidRPr="00D442F1">
              <w:rPr>
                <w:iCs/>
                <w:sz w:val="22"/>
                <w:szCs w:val="22"/>
              </w:rPr>
              <w:t>254</w:t>
            </w:r>
            <w:r w:rsidRPr="00D442F1" w:rsidR="00423052">
              <w:rPr>
                <w:iCs/>
                <w:sz w:val="22"/>
                <w:szCs w:val="22"/>
              </w:rPr>
              <w:t>.</w:t>
            </w:r>
            <w:r w:rsidRPr="00D442F1">
              <w:rPr>
                <w:iCs/>
                <w:sz w:val="22"/>
                <w:szCs w:val="22"/>
              </w:rPr>
              <w:t>3</w:t>
            </w:r>
            <w:r w:rsidRPr="00D442F1" w:rsidR="00423052">
              <w:rPr>
                <w:iCs/>
                <w:sz w:val="22"/>
                <w:szCs w:val="22"/>
              </w:rPr>
              <w:t xml:space="preserve">), </w:t>
            </w:r>
            <w:r w:rsidRPr="00D442F1">
              <w:rPr>
                <w:iCs/>
                <w:sz w:val="22"/>
                <w:szCs w:val="22"/>
              </w:rPr>
              <w:t>43</w:t>
            </w:r>
          </w:p>
        </w:tc>
        <w:tc>
          <w:tcPr>
            <w:tcW w:w="2444" w:type="dxa"/>
            <w:shd w:val="clear" w:color="auto" w:fill="auto"/>
          </w:tcPr>
          <w:p w:rsidR="003650EF" w:rsidRPr="00D442F1" w:rsidP="00371F22" w14:paraId="415561E1" w14:textId="064D8E73">
            <w:pPr>
              <w:pStyle w:val="CommentText"/>
              <w:keepNext/>
              <w:keepLines/>
              <w:widowControl w:val="0"/>
              <w:spacing w:line="240" w:lineRule="auto"/>
              <w:rPr>
                <w:iCs/>
                <w:sz w:val="22"/>
                <w:szCs w:val="22"/>
              </w:rPr>
            </w:pPr>
            <w:r w:rsidRPr="00D442F1">
              <w:rPr>
                <w:iCs/>
                <w:sz w:val="22"/>
                <w:szCs w:val="22"/>
              </w:rPr>
              <w:t>5</w:t>
            </w:r>
            <w:r w:rsidRPr="00D442F1" w:rsidR="00A926B2">
              <w:rPr>
                <w:iCs/>
                <w:sz w:val="22"/>
                <w:szCs w:val="22"/>
              </w:rPr>
              <w:t>,</w:t>
            </w:r>
            <w:r w:rsidRPr="00D442F1">
              <w:rPr>
                <w:iCs/>
                <w:sz w:val="22"/>
                <w:szCs w:val="22"/>
              </w:rPr>
              <w:t xml:space="preserve">460 </w:t>
            </w:r>
            <w:r w:rsidRPr="00D442F1" w:rsidR="00423052">
              <w:rPr>
                <w:iCs/>
                <w:sz w:val="22"/>
                <w:szCs w:val="22"/>
              </w:rPr>
              <w:t>(</w:t>
            </w:r>
            <w:r w:rsidRPr="00D442F1">
              <w:rPr>
                <w:iCs/>
                <w:sz w:val="22"/>
                <w:szCs w:val="22"/>
              </w:rPr>
              <w:t>326.8</w:t>
            </w:r>
            <w:r w:rsidRPr="00D442F1" w:rsidR="008F5534">
              <w:rPr>
                <w:iCs/>
                <w:sz w:val="22"/>
                <w:szCs w:val="22"/>
              </w:rPr>
              <w:t>9</w:t>
            </w:r>
            <w:r w:rsidRPr="00D442F1" w:rsidR="00423052">
              <w:rPr>
                <w:iCs/>
                <w:sz w:val="22"/>
                <w:szCs w:val="22"/>
              </w:rPr>
              <w:t xml:space="preserve">), </w:t>
            </w:r>
            <w:r w:rsidRPr="00D442F1">
              <w:rPr>
                <w:iCs/>
                <w:sz w:val="22"/>
                <w:szCs w:val="22"/>
              </w:rPr>
              <w:t>65</w:t>
            </w:r>
          </w:p>
        </w:tc>
      </w:tr>
      <w:tr w14:paraId="19B8582E" w14:textId="77777777" w:rsidTr="005160BE">
        <w:tblPrEx>
          <w:tblW w:w="0" w:type="auto"/>
          <w:tblLook w:val="04A0"/>
        </w:tblPrEx>
        <w:tc>
          <w:tcPr>
            <w:tcW w:w="2361" w:type="dxa"/>
            <w:shd w:val="clear" w:color="auto" w:fill="auto"/>
          </w:tcPr>
          <w:p w:rsidR="003650EF" w:rsidRPr="00D442F1" w:rsidP="00166894" w14:paraId="188D31B1" w14:textId="77777777">
            <w:pPr>
              <w:pStyle w:val="CommentText"/>
              <w:keepNext/>
              <w:keepLines/>
              <w:widowControl w:val="0"/>
              <w:spacing w:line="240" w:lineRule="auto"/>
              <w:rPr>
                <w:iCs/>
                <w:sz w:val="22"/>
                <w:szCs w:val="22"/>
              </w:rPr>
            </w:pPr>
            <w:r w:rsidRPr="00D442F1">
              <w:rPr>
                <w:iCs/>
                <w:sz w:val="22"/>
                <w:szCs w:val="22"/>
              </w:rPr>
              <w:t>T</w:t>
            </w:r>
            <w:r w:rsidRPr="00D442F1">
              <w:rPr>
                <w:iCs/>
                <w:sz w:val="22"/>
                <w:szCs w:val="22"/>
                <w:vertAlign w:val="subscript"/>
              </w:rPr>
              <w:t>max</w:t>
            </w:r>
            <w:r w:rsidRPr="00D442F1">
              <w:rPr>
                <w:iCs/>
                <w:sz w:val="22"/>
                <w:szCs w:val="22"/>
              </w:rPr>
              <w:t xml:space="preserve"> (day)</w:t>
            </w:r>
          </w:p>
        </w:tc>
        <w:tc>
          <w:tcPr>
            <w:tcW w:w="2204" w:type="dxa"/>
            <w:shd w:val="clear" w:color="auto" w:fill="auto"/>
          </w:tcPr>
          <w:p w:rsidR="003650EF" w:rsidRPr="00D442F1" w:rsidP="00166894" w14:paraId="7BB801E7" w14:textId="77777777">
            <w:pPr>
              <w:pStyle w:val="CommentText"/>
              <w:keepNext/>
              <w:keepLines/>
              <w:widowControl w:val="0"/>
              <w:spacing w:line="240" w:lineRule="auto"/>
              <w:rPr>
                <w:iCs/>
                <w:sz w:val="22"/>
                <w:szCs w:val="22"/>
              </w:rPr>
            </w:pPr>
            <w:r w:rsidRPr="00D442F1">
              <w:rPr>
                <w:iCs/>
                <w:sz w:val="22"/>
                <w:szCs w:val="22"/>
              </w:rPr>
              <w:t>Median [min;max], n</w:t>
            </w:r>
          </w:p>
        </w:tc>
        <w:tc>
          <w:tcPr>
            <w:tcW w:w="2278" w:type="dxa"/>
            <w:shd w:val="clear" w:color="auto" w:fill="auto"/>
          </w:tcPr>
          <w:p w:rsidR="003650EF" w:rsidRPr="00D442F1" w:rsidP="00371F22" w14:paraId="5D2DFA5F" w14:textId="0CFCE25C">
            <w:pPr>
              <w:pStyle w:val="CommentText"/>
              <w:keepNext/>
              <w:keepLines/>
              <w:widowControl w:val="0"/>
              <w:spacing w:line="240" w:lineRule="auto"/>
              <w:rPr>
                <w:iCs/>
                <w:sz w:val="22"/>
                <w:szCs w:val="22"/>
              </w:rPr>
            </w:pPr>
            <w:r w:rsidRPr="00D442F1">
              <w:rPr>
                <w:iCs/>
                <w:sz w:val="22"/>
                <w:szCs w:val="22"/>
              </w:rPr>
              <w:t>9.</w:t>
            </w:r>
            <w:r w:rsidRPr="00D442F1" w:rsidR="00371F22">
              <w:rPr>
                <w:iCs/>
                <w:sz w:val="22"/>
                <w:szCs w:val="22"/>
              </w:rPr>
              <w:t xml:space="preserve">00 </w:t>
            </w:r>
            <w:r w:rsidRPr="00D442F1">
              <w:rPr>
                <w:iCs/>
                <w:sz w:val="22"/>
                <w:szCs w:val="22"/>
              </w:rPr>
              <w:t xml:space="preserve">[5.78; </w:t>
            </w:r>
            <w:r w:rsidRPr="00D442F1" w:rsidR="00371F22">
              <w:rPr>
                <w:iCs/>
                <w:sz w:val="22"/>
                <w:szCs w:val="22"/>
              </w:rPr>
              <w:t>19</w:t>
            </w:r>
            <w:r w:rsidRPr="00D442F1">
              <w:rPr>
                <w:iCs/>
                <w:sz w:val="22"/>
                <w:szCs w:val="22"/>
              </w:rPr>
              <w:t>.8], 35</w:t>
            </w:r>
          </w:p>
        </w:tc>
        <w:tc>
          <w:tcPr>
            <w:tcW w:w="2444" w:type="dxa"/>
            <w:shd w:val="clear" w:color="auto" w:fill="auto"/>
          </w:tcPr>
          <w:p w:rsidR="003650EF" w:rsidRPr="00D442F1" w:rsidP="00371F22" w14:paraId="47EAE74D" w14:textId="63EE9AA0">
            <w:pPr>
              <w:pStyle w:val="CommentText"/>
              <w:keepNext/>
              <w:keepLines/>
              <w:widowControl w:val="0"/>
              <w:spacing w:line="240" w:lineRule="auto"/>
              <w:rPr>
                <w:iCs/>
                <w:sz w:val="22"/>
                <w:szCs w:val="22"/>
              </w:rPr>
            </w:pPr>
            <w:r w:rsidRPr="00D442F1">
              <w:rPr>
                <w:iCs/>
                <w:sz w:val="22"/>
                <w:szCs w:val="22"/>
              </w:rPr>
              <w:t>8.</w:t>
            </w:r>
            <w:r w:rsidRPr="00D442F1" w:rsidR="00371F22">
              <w:rPr>
                <w:iCs/>
                <w:sz w:val="22"/>
                <w:szCs w:val="22"/>
              </w:rPr>
              <w:t xml:space="preserve">84 </w:t>
            </w:r>
            <w:r w:rsidRPr="00D442F1">
              <w:rPr>
                <w:iCs/>
                <w:sz w:val="22"/>
                <w:szCs w:val="22"/>
              </w:rPr>
              <w:t xml:space="preserve">[3.04; 27.7], </w:t>
            </w:r>
            <w:r w:rsidRPr="00D442F1" w:rsidR="00371F22">
              <w:rPr>
                <w:iCs/>
                <w:sz w:val="22"/>
                <w:szCs w:val="22"/>
              </w:rPr>
              <w:t>65</w:t>
            </w:r>
          </w:p>
        </w:tc>
      </w:tr>
      <w:tr w14:paraId="422C56DF" w14:textId="77777777" w:rsidTr="005160BE">
        <w:tblPrEx>
          <w:tblW w:w="0" w:type="auto"/>
          <w:tblLook w:val="04A0"/>
        </w:tblPrEx>
        <w:tc>
          <w:tcPr>
            <w:tcW w:w="2361" w:type="dxa"/>
            <w:shd w:val="clear" w:color="auto" w:fill="auto"/>
          </w:tcPr>
          <w:p w:rsidR="003650EF" w:rsidRPr="00D442F1" w:rsidP="00166894" w14:paraId="501BA311" w14:textId="77777777">
            <w:pPr>
              <w:pStyle w:val="CommentText"/>
              <w:keepNext/>
              <w:keepLines/>
              <w:widowControl w:val="0"/>
              <w:spacing w:line="240" w:lineRule="auto"/>
              <w:rPr>
                <w:iCs/>
                <w:sz w:val="22"/>
                <w:szCs w:val="22"/>
              </w:rPr>
            </w:pPr>
            <w:r w:rsidRPr="00D442F1">
              <w:rPr>
                <w:iCs/>
                <w:sz w:val="22"/>
                <w:szCs w:val="22"/>
              </w:rPr>
              <w:t>AUC</w:t>
            </w:r>
            <w:r w:rsidRPr="00D442F1">
              <w:rPr>
                <w:iCs/>
                <w:sz w:val="22"/>
                <w:szCs w:val="22"/>
                <w:vertAlign w:val="subscript"/>
              </w:rPr>
              <w:t>0</w:t>
            </w:r>
            <w:r w:rsidRPr="00D442F1" w:rsidR="00591100">
              <w:rPr>
                <w:iCs/>
                <w:sz w:val="22"/>
                <w:szCs w:val="22"/>
                <w:vertAlign w:val="subscript"/>
              </w:rPr>
              <w:noBreakHyphen/>
            </w:r>
            <w:r w:rsidRPr="00D442F1">
              <w:rPr>
                <w:iCs/>
                <w:sz w:val="22"/>
                <w:szCs w:val="22"/>
                <w:vertAlign w:val="subscript"/>
              </w:rPr>
              <w:t xml:space="preserve">28d </w:t>
            </w:r>
            <w:r w:rsidRPr="00D442F1">
              <w:rPr>
                <w:iCs/>
                <w:sz w:val="22"/>
                <w:szCs w:val="22"/>
              </w:rPr>
              <w:t>(copies/</w:t>
            </w:r>
            <w:r w:rsidRPr="00D442F1">
              <w:rPr>
                <w:rStyle w:val="st1"/>
                <w:color w:val="545454"/>
                <w:sz w:val="22"/>
                <w:szCs w:val="22"/>
              </w:rPr>
              <w:t>μ</w:t>
            </w:r>
            <w:r w:rsidRPr="00D442F1">
              <w:rPr>
                <w:iCs/>
                <w:sz w:val="22"/>
                <w:szCs w:val="22"/>
              </w:rPr>
              <w:t>g*day)</w:t>
            </w:r>
          </w:p>
        </w:tc>
        <w:tc>
          <w:tcPr>
            <w:tcW w:w="2204" w:type="dxa"/>
            <w:shd w:val="clear" w:color="auto" w:fill="auto"/>
          </w:tcPr>
          <w:p w:rsidR="003650EF" w:rsidRPr="00D442F1" w:rsidP="00166894" w14:paraId="4F4BB285" w14:textId="77777777">
            <w:pPr>
              <w:pStyle w:val="CommentText"/>
              <w:keepNext/>
              <w:keepLines/>
              <w:widowControl w:val="0"/>
              <w:spacing w:line="240" w:lineRule="auto"/>
              <w:rPr>
                <w:iCs/>
                <w:sz w:val="22"/>
                <w:szCs w:val="22"/>
              </w:rPr>
            </w:pPr>
            <w:r w:rsidRPr="00D442F1">
              <w:rPr>
                <w:iCs/>
                <w:sz w:val="22"/>
                <w:szCs w:val="22"/>
              </w:rPr>
              <w:t>Geometric mean (CV%),</w:t>
            </w:r>
            <w:r w:rsidRPr="00D442F1" w:rsidR="00E901A2">
              <w:rPr>
                <w:iCs/>
                <w:sz w:val="22"/>
                <w:szCs w:val="22"/>
              </w:rPr>
              <w:t xml:space="preserve"> </w:t>
            </w:r>
            <w:r w:rsidRPr="00D442F1">
              <w:rPr>
                <w:iCs/>
                <w:sz w:val="22"/>
                <w:szCs w:val="22"/>
              </w:rPr>
              <w:t>n</w:t>
            </w:r>
          </w:p>
        </w:tc>
        <w:tc>
          <w:tcPr>
            <w:tcW w:w="2278" w:type="dxa"/>
            <w:shd w:val="clear" w:color="auto" w:fill="auto"/>
          </w:tcPr>
          <w:p w:rsidR="003650EF" w:rsidRPr="00D442F1" w:rsidP="00371F22" w14:paraId="260C6F03" w14:textId="6D555C0A">
            <w:pPr>
              <w:pStyle w:val="CommentText"/>
              <w:keepNext/>
              <w:keepLines/>
              <w:widowControl w:val="0"/>
              <w:spacing w:line="240" w:lineRule="auto"/>
              <w:rPr>
                <w:iCs/>
                <w:sz w:val="22"/>
                <w:szCs w:val="22"/>
              </w:rPr>
            </w:pPr>
            <w:r w:rsidRPr="00D442F1">
              <w:rPr>
                <w:iCs/>
                <w:sz w:val="22"/>
                <w:szCs w:val="22"/>
              </w:rPr>
              <w:t>61</w:t>
            </w:r>
            <w:r w:rsidRPr="00D442F1" w:rsidR="00A926B2">
              <w:rPr>
                <w:iCs/>
                <w:sz w:val="22"/>
                <w:szCs w:val="22"/>
              </w:rPr>
              <w:t>,</w:t>
            </w:r>
            <w:r w:rsidRPr="00D442F1">
              <w:rPr>
                <w:iCs/>
                <w:sz w:val="22"/>
                <w:szCs w:val="22"/>
              </w:rPr>
              <w:t xml:space="preserve">200 </w:t>
            </w:r>
            <w:r w:rsidRPr="00D442F1" w:rsidR="00423052">
              <w:rPr>
                <w:iCs/>
                <w:sz w:val="22"/>
                <w:szCs w:val="22"/>
              </w:rPr>
              <w:t>(</w:t>
            </w:r>
            <w:r w:rsidRPr="00D442F1">
              <w:rPr>
                <w:iCs/>
                <w:sz w:val="22"/>
                <w:szCs w:val="22"/>
              </w:rPr>
              <w:t>177</w:t>
            </w:r>
            <w:r w:rsidRPr="00D442F1" w:rsidR="00423052">
              <w:rPr>
                <w:iCs/>
                <w:sz w:val="22"/>
                <w:szCs w:val="22"/>
              </w:rPr>
              <w:t>.</w:t>
            </w:r>
            <w:r w:rsidRPr="00D442F1">
              <w:rPr>
                <w:iCs/>
                <w:sz w:val="22"/>
                <w:szCs w:val="22"/>
              </w:rPr>
              <w:t>7</w:t>
            </w:r>
            <w:r w:rsidRPr="00D442F1" w:rsidR="00423052">
              <w:rPr>
                <w:iCs/>
                <w:sz w:val="22"/>
                <w:szCs w:val="22"/>
              </w:rPr>
              <w:t xml:space="preserve">), </w:t>
            </w:r>
            <w:r w:rsidRPr="00D442F1">
              <w:rPr>
                <w:iCs/>
                <w:sz w:val="22"/>
                <w:szCs w:val="22"/>
              </w:rPr>
              <w:t>40</w:t>
            </w:r>
          </w:p>
        </w:tc>
        <w:tc>
          <w:tcPr>
            <w:tcW w:w="2444" w:type="dxa"/>
            <w:shd w:val="clear" w:color="auto" w:fill="auto"/>
          </w:tcPr>
          <w:p w:rsidR="003650EF" w:rsidRPr="00D442F1" w:rsidP="00371F22" w14:paraId="460B7FA2" w14:textId="77DCAF6F">
            <w:pPr>
              <w:pStyle w:val="CommentText"/>
              <w:keepNext/>
              <w:keepLines/>
              <w:widowControl w:val="0"/>
              <w:spacing w:line="240" w:lineRule="auto"/>
              <w:rPr>
                <w:iCs/>
                <w:sz w:val="22"/>
                <w:szCs w:val="22"/>
              </w:rPr>
            </w:pPr>
            <w:r w:rsidRPr="00D442F1">
              <w:rPr>
                <w:iCs/>
                <w:sz w:val="22"/>
                <w:szCs w:val="22"/>
              </w:rPr>
              <w:t>67</w:t>
            </w:r>
            <w:r w:rsidRPr="00D442F1" w:rsidR="00A926B2">
              <w:rPr>
                <w:iCs/>
                <w:sz w:val="22"/>
                <w:szCs w:val="22"/>
              </w:rPr>
              <w:t>,</w:t>
            </w:r>
            <w:r w:rsidRPr="00D442F1">
              <w:rPr>
                <w:iCs/>
                <w:sz w:val="22"/>
                <w:szCs w:val="22"/>
              </w:rPr>
              <w:t xml:space="preserve">000 </w:t>
            </w:r>
            <w:r w:rsidRPr="00D442F1" w:rsidR="00423052">
              <w:rPr>
                <w:iCs/>
                <w:sz w:val="22"/>
                <w:szCs w:val="22"/>
              </w:rPr>
              <w:t>(</w:t>
            </w:r>
            <w:r w:rsidRPr="00D442F1">
              <w:rPr>
                <w:iCs/>
                <w:sz w:val="22"/>
                <w:szCs w:val="22"/>
              </w:rPr>
              <w:t>275.2</w:t>
            </w:r>
            <w:r w:rsidRPr="00D442F1" w:rsidR="00423052">
              <w:rPr>
                <w:iCs/>
                <w:sz w:val="22"/>
                <w:szCs w:val="22"/>
              </w:rPr>
              <w:t xml:space="preserve">), </w:t>
            </w:r>
            <w:r w:rsidRPr="00D442F1">
              <w:rPr>
                <w:iCs/>
                <w:sz w:val="22"/>
                <w:szCs w:val="22"/>
              </w:rPr>
              <w:t>56</w:t>
            </w:r>
          </w:p>
        </w:tc>
      </w:tr>
      <w:tr w14:paraId="7B9D83EA" w14:textId="77777777" w:rsidTr="005160BE">
        <w:tblPrEx>
          <w:tblW w:w="0" w:type="auto"/>
          <w:tblLook w:val="04A0"/>
        </w:tblPrEx>
        <w:tc>
          <w:tcPr>
            <w:tcW w:w="2361" w:type="dxa"/>
            <w:shd w:val="clear" w:color="auto" w:fill="auto"/>
          </w:tcPr>
          <w:p w:rsidR="003650EF" w:rsidRPr="00D442F1" w:rsidP="00166894" w14:paraId="3A0D8DDE" w14:textId="77777777">
            <w:pPr>
              <w:pStyle w:val="CommentText"/>
              <w:keepNext/>
              <w:keepLines/>
              <w:widowControl w:val="0"/>
              <w:spacing w:line="240" w:lineRule="auto"/>
              <w:rPr>
                <w:iCs/>
                <w:sz w:val="22"/>
                <w:szCs w:val="22"/>
              </w:rPr>
            </w:pPr>
            <w:r w:rsidRPr="00D442F1">
              <w:rPr>
                <w:iCs/>
                <w:sz w:val="22"/>
                <w:szCs w:val="22"/>
              </w:rPr>
              <w:t>T</w:t>
            </w:r>
            <w:r w:rsidRPr="00D442F1">
              <w:rPr>
                <w:iCs/>
                <w:sz w:val="22"/>
                <w:szCs w:val="22"/>
                <w:vertAlign w:val="subscript"/>
              </w:rPr>
              <w:t>½</w:t>
            </w:r>
            <w:r w:rsidRPr="00D442F1">
              <w:rPr>
                <w:iCs/>
                <w:sz w:val="22"/>
                <w:szCs w:val="22"/>
              </w:rPr>
              <w:t xml:space="preserve"> (day)</w:t>
            </w:r>
          </w:p>
        </w:tc>
        <w:tc>
          <w:tcPr>
            <w:tcW w:w="2204" w:type="dxa"/>
            <w:shd w:val="clear" w:color="auto" w:fill="auto"/>
          </w:tcPr>
          <w:p w:rsidR="003650EF" w:rsidRPr="00D442F1" w:rsidP="00166894" w14:paraId="350843DB" w14:textId="77777777">
            <w:pPr>
              <w:pStyle w:val="CommentText"/>
              <w:keepNext/>
              <w:keepLines/>
              <w:widowControl w:val="0"/>
              <w:spacing w:line="240" w:lineRule="auto"/>
              <w:rPr>
                <w:iCs/>
                <w:sz w:val="22"/>
                <w:szCs w:val="22"/>
              </w:rPr>
            </w:pPr>
            <w:r w:rsidRPr="00D442F1">
              <w:rPr>
                <w:iCs/>
                <w:sz w:val="22"/>
                <w:szCs w:val="22"/>
              </w:rPr>
              <w:t>Geometric mean (CV%), n</w:t>
            </w:r>
          </w:p>
        </w:tc>
        <w:tc>
          <w:tcPr>
            <w:tcW w:w="2278" w:type="dxa"/>
            <w:shd w:val="clear" w:color="auto" w:fill="auto"/>
          </w:tcPr>
          <w:p w:rsidR="003650EF" w:rsidRPr="00D442F1" w:rsidP="00371F22" w14:paraId="192009F8" w14:textId="5FEA59A2">
            <w:pPr>
              <w:pStyle w:val="CommentText"/>
              <w:keepNext/>
              <w:keepLines/>
              <w:widowControl w:val="0"/>
              <w:spacing w:line="240" w:lineRule="auto"/>
              <w:rPr>
                <w:iCs/>
                <w:sz w:val="22"/>
                <w:szCs w:val="22"/>
              </w:rPr>
            </w:pPr>
            <w:r w:rsidRPr="00D442F1">
              <w:rPr>
                <w:iCs/>
                <w:sz w:val="22"/>
                <w:szCs w:val="22"/>
              </w:rPr>
              <w:t>129</w:t>
            </w:r>
            <w:r w:rsidRPr="00D442F1" w:rsidR="00423052">
              <w:rPr>
                <w:iCs/>
                <w:sz w:val="22"/>
                <w:szCs w:val="22"/>
              </w:rPr>
              <w:t xml:space="preserve"> (</w:t>
            </w:r>
            <w:r w:rsidRPr="00D442F1">
              <w:rPr>
                <w:iCs/>
                <w:sz w:val="22"/>
                <w:szCs w:val="22"/>
              </w:rPr>
              <w:t>199.2</w:t>
            </w:r>
            <w:r w:rsidRPr="00D442F1" w:rsidR="00423052">
              <w:rPr>
                <w:iCs/>
                <w:sz w:val="22"/>
                <w:szCs w:val="22"/>
              </w:rPr>
              <w:t xml:space="preserve">), </w:t>
            </w:r>
            <w:r w:rsidRPr="00D442F1">
              <w:rPr>
                <w:iCs/>
                <w:sz w:val="22"/>
                <w:szCs w:val="22"/>
              </w:rPr>
              <w:t>33</w:t>
            </w:r>
          </w:p>
        </w:tc>
        <w:tc>
          <w:tcPr>
            <w:tcW w:w="2444" w:type="dxa"/>
            <w:shd w:val="clear" w:color="auto" w:fill="auto"/>
          </w:tcPr>
          <w:p w:rsidR="003650EF" w:rsidRPr="00D442F1" w:rsidP="00371F22" w14:paraId="7D2B27A9" w14:textId="4966A66C">
            <w:pPr>
              <w:pStyle w:val="CommentText"/>
              <w:keepNext/>
              <w:keepLines/>
              <w:widowControl w:val="0"/>
              <w:spacing w:line="240" w:lineRule="auto"/>
              <w:rPr>
                <w:iCs/>
                <w:sz w:val="22"/>
                <w:szCs w:val="22"/>
              </w:rPr>
            </w:pPr>
            <w:r w:rsidRPr="00D442F1">
              <w:rPr>
                <w:iCs/>
                <w:sz w:val="22"/>
                <w:szCs w:val="22"/>
              </w:rPr>
              <w:t>14.7</w:t>
            </w:r>
            <w:r w:rsidRPr="00D442F1" w:rsidR="00423052">
              <w:rPr>
                <w:iCs/>
                <w:sz w:val="22"/>
                <w:szCs w:val="22"/>
              </w:rPr>
              <w:t xml:space="preserve"> (</w:t>
            </w:r>
            <w:r w:rsidRPr="00D442F1">
              <w:rPr>
                <w:iCs/>
                <w:sz w:val="22"/>
                <w:szCs w:val="22"/>
              </w:rPr>
              <w:t>147.1</w:t>
            </w:r>
            <w:r w:rsidRPr="00D442F1" w:rsidR="00423052">
              <w:rPr>
                <w:iCs/>
                <w:sz w:val="22"/>
                <w:szCs w:val="22"/>
              </w:rPr>
              <w:t xml:space="preserve">), </w:t>
            </w:r>
            <w:r w:rsidRPr="00D442F1">
              <w:rPr>
                <w:iCs/>
                <w:sz w:val="22"/>
                <w:szCs w:val="22"/>
              </w:rPr>
              <w:t>44</w:t>
            </w:r>
          </w:p>
        </w:tc>
      </w:tr>
      <w:tr w14:paraId="010B11F4" w14:textId="77777777" w:rsidTr="005160BE">
        <w:tblPrEx>
          <w:tblW w:w="0" w:type="auto"/>
          <w:tblLook w:val="04A0"/>
        </w:tblPrEx>
        <w:tc>
          <w:tcPr>
            <w:tcW w:w="2361" w:type="dxa"/>
            <w:tcBorders>
              <w:top w:val="single" w:sz="4" w:space="0" w:color="auto"/>
              <w:left w:val="single" w:sz="4" w:space="0" w:color="auto"/>
              <w:bottom w:val="single" w:sz="4" w:space="0" w:color="auto"/>
              <w:right w:val="single" w:sz="4" w:space="0" w:color="auto"/>
            </w:tcBorders>
            <w:shd w:val="clear" w:color="auto" w:fill="auto"/>
          </w:tcPr>
          <w:p w:rsidR="00423052" w:rsidRPr="00D442F1" w:rsidP="00166894" w14:paraId="64DA9C38" w14:textId="77777777">
            <w:pPr>
              <w:pStyle w:val="CommentText"/>
              <w:keepNext/>
              <w:keepLines/>
              <w:widowControl w:val="0"/>
              <w:spacing w:line="240" w:lineRule="auto"/>
              <w:rPr>
                <w:iCs/>
                <w:sz w:val="22"/>
                <w:szCs w:val="22"/>
              </w:rPr>
            </w:pPr>
            <w:r w:rsidRPr="00D442F1">
              <w:rPr>
                <w:iCs/>
                <w:sz w:val="22"/>
                <w:szCs w:val="22"/>
              </w:rPr>
              <w:t>T</w:t>
            </w:r>
            <w:r w:rsidRPr="00D442F1">
              <w:rPr>
                <w:iCs/>
                <w:sz w:val="22"/>
                <w:szCs w:val="22"/>
                <w:vertAlign w:val="subscript"/>
              </w:rPr>
              <w:t>last</w:t>
            </w:r>
          </w:p>
        </w:tc>
        <w:tc>
          <w:tcPr>
            <w:tcW w:w="2204" w:type="dxa"/>
            <w:tcBorders>
              <w:top w:val="single" w:sz="4" w:space="0" w:color="auto"/>
              <w:left w:val="single" w:sz="4" w:space="0" w:color="auto"/>
              <w:bottom w:val="single" w:sz="4" w:space="0" w:color="auto"/>
              <w:right w:val="single" w:sz="4" w:space="0" w:color="auto"/>
            </w:tcBorders>
            <w:shd w:val="clear" w:color="auto" w:fill="auto"/>
          </w:tcPr>
          <w:p w:rsidR="00423052" w:rsidRPr="00D442F1" w:rsidP="00166894" w14:paraId="31A8060F" w14:textId="77777777">
            <w:pPr>
              <w:pStyle w:val="CommentText"/>
              <w:keepNext/>
              <w:keepLines/>
              <w:widowControl w:val="0"/>
              <w:spacing w:line="240" w:lineRule="auto"/>
              <w:rPr>
                <w:iCs/>
                <w:sz w:val="22"/>
                <w:szCs w:val="22"/>
              </w:rPr>
            </w:pPr>
            <w:r w:rsidRPr="00D442F1">
              <w:rPr>
                <w:iCs/>
                <w:sz w:val="22"/>
                <w:szCs w:val="22"/>
              </w:rPr>
              <w:t>Median [min;max], n</w:t>
            </w:r>
          </w:p>
        </w:tc>
        <w:tc>
          <w:tcPr>
            <w:tcW w:w="2278" w:type="dxa"/>
            <w:tcBorders>
              <w:top w:val="single" w:sz="4" w:space="0" w:color="auto"/>
              <w:left w:val="single" w:sz="4" w:space="0" w:color="auto"/>
              <w:bottom w:val="single" w:sz="4" w:space="0" w:color="auto"/>
              <w:right w:val="single" w:sz="4" w:space="0" w:color="auto"/>
            </w:tcBorders>
            <w:shd w:val="clear" w:color="auto" w:fill="auto"/>
          </w:tcPr>
          <w:p w:rsidR="00423052" w:rsidRPr="00D442F1" w:rsidP="00371F22" w14:paraId="15FD2EA4" w14:textId="7AEB9F91">
            <w:pPr>
              <w:pStyle w:val="CommentText"/>
              <w:keepNext/>
              <w:keepLines/>
              <w:widowControl w:val="0"/>
              <w:spacing w:line="240" w:lineRule="auto"/>
              <w:rPr>
                <w:iCs/>
                <w:sz w:val="22"/>
                <w:szCs w:val="22"/>
              </w:rPr>
            </w:pPr>
            <w:r w:rsidRPr="00D442F1">
              <w:rPr>
                <w:iCs/>
                <w:sz w:val="22"/>
                <w:szCs w:val="22"/>
              </w:rPr>
              <w:t xml:space="preserve">551 </w:t>
            </w:r>
            <w:r w:rsidRPr="00D442F1">
              <w:rPr>
                <w:iCs/>
                <w:sz w:val="22"/>
                <w:szCs w:val="22"/>
              </w:rPr>
              <w:t>[</w:t>
            </w:r>
            <w:r w:rsidRPr="00D442F1">
              <w:rPr>
                <w:iCs/>
                <w:sz w:val="22"/>
                <w:szCs w:val="22"/>
              </w:rPr>
              <w:t>17.1</w:t>
            </w:r>
            <w:r w:rsidRPr="00D442F1">
              <w:rPr>
                <w:iCs/>
                <w:sz w:val="22"/>
                <w:szCs w:val="22"/>
              </w:rPr>
              <w:t xml:space="preserve">; </w:t>
            </w:r>
            <w:r w:rsidRPr="00D442F1">
              <w:rPr>
                <w:iCs/>
                <w:sz w:val="22"/>
                <w:szCs w:val="22"/>
              </w:rPr>
              <w:t>1030</w:t>
            </w:r>
            <w:r w:rsidRPr="00D442F1">
              <w:rPr>
                <w:iCs/>
                <w:sz w:val="22"/>
                <w:szCs w:val="22"/>
              </w:rPr>
              <w:t xml:space="preserve">], </w:t>
            </w:r>
            <w:r w:rsidRPr="00D442F1">
              <w:rPr>
                <w:iCs/>
                <w:sz w:val="22"/>
                <w:szCs w:val="22"/>
              </w:rPr>
              <w:t>43</w:t>
            </w:r>
          </w:p>
        </w:tc>
        <w:tc>
          <w:tcPr>
            <w:tcW w:w="2444" w:type="dxa"/>
            <w:tcBorders>
              <w:top w:val="single" w:sz="4" w:space="0" w:color="auto"/>
              <w:left w:val="single" w:sz="4" w:space="0" w:color="auto"/>
              <w:bottom w:val="single" w:sz="4" w:space="0" w:color="auto"/>
              <w:right w:val="single" w:sz="4" w:space="0" w:color="auto"/>
            </w:tcBorders>
            <w:shd w:val="clear" w:color="auto" w:fill="auto"/>
          </w:tcPr>
          <w:p w:rsidR="00423052" w:rsidRPr="00D442F1" w:rsidP="00371F22" w14:paraId="2CF2FE1B" w14:textId="617F23C1">
            <w:pPr>
              <w:pStyle w:val="CommentText"/>
              <w:keepNext/>
              <w:keepLines/>
              <w:widowControl w:val="0"/>
              <w:spacing w:line="240" w:lineRule="auto"/>
              <w:rPr>
                <w:iCs/>
                <w:sz w:val="22"/>
                <w:szCs w:val="22"/>
              </w:rPr>
            </w:pPr>
            <w:r w:rsidRPr="00D442F1">
              <w:rPr>
                <w:iCs/>
                <w:sz w:val="22"/>
                <w:szCs w:val="22"/>
              </w:rPr>
              <w:t>61.4</w:t>
            </w:r>
            <w:r w:rsidRPr="00D442F1">
              <w:rPr>
                <w:iCs/>
                <w:sz w:val="22"/>
                <w:szCs w:val="22"/>
              </w:rPr>
              <w:t xml:space="preserve"> [</w:t>
            </w:r>
            <w:r w:rsidRPr="00D442F1">
              <w:rPr>
                <w:iCs/>
                <w:sz w:val="22"/>
                <w:szCs w:val="22"/>
              </w:rPr>
              <w:t>19.8</w:t>
            </w:r>
            <w:r w:rsidRPr="00D442F1">
              <w:rPr>
                <w:iCs/>
                <w:sz w:val="22"/>
                <w:szCs w:val="22"/>
              </w:rPr>
              <w:t xml:space="preserve">; </w:t>
            </w:r>
            <w:r w:rsidRPr="00D442F1">
              <w:rPr>
                <w:iCs/>
                <w:sz w:val="22"/>
                <w:szCs w:val="22"/>
              </w:rPr>
              <w:t>685</w:t>
            </w:r>
            <w:r w:rsidRPr="00D442F1">
              <w:rPr>
                <w:iCs/>
                <w:sz w:val="22"/>
                <w:szCs w:val="22"/>
              </w:rPr>
              <w:t xml:space="preserve">], </w:t>
            </w:r>
            <w:r w:rsidRPr="00D442F1">
              <w:rPr>
                <w:iCs/>
                <w:sz w:val="22"/>
                <w:szCs w:val="22"/>
              </w:rPr>
              <w:t>56</w:t>
            </w:r>
          </w:p>
        </w:tc>
      </w:tr>
    </w:tbl>
    <w:p w:rsidR="003650EF" w:rsidRPr="00176BAE" w:rsidP="00166894" w14:paraId="20BC5D56" w14:textId="77777777">
      <w:pPr>
        <w:widowControl w:val="0"/>
        <w:spacing w:line="240" w:lineRule="auto"/>
        <w:rPr>
          <w:lang w:val="en-US"/>
        </w:rPr>
      </w:pPr>
    </w:p>
    <w:p w:rsidR="00812D16" w:rsidRPr="00D442F1" w:rsidP="00166894" w14:paraId="75557FB6" w14:textId="77777777">
      <w:pPr>
        <w:keepNext/>
        <w:widowControl w:val="0"/>
        <w:numPr>
          <w:ilvl w:val="12"/>
          <w:numId w:val="0"/>
        </w:numPr>
        <w:tabs>
          <w:tab w:val="clear" w:pos="567"/>
        </w:tabs>
        <w:spacing w:line="240" w:lineRule="auto"/>
        <w:rPr>
          <w:u w:val="single"/>
        </w:rPr>
      </w:pPr>
      <w:r w:rsidRPr="00D442F1">
        <w:rPr>
          <w:u w:val="single"/>
          <w:lang w:val="en-US"/>
        </w:rPr>
        <w:t>Dis</w:t>
      </w:r>
      <w:r w:rsidRPr="00D442F1">
        <w:rPr>
          <w:u w:val="single"/>
        </w:rPr>
        <w:t>tribution</w:t>
      </w:r>
    </w:p>
    <w:p w:rsidR="00CB2406" w:rsidRPr="00D442F1" w:rsidP="00166894" w14:paraId="6C115BCB" w14:textId="77777777">
      <w:pPr>
        <w:keepNext/>
        <w:widowControl w:val="0"/>
        <w:tabs>
          <w:tab w:val="clear" w:pos="567"/>
        </w:tabs>
        <w:spacing w:line="240" w:lineRule="auto"/>
        <w:outlineLvl w:val="0"/>
        <w:rPr>
          <w:szCs w:val="22"/>
        </w:rPr>
      </w:pPr>
    </w:p>
    <w:p w:rsidR="00EA1FCD" w:rsidRPr="00D442F1" w:rsidP="00166894" w14:paraId="70FB67EA" w14:textId="658B8AAA">
      <w:pPr>
        <w:widowControl w:val="0"/>
        <w:numPr>
          <w:ilvl w:val="12"/>
          <w:numId w:val="0"/>
        </w:numPr>
        <w:tabs>
          <w:tab w:val="clear" w:pos="567"/>
        </w:tabs>
        <w:spacing w:line="240" w:lineRule="auto"/>
        <w:ind w:right="-2"/>
      </w:pPr>
      <w:r w:rsidRPr="00D442F1">
        <w:t>In paediatric and young adult B</w:t>
      </w:r>
      <w:r w:rsidRPr="00D442F1" w:rsidR="00591100">
        <w:noBreakHyphen/>
      </w:r>
      <w:r w:rsidRPr="00D442F1">
        <w:t xml:space="preserve">cell ALL patients, </w:t>
      </w:r>
      <w:r w:rsidRPr="00D442F1" w:rsidR="00690450">
        <w:t xml:space="preserve">tisagenlecleucel </w:t>
      </w:r>
      <w:r w:rsidRPr="00D442F1" w:rsidR="000A796E">
        <w:t xml:space="preserve">has been shown to be present in the blood </w:t>
      </w:r>
      <w:r w:rsidRPr="00D442F1" w:rsidR="006C0303">
        <w:t>and</w:t>
      </w:r>
      <w:r w:rsidRPr="00D442F1" w:rsidR="00CB2406">
        <w:t xml:space="preserve"> bone marrow beyond 2 </w:t>
      </w:r>
      <w:r w:rsidRPr="00D442F1" w:rsidR="000A796E">
        <w:t xml:space="preserve">years. </w:t>
      </w:r>
      <w:r w:rsidRPr="00D442F1" w:rsidR="00DF7F06">
        <w:t>T</w:t>
      </w:r>
      <w:r w:rsidRPr="00D442F1" w:rsidR="006C5EED">
        <w:t>he blood to bone marrow partitioning</w:t>
      </w:r>
      <w:r w:rsidRPr="00D442F1" w:rsidR="00DF7F06">
        <w:t xml:space="preserve"> of </w:t>
      </w:r>
      <w:r w:rsidRPr="00D442F1" w:rsidR="00690450">
        <w:t xml:space="preserve">tisagenlecleucel </w:t>
      </w:r>
      <w:r w:rsidRPr="00D442F1" w:rsidR="006C5EED">
        <w:t xml:space="preserve">in bone marrow was </w:t>
      </w:r>
      <w:r w:rsidRPr="00D442F1" w:rsidR="00DF7F06">
        <w:t>47.2</w:t>
      </w:r>
      <w:r w:rsidRPr="00D442F1" w:rsidR="006C5EED">
        <w:t xml:space="preserve">% </w:t>
      </w:r>
      <w:r w:rsidRPr="00D442F1" w:rsidR="00CB2406">
        <w:t xml:space="preserve">of that present in blood at </w:t>
      </w:r>
      <w:r w:rsidRPr="00D442F1" w:rsidR="006C0303">
        <w:t>d</w:t>
      </w:r>
      <w:r w:rsidRPr="00D442F1" w:rsidR="00CB2406">
        <w:t xml:space="preserve">ay 28 while at </w:t>
      </w:r>
      <w:r w:rsidRPr="00D442F1" w:rsidR="006C0303">
        <w:t>m</w:t>
      </w:r>
      <w:r w:rsidRPr="00D442F1" w:rsidR="00CB2406">
        <w:t>onths </w:t>
      </w:r>
      <w:r w:rsidRPr="00D442F1" w:rsidR="006C5EED">
        <w:t>3 and 6 it distribute</w:t>
      </w:r>
      <w:r w:rsidRPr="00D442F1" w:rsidR="00DF7F06">
        <w:t>s</w:t>
      </w:r>
      <w:r w:rsidRPr="00D442F1" w:rsidR="006C5EED">
        <w:t xml:space="preserve"> at </w:t>
      </w:r>
      <w:r w:rsidRPr="00D442F1" w:rsidR="00DF7F06">
        <w:t>68.3</w:t>
      </w:r>
      <w:r w:rsidRPr="00D442F1" w:rsidR="006C5EED">
        <w:t xml:space="preserve">% and </w:t>
      </w:r>
      <w:r w:rsidRPr="00D442F1" w:rsidR="00DF7F06">
        <w:t>69</w:t>
      </w:r>
      <w:r w:rsidRPr="00D442F1" w:rsidR="006C5EED">
        <w:t>%, respectively</w:t>
      </w:r>
      <w:r w:rsidRPr="00D442F1" w:rsidR="00423052">
        <w:t xml:space="preserve"> (</w:t>
      </w:r>
      <w:r w:rsidRPr="00D442F1" w:rsidR="00423052">
        <w:rPr>
          <w:szCs w:val="22"/>
        </w:rPr>
        <w:t>Studies</w:t>
      </w:r>
      <w:r w:rsidRPr="00D442F1" w:rsidR="00574F93">
        <w:rPr>
          <w:szCs w:val="22"/>
        </w:rPr>
        <w:t> </w:t>
      </w:r>
      <w:r w:rsidRPr="00D442F1" w:rsidR="00423052">
        <w:rPr>
          <w:szCs w:val="22"/>
        </w:rPr>
        <w:t>B2202 and B2205J)</w:t>
      </w:r>
      <w:r w:rsidRPr="00D442F1" w:rsidR="006C5EED">
        <w:t xml:space="preserve">. </w:t>
      </w:r>
      <w:r w:rsidRPr="00D442F1" w:rsidR="005519E9">
        <w:rPr>
          <w:szCs w:val="22"/>
        </w:rPr>
        <w:t>T</w:t>
      </w:r>
      <w:r w:rsidRPr="00D442F1" w:rsidR="00690450">
        <w:t>isagenlecleucel</w:t>
      </w:r>
      <w:r w:rsidRPr="00D442F1" w:rsidR="00DF7F06">
        <w:t xml:space="preserve"> </w:t>
      </w:r>
      <w:r w:rsidRPr="00D442F1" w:rsidR="003B145E">
        <w:t>also</w:t>
      </w:r>
      <w:r w:rsidRPr="00D442F1" w:rsidR="00DF7F06">
        <w:t xml:space="preserve"> traffic</w:t>
      </w:r>
      <w:r w:rsidRPr="00D442F1" w:rsidR="00690450">
        <w:t>s</w:t>
      </w:r>
      <w:r w:rsidRPr="00D442F1" w:rsidR="00DF7F06">
        <w:t xml:space="preserve"> and persist</w:t>
      </w:r>
      <w:r w:rsidRPr="00D442F1" w:rsidR="00690450">
        <w:t>s</w:t>
      </w:r>
      <w:r w:rsidRPr="00D442F1" w:rsidR="003B145E">
        <w:t xml:space="preserve"> in cerebrospinal fluid in paediatric and young adult B</w:t>
      </w:r>
      <w:r w:rsidRPr="00D442F1" w:rsidR="00591100">
        <w:noBreakHyphen/>
      </w:r>
      <w:r w:rsidRPr="00D442F1" w:rsidR="003B145E">
        <w:t>cell ALL pati</w:t>
      </w:r>
      <w:r w:rsidRPr="00D442F1" w:rsidR="00CB2406">
        <w:t>ents (Study B2101J) for up to 1 </w:t>
      </w:r>
      <w:r w:rsidRPr="00D442F1" w:rsidR="003B145E">
        <w:t>year.</w:t>
      </w:r>
    </w:p>
    <w:p w:rsidR="009D00EB" w:rsidRPr="00D442F1" w:rsidP="00166894" w14:paraId="77CE6EDF" w14:textId="77777777">
      <w:pPr>
        <w:widowControl w:val="0"/>
        <w:numPr>
          <w:ilvl w:val="12"/>
          <w:numId w:val="0"/>
        </w:numPr>
        <w:tabs>
          <w:tab w:val="clear" w:pos="567"/>
        </w:tabs>
        <w:spacing w:line="240" w:lineRule="auto"/>
        <w:ind w:right="-2"/>
      </w:pPr>
    </w:p>
    <w:p w:rsidR="00CC2650" w:rsidRPr="00D442F1" w:rsidP="00166894" w14:paraId="45804C62" w14:textId="5DFB7E71">
      <w:pPr>
        <w:widowControl w:val="0"/>
        <w:numPr>
          <w:ilvl w:val="12"/>
          <w:numId w:val="0"/>
        </w:numPr>
        <w:tabs>
          <w:tab w:val="clear" w:pos="567"/>
        </w:tabs>
        <w:spacing w:line="240" w:lineRule="auto"/>
        <w:ind w:right="-2"/>
      </w:pPr>
      <w:r w:rsidRPr="00D442F1">
        <w:t xml:space="preserve">In </w:t>
      </w:r>
      <w:r w:rsidRPr="00D442F1" w:rsidR="00C55B4C">
        <w:t xml:space="preserve">adult </w:t>
      </w:r>
      <w:r w:rsidRPr="00D442F1">
        <w:t xml:space="preserve">DLBCL patients (Study C2201), </w:t>
      </w:r>
      <w:r w:rsidRPr="00D442F1" w:rsidR="00690450">
        <w:t>tisagenlecleucel</w:t>
      </w:r>
      <w:r w:rsidRPr="00D442F1" w:rsidR="00C8529F">
        <w:t xml:space="preserve"> </w:t>
      </w:r>
      <w:r w:rsidRPr="00D442F1" w:rsidR="00690450">
        <w:t xml:space="preserve">has </w:t>
      </w:r>
      <w:r w:rsidRPr="00D442F1" w:rsidR="00C8529F">
        <w:t xml:space="preserve">been detected for up to </w:t>
      </w:r>
      <w:r w:rsidRPr="00D442F1" w:rsidR="00371F22">
        <w:t>3 </w:t>
      </w:r>
      <w:r w:rsidRPr="00D442F1">
        <w:t>year</w:t>
      </w:r>
      <w:r w:rsidRPr="00D442F1" w:rsidR="00423052">
        <w:t xml:space="preserve">s </w:t>
      </w:r>
      <w:r w:rsidRPr="00D442F1">
        <w:t>in p</w:t>
      </w:r>
      <w:r w:rsidRPr="00D442F1" w:rsidR="00C8529F">
        <w:t>eripheral blood and up to month </w:t>
      </w:r>
      <w:r w:rsidRPr="00D442F1" w:rsidR="003B145E">
        <w:t>9</w:t>
      </w:r>
      <w:r w:rsidRPr="00D442F1">
        <w:t xml:space="preserve"> in bone marrow for complete responder patients. The blood to bone marrow partitioning in bone marrow was nearly 70% </w:t>
      </w:r>
      <w:r w:rsidRPr="00D442F1" w:rsidR="00C8529F">
        <w:t xml:space="preserve">of that present in blood at </w:t>
      </w:r>
      <w:r w:rsidRPr="00D442F1" w:rsidR="006C0303">
        <w:t>d</w:t>
      </w:r>
      <w:r w:rsidRPr="00D442F1" w:rsidR="00C8529F">
        <w:t>ay </w:t>
      </w:r>
      <w:r w:rsidRPr="00D442F1">
        <w:t xml:space="preserve">28 </w:t>
      </w:r>
      <w:r w:rsidRPr="00D442F1" w:rsidR="00C8529F">
        <w:t>and 50% at month </w:t>
      </w:r>
      <w:r w:rsidRPr="00D442F1" w:rsidR="00DF7F06">
        <w:t xml:space="preserve">3 </w:t>
      </w:r>
      <w:r w:rsidRPr="00D442F1">
        <w:t>in both responder and non</w:t>
      </w:r>
      <w:r w:rsidRPr="00D442F1" w:rsidR="00591100">
        <w:noBreakHyphen/>
      </w:r>
      <w:r w:rsidRPr="00D442F1">
        <w:t>responder patients.</w:t>
      </w:r>
    </w:p>
    <w:p w:rsidR="009D00EB" w:rsidRPr="00D442F1" w:rsidP="00166894" w14:paraId="65FF30AE" w14:textId="77777777">
      <w:pPr>
        <w:widowControl w:val="0"/>
        <w:numPr>
          <w:ilvl w:val="12"/>
          <w:numId w:val="0"/>
        </w:numPr>
        <w:tabs>
          <w:tab w:val="clear" w:pos="567"/>
        </w:tabs>
        <w:spacing w:line="240" w:lineRule="auto"/>
        <w:ind w:right="-2"/>
      </w:pPr>
    </w:p>
    <w:p w:rsidR="00223E2B" w:rsidRPr="00D442F1" w:rsidP="00166894" w14:paraId="09FB5E54" w14:textId="77777777">
      <w:pPr>
        <w:keepNext/>
        <w:widowControl w:val="0"/>
        <w:numPr>
          <w:ilvl w:val="12"/>
          <w:numId w:val="0"/>
        </w:numPr>
        <w:tabs>
          <w:tab w:val="clear" w:pos="567"/>
        </w:tabs>
        <w:spacing w:line="240" w:lineRule="auto"/>
        <w:ind w:right="-2"/>
        <w:rPr>
          <w:u w:val="single"/>
        </w:rPr>
      </w:pPr>
      <w:r w:rsidRPr="00D442F1">
        <w:rPr>
          <w:u w:val="single"/>
        </w:rPr>
        <w:t>Elimination</w:t>
      </w:r>
    </w:p>
    <w:p w:rsidR="00C8529F" w:rsidRPr="00D442F1" w:rsidP="00166894" w14:paraId="0B5E6B33" w14:textId="77777777">
      <w:pPr>
        <w:keepNext/>
        <w:widowControl w:val="0"/>
        <w:tabs>
          <w:tab w:val="clear" w:pos="567"/>
        </w:tabs>
        <w:spacing w:line="240" w:lineRule="auto"/>
        <w:outlineLvl w:val="0"/>
        <w:rPr>
          <w:szCs w:val="22"/>
        </w:rPr>
      </w:pPr>
    </w:p>
    <w:p w:rsidR="00C8529F" w:rsidRPr="00D442F1" w:rsidP="00166894" w14:paraId="40433D39" w14:textId="77777777">
      <w:pPr>
        <w:widowControl w:val="0"/>
        <w:numPr>
          <w:ilvl w:val="12"/>
          <w:numId w:val="0"/>
        </w:numPr>
        <w:tabs>
          <w:tab w:val="clear" w:pos="567"/>
        </w:tabs>
        <w:spacing w:line="240" w:lineRule="auto"/>
        <w:ind w:right="-2"/>
      </w:pPr>
      <w:r w:rsidRPr="00D442F1">
        <w:t>T</w:t>
      </w:r>
      <w:r w:rsidRPr="00D442F1" w:rsidR="00F05A8C">
        <w:t xml:space="preserve">he elimination profile of Kymriah includes a </w:t>
      </w:r>
      <w:r w:rsidRPr="00D442F1" w:rsidR="00C63AC2">
        <w:t>bi</w:t>
      </w:r>
      <w:r w:rsidRPr="00D442F1" w:rsidR="00591100">
        <w:noBreakHyphen/>
      </w:r>
      <w:r w:rsidRPr="00D442F1" w:rsidR="00C63AC2">
        <w:t>exponential decline in peripheral blood and bone marrow.</w:t>
      </w:r>
    </w:p>
    <w:p w:rsidR="00F05A8C" w:rsidRPr="00D442F1" w:rsidP="00166894" w14:paraId="6E90884C" w14:textId="77777777">
      <w:pPr>
        <w:widowControl w:val="0"/>
        <w:numPr>
          <w:ilvl w:val="12"/>
          <w:numId w:val="0"/>
        </w:numPr>
        <w:tabs>
          <w:tab w:val="clear" w:pos="567"/>
        </w:tabs>
        <w:spacing w:line="240" w:lineRule="auto"/>
        <w:ind w:right="-2"/>
      </w:pPr>
    </w:p>
    <w:p w:rsidR="00223E2B" w:rsidRPr="00D442F1" w:rsidP="00166894" w14:paraId="39C9CE96" w14:textId="77777777">
      <w:pPr>
        <w:keepNext/>
        <w:widowControl w:val="0"/>
        <w:numPr>
          <w:ilvl w:val="12"/>
          <w:numId w:val="0"/>
        </w:numPr>
        <w:tabs>
          <w:tab w:val="clear" w:pos="567"/>
        </w:tabs>
        <w:spacing w:line="240" w:lineRule="auto"/>
        <w:ind w:right="-2"/>
        <w:rPr>
          <w:iCs/>
          <w:noProof/>
          <w:szCs w:val="22"/>
          <w:u w:val="single"/>
        </w:rPr>
      </w:pPr>
      <w:r w:rsidRPr="00D442F1">
        <w:rPr>
          <w:iCs/>
          <w:noProof/>
          <w:szCs w:val="22"/>
          <w:u w:val="single"/>
        </w:rPr>
        <w:t>Linearity/non</w:t>
      </w:r>
      <w:r w:rsidRPr="00D442F1" w:rsidR="00591100">
        <w:rPr>
          <w:iCs/>
          <w:noProof/>
          <w:szCs w:val="22"/>
          <w:u w:val="single"/>
        </w:rPr>
        <w:noBreakHyphen/>
      </w:r>
      <w:r w:rsidRPr="00D442F1">
        <w:rPr>
          <w:iCs/>
          <w:noProof/>
          <w:szCs w:val="22"/>
          <w:u w:val="single"/>
        </w:rPr>
        <w:t>linearity</w:t>
      </w:r>
    </w:p>
    <w:p w:rsidR="00C8529F" w:rsidRPr="00D442F1" w:rsidP="00166894" w14:paraId="0E071774" w14:textId="77777777">
      <w:pPr>
        <w:keepNext/>
        <w:widowControl w:val="0"/>
        <w:tabs>
          <w:tab w:val="clear" w:pos="567"/>
        </w:tabs>
        <w:spacing w:line="240" w:lineRule="auto"/>
        <w:outlineLvl w:val="0"/>
        <w:rPr>
          <w:szCs w:val="22"/>
        </w:rPr>
      </w:pPr>
    </w:p>
    <w:p w:rsidR="009159A3" w:rsidRPr="00D442F1" w:rsidP="00166894" w14:paraId="411B7124" w14:textId="77777777">
      <w:pPr>
        <w:widowControl w:val="0"/>
        <w:numPr>
          <w:ilvl w:val="12"/>
          <w:numId w:val="0"/>
        </w:numPr>
        <w:tabs>
          <w:tab w:val="clear" w:pos="567"/>
        </w:tabs>
        <w:spacing w:line="240" w:lineRule="auto"/>
        <w:ind w:right="-2"/>
      </w:pPr>
      <w:r w:rsidRPr="00D442F1">
        <w:t>T</w:t>
      </w:r>
      <w:r w:rsidRPr="00D442F1" w:rsidR="002A3ED6">
        <w:t>here is no apparent relationship</w:t>
      </w:r>
      <w:r w:rsidRPr="00D442F1" w:rsidR="00574F93">
        <w:t xml:space="preserve"> between dose and</w:t>
      </w:r>
      <w:r w:rsidRPr="00D442F1" w:rsidR="002A3ED6">
        <w:t xml:space="preserve"> AUC</w:t>
      </w:r>
      <w:r w:rsidRPr="00D442F1" w:rsidR="002A3ED6">
        <w:rPr>
          <w:vertAlign w:val="subscript"/>
        </w:rPr>
        <w:t>0</w:t>
      </w:r>
      <w:r w:rsidRPr="00D442F1" w:rsidR="00591100">
        <w:rPr>
          <w:vertAlign w:val="subscript"/>
        </w:rPr>
        <w:noBreakHyphen/>
      </w:r>
      <w:r w:rsidRPr="00D442F1" w:rsidR="002A3ED6">
        <w:rPr>
          <w:vertAlign w:val="subscript"/>
        </w:rPr>
        <w:t>28d</w:t>
      </w:r>
      <w:r w:rsidRPr="00D442F1" w:rsidR="002A3ED6">
        <w:t xml:space="preserve"> </w:t>
      </w:r>
      <w:r w:rsidRPr="00D442F1" w:rsidR="00574F93">
        <w:t>or</w:t>
      </w:r>
      <w:r w:rsidRPr="00D442F1" w:rsidR="002A3ED6">
        <w:t xml:space="preserve"> C</w:t>
      </w:r>
      <w:r w:rsidRPr="00D442F1" w:rsidR="002A3ED6">
        <w:rPr>
          <w:vertAlign w:val="subscript"/>
        </w:rPr>
        <w:t>max</w:t>
      </w:r>
      <w:r w:rsidRPr="00D442F1" w:rsidR="00C8529F">
        <w:t>.</w:t>
      </w:r>
    </w:p>
    <w:p w:rsidR="002A3ED6" w:rsidRPr="00D442F1" w:rsidP="00166894" w14:paraId="54D04E2A" w14:textId="77777777">
      <w:pPr>
        <w:widowControl w:val="0"/>
        <w:numPr>
          <w:ilvl w:val="12"/>
          <w:numId w:val="0"/>
        </w:numPr>
        <w:tabs>
          <w:tab w:val="clear" w:pos="567"/>
        </w:tabs>
        <w:spacing w:line="240" w:lineRule="auto"/>
        <w:ind w:right="-2"/>
        <w:rPr>
          <w:iCs/>
          <w:noProof/>
          <w:szCs w:val="22"/>
        </w:rPr>
      </w:pPr>
    </w:p>
    <w:p w:rsidR="0078096F" w:rsidRPr="00D442F1" w:rsidP="00166894" w14:paraId="5653842A" w14:textId="77777777">
      <w:pPr>
        <w:keepNext/>
        <w:widowControl w:val="0"/>
        <w:tabs>
          <w:tab w:val="clear" w:pos="567"/>
        </w:tabs>
        <w:autoSpaceDE w:val="0"/>
        <w:autoSpaceDN w:val="0"/>
        <w:adjustRightInd w:val="0"/>
        <w:spacing w:line="240" w:lineRule="auto"/>
        <w:rPr>
          <w:szCs w:val="22"/>
        </w:rPr>
      </w:pPr>
      <w:r w:rsidRPr="00D442F1">
        <w:rPr>
          <w:szCs w:val="22"/>
          <w:u w:val="single"/>
        </w:rPr>
        <w:t>Special populations</w:t>
      </w:r>
    </w:p>
    <w:p w:rsidR="0078096F" w:rsidRPr="00D442F1" w:rsidP="00166894" w14:paraId="5D02101B" w14:textId="77777777">
      <w:pPr>
        <w:keepNext/>
        <w:widowControl w:val="0"/>
        <w:tabs>
          <w:tab w:val="clear" w:pos="567"/>
        </w:tabs>
        <w:autoSpaceDE w:val="0"/>
        <w:autoSpaceDN w:val="0"/>
        <w:adjustRightInd w:val="0"/>
        <w:spacing w:line="240" w:lineRule="auto"/>
        <w:rPr>
          <w:szCs w:val="22"/>
        </w:rPr>
      </w:pPr>
    </w:p>
    <w:p w:rsidR="009159A3" w:rsidRPr="00D442F1" w:rsidP="00166894" w14:paraId="3330B546" w14:textId="77777777">
      <w:pPr>
        <w:keepNext/>
        <w:widowControl w:val="0"/>
        <w:tabs>
          <w:tab w:val="clear" w:pos="567"/>
        </w:tabs>
        <w:autoSpaceDE w:val="0"/>
        <w:autoSpaceDN w:val="0"/>
        <w:adjustRightInd w:val="0"/>
        <w:spacing w:line="240" w:lineRule="auto"/>
        <w:rPr>
          <w:i/>
          <w:szCs w:val="22"/>
          <w:u w:val="single"/>
        </w:rPr>
      </w:pPr>
      <w:r w:rsidRPr="00D442F1">
        <w:rPr>
          <w:i/>
          <w:szCs w:val="22"/>
          <w:u w:val="single"/>
        </w:rPr>
        <w:t>Elderly</w:t>
      </w:r>
    </w:p>
    <w:p w:rsidR="002A3ED6" w:rsidRPr="00D442F1" w:rsidP="00166894" w14:paraId="6EA7139F" w14:textId="77777777">
      <w:pPr>
        <w:widowControl w:val="0"/>
        <w:tabs>
          <w:tab w:val="clear" w:pos="567"/>
        </w:tabs>
        <w:spacing w:line="240" w:lineRule="auto"/>
      </w:pPr>
      <w:r w:rsidRPr="00D442F1">
        <w:t>The scatter plots of cellular kinetic parameters versus age</w:t>
      </w:r>
      <w:r w:rsidRPr="00D442F1" w:rsidR="00BA0C44">
        <w:t xml:space="preserve"> (22</w:t>
      </w:r>
      <w:r w:rsidRPr="00D442F1" w:rsidR="00175914">
        <w:noBreakHyphen/>
      </w:r>
      <w:r w:rsidRPr="00D442F1" w:rsidR="00BA0C44">
        <w:t>76</w:t>
      </w:r>
      <w:r w:rsidRPr="00D442F1" w:rsidR="00175914">
        <w:t> </w:t>
      </w:r>
      <w:r w:rsidRPr="00D442F1" w:rsidR="00BA0C44">
        <w:t>years)</w:t>
      </w:r>
      <w:r w:rsidRPr="00D442F1">
        <w:t xml:space="preserve"> revealed no relevant relationship between cellular kinetic parameters (AUC</w:t>
      </w:r>
      <w:r w:rsidRPr="00D442F1">
        <w:rPr>
          <w:vertAlign w:val="subscript"/>
        </w:rPr>
        <w:t>0</w:t>
      </w:r>
      <w:r w:rsidRPr="00D442F1" w:rsidR="00591100">
        <w:rPr>
          <w:vertAlign w:val="subscript"/>
        </w:rPr>
        <w:noBreakHyphen/>
      </w:r>
      <w:r w:rsidRPr="00D442F1">
        <w:rPr>
          <w:vertAlign w:val="subscript"/>
        </w:rPr>
        <w:t>28d</w:t>
      </w:r>
      <w:r w:rsidRPr="00D442F1">
        <w:t xml:space="preserve"> and C</w:t>
      </w:r>
      <w:r w:rsidRPr="00D442F1">
        <w:rPr>
          <w:vertAlign w:val="subscript"/>
        </w:rPr>
        <w:t>max</w:t>
      </w:r>
      <w:r w:rsidRPr="00D442F1">
        <w:t>) with age.</w:t>
      </w:r>
    </w:p>
    <w:p w:rsidR="009159A3" w:rsidRPr="00D442F1" w:rsidP="00166894" w14:paraId="1AA8A8C2" w14:textId="77777777">
      <w:pPr>
        <w:widowControl w:val="0"/>
        <w:tabs>
          <w:tab w:val="clear" w:pos="567"/>
        </w:tabs>
        <w:spacing w:line="240" w:lineRule="auto"/>
      </w:pPr>
    </w:p>
    <w:p w:rsidR="009159A3" w:rsidRPr="00D442F1" w:rsidP="00166894" w14:paraId="535EE6D4" w14:textId="77777777">
      <w:pPr>
        <w:keepNext/>
        <w:widowControl w:val="0"/>
        <w:tabs>
          <w:tab w:val="clear" w:pos="567"/>
        </w:tabs>
        <w:autoSpaceDE w:val="0"/>
        <w:autoSpaceDN w:val="0"/>
        <w:adjustRightInd w:val="0"/>
        <w:spacing w:line="240" w:lineRule="auto"/>
        <w:rPr>
          <w:i/>
          <w:szCs w:val="22"/>
          <w:u w:val="single"/>
        </w:rPr>
      </w:pPr>
      <w:r w:rsidRPr="00D442F1">
        <w:rPr>
          <w:i/>
          <w:szCs w:val="22"/>
          <w:u w:val="single"/>
        </w:rPr>
        <w:t>Gender</w:t>
      </w:r>
    </w:p>
    <w:p w:rsidR="009159A3" w:rsidRPr="00D442F1" w:rsidP="00166894" w14:paraId="7ACA305F" w14:textId="5BF5726D">
      <w:pPr>
        <w:widowControl w:val="0"/>
        <w:tabs>
          <w:tab w:val="clear" w:pos="567"/>
        </w:tabs>
        <w:autoSpaceDE w:val="0"/>
        <w:autoSpaceDN w:val="0"/>
        <w:adjustRightInd w:val="0"/>
        <w:spacing w:line="240" w:lineRule="auto"/>
      </w:pPr>
      <w:r w:rsidRPr="00D442F1">
        <w:t>Gender is not a significant characteristic influencing</w:t>
      </w:r>
      <w:r w:rsidRPr="00D442F1" w:rsidR="00867902">
        <w:t xml:space="preserve"> </w:t>
      </w:r>
      <w:r w:rsidRPr="00D442F1" w:rsidR="00864C24">
        <w:t>tisagenlecleucel</w:t>
      </w:r>
      <w:r w:rsidRPr="00D442F1">
        <w:t xml:space="preserve"> expansion in B</w:t>
      </w:r>
      <w:r w:rsidRPr="00D442F1" w:rsidR="00591100">
        <w:noBreakHyphen/>
      </w:r>
      <w:r w:rsidRPr="00D442F1">
        <w:t>cell ALL and DLBCL patients.</w:t>
      </w:r>
      <w:r w:rsidRPr="00D442F1" w:rsidR="00180AA8">
        <w:t xml:space="preserve"> In Study B2202, </w:t>
      </w:r>
      <w:r w:rsidRPr="00D442F1" w:rsidR="00371F22">
        <w:t xml:space="preserve">there were </w:t>
      </w:r>
      <w:r w:rsidRPr="00D442F1" w:rsidR="00180AA8">
        <w:t xml:space="preserve">43% female and 57% male patients and in Study C2201 </w:t>
      </w:r>
      <w:r w:rsidRPr="00D442F1" w:rsidR="004F0385">
        <w:t>38</w:t>
      </w:r>
      <w:r w:rsidRPr="00D442F1" w:rsidR="00180AA8">
        <w:t xml:space="preserve">% female and </w:t>
      </w:r>
      <w:r w:rsidRPr="00D442F1" w:rsidR="004F0385">
        <w:t>62</w:t>
      </w:r>
      <w:r w:rsidRPr="00D442F1" w:rsidR="00180AA8">
        <w:t xml:space="preserve">% male patients </w:t>
      </w:r>
      <w:r w:rsidRPr="00D442F1" w:rsidR="004F0385">
        <w:t xml:space="preserve">who </w:t>
      </w:r>
      <w:r w:rsidRPr="00D442F1" w:rsidR="00180AA8">
        <w:t>received Kymriah.</w:t>
      </w:r>
    </w:p>
    <w:p w:rsidR="009159A3" w:rsidRPr="00D442F1" w:rsidP="00166894" w14:paraId="39AEB927" w14:textId="77777777">
      <w:pPr>
        <w:widowControl w:val="0"/>
        <w:tabs>
          <w:tab w:val="clear" w:pos="567"/>
        </w:tabs>
        <w:autoSpaceDE w:val="0"/>
        <w:autoSpaceDN w:val="0"/>
        <w:adjustRightInd w:val="0"/>
        <w:spacing w:line="240" w:lineRule="auto"/>
      </w:pPr>
    </w:p>
    <w:p w:rsidR="009159A3" w:rsidRPr="00D442F1" w:rsidP="00166894" w14:paraId="7F01E4C1" w14:textId="77777777">
      <w:pPr>
        <w:keepNext/>
        <w:widowControl w:val="0"/>
        <w:tabs>
          <w:tab w:val="clear" w:pos="567"/>
        </w:tabs>
        <w:autoSpaceDE w:val="0"/>
        <w:autoSpaceDN w:val="0"/>
        <w:adjustRightInd w:val="0"/>
        <w:spacing w:line="240" w:lineRule="auto"/>
        <w:rPr>
          <w:i/>
          <w:szCs w:val="22"/>
          <w:u w:val="single"/>
        </w:rPr>
      </w:pPr>
      <w:r w:rsidRPr="00D442F1">
        <w:rPr>
          <w:i/>
          <w:szCs w:val="22"/>
          <w:u w:val="single"/>
        </w:rPr>
        <w:t>Race/ethnicity</w:t>
      </w:r>
    </w:p>
    <w:p w:rsidR="002A3ED6" w:rsidRPr="00D442F1" w:rsidP="00166894" w14:paraId="06B1CD48" w14:textId="0A0B20EB">
      <w:pPr>
        <w:widowControl w:val="0"/>
        <w:tabs>
          <w:tab w:val="clear" w:pos="567"/>
        </w:tabs>
        <w:spacing w:line="240" w:lineRule="auto"/>
      </w:pPr>
      <w:r w:rsidRPr="00D442F1">
        <w:t>T</w:t>
      </w:r>
      <w:r w:rsidRPr="00D442F1">
        <w:t>here is limited evidence that race/ethnicity impact the expansion of Kymriah in p</w:t>
      </w:r>
      <w:r w:rsidRPr="00D442F1" w:rsidR="006C0303">
        <w:t>a</w:t>
      </w:r>
      <w:r w:rsidRPr="00D442F1">
        <w:t xml:space="preserve">ediatric </w:t>
      </w:r>
      <w:r w:rsidRPr="00D442F1" w:rsidR="00C8529F">
        <w:t>and young adult ALL and DLBCL</w:t>
      </w:r>
      <w:r w:rsidRPr="00D442F1" w:rsidR="0044056D">
        <w:t xml:space="preserve"> patients</w:t>
      </w:r>
      <w:r w:rsidRPr="00D442F1" w:rsidR="00C8529F">
        <w:t>. I</w:t>
      </w:r>
      <w:r w:rsidRPr="00D442F1">
        <w:t xml:space="preserve">n </w:t>
      </w:r>
      <w:r w:rsidRPr="00D442F1" w:rsidR="00E13772">
        <w:t>Stud</w:t>
      </w:r>
      <w:r w:rsidR="00E13772">
        <w:t>y</w:t>
      </w:r>
      <w:r w:rsidRPr="00D442F1" w:rsidR="00E13772">
        <w:t xml:space="preserve"> </w:t>
      </w:r>
      <w:r w:rsidRPr="00D442F1">
        <w:t xml:space="preserve">B2202 there were </w:t>
      </w:r>
      <w:r w:rsidRPr="00D442F1" w:rsidR="004F0385">
        <w:t>73.4</w:t>
      </w:r>
      <w:r w:rsidRPr="00D442F1">
        <w:t xml:space="preserve">% Caucasian, </w:t>
      </w:r>
      <w:r w:rsidRPr="00D442F1" w:rsidR="004F0385">
        <w:t>12</w:t>
      </w:r>
      <w:r w:rsidRPr="00D442F1">
        <w:t>.7% Asian and 1</w:t>
      </w:r>
      <w:r w:rsidRPr="00D442F1" w:rsidR="004F0385">
        <w:t>3.9</w:t>
      </w:r>
      <w:r w:rsidRPr="00D442F1">
        <w:t>% other ethnic patients.</w:t>
      </w:r>
      <w:r w:rsidRPr="00D442F1" w:rsidR="00C8529F">
        <w:t xml:space="preserve"> </w:t>
      </w:r>
      <w:r w:rsidRPr="00D442F1">
        <w:t xml:space="preserve">In Study C2201 there were </w:t>
      </w:r>
      <w:r w:rsidRPr="00D442F1">
        <w:t>8</w:t>
      </w:r>
      <w:r w:rsidRPr="00D442F1" w:rsidR="004F0385">
        <w:t>5</w:t>
      </w:r>
      <w:r w:rsidRPr="00D442F1">
        <w:t xml:space="preserve">% </w:t>
      </w:r>
      <w:r w:rsidRPr="00D442F1" w:rsidR="00574F93">
        <w:t>Caucasian</w:t>
      </w:r>
      <w:r w:rsidRPr="00D442F1">
        <w:t xml:space="preserve">, </w:t>
      </w:r>
      <w:r w:rsidRPr="00D442F1" w:rsidR="004F0385">
        <w:t>9</w:t>
      </w:r>
      <w:r w:rsidRPr="00D442F1">
        <w:t xml:space="preserve">% Asian, 4% Black or African American patients, and </w:t>
      </w:r>
      <w:r w:rsidRPr="00D442F1" w:rsidR="0044056D">
        <w:t>3 </w:t>
      </w:r>
      <w:r w:rsidRPr="00D442F1" w:rsidR="00C8529F">
        <w:t>patient</w:t>
      </w:r>
      <w:r w:rsidRPr="00D442F1" w:rsidR="0044056D">
        <w:t>s</w:t>
      </w:r>
      <w:r w:rsidRPr="00D442F1" w:rsidR="00C8529F">
        <w:t xml:space="preserve"> (</w:t>
      </w:r>
      <w:r w:rsidRPr="00D442F1" w:rsidR="0044056D">
        <w:t>3</w:t>
      </w:r>
      <w:r w:rsidRPr="00D442F1" w:rsidR="00C8529F">
        <w:t xml:space="preserve">%) </w:t>
      </w:r>
      <w:r w:rsidRPr="00D442F1" w:rsidR="0044056D">
        <w:t>of</w:t>
      </w:r>
      <w:r w:rsidRPr="00D442F1" w:rsidR="00C8529F">
        <w:t xml:space="preserve"> unknown race.</w:t>
      </w:r>
    </w:p>
    <w:p w:rsidR="009159A3" w:rsidRPr="00D442F1" w:rsidP="00166894" w14:paraId="6E1CFEB9" w14:textId="77777777">
      <w:pPr>
        <w:widowControl w:val="0"/>
        <w:tabs>
          <w:tab w:val="clear" w:pos="567"/>
        </w:tabs>
        <w:spacing w:line="240" w:lineRule="auto"/>
      </w:pPr>
    </w:p>
    <w:p w:rsidR="009159A3" w:rsidRPr="00D442F1" w:rsidP="00166894" w14:paraId="6964E88E" w14:textId="77777777">
      <w:pPr>
        <w:keepNext/>
        <w:widowControl w:val="0"/>
        <w:tabs>
          <w:tab w:val="clear" w:pos="567"/>
        </w:tabs>
        <w:autoSpaceDE w:val="0"/>
        <w:autoSpaceDN w:val="0"/>
        <w:adjustRightInd w:val="0"/>
        <w:spacing w:line="240" w:lineRule="auto"/>
        <w:rPr>
          <w:i/>
          <w:szCs w:val="22"/>
          <w:u w:val="single"/>
        </w:rPr>
      </w:pPr>
      <w:r w:rsidRPr="00D442F1">
        <w:rPr>
          <w:i/>
          <w:szCs w:val="22"/>
          <w:u w:val="single"/>
        </w:rPr>
        <w:t>Body weight</w:t>
      </w:r>
    </w:p>
    <w:p w:rsidR="009159A3" w:rsidRPr="00D442F1" w:rsidP="00166894" w14:paraId="5F3A7869" w14:textId="01294580">
      <w:pPr>
        <w:widowControl w:val="0"/>
        <w:tabs>
          <w:tab w:val="clear" w:pos="567"/>
        </w:tabs>
        <w:autoSpaceDE w:val="0"/>
        <w:autoSpaceDN w:val="0"/>
        <w:adjustRightInd w:val="0"/>
        <w:spacing w:line="240" w:lineRule="auto"/>
        <w:rPr>
          <w:szCs w:val="22"/>
        </w:rPr>
      </w:pPr>
      <w:r w:rsidRPr="00D442F1">
        <w:rPr>
          <w:szCs w:val="22"/>
        </w:rPr>
        <w:t xml:space="preserve">In </w:t>
      </w:r>
      <w:r w:rsidRPr="00D442F1" w:rsidR="004F0385">
        <w:rPr>
          <w:szCs w:val="22"/>
        </w:rPr>
        <w:t xml:space="preserve">ALL and </w:t>
      </w:r>
      <w:r w:rsidRPr="00D442F1">
        <w:rPr>
          <w:szCs w:val="22"/>
        </w:rPr>
        <w:t>DLBCL patients, across t</w:t>
      </w:r>
      <w:r w:rsidRPr="00D442F1" w:rsidR="00C8529F">
        <w:rPr>
          <w:szCs w:val="22"/>
        </w:rPr>
        <w:t>he weight ranges (</w:t>
      </w:r>
      <w:r w:rsidRPr="00D442F1" w:rsidR="004F0385">
        <w:rPr>
          <w:szCs w:val="22"/>
        </w:rPr>
        <w:t>ALL; 14.4 to 137</w:t>
      </w:r>
      <w:r w:rsidRPr="00D442F1" w:rsidR="00A71FE3">
        <w:rPr>
          <w:szCs w:val="22"/>
        </w:rPr>
        <w:t> </w:t>
      </w:r>
      <w:r w:rsidRPr="00D442F1" w:rsidR="004F0385">
        <w:rPr>
          <w:szCs w:val="22"/>
        </w:rPr>
        <w:t xml:space="preserve">kg; DLBCL: </w:t>
      </w:r>
      <w:r w:rsidRPr="00D442F1" w:rsidR="00C8529F">
        <w:rPr>
          <w:szCs w:val="22"/>
        </w:rPr>
        <w:t>38.4 to 186.7 </w:t>
      </w:r>
      <w:r w:rsidRPr="00D442F1">
        <w:rPr>
          <w:szCs w:val="22"/>
        </w:rPr>
        <w:t>kg), the scatter plots of qPCR cellular kinetic parameters versus weight revealed no apparent relationship between cellular kinetic parameters with weight.</w:t>
      </w:r>
    </w:p>
    <w:p w:rsidR="008B0B2D" w:rsidRPr="00D442F1" w:rsidP="00166894" w14:paraId="612A3267" w14:textId="77777777">
      <w:pPr>
        <w:widowControl w:val="0"/>
        <w:tabs>
          <w:tab w:val="clear" w:pos="567"/>
        </w:tabs>
        <w:autoSpaceDE w:val="0"/>
        <w:autoSpaceDN w:val="0"/>
        <w:adjustRightInd w:val="0"/>
        <w:spacing w:line="240" w:lineRule="auto"/>
        <w:rPr>
          <w:szCs w:val="22"/>
        </w:rPr>
      </w:pPr>
    </w:p>
    <w:p w:rsidR="008B0B2D" w:rsidRPr="00D442F1" w:rsidP="00166894" w14:paraId="2ADC8697" w14:textId="77777777">
      <w:pPr>
        <w:keepNext/>
        <w:widowControl w:val="0"/>
        <w:tabs>
          <w:tab w:val="clear" w:pos="567"/>
        </w:tabs>
        <w:autoSpaceDE w:val="0"/>
        <w:autoSpaceDN w:val="0"/>
        <w:adjustRightInd w:val="0"/>
        <w:spacing w:line="240" w:lineRule="auto"/>
        <w:rPr>
          <w:i/>
          <w:szCs w:val="22"/>
          <w:u w:val="single"/>
        </w:rPr>
      </w:pPr>
      <w:r w:rsidRPr="00D442F1">
        <w:rPr>
          <w:i/>
          <w:szCs w:val="22"/>
          <w:u w:val="single"/>
        </w:rPr>
        <w:t>Prior transplantation</w:t>
      </w:r>
    </w:p>
    <w:p w:rsidR="004F571F" w:rsidRPr="00D442F1" w:rsidP="00166894" w14:paraId="69241B48" w14:textId="77777777">
      <w:pPr>
        <w:widowControl w:val="0"/>
        <w:numPr>
          <w:ilvl w:val="12"/>
          <w:numId w:val="0"/>
        </w:numPr>
        <w:tabs>
          <w:tab w:val="clear" w:pos="567"/>
        </w:tabs>
        <w:spacing w:line="240" w:lineRule="auto"/>
        <w:ind w:right="-2"/>
        <w:rPr>
          <w:szCs w:val="22"/>
        </w:rPr>
      </w:pPr>
      <w:r w:rsidRPr="00D442F1">
        <w:rPr>
          <w:szCs w:val="22"/>
        </w:rPr>
        <w:t xml:space="preserve">Prior transplantation did not impact the expansion/persistence of </w:t>
      </w:r>
      <w:r w:rsidRPr="00D442F1" w:rsidR="008E290A">
        <w:rPr>
          <w:szCs w:val="22"/>
        </w:rPr>
        <w:t xml:space="preserve">Kymriah </w:t>
      </w:r>
      <w:r w:rsidRPr="00D442F1">
        <w:rPr>
          <w:szCs w:val="22"/>
        </w:rPr>
        <w:t>in paediatric and young adult B</w:t>
      </w:r>
      <w:r w:rsidRPr="00D442F1" w:rsidR="00591100">
        <w:rPr>
          <w:szCs w:val="22"/>
        </w:rPr>
        <w:noBreakHyphen/>
      </w:r>
      <w:r w:rsidRPr="00D442F1">
        <w:rPr>
          <w:szCs w:val="22"/>
        </w:rPr>
        <w:t>Cell ALL patients or DLBCL patients.</w:t>
      </w:r>
    </w:p>
    <w:p w:rsidR="0044056D" w:rsidRPr="00D442F1" w:rsidP="00166894" w14:paraId="29377D7D" w14:textId="77777777">
      <w:pPr>
        <w:widowControl w:val="0"/>
        <w:numPr>
          <w:ilvl w:val="12"/>
          <w:numId w:val="0"/>
        </w:numPr>
        <w:tabs>
          <w:tab w:val="clear" w:pos="567"/>
        </w:tabs>
        <w:spacing w:line="240" w:lineRule="auto"/>
        <w:ind w:right="-2"/>
        <w:rPr>
          <w:rFonts w:eastAsia="MS Mincho"/>
          <w:szCs w:val="22"/>
          <w:lang w:eastAsia="zh-CN"/>
        </w:rPr>
      </w:pPr>
    </w:p>
    <w:p w:rsidR="00812D16" w:rsidRPr="00D442F1" w:rsidP="00166894" w14:paraId="50D5E034" w14:textId="77777777">
      <w:pPr>
        <w:keepNext/>
        <w:widowControl w:val="0"/>
        <w:tabs>
          <w:tab w:val="clear" w:pos="567"/>
        </w:tabs>
        <w:spacing w:line="240" w:lineRule="auto"/>
        <w:ind w:left="567" w:hanging="567"/>
        <w:outlineLvl w:val="0"/>
        <w:rPr>
          <w:noProof/>
          <w:szCs w:val="22"/>
        </w:rPr>
      </w:pPr>
      <w:r w:rsidRPr="00D442F1">
        <w:rPr>
          <w:b/>
          <w:noProof/>
          <w:szCs w:val="22"/>
        </w:rPr>
        <w:t>5.3</w:t>
      </w:r>
      <w:r w:rsidRPr="00D442F1">
        <w:rPr>
          <w:b/>
          <w:noProof/>
          <w:szCs w:val="22"/>
        </w:rPr>
        <w:tab/>
        <w:t>Preclinical safety data</w:t>
      </w:r>
    </w:p>
    <w:p w:rsidR="00812D16" w:rsidRPr="00D442F1" w:rsidP="00166894" w14:paraId="380702C8" w14:textId="77777777">
      <w:pPr>
        <w:keepNext/>
        <w:widowControl w:val="0"/>
        <w:tabs>
          <w:tab w:val="clear" w:pos="567"/>
        </w:tabs>
        <w:spacing w:line="240" w:lineRule="auto"/>
        <w:rPr>
          <w:noProof/>
          <w:szCs w:val="22"/>
        </w:rPr>
      </w:pPr>
    </w:p>
    <w:p w:rsidR="000E1754" w:rsidRPr="00D442F1" w:rsidP="00166894" w14:paraId="00028EF9" w14:textId="77777777">
      <w:pPr>
        <w:widowControl w:val="0"/>
        <w:tabs>
          <w:tab w:val="clear" w:pos="567"/>
        </w:tabs>
        <w:spacing w:line="240" w:lineRule="auto"/>
        <w:rPr>
          <w:noProof/>
          <w:szCs w:val="22"/>
        </w:rPr>
      </w:pPr>
      <w:r w:rsidRPr="00D442F1">
        <w:rPr>
          <w:noProof/>
          <w:szCs w:val="22"/>
        </w:rPr>
        <w:t>Non</w:t>
      </w:r>
      <w:r w:rsidRPr="00D442F1" w:rsidR="00591100">
        <w:rPr>
          <w:noProof/>
          <w:szCs w:val="22"/>
        </w:rPr>
        <w:noBreakHyphen/>
      </w:r>
      <w:r w:rsidRPr="00D442F1">
        <w:rPr>
          <w:noProof/>
          <w:szCs w:val="22"/>
        </w:rPr>
        <w:t xml:space="preserve">clinical safety assessment </w:t>
      </w:r>
      <w:r w:rsidRPr="00D442F1" w:rsidR="004D79A7">
        <w:rPr>
          <w:noProof/>
          <w:szCs w:val="22"/>
        </w:rPr>
        <w:t xml:space="preserve">of Kymriah </w:t>
      </w:r>
      <w:r w:rsidRPr="00D442F1">
        <w:rPr>
          <w:noProof/>
          <w:szCs w:val="22"/>
        </w:rPr>
        <w:t>addressed the safety concerns of potential uncontrolled cell growth of transduced T</w:t>
      </w:r>
      <w:r w:rsidRPr="00D442F1" w:rsidR="00656AD8">
        <w:rPr>
          <w:noProof/>
          <w:szCs w:val="22"/>
        </w:rPr>
        <w:t xml:space="preserve"> </w:t>
      </w:r>
      <w:r w:rsidRPr="00D442F1">
        <w:rPr>
          <w:noProof/>
          <w:szCs w:val="22"/>
        </w:rPr>
        <w:t xml:space="preserve">cells </w:t>
      </w:r>
      <w:r w:rsidRPr="00D442F1">
        <w:rPr>
          <w:i/>
          <w:noProof/>
          <w:szCs w:val="22"/>
        </w:rPr>
        <w:t>in vitro</w:t>
      </w:r>
      <w:r w:rsidRPr="00D442F1">
        <w:rPr>
          <w:noProof/>
          <w:szCs w:val="22"/>
        </w:rPr>
        <w:t xml:space="preserve"> and </w:t>
      </w:r>
      <w:r w:rsidRPr="00D442F1">
        <w:rPr>
          <w:i/>
          <w:noProof/>
          <w:szCs w:val="22"/>
        </w:rPr>
        <w:t>in vivo</w:t>
      </w:r>
      <w:r w:rsidRPr="00D442F1">
        <w:rPr>
          <w:noProof/>
          <w:szCs w:val="22"/>
        </w:rPr>
        <w:t xml:space="preserve"> as well as dose</w:t>
      </w:r>
      <w:r w:rsidRPr="00D442F1" w:rsidR="00591100">
        <w:rPr>
          <w:noProof/>
          <w:szCs w:val="22"/>
        </w:rPr>
        <w:noBreakHyphen/>
      </w:r>
      <w:r w:rsidRPr="00D442F1">
        <w:rPr>
          <w:noProof/>
          <w:szCs w:val="22"/>
        </w:rPr>
        <w:t>related toxicity, biodistribution and persistence. No such risks were identified based on these studies.</w:t>
      </w:r>
    </w:p>
    <w:p w:rsidR="000E1754" w:rsidRPr="00D442F1" w:rsidP="00166894" w14:paraId="7D33918A" w14:textId="77777777">
      <w:pPr>
        <w:widowControl w:val="0"/>
        <w:tabs>
          <w:tab w:val="clear" w:pos="567"/>
        </w:tabs>
        <w:spacing w:line="240" w:lineRule="auto"/>
        <w:rPr>
          <w:noProof/>
          <w:szCs w:val="22"/>
        </w:rPr>
      </w:pPr>
    </w:p>
    <w:p w:rsidR="00223E2B" w:rsidRPr="00D442F1" w:rsidP="00166894" w14:paraId="3E6345FB" w14:textId="77777777">
      <w:pPr>
        <w:keepNext/>
        <w:widowControl w:val="0"/>
        <w:tabs>
          <w:tab w:val="clear" w:pos="567"/>
        </w:tabs>
        <w:spacing w:line="240" w:lineRule="auto"/>
        <w:rPr>
          <w:noProof/>
          <w:szCs w:val="22"/>
        </w:rPr>
      </w:pPr>
      <w:r w:rsidRPr="00D442F1">
        <w:rPr>
          <w:noProof/>
          <w:szCs w:val="22"/>
          <w:u w:val="single"/>
        </w:rPr>
        <w:t>Carcinogenicity and mutagenicity</w:t>
      </w:r>
    </w:p>
    <w:p w:rsidR="00C8529F" w:rsidRPr="00D442F1" w:rsidP="00166894" w14:paraId="018096B6" w14:textId="77777777">
      <w:pPr>
        <w:keepNext/>
        <w:widowControl w:val="0"/>
        <w:tabs>
          <w:tab w:val="clear" w:pos="567"/>
        </w:tabs>
        <w:spacing w:line="240" w:lineRule="auto"/>
        <w:outlineLvl w:val="0"/>
        <w:rPr>
          <w:szCs w:val="22"/>
        </w:rPr>
      </w:pPr>
    </w:p>
    <w:p w:rsidR="000E1754" w:rsidRPr="00D442F1" w:rsidP="00166894" w14:paraId="3D228681" w14:textId="77777777">
      <w:pPr>
        <w:widowControl w:val="0"/>
        <w:tabs>
          <w:tab w:val="clear" w:pos="567"/>
        </w:tabs>
        <w:spacing w:line="240" w:lineRule="auto"/>
        <w:rPr>
          <w:noProof/>
          <w:szCs w:val="22"/>
        </w:rPr>
      </w:pPr>
      <w:r w:rsidRPr="00D442F1">
        <w:rPr>
          <w:noProof/>
          <w:szCs w:val="22"/>
        </w:rPr>
        <w:t>G</w:t>
      </w:r>
      <w:r w:rsidRPr="00D442F1">
        <w:rPr>
          <w:noProof/>
          <w:szCs w:val="22"/>
        </w:rPr>
        <w:t xml:space="preserve">enotoxicity assays and carcinogenicity </w:t>
      </w:r>
      <w:r w:rsidRPr="00D442F1" w:rsidR="007B7BE4">
        <w:rPr>
          <w:noProof/>
          <w:szCs w:val="22"/>
        </w:rPr>
        <w:t xml:space="preserve">studies </w:t>
      </w:r>
      <w:r w:rsidRPr="00D442F1">
        <w:rPr>
          <w:noProof/>
          <w:szCs w:val="22"/>
        </w:rPr>
        <w:t xml:space="preserve">in rodents are not appropriate </w:t>
      </w:r>
      <w:r w:rsidRPr="00D442F1" w:rsidR="007B7BE4">
        <w:rPr>
          <w:noProof/>
          <w:szCs w:val="22"/>
        </w:rPr>
        <w:t xml:space="preserve">to assess the risk of insertional mutagenesis </w:t>
      </w:r>
      <w:r w:rsidRPr="00D442F1">
        <w:rPr>
          <w:noProof/>
          <w:szCs w:val="22"/>
        </w:rPr>
        <w:t>for genetically</w:t>
      </w:r>
      <w:r w:rsidRPr="00D442F1" w:rsidR="00591100">
        <w:rPr>
          <w:noProof/>
          <w:szCs w:val="22"/>
        </w:rPr>
        <w:noBreakHyphen/>
      </w:r>
      <w:r w:rsidRPr="00D442F1">
        <w:rPr>
          <w:noProof/>
          <w:szCs w:val="22"/>
        </w:rPr>
        <w:t xml:space="preserve">modified cell therapy products. No </w:t>
      </w:r>
      <w:r w:rsidRPr="00D442F1" w:rsidR="007B7BE4">
        <w:rPr>
          <w:noProof/>
          <w:szCs w:val="22"/>
        </w:rPr>
        <w:t xml:space="preserve">alternative </w:t>
      </w:r>
      <w:r w:rsidRPr="00D442F1">
        <w:rPr>
          <w:noProof/>
          <w:szCs w:val="22"/>
        </w:rPr>
        <w:t>adequate animal models are available.</w:t>
      </w:r>
    </w:p>
    <w:p w:rsidR="000E1754" w:rsidRPr="00D442F1" w:rsidP="00166894" w14:paraId="708EDA27" w14:textId="77777777">
      <w:pPr>
        <w:widowControl w:val="0"/>
        <w:tabs>
          <w:tab w:val="clear" w:pos="567"/>
        </w:tabs>
        <w:spacing w:line="240" w:lineRule="auto"/>
        <w:rPr>
          <w:noProof/>
          <w:szCs w:val="22"/>
        </w:rPr>
      </w:pPr>
    </w:p>
    <w:p w:rsidR="000E1754" w:rsidRPr="00D442F1" w:rsidP="00166894" w14:paraId="335406ED" w14:textId="77777777">
      <w:pPr>
        <w:widowControl w:val="0"/>
        <w:tabs>
          <w:tab w:val="clear" w:pos="567"/>
        </w:tabs>
        <w:spacing w:line="240" w:lineRule="auto"/>
        <w:rPr>
          <w:noProof/>
          <w:szCs w:val="22"/>
        </w:rPr>
      </w:pPr>
      <w:r w:rsidRPr="00D442F1">
        <w:rPr>
          <w:i/>
          <w:noProof/>
          <w:szCs w:val="22"/>
        </w:rPr>
        <w:t>In vitro</w:t>
      </w:r>
      <w:r w:rsidRPr="00D442F1">
        <w:rPr>
          <w:noProof/>
          <w:szCs w:val="22"/>
        </w:rPr>
        <w:t xml:space="preserve"> expansion studies with</w:t>
      </w:r>
      <w:r w:rsidRPr="00D442F1" w:rsidR="00471055">
        <w:rPr>
          <w:noProof/>
          <w:szCs w:val="22"/>
        </w:rPr>
        <w:t xml:space="preserve"> CAR</w:t>
      </w:r>
      <w:r w:rsidRPr="00D442F1" w:rsidR="00591100">
        <w:rPr>
          <w:noProof/>
          <w:szCs w:val="22"/>
        </w:rPr>
        <w:noBreakHyphen/>
      </w:r>
      <w:r w:rsidRPr="00D442F1" w:rsidR="00471055">
        <w:rPr>
          <w:noProof/>
          <w:szCs w:val="22"/>
        </w:rPr>
        <w:t xml:space="preserve">positive </w:t>
      </w:r>
      <w:r w:rsidRPr="00D442F1">
        <w:rPr>
          <w:noProof/>
          <w:szCs w:val="22"/>
        </w:rPr>
        <w:t>T</w:t>
      </w:r>
      <w:r w:rsidRPr="00D442F1" w:rsidR="003E0B9E">
        <w:rPr>
          <w:noProof/>
          <w:szCs w:val="22"/>
        </w:rPr>
        <w:t xml:space="preserve"> </w:t>
      </w:r>
      <w:r w:rsidRPr="00D442F1">
        <w:rPr>
          <w:noProof/>
          <w:szCs w:val="22"/>
        </w:rPr>
        <w:t xml:space="preserve">cells </w:t>
      </w:r>
      <w:r w:rsidRPr="00D442F1" w:rsidR="00471055">
        <w:rPr>
          <w:noProof/>
          <w:szCs w:val="22"/>
        </w:rPr>
        <w:t xml:space="preserve">(Kymriah) </w:t>
      </w:r>
      <w:r w:rsidRPr="00D442F1">
        <w:rPr>
          <w:noProof/>
          <w:szCs w:val="22"/>
        </w:rPr>
        <w:t>from healthy donors and patients showed no evidence for transformation and/or immortali</w:t>
      </w:r>
      <w:r w:rsidRPr="00D442F1" w:rsidR="003E0B9E">
        <w:rPr>
          <w:noProof/>
          <w:szCs w:val="22"/>
        </w:rPr>
        <w:t>s</w:t>
      </w:r>
      <w:r w:rsidRPr="00D442F1">
        <w:rPr>
          <w:noProof/>
          <w:szCs w:val="22"/>
        </w:rPr>
        <w:t>ation of T</w:t>
      </w:r>
      <w:r w:rsidRPr="00D442F1" w:rsidR="003E0B9E">
        <w:rPr>
          <w:noProof/>
          <w:szCs w:val="22"/>
        </w:rPr>
        <w:t xml:space="preserve"> </w:t>
      </w:r>
      <w:r w:rsidRPr="00D442F1">
        <w:rPr>
          <w:noProof/>
          <w:szCs w:val="22"/>
        </w:rPr>
        <w:t xml:space="preserve">cells. </w:t>
      </w:r>
      <w:r w:rsidRPr="00D442F1">
        <w:rPr>
          <w:i/>
          <w:noProof/>
          <w:szCs w:val="22"/>
        </w:rPr>
        <w:t>In vivo</w:t>
      </w:r>
      <w:r w:rsidRPr="00D442F1">
        <w:rPr>
          <w:noProof/>
          <w:szCs w:val="22"/>
        </w:rPr>
        <w:t xml:space="preserve"> studies in </w:t>
      </w:r>
      <w:r w:rsidRPr="00D442F1" w:rsidR="00471055">
        <w:rPr>
          <w:noProof/>
          <w:szCs w:val="22"/>
        </w:rPr>
        <w:t xml:space="preserve">immunocompromised </w:t>
      </w:r>
      <w:r w:rsidRPr="00D442F1">
        <w:rPr>
          <w:noProof/>
          <w:szCs w:val="22"/>
        </w:rPr>
        <w:t xml:space="preserve">mice did not show signs of </w:t>
      </w:r>
      <w:r w:rsidRPr="00D442F1" w:rsidR="00471055">
        <w:rPr>
          <w:noProof/>
          <w:szCs w:val="22"/>
        </w:rPr>
        <w:t xml:space="preserve">abnormal </w:t>
      </w:r>
      <w:r w:rsidRPr="00D442F1">
        <w:rPr>
          <w:noProof/>
          <w:szCs w:val="22"/>
        </w:rPr>
        <w:t xml:space="preserve">cell growth or signs of clonal cell </w:t>
      </w:r>
      <w:r w:rsidRPr="00D442F1" w:rsidR="00C8529F">
        <w:rPr>
          <w:noProof/>
          <w:szCs w:val="22"/>
        </w:rPr>
        <w:t>expansion for up to 7 </w:t>
      </w:r>
      <w:r w:rsidRPr="00D442F1">
        <w:rPr>
          <w:noProof/>
          <w:szCs w:val="22"/>
        </w:rPr>
        <w:t>months, which represents the longest meaningful observation period for immunocompromised mouse models. A genomic insertion site analysis of the lentiviral vector was performed on Kymriah products from 14</w:t>
      </w:r>
      <w:r w:rsidRPr="00D442F1" w:rsidR="00C8529F">
        <w:rPr>
          <w:noProof/>
          <w:szCs w:val="22"/>
        </w:rPr>
        <w:t> </w:t>
      </w:r>
      <w:r w:rsidRPr="00D442F1">
        <w:rPr>
          <w:noProof/>
          <w:szCs w:val="22"/>
        </w:rPr>
        <w:t>i</w:t>
      </w:r>
      <w:r w:rsidRPr="00D442F1" w:rsidR="00C8529F">
        <w:rPr>
          <w:noProof/>
          <w:szCs w:val="22"/>
        </w:rPr>
        <w:t>ndividual donors (12 patients and 2 </w:t>
      </w:r>
      <w:r w:rsidRPr="00D442F1">
        <w:rPr>
          <w:noProof/>
          <w:szCs w:val="22"/>
        </w:rPr>
        <w:t xml:space="preserve">healthy volunteers). </w:t>
      </w:r>
      <w:r w:rsidRPr="00D442F1" w:rsidR="00C92967">
        <w:rPr>
          <w:noProof/>
          <w:szCs w:val="22"/>
        </w:rPr>
        <w:t xml:space="preserve">There was no evidence for </w:t>
      </w:r>
      <w:r w:rsidRPr="00D442F1">
        <w:rPr>
          <w:noProof/>
          <w:szCs w:val="22"/>
        </w:rPr>
        <w:t xml:space="preserve">preferential </w:t>
      </w:r>
      <w:r w:rsidRPr="00D442F1" w:rsidR="00C92967">
        <w:rPr>
          <w:rFonts w:eastAsia="TimesNewRoman,Times New Roman"/>
        </w:rPr>
        <w:t>integration near genes of concern or preferential outgrowth of cells harbo</w:t>
      </w:r>
      <w:r w:rsidRPr="00D442F1" w:rsidR="00CE2164">
        <w:rPr>
          <w:rFonts w:eastAsia="TimesNewRoman,Times New Roman"/>
        </w:rPr>
        <w:t>u</w:t>
      </w:r>
      <w:r w:rsidRPr="00D442F1" w:rsidR="00C92967">
        <w:rPr>
          <w:rFonts w:eastAsia="TimesNewRoman,Times New Roman"/>
        </w:rPr>
        <w:t>ring integration sites of concern</w:t>
      </w:r>
      <w:r w:rsidRPr="00D442F1">
        <w:rPr>
          <w:noProof/>
          <w:szCs w:val="22"/>
        </w:rPr>
        <w:t>.</w:t>
      </w:r>
    </w:p>
    <w:p w:rsidR="000E1754" w:rsidRPr="00D442F1" w:rsidP="00166894" w14:paraId="399A7635" w14:textId="77777777">
      <w:pPr>
        <w:widowControl w:val="0"/>
        <w:tabs>
          <w:tab w:val="clear" w:pos="567"/>
        </w:tabs>
        <w:spacing w:line="240" w:lineRule="auto"/>
        <w:rPr>
          <w:noProof/>
          <w:szCs w:val="22"/>
        </w:rPr>
      </w:pPr>
    </w:p>
    <w:p w:rsidR="00223E2B" w:rsidRPr="00D442F1" w:rsidP="00166894" w14:paraId="75B5AD5C" w14:textId="77777777">
      <w:pPr>
        <w:keepNext/>
        <w:widowControl w:val="0"/>
        <w:tabs>
          <w:tab w:val="clear" w:pos="567"/>
        </w:tabs>
        <w:spacing w:line="240" w:lineRule="auto"/>
        <w:rPr>
          <w:noProof/>
          <w:szCs w:val="22"/>
          <w:u w:val="single"/>
        </w:rPr>
      </w:pPr>
      <w:r w:rsidRPr="00D442F1">
        <w:rPr>
          <w:noProof/>
          <w:szCs w:val="22"/>
          <w:u w:val="single"/>
        </w:rPr>
        <w:t>Reproductive toxicity</w:t>
      </w:r>
    </w:p>
    <w:p w:rsidR="00C8529F" w:rsidRPr="00D442F1" w:rsidP="00166894" w14:paraId="55C8A805" w14:textId="77777777">
      <w:pPr>
        <w:keepNext/>
        <w:widowControl w:val="0"/>
        <w:tabs>
          <w:tab w:val="clear" w:pos="567"/>
        </w:tabs>
        <w:spacing w:line="240" w:lineRule="auto"/>
        <w:outlineLvl w:val="0"/>
        <w:rPr>
          <w:szCs w:val="22"/>
        </w:rPr>
      </w:pPr>
    </w:p>
    <w:p w:rsidR="000E1754" w:rsidRPr="00D442F1" w:rsidP="00166894" w14:paraId="0DE29C90" w14:textId="77777777">
      <w:pPr>
        <w:widowControl w:val="0"/>
        <w:tabs>
          <w:tab w:val="clear" w:pos="567"/>
        </w:tabs>
        <w:spacing w:line="240" w:lineRule="auto"/>
        <w:rPr>
          <w:noProof/>
          <w:szCs w:val="22"/>
        </w:rPr>
      </w:pPr>
      <w:r w:rsidRPr="00D442F1">
        <w:rPr>
          <w:noProof/>
          <w:szCs w:val="22"/>
        </w:rPr>
        <w:t>No non</w:t>
      </w:r>
      <w:r w:rsidRPr="00D442F1" w:rsidR="00591100">
        <w:rPr>
          <w:noProof/>
          <w:szCs w:val="22"/>
        </w:rPr>
        <w:noBreakHyphen/>
      </w:r>
      <w:r w:rsidRPr="00D442F1">
        <w:rPr>
          <w:noProof/>
          <w:szCs w:val="22"/>
        </w:rPr>
        <w:t>clinical reproductive safety studies were conducted as no adequate animal model is available.</w:t>
      </w:r>
    </w:p>
    <w:p w:rsidR="000E1754" w:rsidRPr="00D442F1" w:rsidP="00166894" w14:paraId="499D047F" w14:textId="77777777">
      <w:pPr>
        <w:widowControl w:val="0"/>
        <w:tabs>
          <w:tab w:val="clear" w:pos="567"/>
        </w:tabs>
        <w:spacing w:line="240" w:lineRule="auto"/>
        <w:rPr>
          <w:noProof/>
          <w:szCs w:val="22"/>
        </w:rPr>
      </w:pPr>
    </w:p>
    <w:p w:rsidR="00223E2B" w:rsidRPr="00D442F1" w:rsidP="00166894" w14:paraId="27C26137" w14:textId="77777777">
      <w:pPr>
        <w:keepNext/>
        <w:widowControl w:val="0"/>
        <w:tabs>
          <w:tab w:val="clear" w:pos="567"/>
        </w:tabs>
        <w:spacing w:line="240" w:lineRule="auto"/>
        <w:rPr>
          <w:noProof/>
          <w:szCs w:val="22"/>
          <w:u w:val="single"/>
        </w:rPr>
      </w:pPr>
      <w:r w:rsidRPr="00D442F1">
        <w:rPr>
          <w:noProof/>
          <w:szCs w:val="22"/>
          <w:u w:val="single"/>
        </w:rPr>
        <w:t>Juvenile animal studies</w:t>
      </w:r>
    </w:p>
    <w:p w:rsidR="00C8529F" w:rsidRPr="00D442F1" w:rsidP="00166894" w14:paraId="67185617" w14:textId="77777777">
      <w:pPr>
        <w:keepNext/>
        <w:widowControl w:val="0"/>
        <w:tabs>
          <w:tab w:val="clear" w:pos="567"/>
        </w:tabs>
        <w:spacing w:line="240" w:lineRule="auto"/>
        <w:outlineLvl w:val="0"/>
        <w:rPr>
          <w:szCs w:val="22"/>
        </w:rPr>
      </w:pPr>
    </w:p>
    <w:p w:rsidR="000E1754" w:rsidRPr="00D442F1" w:rsidP="00166894" w14:paraId="2BABABC4" w14:textId="77777777">
      <w:pPr>
        <w:widowControl w:val="0"/>
        <w:tabs>
          <w:tab w:val="clear" w:pos="567"/>
        </w:tabs>
        <w:spacing w:line="240" w:lineRule="auto"/>
        <w:rPr>
          <w:noProof/>
          <w:szCs w:val="22"/>
        </w:rPr>
      </w:pPr>
      <w:r w:rsidRPr="00D442F1">
        <w:t>Juvenile toxicity studies were not conducted.</w:t>
      </w:r>
    </w:p>
    <w:p w:rsidR="000E1754" w:rsidRPr="00D442F1" w:rsidP="00166894" w14:paraId="73E937E5" w14:textId="77777777">
      <w:pPr>
        <w:widowControl w:val="0"/>
        <w:tabs>
          <w:tab w:val="clear" w:pos="567"/>
        </w:tabs>
        <w:spacing w:line="240" w:lineRule="auto"/>
        <w:rPr>
          <w:noProof/>
          <w:szCs w:val="22"/>
        </w:rPr>
      </w:pPr>
    </w:p>
    <w:p w:rsidR="00C8529F" w:rsidRPr="00D442F1" w:rsidP="00166894" w14:paraId="55124726" w14:textId="77777777">
      <w:pPr>
        <w:widowControl w:val="0"/>
        <w:tabs>
          <w:tab w:val="clear" w:pos="567"/>
        </w:tabs>
        <w:spacing w:line="240" w:lineRule="auto"/>
        <w:rPr>
          <w:noProof/>
          <w:szCs w:val="22"/>
        </w:rPr>
      </w:pPr>
    </w:p>
    <w:p w:rsidR="00812D16" w:rsidRPr="00D442F1" w:rsidP="00166894" w14:paraId="3940597E" w14:textId="77777777">
      <w:pPr>
        <w:keepNext/>
        <w:widowControl w:val="0"/>
        <w:tabs>
          <w:tab w:val="clear" w:pos="567"/>
        </w:tabs>
        <w:suppressAutoHyphens/>
        <w:spacing w:line="240" w:lineRule="auto"/>
        <w:ind w:left="567" w:hanging="567"/>
        <w:rPr>
          <w:noProof/>
          <w:szCs w:val="22"/>
        </w:rPr>
      </w:pPr>
      <w:r w:rsidRPr="00D442F1">
        <w:rPr>
          <w:b/>
          <w:noProof/>
          <w:szCs w:val="22"/>
        </w:rPr>
        <w:t>6.</w:t>
      </w:r>
      <w:r w:rsidRPr="00D442F1">
        <w:rPr>
          <w:b/>
          <w:noProof/>
          <w:szCs w:val="22"/>
        </w:rPr>
        <w:tab/>
        <w:t>PHARMACEUTICAL PARTICULARS</w:t>
      </w:r>
    </w:p>
    <w:p w:rsidR="00AB10A5" w:rsidRPr="00D442F1" w:rsidP="00166894" w14:paraId="74B604B2" w14:textId="77777777">
      <w:pPr>
        <w:keepNext/>
        <w:widowControl w:val="0"/>
        <w:tabs>
          <w:tab w:val="clear" w:pos="567"/>
        </w:tabs>
      </w:pPr>
    </w:p>
    <w:p w:rsidR="00812D16" w:rsidRPr="00D442F1" w:rsidP="00166894" w14:paraId="05DF1D46" w14:textId="77777777">
      <w:pPr>
        <w:keepNext/>
        <w:widowControl w:val="0"/>
        <w:tabs>
          <w:tab w:val="clear" w:pos="567"/>
        </w:tabs>
        <w:spacing w:line="240" w:lineRule="auto"/>
        <w:ind w:left="567" w:hanging="567"/>
        <w:outlineLvl w:val="0"/>
        <w:rPr>
          <w:noProof/>
          <w:szCs w:val="22"/>
        </w:rPr>
      </w:pPr>
      <w:r w:rsidRPr="00D442F1">
        <w:rPr>
          <w:b/>
          <w:noProof/>
          <w:szCs w:val="22"/>
        </w:rPr>
        <w:t>6.1</w:t>
      </w:r>
      <w:r w:rsidRPr="00D442F1">
        <w:rPr>
          <w:b/>
          <w:noProof/>
          <w:szCs w:val="22"/>
        </w:rPr>
        <w:tab/>
        <w:t>List of excipients</w:t>
      </w:r>
    </w:p>
    <w:p w:rsidR="00812D16" w:rsidRPr="00D442F1" w:rsidP="00166894" w14:paraId="5B72BC9A" w14:textId="77777777">
      <w:pPr>
        <w:keepNext/>
        <w:widowControl w:val="0"/>
        <w:tabs>
          <w:tab w:val="clear" w:pos="567"/>
        </w:tabs>
        <w:spacing w:line="240" w:lineRule="auto"/>
        <w:rPr>
          <w:noProof/>
          <w:szCs w:val="22"/>
        </w:rPr>
      </w:pPr>
    </w:p>
    <w:p w:rsidR="00FC7494" w:rsidRPr="00D442F1" w:rsidP="00166894" w14:paraId="5BBA464C" w14:textId="77777777">
      <w:pPr>
        <w:widowControl w:val="0"/>
        <w:tabs>
          <w:tab w:val="clear" w:pos="567"/>
        </w:tabs>
        <w:spacing w:line="240" w:lineRule="auto"/>
        <w:rPr>
          <w:noProof/>
          <w:szCs w:val="22"/>
        </w:rPr>
      </w:pPr>
      <w:r w:rsidRPr="00D442F1">
        <w:rPr>
          <w:noProof/>
          <w:szCs w:val="22"/>
        </w:rPr>
        <w:t>G</w:t>
      </w:r>
      <w:r w:rsidRPr="00D442F1">
        <w:rPr>
          <w:noProof/>
          <w:szCs w:val="22"/>
        </w:rPr>
        <w:t>lucose</w:t>
      </w:r>
    </w:p>
    <w:p w:rsidR="00FC7494" w:rsidRPr="00D442F1" w:rsidP="00166894" w14:paraId="1427B019" w14:textId="77777777">
      <w:pPr>
        <w:widowControl w:val="0"/>
        <w:tabs>
          <w:tab w:val="clear" w:pos="567"/>
        </w:tabs>
        <w:spacing w:line="240" w:lineRule="auto"/>
        <w:rPr>
          <w:noProof/>
          <w:szCs w:val="22"/>
        </w:rPr>
      </w:pPr>
      <w:r w:rsidRPr="00D442F1">
        <w:rPr>
          <w:noProof/>
          <w:szCs w:val="22"/>
        </w:rPr>
        <w:t>Sodium chloride</w:t>
      </w:r>
    </w:p>
    <w:p w:rsidR="00FC7494" w:rsidRPr="00D442F1" w:rsidP="00166894" w14:paraId="519B646E" w14:textId="77777777">
      <w:pPr>
        <w:widowControl w:val="0"/>
        <w:tabs>
          <w:tab w:val="clear" w:pos="567"/>
        </w:tabs>
        <w:spacing w:line="240" w:lineRule="auto"/>
        <w:rPr>
          <w:noProof/>
          <w:szCs w:val="22"/>
        </w:rPr>
      </w:pPr>
      <w:r w:rsidRPr="00D442F1">
        <w:rPr>
          <w:noProof/>
          <w:szCs w:val="22"/>
        </w:rPr>
        <w:t>Human a</w:t>
      </w:r>
      <w:r w:rsidRPr="00D442F1">
        <w:rPr>
          <w:noProof/>
          <w:szCs w:val="22"/>
        </w:rPr>
        <w:t>lbumin solution</w:t>
      </w:r>
    </w:p>
    <w:p w:rsidR="00FC7494" w:rsidRPr="00D442F1" w:rsidP="00166894" w14:paraId="5168B663" w14:textId="77777777">
      <w:pPr>
        <w:widowControl w:val="0"/>
        <w:tabs>
          <w:tab w:val="clear" w:pos="567"/>
        </w:tabs>
        <w:spacing w:line="240" w:lineRule="auto"/>
        <w:rPr>
          <w:noProof/>
          <w:szCs w:val="22"/>
        </w:rPr>
      </w:pPr>
      <w:r w:rsidRPr="00D442F1">
        <w:rPr>
          <w:noProof/>
          <w:szCs w:val="22"/>
        </w:rPr>
        <w:t>Dextran 40 for injection</w:t>
      </w:r>
    </w:p>
    <w:p w:rsidR="00FC7494" w:rsidRPr="00D442F1" w:rsidP="00166894" w14:paraId="3929D96B" w14:textId="77777777">
      <w:pPr>
        <w:widowControl w:val="0"/>
        <w:tabs>
          <w:tab w:val="clear" w:pos="567"/>
        </w:tabs>
        <w:spacing w:line="240" w:lineRule="auto"/>
        <w:rPr>
          <w:noProof/>
          <w:szCs w:val="22"/>
        </w:rPr>
      </w:pPr>
      <w:r w:rsidRPr="00D442F1">
        <w:rPr>
          <w:noProof/>
          <w:szCs w:val="22"/>
        </w:rPr>
        <w:t>Dimethylsulfoxide</w:t>
      </w:r>
    </w:p>
    <w:p w:rsidR="00FC7494" w:rsidRPr="00D442F1" w:rsidP="00166894" w14:paraId="1586B577" w14:textId="77777777">
      <w:pPr>
        <w:widowControl w:val="0"/>
        <w:tabs>
          <w:tab w:val="clear" w:pos="567"/>
        </w:tabs>
        <w:spacing w:line="240" w:lineRule="auto"/>
        <w:rPr>
          <w:noProof/>
          <w:szCs w:val="22"/>
        </w:rPr>
      </w:pPr>
      <w:r w:rsidRPr="00D442F1">
        <w:rPr>
          <w:noProof/>
          <w:szCs w:val="22"/>
        </w:rPr>
        <w:t>Sodium gluconate</w:t>
      </w:r>
    </w:p>
    <w:p w:rsidR="00FC7494" w:rsidRPr="00D442F1" w:rsidP="00166894" w14:paraId="6BEC56AB" w14:textId="77777777">
      <w:pPr>
        <w:widowControl w:val="0"/>
        <w:tabs>
          <w:tab w:val="clear" w:pos="567"/>
        </w:tabs>
        <w:spacing w:line="240" w:lineRule="auto"/>
        <w:rPr>
          <w:noProof/>
          <w:szCs w:val="22"/>
        </w:rPr>
      </w:pPr>
      <w:r w:rsidRPr="00D442F1">
        <w:rPr>
          <w:noProof/>
          <w:szCs w:val="22"/>
        </w:rPr>
        <w:t>Sodium acetate</w:t>
      </w:r>
    </w:p>
    <w:p w:rsidR="00FC7494" w:rsidRPr="00D442F1" w:rsidP="00166894" w14:paraId="64C5C00D" w14:textId="77777777">
      <w:pPr>
        <w:widowControl w:val="0"/>
        <w:tabs>
          <w:tab w:val="clear" w:pos="567"/>
        </w:tabs>
        <w:spacing w:line="240" w:lineRule="auto"/>
        <w:rPr>
          <w:noProof/>
          <w:szCs w:val="22"/>
        </w:rPr>
      </w:pPr>
      <w:r w:rsidRPr="00D442F1">
        <w:rPr>
          <w:noProof/>
          <w:szCs w:val="22"/>
        </w:rPr>
        <w:t>Potassium chloride</w:t>
      </w:r>
    </w:p>
    <w:p w:rsidR="00FC7494" w:rsidRPr="00D442F1" w:rsidP="00166894" w14:paraId="11659C26" w14:textId="77777777">
      <w:pPr>
        <w:widowControl w:val="0"/>
        <w:tabs>
          <w:tab w:val="clear" w:pos="567"/>
        </w:tabs>
        <w:spacing w:line="240" w:lineRule="auto"/>
        <w:rPr>
          <w:noProof/>
          <w:szCs w:val="22"/>
        </w:rPr>
      </w:pPr>
      <w:r w:rsidRPr="00D442F1">
        <w:rPr>
          <w:noProof/>
          <w:szCs w:val="22"/>
        </w:rPr>
        <w:t>Magnesium chloride</w:t>
      </w:r>
    </w:p>
    <w:p w:rsidR="00FC7494" w:rsidRPr="00D442F1" w:rsidP="00166894" w14:paraId="02242717" w14:textId="77777777">
      <w:pPr>
        <w:widowControl w:val="0"/>
        <w:tabs>
          <w:tab w:val="clear" w:pos="567"/>
        </w:tabs>
        <w:spacing w:line="240" w:lineRule="auto"/>
        <w:rPr>
          <w:noProof/>
          <w:szCs w:val="22"/>
        </w:rPr>
      </w:pPr>
      <w:r w:rsidRPr="00D442F1">
        <w:rPr>
          <w:noProof/>
          <w:szCs w:val="22"/>
        </w:rPr>
        <w:t>Sodium</w:t>
      </w:r>
      <w:r w:rsidRPr="00D442F1">
        <w:rPr>
          <w:noProof/>
          <w:szCs w:val="22"/>
        </w:rPr>
        <w:noBreakHyphen/>
        <w:t>N</w:t>
      </w:r>
      <w:r w:rsidRPr="00D442F1">
        <w:rPr>
          <w:noProof/>
          <w:szCs w:val="22"/>
        </w:rPr>
        <w:noBreakHyphen/>
        <w:t>acetyltryptophanate</w:t>
      </w:r>
    </w:p>
    <w:p w:rsidR="00FC7494" w:rsidRPr="00D442F1" w:rsidP="00166894" w14:paraId="3FFC4332" w14:textId="77777777">
      <w:pPr>
        <w:widowControl w:val="0"/>
        <w:tabs>
          <w:tab w:val="clear" w:pos="567"/>
        </w:tabs>
        <w:spacing w:line="240" w:lineRule="auto"/>
        <w:rPr>
          <w:noProof/>
          <w:szCs w:val="22"/>
        </w:rPr>
      </w:pPr>
      <w:r w:rsidRPr="00D442F1">
        <w:rPr>
          <w:noProof/>
          <w:szCs w:val="22"/>
        </w:rPr>
        <w:t>Sodium caprylate</w:t>
      </w:r>
    </w:p>
    <w:p w:rsidR="00FC7494" w:rsidRPr="00D442F1" w:rsidP="00166894" w14:paraId="4BAAA497" w14:textId="77777777">
      <w:pPr>
        <w:keepNext/>
        <w:widowControl w:val="0"/>
        <w:tabs>
          <w:tab w:val="clear" w:pos="567"/>
        </w:tabs>
        <w:spacing w:line="240" w:lineRule="auto"/>
        <w:rPr>
          <w:noProof/>
          <w:szCs w:val="22"/>
        </w:rPr>
      </w:pPr>
      <w:r w:rsidRPr="00D442F1">
        <w:rPr>
          <w:noProof/>
          <w:szCs w:val="22"/>
        </w:rPr>
        <w:t>Aluminium</w:t>
      </w:r>
    </w:p>
    <w:p w:rsidR="00FC7494" w:rsidRPr="00D442F1" w:rsidP="00166894" w14:paraId="6C791403" w14:textId="77777777">
      <w:pPr>
        <w:widowControl w:val="0"/>
        <w:tabs>
          <w:tab w:val="clear" w:pos="567"/>
        </w:tabs>
        <w:spacing w:line="240" w:lineRule="auto"/>
        <w:rPr>
          <w:noProof/>
          <w:szCs w:val="22"/>
        </w:rPr>
      </w:pPr>
      <w:r w:rsidRPr="00D442F1">
        <w:rPr>
          <w:noProof/>
          <w:szCs w:val="22"/>
        </w:rPr>
        <w:t>Water for injections</w:t>
      </w:r>
    </w:p>
    <w:p w:rsidR="00812D16" w:rsidRPr="00D442F1" w:rsidP="00166894" w14:paraId="7C01AB27" w14:textId="77777777">
      <w:pPr>
        <w:widowControl w:val="0"/>
        <w:tabs>
          <w:tab w:val="clear" w:pos="567"/>
        </w:tabs>
        <w:spacing w:line="240" w:lineRule="auto"/>
        <w:rPr>
          <w:noProof/>
          <w:szCs w:val="22"/>
        </w:rPr>
      </w:pPr>
    </w:p>
    <w:p w:rsidR="00812D16" w:rsidRPr="00D442F1" w:rsidP="00166894" w14:paraId="670FDEF1" w14:textId="77777777">
      <w:pPr>
        <w:keepNext/>
        <w:widowControl w:val="0"/>
        <w:tabs>
          <w:tab w:val="clear" w:pos="567"/>
        </w:tabs>
        <w:spacing w:line="240" w:lineRule="auto"/>
        <w:ind w:left="567" w:hanging="567"/>
        <w:outlineLvl w:val="0"/>
        <w:rPr>
          <w:noProof/>
          <w:szCs w:val="22"/>
        </w:rPr>
      </w:pPr>
      <w:r w:rsidRPr="00D442F1">
        <w:rPr>
          <w:b/>
          <w:noProof/>
          <w:szCs w:val="22"/>
        </w:rPr>
        <w:t>6.2</w:t>
      </w:r>
      <w:r w:rsidRPr="00D442F1">
        <w:rPr>
          <w:b/>
          <w:noProof/>
          <w:szCs w:val="22"/>
        </w:rPr>
        <w:tab/>
        <w:t>Incompatibilities</w:t>
      </w:r>
    </w:p>
    <w:p w:rsidR="00812D16" w:rsidRPr="00D442F1" w:rsidP="00166894" w14:paraId="66E8B36B" w14:textId="77777777">
      <w:pPr>
        <w:keepNext/>
        <w:widowControl w:val="0"/>
        <w:tabs>
          <w:tab w:val="clear" w:pos="567"/>
        </w:tabs>
        <w:spacing w:line="240" w:lineRule="auto"/>
        <w:rPr>
          <w:noProof/>
          <w:szCs w:val="22"/>
        </w:rPr>
      </w:pPr>
    </w:p>
    <w:p w:rsidR="00C8529F" w:rsidRPr="00D442F1" w:rsidP="00166894" w14:paraId="0837F0FB" w14:textId="77777777">
      <w:pPr>
        <w:widowControl w:val="0"/>
        <w:tabs>
          <w:tab w:val="clear" w:pos="567"/>
        </w:tabs>
        <w:spacing w:line="240" w:lineRule="auto"/>
        <w:rPr>
          <w:noProof/>
          <w:szCs w:val="22"/>
        </w:rPr>
      </w:pPr>
      <w:r w:rsidRPr="00D442F1">
        <w:rPr>
          <w:noProof/>
          <w:szCs w:val="22"/>
        </w:rPr>
        <w:t>In the absence of compatibility studies, this medicinal product must not be mixed</w:t>
      </w:r>
      <w:r w:rsidRPr="00D442F1">
        <w:rPr>
          <w:noProof/>
          <w:szCs w:val="22"/>
        </w:rPr>
        <w:t xml:space="preserve"> with other medicinal products.</w:t>
      </w:r>
    </w:p>
    <w:p w:rsidR="00812D16" w:rsidRPr="00D442F1" w:rsidP="00166894" w14:paraId="6524903E" w14:textId="77777777">
      <w:pPr>
        <w:widowControl w:val="0"/>
        <w:tabs>
          <w:tab w:val="clear" w:pos="567"/>
        </w:tabs>
        <w:spacing w:line="240" w:lineRule="auto"/>
        <w:rPr>
          <w:noProof/>
          <w:szCs w:val="22"/>
        </w:rPr>
      </w:pPr>
    </w:p>
    <w:p w:rsidR="00812D16" w:rsidRPr="00D442F1" w:rsidP="00166894" w14:paraId="46BE8A2B" w14:textId="77777777">
      <w:pPr>
        <w:keepNext/>
        <w:widowControl w:val="0"/>
        <w:tabs>
          <w:tab w:val="clear" w:pos="567"/>
        </w:tabs>
        <w:spacing w:line="240" w:lineRule="auto"/>
        <w:ind w:left="567" w:hanging="567"/>
        <w:outlineLvl w:val="0"/>
        <w:rPr>
          <w:noProof/>
          <w:szCs w:val="22"/>
        </w:rPr>
      </w:pPr>
      <w:r w:rsidRPr="00D442F1">
        <w:rPr>
          <w:b/>
          <w:noProof/>
          <w:szCs w:val="22"/>
        </w:rPr>
        <w:t>6.3</w:t>
      </w:r>
      <w:r w:rsidRPr="00D442F1">
        <w:rPr>
          <w:b/>
          <w:noProof/>
          <w:szCs w:val="22"/>
        </w:rPr>
        <w:tab/>
        <w:t>Shelf life</w:t>
      </w:r>
    </w:p>
    <w:p w:rsidR="00812D16" w:rsidRPr="00D442F1" w:rsidP="00166894" w14:paraId="16C75FD3" w14:textId="77777777">
      <w:pPr>
        <w:keepNext/>
        <w:widowControl w:val="0"/>
        <w:tabs>
          <w:tab w:val="clear" w:pos="567"/>
        </w:tabs>
        <w:spacing w:line="240" w:lineRule="auto"/>
        <w:rPr>
          <w:noProof/>
          <w:szCs w:val="22"/>
        </w:rPr>
      </w:pPr>
    </w:p>
    <w:p w:rsidR="000924C6" w:rsidRPr="00D442F1" w:rsidP="00467323" w14:paraId="79B3F113" w14:textId="77777777">
      <w:pPr>
        <w:keepNext/>
        <w:widowControl w:val="0"/>
        <w:tabs>
          <w:tab w:val="clear" w:pos="567"/>
        </w:tabs>
        <w:spacing w:line="240" w:lineRule="auto"/>
        <w:rPr>
          <w:noProof/>
          <w:szCs w:val="22"/>
        </w:rPr>
      </w:pPr>
      <w:r w:rsidRPr="00D442F1">
        <w:rPr>
          <w:noProof/>
          <w:szCs w:val="22"/>
        </w:rPr>
        <w:t>9 </w:t>
      </w:r>
      <w:r w:rsidRPr="00D442F1" w:rsidR="00AA2BDD">
        <w:rPr>
          <w:noProof/>
          <w:szCs w:val="22"/>
        </w:rPr>
        <w:t>months.</w:t>
      </w:r>
    </w:p>
    <w:p w:rsidR="000924C6" w:rsidRPr="00D442F1" w:rsidP="00467323" w14:paraId="0734546D" w14:textId="77777777">
      <w:pPr>
        <w:keepNext/>
        <w:widowControl w:val="0"/>
        <w:tabs>
          <w:tab w:val="clear" w:pos="567"/>
        </w:tabs>
        <w:spacing w:line="240" w:lineRule="auto"/>
        <w:rPr>
          <w:noProof/>
          <w:szCs w:val="22"/>
        </w:rPr>
      </w:pPr>
    </w:p>
    <w:p w:rsidR="00812D16" w:rsidRPr="00D442F1" w:rsidP="00166894" w14:paraId="7D978A13" w14:textId="77777777">
      <w:pPr>
        <w:widowControl w:val="0"/>
        <w:tabs>
          <w:tab w:val="clear" w:pos="567"/>
        </w:tabs>
        <w:spacing w:line="240" w:lineRule="auto"/>
        <w:rPr>
          <w:noProof/>
          <w:szCs w:val="22"/>
        </w:rPr>
      </w:pPr>
      <w:r w:rsidRPr="00D442F1">
        <w:rPr>
          <w:szCs w:val="22"/>
        </w:rPr>
        <w:t xml:space="preserve">The product should be administered immediately after thawing. </w:t>
      </w:r>
      <w:r w:rsidRPr="00D442F1" w:rsidR="00DC384C">
        <w:rPr>
          <w:szCs w:val="22"/>
        </w:rPr>
        <w:t>After thawing, the product should be kept at room temperature (20</w:t>
      </w:r>
      <w:r w:rsidRPr="00D442F1" w:rsidR="002B6717">
        <w:rPr>
          <w:szCs w:val="22"/>
        </w:rPr>
        <w:t>°C</w:t>
      </w:r>
      <w:r w:rsidRPr="00D442F1" w:rsidR="00DC384C">
        <w:rPr>
          <w:szCs w:val="22"/>
        </w:rPr>
        <w:noBreakHyphen/>
        <w:t xml:space="preserve">25°C) </w:t>
      </w:r>
      <w:r w:rsidRPr="00D442F1" w:rsidR="00291D31">
        <w:rPr>
          <w:szCs w:val="22"/>
        </w:rPr>
        <w:t>and infused within 30</w:t>
      </w:r>
      <w:r w:rsidRPr="00D442F1" w:rsidR="00F32246">
        <w:rPr>
          <w:szCs w:val="22"/>
        </w:rPr>
        <w:t> </w:t>
      </w:r>
      <w:r w:rsidRPr="00D442F1" w:rsidR="00291D31">
        <w:rPr>
          <w:szCs w:val="22"/>
        </w:rPr>
        <w:t>minutes to maintain maximum product viability, including any interruption during the infusion</w:t>
      </w:r>
      <w:r w:rsidRPr="00D442F1" w:rsidR="00DC384C">
        <w:rPr>
          <w:szCs w:val="22"/>
        </w:rPr>
        <w:t>.</w:t>
      </w:r>
    </w:p>
    <w:p w:rsidR="00C8529F" w:rsidRPr="00D442F1" w:rsidP="00166894" w14:paraId="3998E8BF" w14:textId="77777777">
      <w:pPr>
        <w:widowControl w:val="0"/>
        <w:tabs>
          <w:tab w:val="clear" w:pos="567"/>
        </w:tabs>
        <w:spacing w:line="240" w:lineRule="auto"/>
        <w:rPr>
          <w:noProof/>
          <w:szCs w:val="22"/>
        </w:rPr>
      </w:pPr>
    </w:p>
    <w:p w:rsidR="00812D16" w:rsidRPr="00D442F1" w:rsidP="00166894" w14:paraId="3A25CC51" w14:textId="77777777">
      <w:pPr>
        <w:keepNext/>
        <w:widowControl w:val="0"/>
        <w:tabs>
          <w:tab w:val="clear" w:pos="567"/>
        </w:tabs>
        <w:spacing w:line="240" w:lineRule="auto"/>
        <w:rPr>
          <w:b/>
          <w:noProof/>
          <w:szCs w:val="22"/>
        </w:rPr>
      </w:pPr>
      <w:r w:rsidRPr="00D442F1">
        <w:rPr>
          <w:b/>
          <w:noProof/>
          <w:szCs w:val="22"/>
        </w:rPr>
        <w:t>6.4</w:t>
      </w:r>
      <w:r w:rsidRPr="00D442F1">
        <w:rPr>
          <w:b/>
          <w:noProof/>
          <w:szCs w:val="22"/>
        </w:rPr>
        <w:tab/>
        <w:t>Special precautions for storage</w:t>
      </w:r>
    </w:p>
    <w:p w:rsidR="005108A3" w:rsidRPr="00D442F1" w:rsidP="00166894" w14:paraId="571C0C9A" w14:textId="77777777">
      <w:pPr>
        <w:keepNext/>
        <w:widowControl w:val="0"/>
        <w:tabs>
          <w:tab w:val="clear" w:pos="567"/>
        </w:tabs>
      </w:pPr>
    </w:p>
    <w:p w:rsidR="00462F58" w:rsidRPr="00D442F1" w:rsidP="00166894" w14:paraId="6A1C4D3B" w14:textId="77777777">
      <w:pPr>
        <w:widowControl w:val="0"/>
        <w:tabs>
          <w:tab w:val="clear" w:pos="567"/>
        </w:tabs>
        <w:spacing w:line="240" w:lineRule="auto"/>
        <w:outlineLvl w:val="0"/>
        <w:rPr>
          <w:noProof/>
          <w:szCs w:val="22"/>
        </w:rPr>
      </w:pPr>
      <w:r w:rsidRPr="00D442F1">
        <w:rPr>
          <w:noProof/>
          <w:szCs w:val="22"/>
        </w:rPr>
        <w:t xml:space="preserve">Store and transport below </w:t>
      </w:r>
      <w:r w:rsidRPr="00D442F1">
        <w:rPr>
          <w:noProof/>
          <w:szCs w:val="22"/>
        </w:rPr>
        <w:noBreakHyphen/>
        <w:t xml:space="preserve">120°C, e.g. in a </w:t>
      </w:r>
      <w:r w:rsidRPr="00D442F1" w:rsidR="00786B61">
        <w:rPr>
          <w:noProof/>
          <w:szCs w:val="22"/>
        </w:rPr>
        <w:t>container for cryogenic storage (</w:t>
      </w:r>
      <w:r w:rsidRPr="00D442F1">
        <w:rPr>
          <w:noProof/>
          <w:szCs w:val="22"/>
        </w:rPr>
        <w:t>Dewar</w:t>
      </w:r>
      <w:r w:rsidRPr="00D442F1" w:rsidR="00786B61">
        <w:rPr>
          <w:noProof/>
          <w:szCs w:val="22"/>
        </w:rPr>
        <w:t>)</w:t>
      </w:r>
      <w:r w:rsidRPr="00D442F1">
        <w:rPr>
          <w:noProof/>
          <w:szCs w:val="22"/>
        </w:rPr>
        <w:t xml:space="preserve"> in the vapour phase of liquid nitrogen.</w:t>
      </w:r>
    </w:p>
    <w:p w:rsidR="00462F58" w:rsidRPr="00D442F1" w:rsidP="00166894" w14:paraId="5ACBAFBE" w14:textId="77777777">
      <w:pPr>
        <w:widowControl w:val="0"/>
        <w:tabs>
          <w:tab w:val="clear" w:pos="567"/>
        </w:tabs>
        <w:spacing w:line="240" w:lineRule="auto"/>
        <w:outlineLvl w:val="0"/>
        <w:rPr>
          <w:noProof/>
          <w:szCs w:val="22"/>
        </w:rPr>
      </w:pPr>
    </w:p>
    <w:p w:rsidR="00836B32" w:rsidRPr="00D442F1" w:rsidP="00166894" w14:paraId="5321E7A9" w14:textId="77777777">
      <w:pPr>
        <w:widowControl w:val="0"/>
        <w:tabs>
          <w:tab w:val="clear" w:pos="567"/>
        </w:tabs>
        <w:spacing w:line="240" w:lineRule="auto"/>
        <w:outlineLvl w:val="0"/>
        <w:rPr>
          <w:noProof/>
          <w:szCs w:val="22"/>
        </w:rPr>
      </w:pPr>
      <w:r w:rsidRPr="00D442F1">
        <w:rPr>
          <w:noProof/>
          <w:szCs w:val="22"/>
        </w:rPr>
        <w:t xml:space="preserve">Store in the original </w:t>
      </w:r>
      <w:r w:rsidRPr="00D442F1" w:rsidR="00786B61">
        <w:rPr>
          <w:noProof/>
          <w:szCs w:val="22"/>
        </w:rPr>
        <w:t>protective envelope (</w:t>
      </w:r>
      <w:r w:rsidRPr="00D442F1">
        <w:rPr>
          <w:noProof/>
          <w:szCs w:val="22"/>
        </w:rPr>
        <w:t>Tyvek</w:t>
      </w:r>
      <w:r w:rsidRPr="00D442F1" w:rsidR="00786B61">
        <w:rPr>
          <w:noProof/>
          <w:szCs w:val="22"/>
        </w:rPr>
        <w:t>)</w:t>
      </w:r>
      <w:r w:rsidRPr="00D442F1">
        <w:rPr>
          <w:noProof/>
          <w:szCs w:val="22"/>
        </w:rPr>
        <w:t xml:space="preserve"> containing the cassette protecting the </w:t>
      </w:r>
      <w:r w:rsidRPr="00D442F1" w:rsidR="00BA0C44">
        <w:rPr>
          <w:noProof/>
          <w:szCs w:val="22"/>
        </w:rPr>
        <w:t xml:space="preserve">infusion </w:t>
      </w:r>
      <w:r w:rsidRPr="00D442F1">
        <w:rPr>
          <w:noProof/>
          <w:szCs w:val="22"/>
        </w:rPr>
        <w:t>bag.</w:t>
      </w:r>
    </w:p>
    <w:p w:rsidR="00686F3A" w:rsidRPr="00D442F1" w:rsidP="00166894" w14:paraId="56C11DDA" w14:textId="77777777">
      <w:pPr>
        <w:widowControl w:val="0"/>
        <w:tabs>
          <w:tab w:val="clear" w:pos="567"/>
        </w:tabs>
        <w:spacing w:line="240" w:lineRule="auto"/>
        <w:outlineLvl w:val="0"/>
        <w:rPr>
          <w:noProof/>
          <w:szCs w:val="22"/>
        </w:rPr>
      </w:pPr>
    </w:p>
    <w:p w:rsidR="00686F3A" w:rsidRPr="00D442F1" w:rsidP="00166894" w14:paraId="49A31DC5" w14:textId="77777777">
      <w:pPr>
        <w:widowControl w:val="0"/>
        <w:tabs>
          <w:tab w:val="clear" w:pos="567"/>
        </w:tabs>
        <w:spacing w:line="240" w:lineRule="auto"/>
        <w:outlineLvl w:val="0"/>
        <w:rPr>
          <w:noProof/>
          <w:szCs w:val="22"/>
        </w:rPr>
      </w:pPr>
      <w:r w:rsidRPr="00D442F1">
        <w:rPr>
          <w:noProof/>
          <w:szCs w:val="22"/>
        </w:rPr>
        <w:t>For storage conditions after thawing of the medicinal product, see section</w:t>
      </w:r>
      <w:r w:rsidRPr="00D442F1" w:rsidR="00A11490">
        <w:rPr>
          <w:noProof/>
          <w:szCs w:val="22"/>
        </w:rPr>
        <w:t> </w:t>
      </w:r>
      <w:r w:rsidRPr="00D442F1">
        <w:rPr>
          <w:noProof/>
          <w:szCs w:val="22"/>
        </w:rPr>
        <w:t>6.3.</w:t>
      </w:r>
    </w:p>
    <w:p w:rsidR="00836B32" w:rsidRPr="00D442F1" w:rsidP="00166894" w14:paraId="11B9E5C9" w14:textId="77777777">
      <w:pPr>
        <w:widowControl w:val="0"/>
        <w:tabs>
          <w:tab w:val="clear" w:pos="567"/>
        </w:tabs>
        <w:spacing w:line="240" w:lineRule="auto"/>
        <w:rPr>
          <w:noProof/>
          <w:szCs w:val="22"/>
        </w:rPr>
      </w:pPr>
    </w:p>
    <w:p w:rsidR="00812D16" w:rsidRPr="00D442F1" w:rsidP="00BC288A" w14:paraId="23B113FB" w14:textId="77777777">
      <w:pPr>
        <w:keepNext/>
        <w:tabs>
          <w:tab w:val="clear" w:pos="567"/>
        </w:tabs>
        <w:spacing w:line="240" w:lineRule="auto"/>
        <w:ind w:left="567" w:hanging="567"/>
        <w:outlineLvl w:val="0"/>
        <w:rPr>
          <w:b/>
          <w:noProof/>
          <w:szCs w:val="22"/>
        </w:rPr>
      </w:pPr>
      <w:r w:rsidRPr="00D442F1">
        <w:rPr>
          <w:b/>
          <w:noProof/>
          <w:szCs w:val="22"/>
        </w:rPr>
        <w:t>6.5</w:t>
      </w:r>
      <w:r w:rsidRPr="00D442F1">
        <w:rPr>
          <w:b/>
          <w:noProof/>
          <w:szCs w:val="22"/>
        </w:rPr>
        <w:tab/>
      </w:r>
      <w:r w:rsidRPr="00D442F1">
        <w:rPr>
          <w:b/>
          <w:noProof/>
          <w:szCs w:val="22"/>
        </w:rPr>
        <w:t>Nature and contents of container and special equipment for use, administration or implantation</w:t>
      </w:r>
    </w:p>
    <w:p w:rsidR="00812D16" w:rsidRPr="00D442F1" w:rsidP="00BC288A" w14:paraId="5B58545B" w14:textId="77777777">
      <w:pPr>
        <w:keepNext/>
        <w:tabs>
          <w:tab w:val="clear" w:pos="567"/>
        </w:tabs>
      </w:pPr>
    </w:p>
    <w:p w:rsidR="00922762" w:rsidRPr="00D442F1" w:rsidP="00166894" w14:paraId="66A90E88" w14:textId="77777777">
      <w:pPr>
        <w:widowControl w:val="0"/>
        <w:tabs>
          <w:tab w:val="clear" w:pos="567"/>
        </w:tabs>
        <w:spacing w:line="240" w:lineRule="auto"/>
        <w:outlineLvl w:val="0"/>
        <w:rPr>
          <w:noProof/>
          <w:szCs w:val="22"/>
        </w:rPr>
      </w:pPr>
      <w:r w:rsidRPr="00D442F1">
        <w:rPr>
          <w:noProof/>
          <w:szCs w:val="22"/>
        </w:rPr>
        <w:t>E</w:t>
      </w:r>
      <w:r w:rsidRPr="00D442F1" w:rsidR="009C3A73">
        <w:rPr>
          <w:noProof/>
          <w:szCs w:val="22"/>
        </w:rPr>
        <w:t xml:space="preserve">thylene vinyl acetate (EVA) infusion bag with </w:t>
      </w:r>
      <w:r w:rsidRPr="00D442F1" w:rsidR="00456D69">
        <w:rPr>
          <w:noProof/>
          <w:szCs w:val="22"/>
        </w:rPr>
        <w:t>p</w:t>
      </w:r>
      <w:r w:rsidRPr="00D442F1" w:rsidR="009C3A73">
        <w:rPr>
          <w:noProof/>
          <w:szCs w:val="22"/>
        </w:rPr>
        <w:t>ol</w:t>
      </w:r>
      <w:r w:rsidRPr="00D442F1" w:rsidR="00456D69">
        <w:rPr>
          <w:noProof/>
          <w:szCs w:val="22"/>
        </w:rPr>
        <w:t>y</w:t>
      </w:r>
      <w:r w:rsidRPr="00D442F1" w:rsidR="009C3A73">
        <w:rPr>
          <w:noProof/>
          <w:szCs w:val="22"/>
        </w:rPr>
        <w:t>v</w:t>
      </w:r>
      <w:r w:rsidRPr="00D442F1" w:rsidR="00456D69">
        <w:rPr>
          <w:noProof/>
          <w:szCs w:val="22"/>
        </w:rPr>
        <w:t>i</w:t>
      </w:r>
      <w:r w:rsidRPr="00D442F1" w:rsidR="009C3A73">
        <w:rPr>
          <w:noProof/>
          <w:szCs w:val="22"/>
        </w:rPr>
        <w:t xml:space="preserve">nyl </w:t>
      </w:r>
      <w:r w:rsidRPr="00D442F1" w:rsidR="00456D69">
        <w:rPr>
          <w:noProof/>
          <w:szCs w:val="22"/>
        </w:rPr>
        <w:t>c</w:t>
      </w:r>
      <w:r w:rsidRPr="00D442F1" w:rsidR="009C3A73">
        <w:rPr>
          <w:noProof/>
          <w:szCs w:val="22"/>
        </w:rPr>
        <w:t>hloride (PVC) tubing and a luer spike interconnector closed by a luer</w:t>
      </w:r>
      <w:r w:rsidRPr="00D442F1" w:rsidR="00591100">
        <w:rPr>
          <w:noProof/>
          <w:szCs w:val="22"/>
        </w:rPr>
        <w:noBreakHyphen/>
      </w:r>
      <w:r w:rsidRPr="00D442F1" w:rsidR="009C3A73">
        <w:rPr>
          <w:noProof/>
          <w:szCs w:val="22"/>
        </w:rPr>
        <w:t>lock cap</w:t>
      </w:r>
      <w:r w:rsidRPr="00D442F1">
        <w:rPr>
          <w:noProof/>
          <w:szCs w:val="22"/>
        </w:rPr>
        <w:t xml:space="preserve"> containing</w:t>
      </w:r>
      <w:r w:rsidRPr="00D442F1" w:rsidR="00E7276A">
        <w:rPr>
          <w:noProof/>
          <w:szCs w:val="22"/>
        </w:rPr>
        <w:t xml:space="preserve"> either 10–30 mL (50 mL bags) or 30–</w:t>
      </w:r>
      <w:r w:rsidRPr="00D442F1" w:rsidR="009B55E6">
        <w:rPr>
          <w:noProof/>
          <w:szCs w:val="22"/>
        </w:rPr>
        <w:t>50 </w:t>
      </w:r>
      <w:r w:rsidRPr="00D442F1" w:rsidR="00E7276A">
        <w:rPr>
          <w:noProof/>
          <w:szCs w:val="22"/>
        </w:rPr>
        <w:t>mL (250 mL bags)</w:t>
      </w:r>
      <w:r w:rsidRPr="00D442F1" w:rsidR="00C91908">
        <w:rPr>
          <w:noProof/>
          <w:szCs w:val="22"/>
        </w:rPr>
        <w:t xml:space="preserve"> cell dispersion</w:t>
      </w:r>
      <w:r w:rsidRPr="00D442F1">
        <w:rPr>
          <w:noProof/>
          <w:szCs w:val="22"/>
        </w:rPr>
        <w:t>.</w:t>
      </w:r>
    </w:p>
    <w:p w:rsidR="00E7276A" w:rsidRPr="00D442F1" w:rsidP="00166894" w14:paraId="7E9F71B0" w14:textId="77777777">
      <w:pPr>
        <w:widowControl w:val="0"/>
        <w:tabs>
          <w:tab w:val="clear" w:pos="567"/>
        </w:tabs>
        <w:spacing w:line="240" w:lineRule="auto"/>
        <w:outlineLvl w:val="0"/>
        <w:rPr>
          <w:noProof/>
          <w:szCs w:val="22"/>
        </w:rPr>
      </w:pPr>
    </w:p>
    <w:p w:rsidR="00097E7A" w:rsidRPr="00D442F1" w:rsidP="00166894" w14:paraId="45D9578F" w14:textId="77777777">
      <w:pPr>
        <w:widowControl w:val="0"/>
        <w:tabs>
          <w:tab w:val="clear" w:pos="567"/>
        </w:tabs>
        <w:spacing w:line="240" w:lineRule="auto"/>
        <w:outlineLvl w:val="0"/>
        <w:rPr>
          <w:noProof/>
          <w:szCs w:val="22"/>
          <w:lang w:val="en-US"/>
        </w:rPr>
      </w:pPr>
      <w:r w:rsidRPr="00D442F1">
        <w:rPr>
          <w:noProof/>
          <w:szCs w:val="22"/>
          <w:lang w:val="en-US"/>
        </w:rPr>
        <w:t xml:space="preserve">Each </w:t>
      </w:r>
      <w:r w:rsidRPr="00D442F1" w:rsidR="00786B61">
        <w:rPr>
          <w:noProof/>
          <w:szCs w:val="22"/>
          <w:lang w:val="en-US"/>
        </w:rPr>
        <w:t xml:space="preserve">infusion </w:t>
      </w:r>
      <w:r w:rsidRPr="00D442F1">
        <w:rPr>
          <w:noProof/>
          <w:szCs w:val="22"/>
          <w:lang w:val="en-US"/>
        </w:rPr>
        <w:t xml:space="preserve">bag is placed into an aluminum cassette, then put in a plastic overwrap bag with absorbent sheets and sealed in a </w:t>
      </w:r>
      <w:r w:rsidRPr="00D442F1" w:rsidR="00786B61">
        <w:rPr>
          <w:noProof/>
          <w:szCs w:val="22"/>
          <w:lang w:val="en-US"/>
        </w:rPr>
        <w:t>protective envelope (</w:t>
      </w:r>
      <w:r w:rsidRPr="00D442F1">
        <w:rPr>
          <w:noProof/>
          <w:szCs w:val="22"/>
          <w:lang w:val="en-US"/>
        </w:rPr>
        <w:t>Tyvek</w:t>
      </w:r>
      <w:r w:rsidRPr="00D442F1" w:rsidR="00786B61">
        <w:rPr>
          <w:noProof/>
          <w:szCs w:val="22"/>
          <w:lang w:val="en-US"/>
        </w:rPr>
        <w:t>)</w:t>
      </w:r>
      <w:r w:rsidRPr="00D442F1">
        <w:rPr>
          <w:noProof/>
          <w:szCs w:val="22"/>
          <w:lang w:val="en-US"/>
        </w:rPr>
        <w:t>.</w:t>
      </w:r>
    </w:p>
    <w:p w:rsidR="00BA0C44" w:rsidRPr="00D442F1" w:rsidP="00166894" w14:paraId="3E00F512" w14:textId="77777777">
      <w:pPr>
        <w:widowControl w:val="0"/>
        <w:tabs>
          <w:tab w:val="clear" w:pos="567"/>
        </w:tabs>
        <w:spacing w:line="240" w:lineRule="auto"/>
        <w:outlineLvl w:val="0"/>
        <w:rPr>
          <w:noProof/>
          <w:szCs w:val="22"/>
          <w:lang w:val="en-US"/>
        </w:rPr>
      </w:pPr>
    </w:p>
    <w:p w:rsidR="00BA0C44" w:rsidRPr="00D442F1" w:rsidP="00166894" w14:paraId="45C69180" w14:textId="04043051">
      <w:pPr>
        <w:widowControl w:val="0"/>
        <w:tabs>
          <w:tab w:val="clear" w:pos="567"/>
        </w:tabs>
        <w:spacing w:line="240" w:lineRule="auto"/>
        <w:outlineLvl w:val="0"/>
        <w:rPr>
          <w:noProof/>
          <w:szCs w:val="22"/>
        </w:rPr>
      </w:pPr>
      <w:r w:rsidRPr="00D442F1">
        <w:rPr>
          <w:noProof/>
          <w:szCs w:val="22"/>
          <w:lang w:val="en-US"/>
        </w:rPr>
        <w:t xml:space="preserve">One individual treatment dose </w:t>
      </w:r>
      <w:r w:rsidRPr="00D442F1" w:rsidR="00FA503C">
        <w:rPr>
          <w:noProof/>
          <w:szCs w:val="22"/>
          <w:lang w:val="en-US"/>
        </w:rPr>
        <w:t>comprises</w:t>
      </w:r>
      <w:r w:rsidRPr="00D442F1" w:rsidR="006B3D1C">
        <w:rPr>
          <w:noProof/>
          <w:szCs w:val="22"/>
          <w:lang w:val="en-US"/>
        </w:rPr>
        <w:t xml:space="preserve"> </w:t>
      </w:r>
      <w:r w:rsidRPr="00D442F1">
        <w:rPr>
          <w:noProof/>
          <w:szCs w:val="22"/>
          <w:lang w:val="en-US"/>
        </w:rPr>
        <w:t xml:space="preserve">1 </w:t>
      </w:r>
      <w:r w:rsidRPr="00D442F1" w:rsidR="00C22C66">
        <w:rPr>
          <w:noProof/>
          <w:szCs w:val="22"/>
          <w:lang w:val="en-US"/>
        </w:rPr>
        <w:t xml:space="preserve">or more </w:t>
      </w:r>
      <w:r w:rsidRPr="00D442F1" w:rsidR="001A19D0">
        <w:rPr>
          <w:noProof/>
          <w:szCs w:val="22"/>
          <w:lang w:val="en-US"/>
        </w:rPr>
        <w:t xml:space="preserve">infusion </w:t>
      </w:r>
      <w:r w:rsidRPr="00D442F1">
        <w:rPr>
          <w:noProof/>
          <w:szCs w:val="22"/>
          <w:lang w:val="en-US"/>
        </w:rPr>
        <w:t>bags.</w:t>
      </w:r>
    </w:p>
    <w:p w:rsidR="00812D16" w:rsidRPr="00D442F1" w:rsidP="00166894" w14:paraId="6DC8ACCB" w14:textId="77777777">
      <w:pPr>
        <w:widowControl w:val="0"/>
        <w:tabs>
          <w:tab w:val="clear" w:pos="567"/>
        </w:tabs>
        <w:spacing w:line="240" w:lineRule="auto"/>
        <w:rPr>
          <w:noProof/>
          <w:szCs w:val="22"/>
        </w:rPr>
      </w:pPr>
    </w:p>
    <w:p w:rsidR="00812D16" w:rsidRPr="00D442F1" w:rsidP="00166894" w14:paraId="4699EB05" w14:textId="77777777">
      <w:pPr>
        <w:keepNext/>
        <w:widowControl w:val="0"/>
        <w:tabs>
          <w:tab w:val="clear" w:pos="567"/>
        </w:tabs>
        <w:spacing w:line="240" w:lineRule="auto"/>
        <w:ind w:left="567" w:hanging="567"/>
        <w:outlineLvl w:val="0"/>
        <w:rPr>
          <w:noProof/>
          <w:szCs w:val="22"/>
        </w:rPr>
      </w:pPr>
      <w:bookmarkStart w:id="7" w:name="OLE_LINK1"/>
      <w:r w:rsidRPr="00D442F1">
        <w:rPr>
          <w:b/>
          <w:noProof/>
          <w:szCs w:val="22"/>
        </w:rPr>
        <w:t>6.6</w:t>
      </w:r>
      <w:r w:rsidRPr="00D442F1">
        <w:rPr>
          <w:b/>
          <w:noProof/>
          <w:szCs w:val="22"/>
        </w:rPr>
        <w:tab/>
        <w:t>Special precautions for disposal and other handling</w:t>
      </w:r>
    </w:p>
    <w:p w:rsidR="00C32B89" w:rsidRPr="00D442F1" w:rsidP="00166894" w14:paraId="19DA01A6" w14:textId="77777777">
      <w:pPr>
        <w:keepNext/>
        <w:widowControl w:val="0"/>
        <w:tabs>
          <w:tab w:val="clear" w:pos="567"/>
        </w:tabs>
        <w:spacing w:line="240" w:lineRule="auto"/>
        <w:rPr>
          <w:noProof/>
          <w:szCs w:val="22"/>
        </w:rPr>
      </w:pPr>
    </w:p>
    <w:p w:rsidR="00E7276A" w:rsidRPr="00D442F1" w:rsidP="00166894" w14:paraId="5B7E072F" w14:textId="77777777">
      <w:pPr>
        <w:keepNext/>
        <w:widowControl w:val="0"/>
        <w:tabs>
          <w:tab w:val="clear" w:pos="567"/>
        </w:tabs>
        <w:spacing w:line="240" w:lineRule="auto"/>
        <w:rPr>
          <w:szCs w:val="22"/>
          <w:u w:val="single"/>
        </w:rPr>
      </w:pPr>
      <w:r w:rsidRPr="00D442F1">
        <w:rPr>
          <w:szCs w:val="22"/>
          <w:u w:val="single"/>
        </w:rPr>
        <w:t>Inspection and thawing of the infusion bag(s)</w:t>
      </w:r>
    </w:p>
    <w:p w:rsidR="00E7276A" w:rsidRPr="00D442F1" w:rsidP="00166894" w14:paraId="0CE673AA" w14:textId="77777777">
      <w:pPr>
        <w:keepNext/>
        <w:widowControl w:val="0"/>
        <w:tabs>
          <w:tab w:val="clear" w:pos="567"/>
        </w:tabs>
        <w:spacing w:line="240" w:lineRule="auto"/>
        <w:rPr>
          <w:szCs w:val="22"/>
        </w:rPr>
      </w:pPr>
    </w:p>
    <w:p w:rsidR="00686F3A" w:rsidRPr="00385FB9" w:rsidP="00166894" w14:paraId="7FEFEF36" w14:textId="77777777">
      <w:pPr>
        <w:widowControl w:val="0"/>
        <w:tabs>
          <w:tab w:val="clear" w:pos="567"/>
        </w:tabs>
        <w:spacing w:line="240" w:lineRule="auto"/>
      </w:pPr>
      <w:r w:rsidRPr="00D442F1">
        <w:t xml:space="preserve">Do not thaw the product until it is ready to </w:t>
      </w:r>
      <w:r w:rsidRPr="00385FB9">
        <w:t>be used.</w:t>
      </w:r>
    </w:p>
    <w:p w:rsidR="00686F3A" w:rsidRPr="00385FB9" w:rsidP="00166894" w14:paraId="32B8DC22" w14:textId="77777777">
      <w:pPr>
        <w:widowControl w:val="0"/>
        <w:tabs>
          <w:tab w:val="clear" w:pos="567"/>
        </w:tabs>
        <w:spacing w:line="240" w:lineRule="auto"/>
      </w:pPr>
    </w:p>
    <w:p w:rsidR="00E7276A" w:rsidRPr="00385FB9" w:rsidP="00166894" w14:paraId="78E1E561" w14:textId="2FBE3A9D">
      <w:pPr>
        <w:widowControl w:val="0"/>
        <w:tabs>
          <w:tab w:val="clear" w:pos="567"/>
        </w:tabs>
        <w:spacing w:line="240" w:lineRule="auto"/>
        <w:rPr>
          <w:szCs w:val="22"/>
        </w:rPr>
      </w:pPr>
      <w:r w:rsidRPr="00385FB9">
        <w:t xml:space="preserve">The infusion bag should be placed inside a second sterile bag during thawing to protect ports from contamination and avoid spills in the unlikely event of the bag leaking. </w:t>
      </w:r>
      <w:r w:rsidRPr="00385FB9">
        <w:rPr>
          <w:szCs w:val="22"/>
        </w:rPr>
        <w:t xml:space="preserve">Kymriah should be thawed at 37°C using either a water bath or dry thaw method until there is no visible ice in the infusion bag. The bag should be removed immediately from the thawing device and kept at room temperature </w:t>
      </w:r>
      <w:r w:rsidRPr="00385FB9" w:rsidR="004B0108">
        <w:rPr>
          <w:szCs w:val="22"/>
        </w:rPr>
        <w:t>(20</w:t>
      </w:r>
      <w:r w:rsidRPr="00385FB9" w:rsidR="00F7678A">
        <w:rPr>
          <w:szCs w:val="22"/>
        </w:rPr>
        <w:t>°C</w:t>
      </w:r>
      <w:r w:rsidRPr="00385FB9" w:rsidR="004B0108">
        <w:rPr>
          <w:szCs w:val="22"/>
        </w:rPr>
        <w:noBreakHyphen/>
        <w:t xml:space="preserve">25°C) </w:t>
      </w:r>
      <w:r w:rsidRPr="00385FB9">
        <w:rPr>
          <w:szCs w:val="22"/>
        </w:rPr>
        <w:t xml:space="preserve">until infusion. If more than one </w:t>
      </w:r>
      <w:r w:rsidRPr="00385FB9" w:rsidR="001A19D0">
        <w:rPr>
          <w:szCs w:val="22"/>
        </w:rPr>
        <w:t xml:space="preserve">infusion </w:t>
      </w:r>
      <w:r w:rsidRPr="00385FB9">
        <w:rPr>
          <w:szCs w:val="22"/>
        </w:rPr>
        <w:t>bag has been received for the treatment dose, the</w:t>
      </w:r>
      <w:r w:rsidRPr="00385FB9" w:rsidR="00225A9E">
        <w:rPr>
          <w:szCs w:val="22"/>
        </w:rPr>
        <w:t xml:space="preserve"> next</w:t>
      </w:r>
      <w:r w:rsidRPr="00385FB9">
        <w:rPr>
          <w:szCs w:val="22"/>
        </w:rPr>
        <w:t xml:space="preserve"> bag should only be thawed after the contents of the </w:t>
      </w:r>
      <w:r w:rsidRPr="00385FB9" w:rsidR="00C91908">
        <w:rPr>
          <w:szCs w:val="22"/>
        </w:rPr>
        <w:t xml:space="preserve">preceding </w:t>
      </w:r>
      <w:r w:rsidRPr="00385FB9">
        <w:rPr>
          <w:szCs w:val="22"/>
        </w:rPr>
        <w:t>bag have been infused.</w:t>
      </w:r>
    </w:p>
    <w:p w:rsidR="00E7276A" w:rsidRPr="00385FB9" w:rsidP="00166894" w14:paraId="0D29C310" w14:textId="77777777">
      <w:pPr>
        <w:widowControl w:val="0"/>
        <w:tabs>
          <w:tab w:val="clear" w:pos="567"/>
        </w:tabs>
        <w:spacing w:line="240" w:lineRule="auto"/>
        <w:rPr>
          <w:szCs w:val="22"/>
        </w:rPr>
      </w:pPr>
    </w:p>
    <w:p w:rsidR="00E7276A" w:rsidRPr="00385FB9" w:rsidP="00166894" w14:paraId="162CE401" w14:textId="77777777">
      <w:pPr>
        <w:widowControl w:val="0"/>
        <w:tabs>
          <w:tab w:val="clear" w:pos="567"/>
        </w:tabs>
        <w:spacing w:line="240" w:lineRule="auto"/>
        <w:rPr>
          <w:szCs w:val="22"/>
        </w:rPr>
      </w:pPr>
      <w:r w:rsidRPr="00385FB9">
        <w:rPr>
          <w:szCs w:val="22"/>
        </w:rPr>
        <w:t xml:space="preserve">Kymriah should </w:t>
      </w:r>
      <w:r w:rsidRPr="00385FB9">
        <w:rPr>
          <w:szCs w:val="22"/>
          <w:u w:val="single"/>
        </w:rPr>
        <w:t>not</w:t>
      </w:r>
      <w:r w:rsidRPr="00385FB9">
        <w:rPr>
          <w:szCs w:val="22"/>
        </w:rPr>
        <w:t xml:space="preserve"> be manipulated. For example, Kymriah should not be washed (spun down and resuspended in new media) prior to infusion.</w:t>
      </w:r>
    </w:p>
    <w:p w:rsidR="00E7276A" w:rsidRPr="00385FB9" w:rsidP="00166894" w14:paraId="5333ADC3" w14:textId="77777777">
      <w:pPr>
        <w:widowControl w:val="0"/>
        <w:tabs>
          <w:tab w:val="clear" w:pos="567"/>
        </w:tabs>
        <w:spacing w:line="240" w:lineRule="auto"/>
        <w:rPr>
          <w:szCs w:val="22"/>
        </w:rPr>
      </w:pPr>
    </w:p>
    <w:p w:rsidR="00E7276A" w:rsidRPr="00385FB9" w:rsidP="00166894" w14:paraId="009E02E9" w14:textId="2FDB72CD">
      <w:pPr>
        <w:widowControl w:val="0"/>
        <w:tabs>
          <w:tab w:val="clear" w:pos="567"/>
        </w:tabs>
        <w:spacing w:line="240" w:lineRule="auto"/>
        <w:rPr>
          <w:noProof/>
          <w:szCs w:val="22"/>
        </w:rPr>
      </w:pPr>
      <w:r w:rsidRPr="00385FB9">
        <w:rPr>
          <w:szCs w:val="22"/>
        </w:rPr>
        <w:t xml:space="preserve">The </w:t>
      </w:r>
      <w:r w:rsidRPr="00385FB9" w:rsidR="00786B61">
        <w:rPr>
          <w:szCs w:val="22"/>
        </w:rPr>
        <w:t xml:space="preserve">infusion </w:t>
      </w:r>
      <w:r w:rsidRPr="00385FB9">
        <w:rPr>
          <w:szCs w:val="22"/>
        </w:rPr>
        <w:t xml:space="preserve">bag(s) should be examined for any breaks or cracks prior to thawing. If the </w:t>
      </w:r>
      <w:r w:rsidRPr="00385FB9" w:rsidR="00786B61">
        <w:rPr>
          <w:szCs w:val="22"/>
        </w:rPr>
        <w:t xml:space="preserve">infusion </w:t>
      </w:r>
      <w:r w:rsidRPr="00385FB9">
        <w:rPr>
          <w:szCs w:val="22"/>
        </w:rPr>
        <w:t xml:space="preserve">bag appears to have been damaged or to be leaking, it should not be infused and should be disposed of according to local procedures </w:t>
      </w:r>
      <w:r w:rsidRPr="00385FB9" w:rsidR="003116E7">
        <w:rPr>
          <w:noProof/>
          <w:szCs w:val="22"/>
        </w:rPr>
        <w:t xml:space="preserve">on handling of biological waste </w:t>
      </w:r>
      <w:r w:rsidRPr="00385FB9">
        <w:rPr>
          <w:noProof/>
          <w:szCs w:val="22"/>
        </w:rPr>
        <w:t>(see section 4.2.).</w:t>
      </w:r>
    </w:p>
    <w:p w:rsidR="00E7276A" w:rsidRPr="00385FB9" w:rsidP="00166894" w14:paraId="48E25BCB" w14:textId="77777777">
      <w:pPr>
        <w:widowControl w:val="0"/>
        <w:tabs>
          <w:tab w:val="clear" w:pos="567"/>
        </w:tabs>
        <w:spacing w:line="240" w:lineRule="auto"/>
        <w:rPr>
          <w:noProof/>
          <w:szCs w:val="22"/>
        </w:rPr>
      </w:pPr>
    </w:p>
    <w:p w:rsidR="00E7276A" w:rsidRPr="00385FB9" w:rsidP="00166894" w14:paraId="2EE84899" w14:textId="77777777">
      <w:pPr>
        <w:pStyle w:val="Header"/>
        <w:keepNext/>
        <w:widowControl w:val="0"/>
        <w:tabs>
          <w:tab w:val="clear" w:pos="567"/>
        </w:tabs>
        <w:spacing w:line="240" w:lineRule="auto"/>
        <w:rPr>
          <w:rFonts w:ascii="Times New Roman" w:hAnsi="Times New Roman"/>
          <w:sz w:val="22"/>
          <w:szCs w:val="22"/>
          <w:u w:val="single"/>
        </w:rPr>
      </w:pPr>
      <w:r w:rsidRPr="00385FB9">
        <w:rPr>
          <w:rFonts w:ascii="Times New Roman" w:hAnsi="Times New Roman"/>
          <w:sz w:val="22"/>
          <w:szCs w:val="22"/>
          <w:u w:val="single"/>
        </w:rPr>
        <w:t xml:space="preserve">Precautions to be taken </w:t>
      </w:r>
      <w:r w:rsidRPr="00385FB9" w:rsidR="00E6246F">
        <w:rPr>
          <w:rFonts w:ascii="Times New Roman" w:hAnsi="Times New Roman"/>
          <w:sz w:val="22"/>
          <w:szCs w:val="22"/>
          <w:u w:val="single"/>
        </w:rPr>
        <w:t>for transport and disposal of</w:t>
      </w:r>
      <w:r w:rsidRPr="00385FB9">
        <w:rPr>
          <w:rFonts w:ascii="Times New Roman" w:hAnsi="Times New Roman"/>
          <w:sz w:val="22"/>
          <w:szCs w:val="22"/>
          <w:u w:val="single"/>
        </w:rPr>
        <w:t xml:space="preserve"> the medicinal product</w:t>
      </w:r>
    </w:p>
    <w:p w:rsidR="0063117E" w:rsidRPr="00385FB9" w:rsidP="00166894" w14:paraId="2035F053" w14:textId="77777777">
      <w:pPr>
        <w:keepNext/>
        <w:widowControl w:val="0"/>
        <w:tabs>
          <w:tab w:val="clear" w:pos="567"/>
        </w:tabs>
        <w:spacing w:line="240" w:lineRule="auto"/>
        <w:rPr>
          <w:noProof/>
          <w:szCs w:val="22"/>
        </w:rPr>
      </w:pPr>
    </w:p>
    <w:p w:rsidR="00686F3A" w:rsidRPr="00385FB9" w:rsidP="00166894" w14:paraId="5051525B" w14:textId="77777777">
      <w:pPr>
        <w:widowControl w:val="0"/>
        <w:tabs>
          <w:tab w:val="clear" w:pos="567"/>
        </w:tabs>
        <w:spacing w:line="240" w:lineRule="auto"/>
        <w:rPr>
          <w:noProof/>
          <w:szCs w:val="22"/>
        </w:rPr>
      </w:pPr>
      <w:r w:rsidRPr="00385FB9">
        <w:rPr>
          <w:noProof/>
          <w:szCs w:val="22"/>
        </w:rPr>
        <w:t>Kymriah should be transported within the facility in closed, break</w:t>
      </w:r>
      <w:r w:rsidRPr="00385FB9">
        <w:rPr>
          <w:noProof/>
          <w:szCs w:val="22"/>
        </w:rPr>
        <w:noBreakHyphen/>
        <w:t>proof, leak</w:t>
      </w:r>
      <w:r w:rsidRPr="00385FB9">
        <w:rPr>
          <w:noProof/>
          <w:szCs w:val="22"/>
        </w:rPr>
        <w:noBreakHyphen/>
        <w:t>proof containers.</w:t>
      </w:r>
    </w:p>
    <w:p w:rsidR="00686F3A" w:rsidRPr="00385FB9" w:rsidP="00166894" w14:paraId="5AD13B5B" w14:textId="77777777">
      <w:pPr>
        <w:widowControl w:val="0"/>
        <w:tabs>
          <w:tab w:val="clear" w:pos="567"/>
        </w:tabs>
        <w:spacing w:line="240" w:lineRule="auto"/>
        <w:rPr>
          <w:noProof/>
          <w:szCs w:val="22"/>
        </w:rPr>
      </w:pPr>
    </w:p>
    <w:p w:rsidR="00E6246F" w:rsidRPr="00D442F1" w:rsidP="00166894" w14:paraId="27DF0B25" w14:textId="628929C5">
      <w:pPr>
        <w:widowControl w:val="0"/>
        <w:tabs>
          <w:tab w:val="clear" w:pos="567"/>
          <w:tab w:val="left" w:pos="720"/>
        </w:tabs>
        <w:spacing w:line="240" w:lineRule="auto"/>
        <w:rPr>
          <w:noProof/>
          <w:szCs w:val="22"/>
        </w:rPr>
      </w:pPr>
      <w:r w:rsidRPr="00385FB9">
        <w:rPr>
          <w:noProof/>
          <w:szCs w:val="22"/>
        </w:rPr>
        <w:t>Kymriah contains genetically</w:t>
      </w:r>
      <w:r w:rsidRPr="00385FB9">
        <w:rPr>
          <w:noProof/>
          <w:szCs w:val="22"/>
        </w:rPr>
        <w:noBreakHyphen/>
        <w:t xml:space="preserve">modified human </w:t>
      </w:r>
      <w:r w:rsidRPr="00385FB9">
        <w:rPr>
          <w:noProof/>
          <w:szCs w:val="22"/>
        </w:rPr>
        <w:t xml:space="preserve">blood </w:t>
      </w:r>
      <w:r w:rsidRPr="00385FB9">
        <w:rPr>
          <w:noProof/>
          <w:szCs w:val="22"/>
        </w:rPr>
        <w:t xml:space="preserve">cells. </w:t>
      </w:r>
      <w:r w:rsidRPr="00385FB9" w:rsidR="00B22C7F">
        <w:rPr>
          <w:noProof/>
          <w:szCs w:val="22"/>
        </w:rPr>
        <w:t xml:space="preserve">Local guidelines </w:t>
      </w:r>
      <w:r w:rsidRPr="00385FB9" w:rsidR="003116E7">
        <w:rPr>
          <w:noProof/>
          <w:szCs w:val="22"/>
        </w:rPr>
        <w:t xml:space="preserve">on handling of biological waste </w:t>
      </w:r>
      <w:r w:rsidRPr="00385FB9" w:rsidR="00B22C7F">
        <w:rPr>
          <w:noProof/>
          <w:szCs w:val="22"/>
        </w:rPr>
        <w:t>should be followed</w:t>
      </w:r>
      <w:r w:rsidRPr="00385FB9" w:rsidR="004421D8">
        <w:rPr>
          <w:noProof/>
          <w:szCs w:val="22"/>
        </w:rPr>
        <w:t xml:space="preserve"> for unused medicinal product or waste material</w:t>
      </w:r>
      <w:r w:rsidRPr="00385FB9" w:rsidR="00B22C7F">
        <w:rPr>
          <w:noProof/>
          <w:szCs w:val="22"/>
        </w:rPr>
        <w:t>.</w:t>
      </w:r>
      <w:r w:rsidRPr="00385FB9">
        <w:rPr>
          <w:noProof/>
          <w:szCs w:val="22"/>
        </w:rPr>
        <w:t xml:space="preserve"> All material that has been in contact with Kymriah (solid and liquid waste) should be handled and disposed in accordance with local guidelines</w:t>
      </w:r>
      <w:r w:rsidRPr="00385FB9" w:rsidR="003116E7">
        <w:rPr>
          <w:noProof/>
          <w:szCs w:val="22"/>
        </w:rPr>
        <w:t xml:space="preserve"> on handling of biological waste</w:t>
      </w:r>
      <w:r w:rsidRPr="00385FB9">
        <w:rPr>
          <w:noProof/>
          <w:szCs w:val="22"/>
        </w:rPr>
        <w:t>.</w:t>
      </w:r>
    </w:p>
    <w:p w:rsidR="00AA0F38" w:rsidRPr="00D442F1" w:rsidP="00166894" w14:paraId="32BB524C" w14:textId="77777777">
      <w:pPr>
        <w:widowControl w:val="0"/>
        <w:tabs>
          <w:tab w:val="clear" w:pos="567"/>
        </w:tabs>
        <w:spacing w:line="240" w:lineRule="auto"/>
        <w:rPr>
          <w:noProof/>
          <w:szCs w:val="22"/>
        </w:rPr>
      </w:pPr>
    </w:p>
    <w:p w:rsidR="00812D16" w:rsidRPr="00D442F1" w:rsidP="00166894" w14:paraId="57510EDD" w14:textId="77777777">
      <w:pPr>
        <w:widowControl w:val="0"/>
        <w:tabs>
          <w:tab w:val="clear" w:pos="567"/>
        </w:tabs>
        <w:spacing w:line="240" w:lineRule="auto"/>
      </w:pPr>
      <w:bookmarkEnd w:id="7"/>
    </w:p>
    <w:p w:rsidR="00812D16" w:rsidRPr="00D442F1" w:rsidP="00166894" w14:paraId="5BB42BA5" w14:textId="77777777">
      <w:pPr>
        <w:keepNext/>
        <w:widowControl w:val="0"/>
        <w:tabs>
          <w:tab w:val="clear" w:pos="567"/>
        </w:tabs>
        <w:spacing w:line="240" w:lineRule="auto"/>
        <w:ind w:left="567" w:hanging="567"/>
        <w:rPr>
          <w:noProof/>
          <w:szCs w:val="22"/>
        </w:rPr>
      </w:pPr>
      <w:r w:rsidRPr="00D442F1">
        <w:rPr>
          <w:b/>
          <w:noProof/>
          <w:szCs w:val="22"/>
        </w:rPr>
        <w:t>7.</w:t>
      </w:r>
      <w:r w:rsidRPr="00D442F1">
        <w:rPr>
          <w:b/>
          <w:noProof/>
          <w:szCs w:val="22"/>
        </w:rPr>
        <w:tab/>
        <w:t>MARKETING AUTHORISATION HOLDER</w:t>
      </w:r>
    </w:p>
    <w:p w:rsidR="00197216" w:rsidRPr="00D442F1" w:rsidP="00166894" w14:paraId="29FB4058" w14:textId="77777777">
      <w:pPr>
        <w:keepNext/>
        <w:widowControl w:val="0"/>
        <w:tabs>
          <w:tab w:val="clear" w:pos="567"/>
        </w:tabs>
        <w:spacing w:line="240" w:lineRule="auto"/>
        <w:rPr>
          <w:noProof/>
          <w:szCs w:val="22"/>
        </w:rPr>
      </w:pPr>
    </w:p>
    <w:p w:rsidR="00197216" w:rsidRPr="00D442F1" w:rsidP="00166894" w14:paraId="26E03CEC" w14:textId="77777777">
      <w:pPr>
        <w:keepNext/>
        <w:widowControl w:val="0"/>
        <w:tabs>
          <w:tab w:val="clear" w:pos="567"/>
        </w:tabs>
        <w:spacing w:line="240" w:lineRule="auto"/>
        <w:rPr>
          <w:color w:val="000000"/>
          <w:szCs w:val="22"/>
        </w:rPr>
      </w:pPr>
      <w:r w:rsidRPr="00D442F1">
        <w:rPr>
          <w:color w:val="000000"/>
          <w:szCs w:val="22"/>
        </w:rPr>
        <w:t>Novartis Europharm Limited</w:t>
      </w:r>
    </w:p>
    <w:p w:rsidR="00E7276A" w:rsidRPr="00D442F1" w:rsidP="00166894" w14:paraId="038DF21E" w14:textId="77777777">
      <w:pPr>
        <w:keepNext/>
        <w:widowControl w:val="0"/>
        <w:tabs>
          <w:tab w:val="clear" w:pos="567"/>
        </w:tabs>
        <w:spacing w:line="240" w:lineRule="auto"/>
        <w:rPr>
          <w:rFonts w:eastAsia="Calibri"/>
          <w:color w:val="000000"/>
          <w:szCs w:val="22"/>
          <w:lang w:val="en-US"/>
        </w:rPr>
      </w:pPr>
      <w:r w:rsidRPr="00D442F1">
        <w:rPr>
          <w:rFonts w:eastAsia="Calibri"/>
          <w:color w:val="000000"/>
          <w:szCs w:val="22"/>
          <w:lang w:val="en-US"/>
        </w:rPr>
        <w:t>Vista Building</w:t>
      </w:r>
    </w:p>
    <w:p w:rsidR="00E7276A" w:rsidRPr="00D442F1" w:rsidP="00166894" w14:paraId="778E2E34" w14:textId="77777777">
      <w:pPr>
        <w:keepNext/>
        <w:widowControl w:val="0"/>
        <w:tabs>
          <w:tab w:val="clear" w:pos="567"/>
        </w:tabs>
        <w:spacing w:line="240" w:lineRule="auto"/>
        <w:rPr>
          <w:rFonts w:eastAsia="Calibri"/>
          <w:color w:val="000000"/>
          <w:szCs w:val="22"/>
          <w:lang w:val="en-US"/>
        </w:rPr>
      </w:pPr>
      <w:r w:rsidRPr="00D442F1">
        <w:rPr>
          <w:rFonts w:eastAsia="Calibri"/>
          <w:color w:val="000000"/>
          <w:szCs w:val="22"/>
          <w:lang w:val="en-US"/>
        </w:rPr>
        <w:t>Elm Park, Merrion Road</w:t>
      </w:r>
    </w:p>
    <w:p w:rsidR="00E7276A" w:rsidRPr="00D442F1" w:rsidP="00166894" w14:paraId="248F81C5" w14:textId="77777777">
      <w:pPr>
        <w:keepNext/>
        <w:widowControl w:val="0"/>
        <w:tabs>
          <w:tab w:val="clear" w:pos="567"/>
        </w:tabs>
        <w:spacing w:line="240" w:lineRule="auto"/>
        <w:rPr>
          <w:rFonts w:eastAsia="Calibri"/>
          <w:color w:val="000000"/>
          <w:szCs w:val="22"/>
          <w:lang w:val="en-US"/>
        </w:rPr>
      </w:pPr>
      <w:r w:rsidRPr="00D442F1">
        <w:rPr>
          <w:rFonts w:eastAsia="Calibri"/>
          <w:color w:val="000000"/>
          <w:szCs w:val="22"/>
          <w:lang w:val="en-US"/>
        </w:rPr>
        <w:t>Dublin 4</w:t>
      </w:r>
    </w:p>
    <w:p w:rsidR="00E7276A" w:rsidRPr="00D442F1" w:rsidP="00166894" w14:paraId="3072263A" w14:textId="77777777">
      <w:pPr>
        <w:widowControl w:val="0"/>
        <w:tabs>
          <w:tab w:val="clear" w:pos="567"/>
        </w:tabs>
        <w:spacing w:line="240" w:lineRule="auto"/>
        <w:rPr>
          <w:rFonts w:eastAsia="Calibri"/>
          <w:color w:val="000000"/>
          <w:szCs w:val="22"/>
          <w:lang w:val="en-US"/>
        </w:rPr>
      </w:pPr>
      <w:r w:rsidRPr="00D442F1">
        <w:rPr>
          <w:rFonts w:eastAsia="Calibri"/>
          <w:color w:val="000000"/>
          <w:szCs w:val="22"/>
          <w:lang w:val="en-US"/>
        </w:rPr>
        <w:t>Ireland</w:t>
      </w:r>
    </w:p>
    <w:p w:rsidR="00812D16" w:rsidRPr="00D442F1" w:rsidP="00166894" w14:paraId="263159BC" w14:textId="77777777">
      <w:pPr>
        <w:widowControl w:val="0"/>
        <w:tabs>
          <w:tab w:val="clear" w:pos="567"/>
        </w:tabs>
        <w:spacing w:line="240" w:lineRule="auto"/>
        <w:rPr>
          <w:noProof/>
          <w:szCs w:val="22"/>
        </w:rPr>
      </w:pPr>
    </w:p>
    <w:p w:rsidR="00812D16" w:rsidRPr="00D442F1" w:rsidP="00166894" w14:paraId="4E4C52E5" w14:textId="77777777">
      <w:pPr>
        <w:widowControl w:val="0"/>
        <w:tabs>
          <w:tab w:val="clear" w:pos="567"/>
        </w:tabs>
        <w:spacing w:line="240" w:lineRule="auto"/>
        <w:rPr>
          <w:noProof/>
          <w:szCs w:val="22"/>
        </w:rPr>
      </w:pPr>
    </w:p>
    <w:p w:rsidR="00812D16" w:rsidRPr="00D442F1" w:rsidP="00166894" w14:paraId="6114ED9C" w14:textId="77777777">
      <w:pPr>
        <w:keepNext/>
        <w:widowControl w:val="0"/>
        <w:tabs>
          <w:tab w:val="clear" w:pos="567"/>
        </w:tabs>
        <w:spacing w:line="240" w:lineRule="auto"/>
        <w:ind w:left="567" w:hanging="567"/>
        <w:rPr>
          <w:b/>
          <w:noProof/>
          <w:szCs w:val="22"/>
        </w:rPr>
      </w:pPr>
      <w:r w:rsidRPr="00D442F1">
        <w:rPr>
          <w:b/>
          <w:noProof/>
          <w:szCs w:val="22"/>
        </w:rPr>
        <w:t>8.</w:t>
      </w:r>
      <w:r w:rsidRPr="00D442F1">
        <w:rPr>
          <w:b/>
          <w:noProof/>
          <w:szCs w:val="22"/>
        </w:rPr>
        <w:tab/>
        <w:t>MARKETING AUTHORISATION NUMBER(S)</w:t>
      </w:r>
    </w:p>
    <w:p w:rsidR="00812D16" w:rsidRPr="00D442F1" w:rsidP="00166894" w14:paraId="7AEC7261" w14:textId="77777777">
      <w:pPr>
        <w:keepNext/>
        <w:widowControl w:val="0"/>
        <w:tabs>
          <w:tab w:val="clear" w:pos="567"/>
        </w:tabs>
        <w:spacing w:line="240" w:lineRule="auto"/>
        <w:rPr>
          <w:noProof/>
          <w:szCs w:val="22"/>
        </w:rPr>
      </w:pPr>
    </w:p>
    <w:p w:rsidR="009E6731" w:rsidRPr="00D442F1" w:rsidP="00166894" w14:paraId="5BECE4FA" w14:textId="77777777">
      <w:pPr>
        <w:widowControl w:val="0"/>
        <w:tabs>
          <w:tab w:val="clear" w:pos="567"/>
        </w:tabs>
        <w:spacing w:line="240" w:lineRule="auto"/>
        <w:rPr>
          <w:noProof/>
          <w:szCs w:val="22"/>
        </w:rPr>
      </w:pPr>
      <w:r w:rsidRPr="00D442F1">
        <w:rPr>
          <w:noProof/>
          <w:szCs w:val="22"/>
        </w:rPr>
        <w:t>EU/1/18/1297/001</w:t>
      </w:r>
    </w:p>
    <w:p w:rsidR="009E6731" w:rsidRPr="00D442F1" w:rsidP="00166894" w14:paraId="2A1940D6" w14:textId="77777777">
      <w:pPr>
        <w:widowControl w:val="0"/>
        <w:tabs>
          <w:tab w:val="clear" w:pos="567"/>
        </w:tabs>
        <w:spacing w:line="240" w:lineRule="auto"/>
        <w:rPr>
          <w:noProof/>
          <w:szCs w:val="22"/>
        </w:rPr>
      </w:pPr>
    </w:p>
    <w:p w:rsidR="00812D16" w:rsidRPr="00D442F1" w:rsidP="00166894" w14:paraId="25D90871" w14:textId="77777777">
      <w:pPr>
        <w:widowControl w:val="0"/>
        <w:tabs>
          <w:tab w:val="clear" w:pos="567"/>
        </w:tabs>
        <w:spacing w:line="240" w:lineRule="auto"/>
        <w:rPr>
          <w:noProof/>
          <w:szCs w:val="22"/>
        </w:rPr>
      </w:pPr>
    </w:p>
    <w:p w:rsidR="00812D16" w:rsidRPr="00D442F1" w:rsidP="00166894" w14:paraId="1225A175" w14:textId="77777777">
      <w:pPr>
        <w:keepNext/>
        <w:widowControl w:val="0"/>
        <w:tabs>
          <w:tab w:val="clear" w:pos="567"/>
        </w:tabs>
        <w:spacing w:line="240" w:lineRule="auto"/>
        <w:ind w:left="567" w:hanging="567"/>
        <w:rPr>
          <w:noProof/>
          <w:szCs w:val="22"/>
        </w:rPr>
      </w:pPr>
      <w:r w:rsidRPr="00D442F1">
        <w:rPr>
          <w:b/>
          <w:noProof/>
          <w:szCs w:val="22"/>
        </w:rPr>
        <w:t>9.</w:t>
      </w:r>
      <w:r w:rsidRPr="00D442F1">
        <w:rPr>
          <w:b/>
          <w:noProof/>
          <w:szCs w:val="22"/>
        </w:rPr>
        <w:tab/>
        <w:t>DATE OF FIRST AUTHORISATION/RENEWAL OF THE AUTHORISATION</w:t>
      </w:r>
    </w:p>
    <w:p w:rsidR="00812D16" w:rsidRPr="00D442F1" w:rsidP="00D0210C" w14:paraId="48AFC724" w14:textId="77777777">
      <w:pPr>
        <w:keepNext/>
        <w:widowControl w:val="0"/>
        <w:tabs>
          <w:tab w:val="clear" w:pos="567"/>
        </w:tabs>
        <w:spacing w:line="240" w:lineRule="auto"/>
        <w:rPr>
          <w:noProof/>
          <w:szCs w:val="22"/>
        </w:rPr>
      </w:pPr>
    </w:p>
    <w:p w:rsidR="003F31D3" w:rsidRPr="00D442F1" w:rsidP="00166894" w14:paraId="1A778E6A" w14:textId="77777777">
      <w:pPr>
        <w:widowControl w:val="0"/>
        <w:tabs>
          <w:tab w:val="clear" w:pos="567"/>
        </w:tabs>
        <w:spacing w:line="240" w:lineRule="auto"/>
        <w:rPr>
          <w:noProof/>
          <w:szCs w:val="22"/>
        </w:rPr>
      </w:pPr>
      <w:r w:rsidRPr="00D442F1">
        <w:rPr>
          <w:noProof/>
          <w:szCs w:val="22"/>
        </w:rPr>
        <w:t>23 August 2018</w:t>
      </w:r>
    </w:p>
    <w:p w:rsidR="003F31D3" w:rsidRPr="00D442F1" w:rsidP="00166894" w14:paraId="779F4648" w14:textId="77777777">
      <w:pPr>
        <w:widowControl w:val="0"/>
        <w:tabs>
          <w:tab w:val="clear" w:pos="567"/>
        </w:tabs>
        <w:spacing w:line="240" w:lineRule="auto"/>
        <w:rPr>
          <w:noProof/>
          <w:szCs w:val="22"/>
        </w:rPr>
      </w:pPr>
    </w:p>
    <w:p w:rsidR="00812D16" w:rsidRPr="00D442F1" w:rsidP="00166894" w14:paraId="345826D4" w14:textId="77777777">
      <w:pPr>
        <w:widowControl w:val="0"/>
        <w:tabs>
          <w:tab w:val="clear" w:pos="567"/>
        </w:tabs>
        <w:spacing w:line="240" w:lineRule="auto"/>
        <w:rPr>
          <w:noProof/>
          <w:szCs w:val="22"/>
        </w:rPr>
      </w:pPr>
    </w:p>
    <w:p w:rsidR="00812D16" w:rsidRPr="00D442F1" w:rsidP="00166894" w14:paraId="34D6516F" w14:textId="77777777">
      <w:pPr>
        <w:widowControl w:val="0"/>
        <w:tabs>
          <w:tab w:val="clear" w:pos="567"/>
        </w:tabs>
        <w:spacing w:line="240" w:lineRule="auto"/>
        <w:ind w:left="567" w:hanging="567"/>
        <w:rPr>
          <w:b/>
          <w:noProof/>
          <w:szCs w:val="22"/>
        </w:rPr>
      </w:pPr>
      <w:r w:rsidRPr="00D442F1">
        <w:rPr>
          <w:b/>
          <w:noProof/>
          <w:szCs w:val="22"/>
        </w:rPr>
        <w:t>10.</w:t>
      </w:r>
      <w:r w:rsidRPr="00D442F1">
        <w:rPr>
          <w:b/>
          <w:noProof/>
          <w:szCs w:val="22"/>
        </w:rPr>
        <w:tab/>
        <w:t>DATE OF REVISION OF THE TEXT</w:t>
      </w:r>
    </w:p>
    <w:p w:rsidR="00812D16" w:rsidRPr="00D442F1" w:rsidP="00166894" w14:paraId="1CFECE91" w14:textId="77777777">
      <w:pPr>
        <w:widowControl w:val="0"/>
        <w:tabs>
          <w:tab w:val="clear" w:pos="567"/>
        </w:tabs>
        <w:spacing w:line="240" w:lineRule="auto"/>
        <w:rPr>
          <w:noProof/>
          <w:szCs w:val="22"/>
        </w:rPr>
      </w:pPr>
    </w:p>
    <w:p w:rsidR="00905B14" w:rsidRPr="00D442F1" w:rsidP="00166894" w14:paraId="76474FD6" w14:textId="77777777">
      <w:pPr>
        <w:widowControl w:val="0"/>
        <w:tabs>
          <w:tab w:val="clear" w:pos="567"/>
        </w:tabs>
        <w:spacing w:line="240" w:lineRule="auto"/>
        <w:rPr>
          <w:noProof/>
          <w:szCs w:val="22"/>
        </w:rPr>
      </w:pPr>
    </w:p>
    <w:p w:rsidR="00503528" w:rsidRPr="00D442F1" w:rsidP="00166894" w14:paraId="28CEC9AB" w14:textId="77777777">
      <w:pPr>
        <w:widowControl w:val="0"/>
        <w:numPr>
          <w:ilvl w:val="12"/>
          <w:numId w:val="0"/>
        </w:numPr>
        <w:tabs>
          <w:tab w:val="clear" w:pos="567"/>
        </w:tabs>
        <w:spacing w:line="240" w:lineRule="auto"/>
        <w:ind w:right="-2"/>
      </w:pPr>
      <w:r w:rsidRPr="00D442F1">
        <w:t xml:space="preserve">Detailed information on this medicinal product is available on the website of the European Medicines Agency </w:t>
      </w:r>
      <w:r>
        <w:fldChar w:fldCharType="begin"/>
      </w:r>
      <w:r>
        <w:instrText xml:space="preserve"> HYPERLINK "http://www.ema.europa.eu" </w:instrText>
      </w:r>
      <w:r>
        <w:fldChar w:fldCharType="separate"/>
      </w:r>
      <w:r w:rsidRPr="00D442F1">
        <w:rPr>
          <w:rStyle w:val="Hyperlink"/>
        </w:rPr>
        <w:t>http://www.ema.europa.eu</w:t>
      </w:r>
      <w:r>
        <w:fldChar w:fldCharType="end"/>
      </w:r>
    </w:p>
    <w:p w:rsidR="008929AA" w:rsidRPr="00D442F1" w:rsidP="00166894" w14:paraId="201B6197" w14:textId="77777777">
      <w:pPr>
        <w:widowControl w:val="0"/>
        <w:numPr>
          <w:ilvl w:val="12"/>
          <w:numId w:val="0"/>
        </w:numPr>
        <w:tabs>
          <w:tab w:val="clear" w:pos="567"/>
        </w:tabs>
        <w:spacing w:line="240" w:lineRule="auto"/>
        <w:ind w:right="-2"/>
        <w:rPr>
          <w:noProof/>
          <w:szCs w:val="22"/>
        </w:rPr>
      </w:pPr>
    </w:p>
    <w:p w:rsidR="00D53A34" w:rsidRPr="00D442F1" w:rsidP="00166894" w14:paraId="557BA7BC" w14:textId="77777777">
      <w:pPr>
        <w:widowControl w:val="0"/>
        <w:numPr>
          <w:ilvl w:val="12"/>
          <w:numId w:val="0"/>
        </w:numPr>
        <w:tabs>
          <w:tab w:val="clear" w:pos="567"/>
        </w:tabs>
        <w:spacing w:line="240" w:lineRule="auto"/>
        <w:ind w:right="-2"/>
        <w:rPr>
          <w:noProof/>
          <w:szCs w:val="22"/>
        </w:rPr>
      </w:pPr>
      <w:r w:rsidRPr="00D442F1">
        <w:rPr>
          <w:noProof/>
          <w:szCs w:val="22"/>
        </w:rPr>
        <w:br w:type="page"/>
      </w:r>
    </w:p>
    <w:p w:rsidR="00D53A34" w:rsidRPr="00D442F1" w:rsidP="00166894" w14:paraId="03DEB4E3" w14:textId="77777777">
      <w:pPr>
        <w:widowControl w:val="0"/>
        <w:tabs>
          <w:tab w:val="clear" w:pos="567"/>
        </w:tabs>
        <w:spacing w:line="240" w:lineRule="auto"/>
        <w:ind w:right="-2"/>
        <w:rPr>
          <w:noProof/>
          <w:szCs w:val="22"/>
        </w:rPr>
      </w:pPr>
    </w:p>
    <w:p w:rsidR="00D53A34" w:rsidRPr="00D442F1" w:rsidP="00166894" w14:paraId="11CE16EC" w14:textId="77777777">
      <w:pPr>
        <w:widowControl w:val="0"/>
        <w:tabs>
          <w:tab w:val="clear" w:pos="567"/>
        </w:tabs>
        <w:spacing w:line="240" w:lineRule="auto"/>
        <w:ind w:right="-2"/>
        <w:rPr>
          <w:noProof/>
          <w:szCs w:val="22"/>
        </w:rPr>
      </w:pPr>
    </w:p>
    <w:p w:rsidR="00D53A34" w:rsidRPr="00D442F1" w:rsidP="00166894" w14:paraId="2A5226E4" w14:textId="77777777">
      <w:pPr>
        <w:widowControl w:val="0"/>
        <w:tabs>
          <w:tab w:val="clear" w:pos="567"/>
        </w:tabs>
        <w:spacing w:line="240" w:lineRule="auto"/>
        <w:ind w:right="-2"/>
        <w:rPr>
          <w:noProof/>
          <w:szCs w:val="22"/>
        </w:rPr>
      </w:pPr>
    </w:p>
    <w:p w:rsidR="00D53A34" w:rsidRPr="00D442F1" w:rsidP="00166894" w14:paraId="2CAAB36C" w14:textId="77777777">
      <w:pPr>
        <w:widowControl w:val="0"/>
        <w:tabs>
          <w:tab w:val="clear" w:pos="567"/>
        </w:tabs>
        <w:spacing w:line="240" w:lineRule="auto"/>
        <w:ind w:right="-2"/>
        <w:rPr>
          <w:noProof/>
          <w:szCs w:val="22"/>
        </w:rPr>
      </w:pPr>
    </w:p>
    <w:p w:rsidR="00D53A34" w:rsidRPr="00D442F1" w:rsidP="00166894" w14:paraId="2BB211B9" w14:textId="77777777">
      <w:pPr>
        <w:widowControl w:val="0"/>
        <w:tabs>
          <w:tab w:val="clear" w:pos="567"/>
        </w:tabs>
        <w:spacing w:line="240" w:lineRule="auto"/>
        <w:ind w:right="-2"/>
        <w:rPr>
          <w:noProof/>
          <w:szCs w:val="22"/>
        </w:rPr>
      </w:pPr>
    </w:p>
    <w:p w:rsidR="00D53A34" w:rsidRPr="00D442F1" w:rsidP="00166894" w14:paraId="695EB7BA" w14:textId="77777777">
      <w:pPr>
        <w:widowControl w:val="0"/>
        <w:tabs>
          <w:tab w:val="clear" w:pos="567"/>
        </w:tabs>
        <w:spacing w:line="240" w:lineRule="auto"/>
        <w:ind w:right="-2"/>
        <w:rPr>
          <w:noProof/>
          <w:szCs w:val="22"/>
        </w:rPr>
      </w:pPr>
    </w:p>
    <w:p w:rsidR="00D53A34" w:rsidRPr="00D442F1" w:rsidP="00166894" w14:paraId="71BB4C62" w14:textId="77777777">
      <w:pPr>
        <w:widowControl w:val="0"/>
        <w:tabs>
          <w:tab w:val="clear" w:pos="567"/>
        </w:tabs>
        <w:spacing w:line="240" w:lineRule="auto"/>
        <w:ind w:right="-2"/>
        <w:rPr>
          <w:noProof/>
          <w:szCs w:val="22"/>
        </w:rPr>
      </w:pPr>
    </w:p>
    <w:p w:rsidR="00D53A34" w:rsidRPr="00D442F1" w:rsidP="00166894" w14:paraId="396E486F" w14:textId="77777777">
      <w:pPr>
        <w:widowControl w:val="0"/>
        <w:tabs>
          <w:tab w:val="clear" w:pos="567"/>
        </w:tabs>
        <w:spacing w:line="240" w:lineRule="auto"/>
        <w:ind w:right="-2"/>
        <w:rPr>
          <w:noProof/>
          <w:szCs w:val="22"/>
        </w:rPr>
      </w:pPr>
    </w:p>
    <w:p w:rsidR="00D53A34" w:rsidRPr="00D442F1" w:rsidP="00166894" w14:paraId="56DD957A" w14:textId="77777777">
      <w:pPr>
        <w:widowControl w:val="0"/>
        <w:tabs>
          <w:tab w:val="clear" w:pos="567"/>
        </w:tabs>
        <w:spacing w:line="240" w:lineRule="auto"/>
        <w:ind w:right="-2"/>
        <w:rPr>
          <w:noProof/>
          <w:szCs w:val="22"/>
        </w:rPr>
      </w:pPr>
    </w:p>
    <w:p w:rsidR="00D53A34" w:rsidRPr="00D442F1" w:rsidP="00166894" w14:paraId="0DBC4A48" w14:textId="77777777">
      <w:pPr>
        <w:widowControl w:val="0"/>
        <w:tabs>
          <w:tab w:val="clear" w:pos="567"/>
        </w:tabs>
        <w:spacing w:line="240" w:lineRule="auto"/>
        <w:ind w:right="-2"/>
        <w:rPr>
          <w:noProof/>
          <w:szCs w:val="22"/>
        </w:rPr>
      </w:pPr>
    </w:p>
    <w:p w:rsidR="00D53A34" w:rsidRPr="00D442F1" w:rsidP="00166894" w14:paraId="0B7A6149" w14:textId="77777777">
      <w:pPr>
        <w:widowControl w:val="0"/>
        <w:tabs>
          <w:tab w:val="clear" w:pos="567"/>
        </w:tabs>
        <w:spacing w:line="240" w:lineRule="auto"/>
        <w:ind w:right="-2"/>
        <w:rPr>
          <w:noProof/>
          <w:szCs w:val="22"/>
        </w:rPr>
      </w:pPr>
    </w:p>
    <w:p w:rsidR="00D53A34" w:rsidRPr="00D442F1" w:rsidP="00166894" w14:paraId="70F2D8AD" w14:textId="77777777">
      <w:pPr>
        <w:widowControl w:val="0"/>
        <w:tabs>
          <w:tab w:val="clear" w:pos="567"/>
        </w:tabs>
        <w:spacing w:line="240" w:lineRule="auto"/>
        <w:ind w:right="-2"/>
        <w:rPr>
          <w:noProof/>
          <w:szCs w:val="22"/>
        </w:rPr>
      </w:pPr>
    </w:p>
    <w:p w:rsidR="00D53A34" w:rsidRPr="00D442F1" w:rsidP="00166894" w14:paraId="2F6F56AA" w14:textId="77777777">
      <w:pPr>
        <w:widowControl w:val="0"/>
        <w:tabs>
          <w:tab w:val="clear" w:pos="567"/>
        </w:tabs>
        <w:spacing w:line="240" w:lineRule="auto"/>
        <w:ind w:right="-2"/>
        <w:rPr>
          <w:noProof/>
          <w:szCs w:val="22"/>
        </w:rPr>
      </w:pPr>
    </w:p>
    <w:p w:rsidR="00D53A34" w:rsidRPr="00D442F1" w:rsidP="00166894" w14:paraId="5D5C8E4C" w14:textId="77777777">
      <w:pPr>
        <w:widowControl w:val="0"/>
        <w:tabs>
          <w:tab w:val="clear" w:pos="567"/>
        </w:tabs>
        <w:spacing w:line="240" w:lineRule="auto"/>
        <w:ind w:right="-2"/>
        <w:rPr>
          <w:noProof/>
          <w:szCs w:val="22"/>
        </w:rPr>
      </w:pPr>
    </w:p>
    <w:p w:rsidR="00D53A34" w:rsidRPr="00D442F1" w:rsidP="00166894" w14:paraId="42CBF1F2" w14:textId="77777777">
      <w:pPr>
        <w:widowControl w:val="0"/>
        <w:tabs>
          <w:tab w:val="clear" w:pos="567"/>
        </w:tabs>
        <w:spacing w:line="240" w:lineRule="auto"/>
        <w:ind w:right="-2"/>
        <w:rPr>
          <w:noProof/>
          <w:szCs w:val="22"/>
        </w:rPr>
      </w:pPr>
    </w:p>
    <w:p w:rsidR="00D53A34" w:rsidRPr="00D442F1" w:rsidP="00166894" w14:paraId="250D9FD1" w14:textId="77777777">
      <w:pPr>
        <w:widowControl w:val="0"/>
        <w:tabs>
          <w:tab w:val="clear" w:pos="567"/>
        </w:tabs>
        <w:spacing w:line="240" w:lineRule="auto"/>
        <w:ind w:right="-2"/>
        <w:rPr>
          <w:noProof/>
          <w:szCs w:val="22"/>
        </w:rPr>
      </w:pPr>
    </w:p>
    <w:p w:rsidR="00D53A34" w:rsidRPr="00D442F1" w:rsidP="00166894" w14:paraId="16B8D2AB" w14:textId="77777777">
      <w:pPr>
        <w:widowControl w:val="0"/>
        <w:tabs>
          <w:tab w:val="clear" w:pos="567"/>
        </w:tabs>
        <w:spacing w:line="240" w:lineRule="auto"/>
        <w:ind w:right="-2"/>
        <w:rPr>
          <w:noProof/>
          <w:szCs w:val="22"/>
        </w:rPr>
      </w:pPr>
    </w:p>
    <w:p w:rsidR="00D53A34" w:rsidRPr="00D442F1" w:rsidP="00166894" w14:paraId="4B76B75F" w14:textId="77777777">
      <w:pPr>
        <w:widowControl w:val="0"/>
        <w:tabs>
          <w:tab w:val="clear" w:pos="567"/>
        </w:tabs>
        <w:spacing w:line="240" w:lineRule="auto"/>
        <w:ind w:right="-2"/>
        <w:rPr>
          <w:noProof/>
          <w:szCs w:val="22"/>
        </w:rPr>
      </w:pPr>
    </w:p>
    <w:p w:rsidR="00D53A34" w:rsidRPr="00D442F1" w:rsidP="00166894" w14:paraId="24659BC5" w14:textId="77777777">
      <w:pPr>
        <w:widowControl w:val="0"/>
        <w:tabs>
          <w:tab w:val="clear" w:pos="567"/>
        </w:tabs>
        <w:spacing w:line="240" w:lineRule="auto"/>
        <w:ind w:right="-2"/>
        <w:rPr>
          <w:noProof/>
          <w:szCs w:val="22"/>
        </w:rPr>
      </w:pPr>
    </w:p>
    <w:p w:rsidR="00D53A34" w:rsidRPr="00D442F1" w:rsidP="00166894" w14:paraId="69158964" w14:textId="77777777">
      <w:pPr>
        <w:widowControl w:val="0"/>
        <w:tabs>
          <w:tab w:val="clear" w:pos="567"/>
        </w:tabs>
        <w:spacing w:line="240" w:lineRule="auto"/>
        <w:ind w:right="-2"/>
        <w:rPr>
          <w:noProof/>
          <w:szCs w:val="22"/>
        </w:rPr>
      </w:pPr>
    </w:p>
    <w:p w:rsidR="00D53A34" w:rsidRPr="00D442F1" w:rsidP="00166894" w14:paraId="7A449D56" w14:textId="77777777">
      <w:pPr>
        <w:widowControl w:val="0"/>
        <w:tabs>
          <w:tab w:val="clear" w:pos="567"/>
        </w:tabs>
        <w:spacing w:line="240" w:lineRule="auto"/>
        <w:ind w:right="-2"/>
        <w:rPr>
          <w:noProof/>
          <w:szCs w:val="22"/>
        </w:rPr>
      </w:pPr>
    </w:p>
    <w:p w:rsidR="00D53A34" w:rsidRPr="00D442F1" w:rsidP="00166894" w14:paraId="3554EE8B" w14:textId="77777777">
      <w:pPr>
        <w:widowControl w:val="0"/>
        <w:tabs>
          <w:tab w:val="clear" w:pos="567"/>
        </w:tabs>
        <w:spacing w:line="240" w:lineRule="auto"/>
        <w:ind w:right="-2"/>
        <w:rPr>
          <w:noProof/>
          <w:szCs w:val="22"/>
        </w:rPr>
      </w:pPr>
    </w:p>
    <w:p w:rsidR="00D53A34" w:rsidRPr="00D442F1" w:rsidP="00166894" w14:paraId="16501F8B" w14:textId="77777777">
      <w:pPr>
        <w:widowControl w:val="0"/>
        <w:tabs>
          <w:tab w:val="clear" w:pos="567"/>
        </w:tabs>
        <w:spacing w:line="240" w:lineRule="auto"/>
        <w:ind w:right="-2"/>
        <w:jc w:val="center"/>
        <w:rPr>
          <w:noProof/>
          <w:szCs w:val="22"/>
        </w:rPr>
      </w:pPr>
      <w:r w:rsidRPr="00D442F1">
        <w:rPr>
          <w:b/>
          <w:noProof/>
          <w:szCs w:val="22"/>
        </w:rPr>
        <w:t>ANNEX II</w:t>
      </w:r>
    </w:p>
    <w:p w:rsidR="00D53A34" w:rsidRPr="00D442F1" w:rsidP="00166894" w14:paraId="1AD6D132" w14:textId="77777777">
      <w:pPr>
        <w:widowControl w:val="0"/>
        <w:tabs>
          <w:tab w:val="clear" w:pos="567"/>
        </w:tabs>
        <w:spacing w:line="240" w:lineRule="auto"/>
        <w:ind w:right="-2"/>
        <w:rPr>
          <w:noProof/>
          <w:szCs w:val="22"/>
        </w:rPr>
      </w:pPr>
    </w:p>
    <w:p w:rsidR="00D53A34" w:rsidRPr="00D442F1" w:rsidP="00166894" w14:paraId="3E241965" w14:textId="36BD5172">
      <w:pPr>
        <w:widowControl w:val="0"/>
        <w:tabs>
          <w:tab w:val="clear" w:pos="567"/>
        </w:tabs>
        <w:spacing w:line="240" w:lineRule="auto"/>
        <w:ind w:left="1701" w:right="-2" w:hanging="567"/>
        <w:rPr>
          <w:b/>
          <w:noProof/>
          <w:szCs w:val="22"/>
        </w:rPr>
      </w:pPr>
      <w:r w:rsidRPr="00D442F1">
        <w:rPr>
          <w:b/>
          <w:noProof/>
          <w:szCs w:val="22"/>
        </w:rPr>
        <w:t>A.</w:t>
      </w:r>
      <w:r w:rsidRPr="00D442F1">
        <w:rPr>
          <w:b/>
          <w:noProof/>
          <w:szCs w:val="22"/>
        </w:rPr>
        <w:tab/>
        <w:t>MANUFACTURERS OF THE BIOLOGICAL ACTIVE SUBSTANCE AND MANUFACTURER</w:t>
      </w:r>
      <w:r w:rsidR="00B47FA4">
        <w:rPr>
          <w:b/>
          <w:noProof/>
          <w:szCs w:val="22"/>
        </w:rPr>
        <w:t>S</w:t>
      </w:r>
      <w:r w:rsidRPr="00D442F1">
        <w:rPr>
          <w:b/>
          <w:noProof/>
          <w:szCs w:val="22"/>
        </w:rPr>
        <w:t xml:space="preserve"> RESPONSIBLE FOR BATCH RELEASE</w:t>
      </w:r>
    </w:p>
    <w:p w:rsidR="00D53A34" w:rsidRPr="00D442F1" w:rsidP="00166894" w14:paraId="09EF144E" w14:textId="77777777">
      <w:pPr>
        <w:widowControl w:val="0"/>
        <w:tabs>
          <w:tab w:val="clear" w:pos="567"/>
        </w:tabs>
        <w:spacing w:line="240" w:lineRule="auto"/>
        <w:ind w:left="567" w:right="-2" w:hanging="567"/>
        <w:rPr>
          <w:noProof/>
          <w:szCs w:val="22"/>
        </w:rPr>
      </w:pPr>
    </w:p>
    <w:p w:rsidR="00D53A34" w:rsidRPr="00D442F1" w:rsidP="00166894" w14:paraId="33EABB4B" w14:textId="77777777">
      <w:pPr>
        <w:widowControl w:val="0"/>
        <w:tabs>
          <w:tab w:val="clear" w:pos="567"/>
        </w:tabs>
        <w:spacing w:line="240" w:lineRule="auto"/>
        <w:ind w:left="1701" w:right="-2" w:hanging="567"/>
        <w:rPr>
          <w:b/>
          <w:noProof/>
          <w:szCs w:val="22"/>
        </w:rPr>
      </w:pPr>
      <w:r w:rsidRPr="00D442F1">
        <w:rPr>
          <w:b/>
          <w:noProof/>
          <w:szCs w:val="22"/>
        </w:rPr>
        <w:t>B.</w:t>
      </w:r>
      <w:r w:rsidRPr="00D442F1">
        <w:rPr>
          <w:b/>
          <w:noProof/>
          <w:szCs w:val="22"/>
        </w:rPr>
        <w:tab/>
        <w:t>CONDITIONS OR RESTRICTIONS REGARDING SUPPLY AND USE</w:t>
      </w:r>
    </w:p>
    <w:p w:rsidR="00D53A34" w:rsidRPr="00D442F1" w:rsidP="00166894" w14:paraId="4F20069C" w14:textId="77777777">
      <w:pPr>
        <w:widowControl w:val="0"/>
        <w:tabs>
          <w:tab w:val="clear" w:pos="567"/>
        </w:tabs>
        <w:spacing w:line="240" w:lineRule="auto"/>
        <w:ind w:left="567" w:right="-2" w:hanging="567"/>
        <w:rPr>
          <w:noProof/>
          <w:szCs w:val="22"/>
        </w:rPr>
      </w:pPr>
    </w:p>
    <w:p w:rsidR="00D53A34" w:rsidRPr="00D442F1" w:rsidP="00166894" w14:paraId="1AAA6AC3" w14:textId="77777777">
      <w:pPr>
        <w:widowControl w:val="0"/>
        <w:tabs>
          <w:tab w:val="clear" w:pos="567"/>
        </w:tabs>
        <w:spacing w:line="240" w:lineRule="auto"/>
        <w:ind w:left="1701" w:right="-2" w:hanging="567"/>
        <w:rPr>
          <w:b/>
          <w:noProof/>
          <w:szCs w:val="22"/>
        </w:rPr>
      </w:pPr>
      <w:r w:rsidRPr="00D442F1">
        <w:rPr>
          <w:b/>
          <w:noProof/>
          <w:szCs w:val="22"/>
        </w:rPr>
        <w:t>C.</w:t>
      </w:r>
      <w:r w:rsidRPr="00D442F1">
        <w:rPr>
          <w:b/>
          <w:noProof/>
          <w:szCs w:val="22"/>
        </w:rPr>
        <w:tab/>
        <w:t>OTHER CONDITIONS AND REQUIREMENTS OF THE MARKETING AUTHORISATION</w:t>
      </w:r>
    </w:p>
    <w:p w:rsidR="00D53A34" w:rsidRPr="00D442F1" w:rsidP="00166894" w14:paraId="16CE7762" w14:textId="77777777">
      <w:pPr>
        <w:widowControl w:val="0"/>
        <w:tabs>
          <w:tab w:val="clear" w:pos="567"/>
        </w:tabs>
        <w:spacing w:line="240" w:lineRule="auto"/>
        <w:ind w:right="-2"/>
      </w:pPr>
    </w:p>
    <w:p w:rsidR="00D53A34" w:rsidRPr="00D442F1" w:rsidP="00166894" w14:paraId="09C6BB74" w14:textId="77777777">
      <w:pPr>
        <w:widowControl w:val="0"/>
        <w:tabs>
          <w:tab w:val="clear" w:pos="567"/>
        </w:tabs>
        <w:spacing w:line="240" w:lineRule="auto"/>
        <w:ind w:left="1701" w:right="-2" w:hanging="567"/>
        <w:rPr>
          <w:b/>
        </w:rPr>
      </w:pPr>
      <w:r w:rsidRPr="00D442F1">
        <w:rPr>
          <w:b/>
        </w:rPr>
        <w:t>D.</w:t>
      </w:r>
      <w:r w:rsidRPr="00D442F1">
        <w:rPr>
          <w:b/>
        </w:rPr>
        <w:tab/>
      </w:r>
      <w:r w:rsidRPr="00D442F1">
        <w:rPr>
          <w:b/>
          <w:caps/>
        </w:rPr>
        <w:t>conditions or restrictions with regard to the safe and effective use of the medicinal product</w:t>
      </w:r>
    </w:p>
    <w:p w:rsidR="00D53A34" w:rsidRPr="00D442F1" w:rsidP="00166894" w14:paraId="2812043E" w14:textId="77777777">
      <w:pPr>
        <w:widowControl w:val="0"/>
        <w:tabs>
          <w:tab w:val="clear" w:pos="567"/>
        </w:tabs>
        <w:spacing w:line="240" w:lineRule="auto"/>
        <w:ind w:right="-2"/>
      </w:pPr>
    </w:p>
    <w:p w:rsidR="00D53A34" w:rsidRPr="00D442F1" w:rsidP="00166894" w14:paraId="563993B7" w14:textId="27D96C55">
      <w:pPr>
        <w:widowControl w:val="0"/>
        <w:tabs>
          <w:tab w:val="clear" w:pos="567"/>
        </w:tabs>
        <w:spacing w:line="240" w:lineRule="auto"/>
        <w:ind w:left="567" w:hanging="567"/>
        <w:rPr>
          <w:noProof/>
          <w:szCs w:val="22"/>
        </w:rPr>
      </w:pPr>
      <w:r w:rsidRPr="00D442F1">
        <w:rPr>
          <w:noProof/>
          <w:szCs w:val="22"/>
        </w:rPr>
        <w:br w:type="page"/>
      </w:r>
      <w:r w:rsidRPr="00D442F1">
        <w:rPr>
          <w:b/>
          <w:noProof/>
          <w:szCs w:val="22"/>
        </w:rPr>
        <w:t>A.</w:t>
      </w:r>
      <w:r w:rsidRPr="00D442F1">
        <w:rPr>
          <w:b/>
          <w:noProof/>
          <w:szCs w:val="22"/>
        </w:rPr>
        <w:tab/>
        <w:t>MANUFACTURERS OF THE BIOLOGICAL ACTIVE SUBSTANCE</w:t>
      </w:r>
      <w:r w:rsidRPr="00D442F1" w:rsidR="002346DE">
        <w:rPr>
          <w:b/>
          <w:noProof/>
          <w:szCs w:val="22"/>
        </w:rPr>
        <w:t xml:space="preserve"> AND</w:t>
      </w:r>
      <w:r w:rsidRPr="00D442F1">
        <w:rPr>
          <w:b/>
          <w:noProof/>
          <w:szCs w:val="22"/>
        </w:rPr>
        <w:t xml:space="preserve"> MANUFACTURER</w:t>
      </w:r>
      <w:r w:rsidR="00B47FA4">
        <w:rPr>
          <w:b/>
          <w:noProof/>
          <w:szCs w:val="22"/>
        </w:rPr>
        <w:t>S</w:t>
      </w:r>
      <w:r w:rsidRPr="00D442F1">
        <w:rPr>
          <w:b/>
          <w:noProof/>
          <w:szCs w:val="22"/>
        </w:rPr>
        <w:t xml:space="preserve"> RESPONSIBLE FOR BATCH RELEASE</w:t>
      </w:r>
    </w:p>
    <w:p w:rsidR="00D53A34" w:rsidRPr="00D442F1" w:rsidP="00166894" w14:paraId="79E4C179" w14:textId="77777777">
      <w:pPr>
        <w:widowControl w:val="0"/>
        <w:tabs>
          <w:tab w:val="clear" w:pos="567"/>
        </w:tabs>
        <w:spacing w:line="240" w:lineRule="auto"/>
        <w:ind w:right="1416"/>
        <w:rPr>
          <w:noProof/>
          <w:szCs w:val="22"/>
        </w:rPr>
      </w:pPr>
    </w:p>
    <w:p w:rsidR="00D53A34" w:rsidRPr="00D442F1" w:rsidP="00166894" w14:paraId="57DF31AC" w14:textId="77777777">
      <w:pPr>
        <w:widowControl w:val="0"/>
        <w:tabs>
          <w:tab w:val="clear" w:pos="567"/>
        </w:tabs>
        <w:spacing w:line="240" w:lineRule="auto"/>
        <w:outlineLvl w:val="0"/>
        <w:rPr>
          <w:noProof/>
          <w:szCs w:val="22"/>
          <w:u w:val="single"/>
        </w:rPr>
      </w:pPr>
      <w:r w:rsidRPr="00D442F1">
        <w:rPr>
          <w:noProof/>
          <w:szCs w:val="22"/>
          <w:u w:val="single"/>
        </w:rPr>
        <w:t>Name and address of the manufacturers of the biological active substance</w:t>
      </w:r>
    </w:p>
    <w:p w:rsidR="00D53A34" w:rsidRPr="00D442F1" w:rsidP="00166894" w14:paraId="288170EC" w14:textId="77777777">
      <w:pPr>
        <w:widowControl w:val="0"/>
        <w:tabs>
          <w:tab w:val="clear" w:pos="567"/>
        </w:tabs>
        <w:spacing w:line="240" w:lineRule="auto"/>
        <w:ind w:right="1416"/>
        <w:rPr>
          <w:noProof/>
          <w:szCs w:val="22"/>
        </w:rPr>
      </w:pPr>
    </w:p>
    <w:p w:rsidR="002346DE" w:rsidRPr="00D442F1" w:rsidP="00166894" w14:paraId="08D5D49F" w14:textId="77777777">
      <w:pPr>
        <w:widowControl w:val="0"/>
        <w:tabs>
          <w:tab w:val="clear" w:pos="567"/>
        </w:tabs>
        <w:spacing w:line="240" w:lineRule="auto"/>
        <w:rPr>
          <w:noProof/>
          <w:szCs w:val="22"/>
          <w:lang w:val="de-CH"/>
        </w:rPr>
      </w:pPr>
      <w:r w:rsidRPr="00D442F1">
        <w:rPr>
          <w:noProof/>
          <w:szCs w:val="22"/>
          <w:lang w:val="de-CH"/>
        </w:rPr>
        <w:t>Fraunhofer Institut für Zelltherapie und Immunologie</w:t>
      </w:r>
    </w:p>
    <w:p w:rsidR="002346DE" w:rsidRPr="00D442F1" w:rsidP="00166894" w14:paraId="0E4A84CC" w14:textId="77777777">
      <w:pPr>
        <w:widowControl w:val="0"/>
        <w:tabs>
          <w:tab w:val="clear" w:pos="567"/>
        </w:tabs>
        <w:spacing w:line="240" w:lineRule="auto"/>
        <w:rPr>
          <w:noProof/>
          <w:szCs w:val="22"/>
          <w:lang w:val="de-CH"/>
        </w:rPr>
      </w:pPr>
      <w:r w:rsidRPr="00D442F1">
        <w:rPr>
          <w:noProof/>
          <w:szCs w:val="22"/>
          <w:lang w:val="de-CH"/>
        </w:rPr>
        <w:t>Perlickstrasse 1</w:t>
      </w:r>
    </w:p>
    <w:p w:rsidR="002346DE" w:rsidRPr="00D442F1" w:rsidP="00166894" w14:paraId="5BD53FF4" w14:textId="77777777">
      <w:pPr>
        <w:widowControl w:val="0"/>
        <w:tabs>
          <w:tab w:val="clear" w:pos="567"/>
        </w:tabs>
        <w:spacing w:line="240" w:lineRule="auto"/>
        <w:rPr>
          <w:noProof/>
          <w:szCs w:val="22"/>
          <w:lang w:val="de-CH"/>
        </w:rPr>
      </w:pPr>
      <w:r w:rsidRPr="00D442F1">
        <w:rPr>
          <w:noProof/>
          <w:szCs w:val="22"/>
          <w:lang w:val="de-CH"/>
        </w:rPr>
        <w:t>Hauptgebäude und Erweiterungsbau 1</w:t>
      </w:r>
    </w:p>
    <w:p w:rsidR="002346DE" w:rsidRPr="00D442F1" w:rsidP="00166894" w14:paraId="1F03562C" w14:textId="77777777">
      <w:pPr>
        <w:widowControl w:val="0"/>
        <w:tabs>
          <w:tab w:val="clear" w:pos="567"/>
        </w:tabs>
        <w:spacing w:line="240" w:lineRule="auto"/>
        <w:rPr>
          <w:noProof/>
          <w:szCs w:val="22"/>
          <w:lang w:val="de-CH"/>
        </w:rPr>
      </w:pPr>
      <w:r w:rsidRPr="00D442F1">
        <w:rPr>
          <w:noProof/>
          <w:szCs w:val="22"/>
          <w:lang w:val="de-CH"/>
        </w:rPr>
        <w:t>D-</w:t>
      </w:r>
      <w:r w:rsidRPr="00D442F1">
        <w:rPr>
          <w:noProof/>
          <w:szCs w:val="22"/>
          <w:lang w:val="de-CH"/>
        </w:rPr>
        <w:t>04103 Leipzig</w:t>
      </w:r>
    </w:p>
    <w:p w:rsidR="002346DE" w:rsidRPr="00D442F1" w:rsidP="00166894" w14:paraId="5E0DAA5A" w14:textId="77777777">
      <w:pPr>
        <w:widowControl w:val="0"/>
        <w:tabs>
          <w:tab w:val="clear" w:pos="567"/>
        </w:tabs>
        <w:spacing w:line="240" w:lineRule="auto"/>
        <w:rPr>
          <w:noProof/>
          <w:szCs w:val="22"/>
        </w:rPr>
      </w:pPr>
      <w:r w:rsidRPr="00D442F1">
        <w:rPr>
          <w:noProof/>
          <w:szCs w:val="22"/>
        </w:rPr>
        <w:t>Germany</w:t>
      </w:r>
    </w:p>
    <w:p w:rsidR="002346DE" w:rsidRPr="00D442F1" w:rsidP="00166894" w14:paraId="4D4D2CC4" w14:textId="77777777">
      <w:pPr>
        <w:widowControl w:val="0"/>
        <w:tabs>
          <w:tab w:val="clear" w:pos="567"/>
        </w:tabs>
        <w:spacing w:line="240" w:lineRule="auto"/>
        <w:rPr>
          <w:noProof/>
          <w:szCs w:val="22"/>
        </w:rPr>
      </w:pPr>
    </w:p>
    <w:p w:rsidR="002346DE" w:rsidRPr="00D442F1" w:rsidP="00166894" w14:paraId="24BB2E86" w14:textId="77777777">
      <w:pPr>
        <w:widowControl w:val="0"/>
        <w:tabs>
          <w:tab w:val="clear" w:pos="567"/>
        </w:tabs>
        <w:spacing w:line="240" w:lineRule="auto"/>
        <w:rPr>
          <w:noProof/>
          <w:szCs w:val="22"/>
        </w:rPr>
      </w:pPr>
      <w:r w:rsidRPr="00D442F1">
        <w:rPr>
          <w:noProof/>
          <w:szCs w:val="22"/>
        </w:rPr>
        <w:t>Novartis Pharmaceutical Corporation</w:t>
      </w:r>
    </w:p>
    <w:p w:rsidR="002346DE" w:rsidRPr="00D442F1" w:rsidP="00166894" w14:paraId="3BF4A3EB" w14:textId="77777777">
      <w:pPr>
        <w:widowControl w:val="0"/>
        <w:tabs>
          <w:tab w:val="clear" w:pos="567"/>
        </w:tabs>
        <w:spacing w:line="240" w:lineRule="auto"/>
        <w:rPr>
          <w:noProof/>
          <w:szCs w:val="22"/>
        </w:rPr>
      </w:pPr>
      <w:r w:rsidRPr="00D442F1">
        <w:rPr>
          <w:noProof/>
          <w:szCs w:val="22"/>
        </w:rPr>
        <w:t>220 East Hanover Avenue</w:t>
      </w:r>
    </w:p>
    <w:p w:rsidR="002346DE" w:rsidRPr="00D442F1" w:rsidP="00166894" w14:paraId="33415506" w14:textId="77777777">
      <w:pPr>
        <w:widowControl w:val="0"/>
        <w:tabs>
          <w:tab w:val="clear" w:pos="567"/>
        </w:tabs>
        <w:spacing w:line="240" w:lineRule="auto"/>
        <w:rPr>
          <w:noProof/>
          <w:szCs w:val="22"/>
        </w:rPr>
      </w:pPr>
      <w:r w:rsidRPr="00D442F1">
        <w:rPr>
          <w:noProof/>
          <w:szCs w:val="22"/>
        </w:rPr>
        <w:t>Morris Plains</w:t>
      </w:r>
    </w:p>
    <w:p w:rsidR="00413F95" w:rsidRPr="00B47FA4" w:rsidP="00166894" w14:paraId="6C679B2C" w14:textId="77777777">
      <w:pPr>
        <w:widowControl w:val="0"/>
        <w:tabs>
          <w:tab w:val="clear" w:pos="567"/>
        </w:tabs>
        <w:spacing w:line="240" w:lineRule="auto"/>
        <w:rPr>
          <w:noProof/>
          <w:szCs w:val="22"/>
        </w:rPr>
      </w:pPr>
      <w:r w:rsidRPr="00B47FA4">
        <w:rPr>
          <w:noProof/>
          <w:szCs w:val="22"/>
        </w:rPr>
        <w:t>New Jersey</w:t>
      </w:r>
    </w:p>
    <w:p w:rsidR="00413F95" w:rsidRPr="00B47FA4" w:rsidP="00166894" w14:paraId="5DB8D893" w14:textId="77777777">
      <w:pPr>
        <w:widowControl w:val="0"/>
        <w:tabs>
          <w:tab w:val="clear" w:pos="567"/>
        </w:tabs>
        <w:spacing w:line="240" w:lineRule="auto"/>
        <w:rPr>
          <w:noProof/>
          <w:szCs w:val="22"/>
        </w:rPr>
      </w:pPr>
      <w:r w:rsidRPr="00B47FA4">
        <w:rPr>
          <w:noProof/>
          <w:szCs w:val="22"/>
        </w:rPr>
        <w:t>NJ07950</w:t>
      </w:r>
    </w:p>
    <w:p w:rsidR="00413F95" w:rsidP="00166894" w14:paraId="17596755" w14:textId="2B743FF4">
      <w:pPr>
        <w:widowControl w:val="0"/>
        <w:tabs>
          <w:tab w:val="clear" w:pos="567"/>
        </w:tabs>
        <w:spacing w:line="240" w:lineRule="auto"/>
        <w:rPr>
          <w:noProof/>
          <w:szCs w:val="22"/>
        </w:rPr>
      </w:pPr>
      <w:r w:rsidRPr="00B47FA4">
        <w:rPr>
          <w:noProof/>
          <w:szCs w:val="22"/>
        </w:rPr>
        <w:t>United States</w:t>
      </w:r>
    </w:p>
    <w:p w:rsidR="005A5988" w:rsidP="00166894" w14:paraId="25C64A09" w14:textId="5E5A0B18">
      <w:pPr>
        <w:widowControl w:val="0"/>
        <w:tabs>
          <w:tab w:val="clear" w:pos="567"/>
        </w:tabs>
        <w:spacing w:line="240" w:lineRule="auto"/>
        <w:rPr>
          <w:noProof/>
          <w:szCs w:val="22"/>
        </w:rPr>
      </w:pPr>
    </w:p>
    <w:p w:rsidR="000638FB" w:rsidP="00166894" w14:paraId="0A31C4C8" w14:textId="77777777">
      <w:pPr>
        <w:widowControl w:val="0"/>
        <w:tabs>
          <w:tab w:val="clear" w:pos="567"/>
        </w:tabs>
        <w:spacing w:line="240" w:lineRule="auto"/>
        <w:rPr>
          <w:noProof/>
          <w:szCs w:val="22"/>
          <w:lang w:val="de-CH"/>
        </w:rPr>
      </w:pPr>
      <w:r w:rsidRPr="00572E83">
        <w:rPr>
          <w:noProof/>
          <w:szCs w:val="22"/>
          <w:lang w:val="de-CH"/>
        </w:rPr>
        <w:t>Novartis Pharma Stein AG</w:t>
      </w:r>
    </w:p>
    <w:p w:rsidR="005A5988" w:rsidRPr="00572E83" w:rsidP="00166894" w14:paraId="51A3207B" w14:textId="35324C41">
      <w:pPr>
        <w:widowControl w:val="0"/>
        <w:tabs>
          <w:tab w:val="clear" w:pos="567"/>
        </w:tabs>
        <w:spacing w:line="240" w:lineRule="auto"/>
        <w:rPr>
          <w:noProof/>
          <w:szCs w:val="22"/>
          <w:lang w:val="de-CH"/>
        </w:rPr>
      </w:pPr>
      <w:r w:rsidRPr="00572E83">
        <w:rPr>
          <w:noProof/>
          <w:szCs w:val="22"/>
          <w:lang w:val="de-CH"/>
        </w:rPr>
        <w:t>Novartis</w:t>
      </w:r>
      <w:r w:rsidR="000638FB">
        <w:rPr>
          <w:noProof/>
          <w:szCs w:val="22"/>
          <w:lang w:val="de-CH"/>
        </w:rPr>
        <w:t xml:space="preserve"> </w:t>
      </w:r>
      <w:r w:rsidRPr="00572E83">
        <w:rPr>
          <w:noProof/>
          <w:szCs w:val="22"/>
          <w:lang w:val="de-CH"/>
        </w:rPr>
        <w:t>Technical Operation</w:t>
      </w:r>
      <w:r>
        <w:rPr>
          <w:noProof/>
          <w:szCs w:val="22"/>
          <w:lang w:val="de-CH"/>
        </w:rPr>
        <w:t>s</w:t>
      </w:r>
      <w:r w:rsidRPr="00572E83">
        <w:rPr>
          <w:noProof/>
          <w:szCs w:val="22"/>
          <w:lang w:val="de-CH"/>
        </w:rPr>
        <w:t xml:space="preserve"> Schweiz</w:t>
      </w:r>
    </w:p>
    <w:p w:rsidR="005A5988" w:rsidRPr="0043535A" w:rsidP="00166894" w14:paraId="011BC120" w14:textId="3FD8E149">
      <w:pPr>
        <w:widowControl w:val="0"/>
        <w:tabs>
          <w:tab w:val="clear" w:pos="567"/>
        </w:tabs>
        <w:spacing w:line="240" w:lineRule="auto"/>
        <w:rPr>
          <w:noProof/>
          <w:szCs w:val="22"/>
          <w:lang w:val="de-CH"/>
        </w:rPr>
      </w:pPr>
      <w:r w:rsidRPr="00456989">
        <w:rPr>
          <w:noProof/>
          <w:szCs w:val="22"/>
          <w:lang w:val="de-CH"/>
        </w:rPr>
        <w:t xml:space="preserve">Stein </w:t>
      </w:r>
      <w:r w:rsidRPr="0043535A">
        <w:rPr>
          <w:noProof/>
          <w:szCs w:val="22"/>
          <w:lang w:val="de-CH"/>
        </w:rPr>
        <w:t>Cell and Gene Therapy,</w:t>
      </w:r>
    </w:p>
    <w:p w:rsidR="005A5988" w:rsidP="00166894" w14:paraId="7E47960B" w14:textId="76867EC7">
      <w:pPr>
        <w:widowControl w:val="0"/>
        <w:tabs>
          <w:tab w:val="clear" w:pos="567"/>
        </w:tabs>
        <w:spacing w:line="240" w:lineRule="auto"/>
        <w:rPr>
          <w:noProof/>
          <w:szCs w:val="22"/>
          <w:lang w:val="de-CH"/>
        </w:rPr>
      </w:pPr>
      <w:r>
        <w:rPr>
          <w:noProof/>
          <w:szCs w:val="22"/>
          <w:lang w:val="de-CH"/>
        </w:rPr>
        <w:t>Schaffhauserstrasse</w:t>
      </w:r>
    </w:p>
    <w:p w:rsidR="005A5988" w:rsidRPr="00572E83" w:rsidP="00166894" w14:paraId="20BA95CD" w14:textId="360C235B">
      <w:pPr>
        <w:widowControl w:val="0"/>
        <w:tabs>
          <w:tab w:val="clear" w:pos="567"/>
        </w:tabs>
        <w:spacing w:line="240" w:lineRule="auto"/>
        <w:rPr>
          <w:noProof/>
          <w:szCs w:val="22"/>
          <w:lang w:val="fr-CH"/>
        </w:rPr>
      </w:pPr>
      <w:r w:rsidRPr="00572E83">
        <w:rPr>
          <w:noProof/>
          <w:szCs w:val="22"/>
          <w:lang w:val="fr-CH"/>
        </w:rPr>
        <w:t>4332 Stein</w:t>
      </w:r>
    </w:p>
    <w:p w:rsidR="005A5988" w:rsidRPr="00572E83" w:rsidP="00166894" w14:paraId="0AB53866" w14:textId="06EFCDA7">
      <w:pPr>
        <w:widowControl w:val="0"/>
        <w:tabs>
          <w:tab w:val="clear" w:pos="567"/>
        </w:tabs>
        <w:spacing w:line="240" w:lineRule="auto"/>
        <w:rPr>
          <w:noProof/>
          <w:szCs w:val="22"/>
          <w:lang w:val="fr-CH"/>
        </w:rPr>
      </w:pPr>
      <w:r w:rsidRPr="00572E83">
        <w:rPr>
          <w:noProof/>
          <w:szCs w:val="22"/>
          <w:lang w:val="fr-CH"/>
        </w:rPr>
        <w:t>Switzerland</w:t>
      </w:r>
    </w:p>
    <w:p w:rsidR="004C4D80" w:rsidRPr="00572E83" w:rsidP="00166894" w14:paraId="572704DC" w14:textId="1974645C">
      <w:pPr>
        <w:widowControl w:val="0"/>
        <w:tabs>
          <w:tab w:val="clear" w:pos="567"/>
        </w:tabs>
        <w:spacing w:line="240" w:lineRule="auto"/>
        <w:rPr>
          <w:noProof/>
          <w:szCs w:val="22"/>
          <w:lang w:val="fr-CH"/>
        </w:rPr>
      </w:pPr>
    </w:p>
    <w:p w:rsidR="004C4D80" w:rsidRPr="00572E83" w:rsidP="004C4D80" w14:paraId="4738F79B" w14:textId="77777777">
      <w:pPr>
        <w:widowControl w:val="0"/>
        <w:tabs>
          <w:tab w:val="clear" w:pos="567"/>
        </w:tabs>
        <w:spacing w:line="240" w:lineRule="auto"/>
        <w:rPr>
          <w:noProof/>
          <w:szCs w:val="22"/>
          <w:lang w:val="fr-CH"/>
        </w:rPr>
      </w:pPr>
      <w:r w:rsidRPr="00572E83">
        <w:rPr>
          <w:noProof/>
          <w:szCs w:val="22"/>
          <w:lang w:val="fr-CH"/>
        </w:rPr>
        <w:t>CELLFORCURE</w:t>
      </w:r>
    </w:p>
    <w:p w:rsidR="004C4D80" w:rsidRPr="00572E83" w:rsidP="004C4D80" w14:paraId="6F7FD3CA" w14:textId="5F2A8058">
      <w:pPr>
        <w:widowControl w:val="0"/>
        <w:tabs>
          <w:tab w:val="clear" w:pos="567"/>
        </w:tabs>
        <w:spacing w:line="240" w:lineRule="auto"/>
        <w:rPr>
          <w:noProof/>
          <w:szCs w:val="22"/>
          <w:lang w:val="fr-CH"/>
        </w:rPr>
      </w:pPr>
      <w:r w:rsidRPr="00572E83">
        <w:rPr>
          <w:noProof/>
          <w:szCs w:val="22"/>
          <w:lang w:val="fr-CH"/>
        </w:rPr>
        <w:t>ZA de Courtabœuf</w:t>
      </w:r>
    </w:p>
    <w:p w:rsidR="004C4D80" w:rsidRPr="00572E83" w:rsidP="004C4D80" w14:paraId="15ECEE76" w14:textId="77777777">
      <w:pPr>
        <w:widowControl w:val="0"/>
        <w:tabs>
          <w:tab w:val="clear" w:pos="567"/>
        </w:tabs>
        <w:spacing w:line="240" w:lineRule="auto"/>
        <w:rPr>
          <w:noProof/>
          <w:szCs w:val="22"/>
          <w:lang w:val="fr-CH"/>
        </w:rPr>
      </w:pPr>
      <w:r w:rsidRPr="00572E83">
        <w:rPr>
          <w:noProof/>
          <w:szCs w:val="22"/>
          <w:lang w:val="fr-CH"/>
        </w:rPr>
        <w:t>11 avenue des Tropiques</w:t>
      </w:r>
    </w:p>
    <w:p w:rsidR="004C4D80" w:rsidRPr="00572E83" w:rsidP="004C4D80" w14:paraId="3D84E4EE" w14:textId="2EBDCF53">
      <w:pPr>
        <w:widowControl w:val="0"/>
        <w:tabs>
          <w:tab w:val="clear" w:pos="567"/>
        </w:tabs>
        <w:spacing w:line="240" w:lineRule="auto"/>
        <w:rPr>
          <w:noProof/>
          <w:szCs w:val="22"/>
          <w:lang w:val="fr-CH"/>
        </w:rPr>
      </w:pPr>
      <w:r w:rsidRPr="00572E83">
        <w:rPr>
          <w:noProof/>
          <w:szCs w:val="22"/>
          <w:lang w:val="fr-CH"/>
        </w:rPr>
        <w:t>91940 Les Ulis</w:t>
      </w:r>
    </w:p>
    <w:p w:rsidR="004C4D80" w:rsidRPr="00572E83" w:rsidP="004C4D80" w14:paraId="213ACDE7" w14:textId="2E4F63EA">
      <w:pPr>
        <w:widowControl w:val="0"/>
        <w:tabs>
          <w:tab w:val="clear" w:pos="567"/>
        </w:tabs>
        <w:spacing w:line="240" w:lineRule="auto"/>
        <w:rPr>
          <w:noProof/>
          <w:szCs w:val="22"/>
          <w:lang w:val="fr-CH"/>
        </w:rPr>
      </w:pPr>
      <w:r w:rsidRPr="00572E83">
        <w:rPr>
          <w:noProof/>
          <w:szCs w:val="22"/>
          <w:lang w:val="fr-CH"/>
        </w:rPr>
        <w:t>France</w:t>
      </w:r>
    </w:p>
    <w:p w:rsidR="00D53A34" w:rsidRPr="00572E83" w:rsidP="00166894" w14:paraId="5BDDD8E1" w14:textId="77777777">
      <w:pPr>
        <w:widowControl w:val="0"/>
        <w:tabs>
          <w:tab w:val="clear" w:pos="567"/>
        </w:tabs>
        <w:spacing w:line="240" w:lineRule="auto"/>
        <w:rPr>
          <w:noProof/>
          <w:szCs w:val="22"/>
          <w:lang w:val="fr-CH"/>
        </w:rPr>
      </w:pPr>
    </w:p>
    <w:p w:rsidR="00D53A34" w:rsidRPr="00B47FA4" w:rsidP="00166894" w14:paraId="68D627FF" w14:textId="5F5E8492">
      <w:pPr>
        <w:widowControl w:val="0"/>
        <w:tabs>
          <w:tab w:val="clear" w:pos="567"/>
        </w:tabs>
        <w:spacing w:line="240" w:lineRule="auto"/>
        <w:outlineLvl w:val="0"/>
        <w:rPr>
          <w:noProof/>
          <w:szCs w:val="22"/>
        </w:rPr>
      </w:pPr>
      <w:r w:rsidRPr="00125DE8">
        <w:rPr>
          <w:noProof/>
          <w:szCs w:val="22"/>
          <w:u w:val="single"/>
        </w:rPr>
        <w:t>Name and address of the manufacturer</w:t>
      </w:r>
      <w:r w:rsidR="00B47FA4">
        <w:rPr>
          <w:noProof/>
          <w:szCs w:val="22"/>
          <w:u w:val="single"/>
        </w:rPr>
        <w:t>s</w:t>
      </w:r>
      <w:r w:rsidRPr="00B47FA4">
        <w:rPr>
          <w:noProof/>
          <w:szCs w:val="22"/>
          <w:u w:val="single"/>
        </w:rPr>
        <w:t xml:space="preserve"> responsible for batch release</w:t>
      </w:r>
    </w:p>
    <w:p w:rsidR="00D53A34" w:rsidRPr="00B47FA4" w:rsidP="00166894" w14:paraId="7AC94FEE" w14:textId="77777777">
      <w:pPr>
        <w:widowControl w:val="0"/>
        <w:tabs>
          <w:tab w:val="clear" w:pos="567"/>
        </w:tabs>
        <w:spacing w:line="240" w:lineRule="auto"/>
        <w:rPr>
          <w:noProof/>
          <w:szCs w:val="22"/>
        </w:rPr>
      </w:pPr>
    </w:p>
    <w:p w:rsidR="00413F95" w:rsidRPr="00572E83" w:rsidP="00166894" w14:paraId="180C45B0" w14:textId="77777777">
      <w:pPr>
        <w:widowControl w:val="0"/>
        <w:tabs>
          <w:tab w:val="clear" w:pos="567"/>
        </w:tabs>
        <w:spacing w:line="240" w:lineRule="auto"/>
        <w:rPr>
          <w:noProof/>
          <w:szCs w:val="22"/>
          <w:lang w:val="fr-CH"/>
        </w:rPr>
      </w:pPr>
      <w:r w:rsidRPr="00572E83">
        <w:rPr>
          <w:noProof/>
          <w:szCs w:val="22"/>
          <w:lang w:val="fr-CH"/>
        </w:rPr>
        <w:t>Novartis Pharma GmbH</w:t>
      </w:r>
    </w:p>
    <w:p w:rsidR="00413F95" w:rsidRPr="00572E83" w:rsidP="00166894" w14:paraId="29DA3DE4" w14:textId="77777777">
      <w:pPr>
        <w:widowControl w:val="0"/>
        <w:tabs>
          <w:tab w:val="clear" w:pos="567"/>
        </w:tabs>
        <w:spacing w:line="240" w:lineRule="auto"/>
        <w:rPr>
          <w:noProof/>
          <w:szCs w:val="22"/>
          <w:lang w:val="fr-CH"/>
        </w:rPr>
      </w:pPr>
      <w:r w:rsidRPr="00572E83">
        <w:rPr>
          <w:noProof/>
          <w:szCs w:val="22"/>
          <w:lang w:val="fr-CH"/>
        </w:rPr>
        <w:t>Roonstrasse 25</w:t>
      </w:r>
    </w:p>
    <w:p w:rsidR="00413F95" w:rsidRPr="00572E83" w:rsidP="00166894" w14:paraId="34851C36" w14:textId="77777777">
      <w:pPr>
        <w:widowControl w:val="0"/>
        <w:tabs>
          <w:tab w:val="clear" w:pos="567"/>
        </w:tabs>
        <w:spacing w:line="240" w:lineRule="auto"/>
        <w:rPr>
          <w:noProof/>
          <w:szCs w:val="22"/>
          <w:lang w:val="fr-CH"/>
        </w:rPr>
      </w:pPr>
      <w:r w:rsidRPr="00572E83">
        <w:rPr>
          <w:noProof/>
          <w:szCs w:val="22"/>
          <w:lang w:val="fr-CH"/>
        </w:rPr>
        <w:t>D-90429 Nuremberg</w:t>
      </w:r>
    </w:p>
    <w:p w:rsidR="00D53A34" w:rsidRPr="00572E83" w:rsidP="00166894" w14:paraId="719808EC" w14:textId="77777777">
      <w:pPr>
        <w:widowControl w:val="0"/>
        <w:tabs>
          <w:tab w:val="clear" w:pos="567"/>
        </w:tabs>
        <w:spacing w:line="240" w:lineRule="auto"/>
        <w:rPr>
          <w:noProof/>
          <w:szCs w:val="22"/>
          <w:lang w:val="fr-CH"/>
        </w:rPr>
      </w:pPr>
      <w:r w:rsidRPr="00572E83">
        <w:rPr>
          <w:noProof/>
          <w:szCs w:val="22"/>
          <w:lang w:val="fr-CH"/>
        </w:rPr>
        <w:t>Germany</w:t>
      </w:r>
    </w:p>
    <w:p w:rsidR="00D53A34" w:rsidRPr="00572E83" w:rsidP="00166894" w14:paraId="709B469C" w14:textId="5DB887F7">
      <w:pPr>
        <w:widowControl w:val="0"/>
        <w:tabs>
          <w:tab w:val="clear" w:pos="567"/>
        </w:tabs>
        <w:spacing w:line="240" w:lineRule="auto"/>
        <w:rPr>
          <w:noProof/>
          <w:szCs w:val="22"/>
          <w:lang w:val="fr-CH"/>
        </w:rPr>
      </w:pPr>
    </w:p>
    <w:p w:rsidR="00D23CC9" w:rsidRPr="00572E83" w:rsidP="00D23CC9" w14:paraId="44A58147" w14:textId="77777777">
      <w:pPr>
        <w:widowControl w:val="0"/>
        <w:tabs>
          <w:tab w:val="clear" w:pos="567"/>
        </w:tabs>
        <w:spacing w:line="240" w:lineRule="auto"/>
        <w:rPr>
          <w:noProof/>
          <w:szCs w:val="22"/>
          <w:lang w:val="fr-CH"/>
        </w:rPr>
      </w:pPr>
      <w:r w:rsidRPr="00572E83">
        <w:rPr>
          <w:noProof/>
          <w:szCs w:val="22"/>
          <w:lang w:val="fr-CH"/>
        </w:rPr>
        <w:t>CELLFORCURE</w:t>
      </w:r>
    </w:p>
    <w:p w:rsidR="00D23CC9" w:rsidRPr="00572E83" w:rsidP="00D23CC9" w14:paraId="1C5D4A60" w14:textId="56B985A6">
      <w:pPr>
        <w:widowControl w:val="0"/>
        <w:tabs>
          <w:tab w:val="clear" w:pos="567"/>
        </w:tabs>
        <w:spacing w:line="240" w:lineRule="auto"/>
        <w:rPr>
          <w:noProof/>
          <w:szCs w:val="22"/>
          <w:lang w:val="fr-CH"/>
        </w:rPr>
      </w:pPr>
      <w:r w:rsidRPr="00572E83">
        <w:rPr>
          <w:noProof/>
          <w:szCs w:val="22"/>
          <w:lang w:val="fr-CH"/>
        </w:rPr>
        <w:t>ZA de Courtabœuf</w:t>
      </w:r>
    </w:p>
    <w:p w:rsidR="00D23CC9" w:rsidRPr="00572E83" w:rsidP="00D23CC9" w14:paraId="41FB0696" w14:textId="77777777">
      <w:pPr>
        <w:widowControl w:val="0"/>
        <w:tabs>
          <w:tab w:val="clear" w:pos="567"/>
        </w:tabs>
        <w:spacing w:line="240" w:lineRule="auto"/>
        <w:rPr>
          <w:noProof/>
          <w:szCs w:val="22"/>
          <w:lang w:val="fr-CH"/>
        </w:rPr>
      </w:pPr>
      <w:r w:rsidRPr="00572E83">
        <w:rPr>
          <w:noProof/>
          <w:szCs w:val="22"/>
          <w:lang w:val="fr-CH"/>
        </w:rPr>
        <w:t>11 avenue des Tropiques</w:t>
      </w:r>
    </w:p>
    <w:p w:rsidR="00D23CC9" w:rsidRPr="00D25A33" w:rsidP="00D23CC9" w14:paraId="56388DCB" w14:textId="24C4ABA1">
      <w:pPr>
        <w:widowControl w:val="0"/>
        <w:tabs>
          <w:tab w:val="clear" w:pos="567"/>
        </w:tabs>
        <w:spacing w:line="240" w:lineRule="auto"/>
        <w:rPr>
          <w:noProof/>
          <w:szCs w:val="22"/>
          <w:lang w:val="fr-FR"/>
        </w:rPr>
      </w:pPr>
      <w:r w:rsidRPr="00D25A33">
        <w:rPr>
          <w:noProof/>
          <w:szCs w:val="22"/>
          <w:lang w:val="fr-FR"/>
        </w:rPr>
        <w:t>91940 Les Ulis</w:t>
      </w:r>
    </w:p>
    <w:p w:rsidR="00D23CC9" w:rsidRPr="00D25A33" w:rsidP="00D23CC9" w14:paraId="0B4503C6" w14:textId="57507504">
      <w:pPr>
        <w:widowControl w:val="0"/>
        <w:tabs>
          <w:tab w:val="clear" w:pos="567"/>
        </w:tabs>
        <w:spacing w:line="240" w:lineRule="auto"/>
        <w:rPr>
          <w:noProof/>
          <w:szCs w:val="22"/>
          <w:lang w:val="fr-FR"/>
        </w:rPr>
      </w:pPr>
      <w:r w:rsidRPr="00D25A33">
        <w:rPr>
          <w:noProof/>
          <w:szCs w:val="22"/>
          <w:lang w:val="fr-FR"/>
        </w:rPr>
        <w:t>F</w:t>
      </w:r>
      <w:r w:rsidRPr="00D25A33" w:rsidR="001947A8">
        <w:rPr>
          <w:noProof/>
          <w:szCs w:val="22"/>
          <w:lang w:val="fr-FR"/>
        </w:rPr>
        <w:t>r</w:t>
      </w:r>
      <w:r w:rsidRPr="00D25A33">
        <w:rPr>
          <w:noProof/>
          <w:szCs w:val="22"/>
          <w:lang w:val="fr-FR"/>
        </w:rPr>
        <w:t>ance</w:t>
      </w:r>
    </w:p>
    <w:p w:rsidR="00B47FA4" w:rsidRPr="00D25A33" w:rsidP="00D23CC9" w14:paraId="126306E9" w14:textId="22EC13B7">
      <w:pPr>
        <w:widowControl w:val="0"/>
        <w:tabs>
          <w:tab w:val="clear" w:pos="567"/>
        </w:tabs>
        <w:spacing w:line="240" w:lineRule="auto"/>
        <w:rPr>
          <w:noProof/>
          <w:szCs w:val="22"/>
          <w:lang w:val="fr-FR"/>
        </w:rPr>
      </w:pPr>
    </w:p>
    <w:p w:rsidR="00B47FA4" w:rsidRPr="00B47FA4" w:rsidP="00B47FA4" w14:paraId="06B97A55" w14:textId="273495E0">
      <w:pPr>
        <w:spacing w:line="240" w:lineRule="auto"/>
        <w:rPr>
          <w:noProof/>
          <w:szCs w:val="22"/>
        </w:rPr>
      </w:pPr>
      <w:r w:rsidRPr="00B47FA4">
        <w:rPr>
          <w:noProof/>
          <w:szCs w:val="22"/>
        </w:rPr>
        <w:t>The printed package leaflet of the medicinal product must state the name and address of the manufacturer responsible for the release of the concerned batch.</w:t>
      </w:r>
    </w:p>
    <w:p w:rsidR="00B47FA4" w:rsidRPr="00B47FA4" w:rsidP="00D23CC9" w14:paraId="55BD28E6" w14:textId="77777777">
      <w:pPr>
        <w:widowControl w:val="0"/>
        <w:tabs>
          <w:tab w:val="clear" w:pos="567"/>
        </w:tabs>
        <w:spacing w:line="240" w:lineRule="auto"/>
        <w:rPr>
          <w:noProof/>
          <w:szCs w:val="22"/>
        </w:rPr>
      </w:pPr>
    </w:p>
    <w:p w:rsidR="00D53A34" w:rsidRPr="00572E83" w:rsidP="00166894" w14:paraId="0FF0B8B3" w14:textId="77777777">
      <w:pPr>
        <w:widowControl w:val="0"/>
        <w:tabs>
          <w:tab w:val="clear" w:pos="567"/>
        </w:tabs>
        <w:spacing w:line="240" w:lineRule="auto"/>
        <w:rPr>
          <w:noProof/>
          <w:szCs w:val="22"/>
          <w:lang w:val="en-US"/>
        </w:rPr>
      </w:pPr>
    </w:p>
    <w:p w:rsidR="00D53A34" w:rsidRPr="00D442F1" w:rsidP="00166894" w14:paraId="20EA5F68" w14:textId="77777777">
      <w:pPr>
        <w:widowControl w:val="0"/>
        <w:tabs>
          <w:tab w:val="clear" w:pos="567"/>
        </w:tabs>
        <w:spacing w:line="240" w:lineRule="auto"/>
        <w:ind w:left="567" w:hanging="567"/>
        <w:rPr>
          <w:b/>
          <w:noProof/>
          <w:szCs w:val="22"/>
        </w:rPr>
      </w:pPr>
      <w:bookmarkStart w:id="8" w:name="OLE_LINK2"/>
      <w:r w:rsidRPr="00D442F1">
        <w:rPr>
          <w:b/>
          <w:noProof/>
          <w:szCs w:val="22"/>
        </w:rPr>
        <w:t>B.</w:t>
      </w:r>
      <w:bookmarkEnd w:id="8"/>
      <w:r w:rsidRPr="00D442F1">
        <w:rPr>
          <w:b/>
          <w:noProof/>
          <w:szCs w:val="22"/>
        </w:rPr>
        <w:tab/>
        <w:t>CONDITIONS OR RESTRICTIONS REGARDING SUPPLY AND USE</w:t>
      </w:r>
    </w:p>
    <w:p w:rsidR="00D53A34" w:rsidRPr="00D442F1" w:rsidP="00166894" w14:paraId="5A5ACAFB" w14:textId="77777777">
      <w:pPr>
        <w:widowControl w:val="0"/>
        <w:tabs>
          <w:tab w:val="clear" w:pos="567"/>
        </w:tabs>
        <w:spacing w:line="240" w:lineRule="auto"/>
        <w:rPr>
          <w:noProof/>
          <w:szCs w:val="22"/>
        </w:rPr>
      </w:pPr>
    </w:p>
    <w:p w:rsidR="00D53A34" w:rsidRPr="00D442F1" w:rsidP="00166894" w14:paraId="6829F3D8" w14:textId="77777777">
      <w:pPr>
        <w:widowControl w:val="0"/>
        <w:numPr>
          <w:ilvl w:val="12"/>
          <w:numId w:val="0"/>
        </w:numPr>
        <w:tabs>
          <w:tab w:val="clear" w:pos="567"/>
        </w:tabs>
        <w:spacing w:line="240" w:lineRule="auto"/>
        <w:rPr>
          <w:noProof/>
          <w:szCs w:val="22"/>
        </w:rPr>
      </w:pPr>
      <w:r w:rsidRPr="00D442F1">
        <w:rPr>
          <w:noProof/>
          <w:szCs w:val="22"/>
        </w:rPr>
        <w:t>Medicinal product subject to restricted medical prescription (see Annex I: Summary of Product Characteristics, section</w:t>
      </w:r>
      <w:r w:rsidRPr="00D442F1" w:rsidR="00346FA8">
        <w:rPr>
          <w:noProof/>
          <w:szCs w:val="22"/>
        </w:rPr>
        <w:t> </w:t>
      </w:r>
      <w:r w:rsidRPr="00D442F1">
        <w:rPr>
          <w:noProof/>
          <w:szCs w:val="22"/>
        </w:rPr>
        <w:t>4.2).</w:t>
      </w:r>
    </w:p>
    <w:p w:rsidR="00D53A34" w:rsidRPr="00D442F1" w:rsidP="00166894" w14:paraId="2C7C9E8E" w14:textId="77777777">
      <w:pPr>
        <w:widowControl w:val="0"/>
        <w:numPr>
          <w:ilvl w:val="12"/>
          <w:numId w:val="0"/>
        </w:numPr>
        <w:tabs>
          <w:tab w:val="clear" w:pos="567"/>
        </w:tabs>
        <w:spacing w:line="240" w:lineRule="auto"/>
        <w:rPr>
          <w:noProof/>
          <w:szCs w:val="22"/>
        </w:rPr>
      </w:pPr>
    </w:p>
    <w:p w:rsidR="00D53A34" w:rsidRPr="00D442F1" w:rsidP="00166894" w14:paraId="43DB7571" w14:textId="77777777">
      <w:pPr>
        <w:widowControl w:val="0"/>
        <w:numPr>
          <w:ilvl w:val="12"/>
          <w:numId w:val="0"/>
        </w:numPr>
        <w:tabs>
          <w:tab w:val="clear" w:pos="567"/>
        </w:tabs>
        <w:spacing w:line="240" w:lineRule="auto"/>
        <w:rPr>
          <w:noProof/>
          <w:szCs w:val="22"/>
        </w:rPr>
      </w:pPr>
    </w:p>
    <w:p w:rsidR="00D53A34" w:rsidRPr="00D442F1" w:rsidP="00166894" w14:paraId="5535514F" w14:textId="77777777">
      <w:pPr>
        <w:widowControl w:val="0"/>
        <w:tabs>
          <w:tab w:val="clear" w:pos="567"/>
        </w:tabs>
        <w:spacing w:line="240" w:lineRule="auto"/>
        <w:ind w:left="567" w:hanging="567"/>
        <w:rPr>
          <w:b/>
          <w:bCs/>
          <w:noProof/>
          <w:szCs w:val="22"/>
        </w:rPr>
      </w:pPr>
      <w:r w:rsidRPr="00D442F1">
        <w:rPr>
          <w:b/>
          <w:bCs/>
          <w:noProof/>
          <w:szCs w:val="22"/>
        </w:rPr>
        <w:t>C.</w:t>
      </w:r>
      <w:r w:rsidRPr="00D442F1">
        <w:rPr>
          <w:b/>
          <w:bCs/>
          <w:noProof/>
          <w:szCs w:val="22"/>
        </w:rPr>
        <w:tab/>
        <w:t>OTHER CONDITIONS AND REQUIREMENTS OF THE MARKETING AUTHORISATION</w:t>
      </w:r>
    </w:p>
    <w:p w:rsidR="009540D7" w:rsidRPr="00D442F1" w:rsidP="009540D7" w14:paraId="68BE698E" w14:textId="77777777">
      <w:pPr>
        <w:widowControl w:val="0"/>
        <w:tabs>
          <w:tab w:val="clear" w:pos="567"/>
        </w:tabs>
        <w:spacing w:line="240" w:lineRule="auto"/>
        <w:ind w:right="-1"/>
        <w:rPr>
          <w:iCs/>
          <w:noProof/>
          <w:szCs w:val="22"/>
        </w:rPr>
      </w:pPr>
    </w:p>
    <w:p w:rsidR="009540D7" w:rsidRPr="00D442F1" w:rsidP="009540D7" w14:paraId="6BE45269" w14:textId="277E1D81">
      <w:pPr>
        <w:widowControl w:val="0"/>
        <w:numPr>
          <w:ilvl w:val="0"/>
          <w:numId w:val="35"/>
        </w:numPr>
        <w:tabs>
          <w:tab w:val="clear" w:pos="567"/>
          <w:tab w:val="clear" w:pos="720"/>
        </w:tabs>
        <w:spacing w:line="240" w:lineRule="auto"/>
        <w:ind w:left="567" w:right="-1" w:hanging="567"/>
        <w:rPr>
          <w:b/>
          <w:noProof/>
          <w:szCs w:val="22"/>
        </w:rPr>
      </w:pPr>
      <w:r w:rsidRPr="00D442F1">
        <w:rPr>
          <w:b/>
          <w:noProof/>
          <w:szCs w:val="22"/>
        </w:rPr>
        <w:t>Periodic safety update reports (PSURs)</w:t>
      </w:r>
    </w:p>
    <w:p w:rsidR="009540D7" w:rsidRPr="00D442F1" w:rsidP="009540D7" w14:paraId="313A8094" w14:textId="77777777">
      <w:pPr>
        <w:widowControl w:val="0"/>
        <w:tabs>
          <w:tab w:val="clear" w:pos="567"/>
        </w:tabs>
        <w:spacing w:line="240" w:lineRule="auto"/>
        <w:ind w:right="567"/>
      </w:pPr>
    </w:p>
    <w:p w:rsidR="009540D7" w:rsidRPr="00D442F1" w:rsidP="009540D7" w14:paraId="2C63801D" w14:textId="2C3E9F94">
      <w:pPr>
        <w:widowControl w:val="0"/>
        <w:tabs>
          <w:tab w:val="clear" w:pos="567"/>
        </w:tabs>
        <w:spacing w:line="240" w:lineRule="auto"/>
        <w:ind w:right="567"/>
        <w:rPr>
          <w:iCs/>
          <w:szCs w:val="22"/>
        </w:rPr>
      </w:pPr>
      <w:r w:rsidRPr="00D442F1">
        <w:rPr>
          <w:iCs/>
          <w:szCs w:val="22"/>
        </w:rPr>
        <w:t xml:space="preserve">The requirements for submission of </w:t>
      </w:r>
      <w:r w:rsidRPr="00D442F1">
        <w:rPr>
          <w:noProof/>
          <w:szCs w:val="22"/>
        </w:rPr>
        <w:t>PSURs</w:t>
      </w:r>
      <w:r w:rsidRPr="00D442F1">
        <w:rPr>
          <w:iCs/>
          <w:szCs w:val="22"/>
        </w:rPr>
        <w:t xml:space="preserve"> for this medicinal product are set out in the list of Union reference dates (EURD list) </w:t>
      </w:r>
      <w:r w:rsidRPr="00D442F1">
        <w:t>provided for under Article 107c(7) of Directive 2001/83</w:t>
      </w:r>
      <w:r w:rsidRPr="00D442F1">
        <w:rPr>
          <w:noProof/>
          <w:szCs w:val="22"/>
        </w:rPr>
        <w:t>/EC</w:t>
      </w:r>
      <w:r w:rsidRPr="00D442F1">
        <w:t xml:space="preserve"> and </w:t>
      </w:r>
      <w:r w:rsidRPr="00D442F1">
        <w:rPr>
          <w:iCs/>
          <w:szCs w:val="22"/>
        </w:rPr>
        <w:t>any subsequent updates published on the European medicines web-portal.</w:t>
      </w:r>
    </w:p>
    <w:p w:rsidR="009540D7" w:rsidRPr="00D442F1" w:rsidP="009540D7" w14:paraId="0036A3EB" w14:textId="77777777">
      <w:pPr>
        <w:widowControl w:val="0"/>
        <w:tabs>
          <w:tab w:val="clear" w:pos="567"/>
        </w:tabs>
        <w:spacing w:line="240" w:lineRule="auto"/>
        <w:ind w:right="567"/>
        <w:rPr>
          <w:iCs/>
          <w:szCs w:val="22"/>
        </w:rPr>
      </w:pPr>
    </w:p>
    <w:p w:rsidR="009540D7" w:rsidRPr="00D442F1" w:rsidP="009540D7" w14:paraId="4B3B1782" w14:textId="797CAFB4">
      <w:pPr>
        <w:widowControl w:val="0"/>
        <w:tabs>
          <w:tab w:val="clear" w:pos="567"/>
        </w:tabs>
        <w:spacing w:line="240" w:lineRule="auto"/>
        <w:rPr>
          <w:iCs/>
          <w:szCs w:val="22"/>
        </w:rPr>
      </w:pPr>
      <w:r w:rsidRPr="00D442F1">
        <w:t xml:space="preserve">The </w:t>
      </w:r>
      <w:r w:rsidRPr="00D442F1">
        <w:rPr>
          <w:noProof/>
        </w:rPr>
        <w:t>marketing</w:t>
      </w:r>
      <w:r w:rsidRPr="00D442F1">
        <w:t xml:space="preserve"> authorisation holder (MAH) shall submit the first PSUR for this product within 6 months following authorisation.</w:t>
      </w:r>
    </w:p>
    <w:p w:rsidR="00D53A34" w:rsidRPr="00D442F1" w:rsidP="00166894" w14:paraId="22B94C6E" w14:textId="77777777">
      <w:pPr>
        <w:widowControl w:val="0"/>
        <w:tabs>
          <w:tab w:val="clear" w:pos="567"/>
        </w:tabs>
        <w:spacing w:line="240" w:lineRule="auto"/>
        <w:ind w:right="-1"/>
        <w:rPr>
          <w:iCs/>
          <w:noProof/>
          <w:szCs w:val="22"/>
        </w:rPr>
      </w:pPr>
    </w:p>
    <w:p w:rsidR="00D53A34" w:rsidRPr="00D442F1" w:rsidP="00166894" w14:paraId="39B5DB06" w14:textId="77777777">
      <w:pPr>
        <w:widowControl w:val="0"/>
        <w:tabs>
          <w:tab w:val="clear" w:pos="567"/>
        </w:tabs>
        <w:spacing w:line="240" w:lineRule="auto"/>
        <w:ind w:right="-1"/>
      </w:pPr>
    </w:p>
    <w:p w:rsidR="00D53A34" w:rsidRPr="00D442F1" w:rsidP="00166894" w14:paraId="10A03E76" w14:textId="77777777">
      <w:pPr>
        <w:keepNext/>
        <w:widowControl w:val="0"/>
        <w:tabs>
          <w:tab w:val="clear" w:pos="567"/>
        </w:tabs>
        <w:spacing w:line="240" w:lineRule="auto"/>
        <w:ind w:left="567" w:hanging="567"/>
        <w:rPr>
          <w:b/>
        </w:rPr>
      </w:pPr>
      <w:r w:rsidRPr="00D442F1">
        <w:rPr>
          <w:b/>
        </w:rPr>
        <w:t>D.</w:t>
      </w:r>
      <w:r w:rsidRPr="00D442F1">
        <w:rPr>
          <w:b/>
        </w:rPr>
        <w:tab/>
        <w:t>CONDITIONS OR RESTRICTIONS WITH REGARD TO THE SAFE AND EFFECTIVE USE OF THE MEDICINAL PRODUCT</w:t>
      </w:r>
    </w:p>
    <w:p w:rsidR="00D53A34" w:rsidRPr="00D442F1" w:rsidP="00166894" w14:paraId="6E890111" w14:textId="77777777">
      <w:pPr>
        <w:keepNext/>
        <w:widowControl w:val="0"/>
        <w:tabs>
          <w:tab w:val="clear" w:pos="567"/>
        </w:tabs>
        <w:spacing w:line="240" w:lineRule="auto"/>
        <w:ind w:right="-1"/>
      </w:pPr>
    </w:p>
    <w:p w:rsidR="00E303D7" w:rsidRPr="00D442F1" w:rsidP="00E303D7" w14:paraId="4A0ADAA1" w14:textId="664A90E6">
      <w:pPr>
        <w:keepNext/>
        <w:widowControl w:val="0"/>
        <w:numPr>
          <w:ilvl w:val="0"/>
          <w:numId w:val="35"/>
        </w:numPr>
        <w:tabs>
          <w:tab w:val="clear" w:pos="567"/>
          <w:tab w:val="clear" w:pos="720"/>
        </w:tabs>
        <w:spacing w:line="240" w:lineRule="auto"/>
        <w:ind w:left="567" w:right="-1" w:hanging="567"/>
        <w:rPr>
          <w:b/>
          <w:noProof/>
          <w:szCs w:val="22"/>
        </w:rPr>
      </w:pPr>
      <w:r w:rsidRPr="00D442F1">
        <w:rPr>
          <w:b/>
          <w:noProof/>
          <w:szCs w:val="22"/>
        </w:rPr>
        <w:t>Risk management plan (RMP)</w:t>
      </w:r>
    </w:p>
    <w:p w:rsidR="00E303D7" w:rsidRPr="00D442F1" w:rsidP="00E303D7" w14:paraId="1D722B6E" w14:textId="77777777">
      <w:pPr>
        <w:keepNext/>
        <w:widowControl w:val="0"/>
        <w:tabs>
          <w:tab w:val="clear" w:pos="567"/>
        </w:tabs>
        <w:spacing w:line="240" w:lineRule="auto"/>
        <w:ind w:right="-1"/>
      </w:pPr>
    </w:p>
    <w:p w:rsidR="00E303D7" w:rsidRPr="00D442F1" w:rsidP="00E303D7" w14:paraId="3FF8E5BD" w14:textId="505278A9">
      <w:pPr>
        <w:widowControl w:val="0"/>
        <w:tabs>
          <w:tab w:val="clear" w:pos="567"/>
        </w:tabs>
        <w:spacing w:line="240" w:lineRule="auto"/>
        <w:ind w:right="567"/>
        <w:rPr>
          <w:noProof/>
          <w:szCs w:val="22"/>
        </w:rPr>
      </w:pPr>
      <w:r w:rsidRPr="00D442F1">
        <w:rPr>
          <w:noProof/>
          <w:szCs w:val="22"/>
        </w:rPr>
        <w:t>The marketing authorisation holder (MAH) shall perform the required pharmacovigilance activities and interventions detailed in the agreed RMP presented in Module 1.8.2 of the marketing authorisation and any agreed subsequent updates of the RMP.</w:t>
      </w:r>
    </w:p>
    <w:p w:rsidR="00D53A34" w:rsidRPr="00D442F1" w:rsidP="00166894" w14:paraId="75EB0675" w14:textId="77777777">
      <w:pPr>
        <w:widowControl w:val="0"/>
        <w:tabs>
          <w:tab w:val="clear" w:pos="567"/>
        </w:tabs>
        <w:spacing w:line="240" w:lineRule="auto"/>
        <w:ind w:right="-1"/>
        <w:rPr>
          <w:iCs/>
          <w:noProof/>
          <w:szCs w:val="22"/>
        </w:rPr>
      </w:pPr>
    </w:p>
    <w:p w:rsidR="00D53A34" w:rsidRPr="00D442F1" w:rsidP="00166894" w14:paraId="5463AD57" w14:textId="77777777">
      <w:pPr>
        <w:keepNext/>
        <w:widowControl w:val="0"/>
        <w:tabs>
          <w:tab w:val="clear" w:pos="567"/>
        </w:tabs>
        <w:spacing w:line="240" w:lineRule="auto"/>
        <w:rPr>
          <w:iCs/>
          <w:noProof/>
          <w:szCs w:val="22"/>
        </w:rPr>
      </w:pPr>
      <w:r w:rsidRPr="00D442F1">
        <w:rPr>
          <w:iCs/>
          <w:noProof/>
          <w:szCs w:val="22"/>
        </w:rPr>
        <w:t>An updated RMP should be submitted:</w:t>
      </w:r>
    </w:p>
    <w:p w:rsidR="00D53A34" w:rsidRPr="00D442F1" w:rsidP="00166894" w14:paraId="0EFDBFBF" w14:textId="77777777">
      <w:pPr>
        <w:widowControl w:val="0"/>
        <w:numPr>
          <w:ilvl w:val="0"/>
          <w:numId w:val="34"/>
        </w:numPr>
        <w:tabs>
          <w:tab w:val="clear" w:pos="567"/>
          <w:tab w:val="clear" w:pos="720"/>
        </w:tabs>
        <w:spacing w:line="240" w:lineRule="auto"/>
        <w:ind w:left="567" w:right="-1" w:hanging="567"/>
        <w:rPr>
          <w:iCs/>
          <w:noProof/>
          <w:szCs w:val="22"/>
        </w:rPr>
      </w:pPr>
      <w:r w:rsidRPr="00D442F1">
        <w:rPr>
          <w:iCs/>
          <w:noProof/>
          <w:szCs w:val="22"/>
        </w:rPr>
        <w:t>At the request of the European Medicines Agency;</w:t>
      </w:r>
    </w:p>
    <w:p w:rsidR="00D53A34" w:rsidRPr="00D442F1" w:rsidP="00166894" w14:paraId="37B1AD65" w14:textId="77777777">
      <w:pPr>
        <w:widowControl w:val="0"/>
        <w:numPr>
          <w:ilvl w:val="0"/>
          <w:numId w:val="34"/>
        </w:numPr>
        <w:tabs>
          <w:tab w:val="clear" w:pos="567"/>
          <w:tab w:val="clear" w:pos="720"/>
        </w:tabs>
        <w:spacing w:line="240" w:lineRule="auto"/>
        <w:ind w:left="567" w:right="-1" w:hanging="567"/>
        <w:rPr>
          <w:iCs/>
          <w:noProof/>
          <w:szCs w:val="22"/>
        </w:rPr>
      </w:pPr>
      <w:r w:rsidRPr="00D442F1">
        <w:rPr>
          <w:iCs/>
          <w:noProof/>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D53A34" w:rsidRPr="00D442F1" w:rsidP="00166894" w14:paraId="3655DF92" w14:textId="77777777">
      <w:pPr>
        <w:widowControl w:val="0"/>
        <w:tabs>
          <w:tab w:val="clear" w:pos="567"/>
        </w:tabs>
        <w:spacing w:line="240" w:lineRule="auto"/>
        <w:ind w:right="-1"/>
        <w:rPr>
          <w:iCs/>
          <w:szCs w:val="22"/>
        </w:rPr>
      </w:pPr>
    </w:p>
    <w:p w:rsidR="00D53A34" w:rsidRPr="00D442F1" w:rsidP="00166894" w14:paraId="176EC2C0" w14:textId="77777777">
      <w:pPr>
        <w:keepNext/>
        <w:widowControl w:val="0"/>
        <w:numPr>
          <w:ilvl w:val="0"/>
          <w:numId w:val="36"/>
        </w:numPr>
        <w:tabs>
          <w:tab w:val="clear" w:pos="567"/>
          <w:tab w:val="clear" w:pos="720"/>
        </w:tabs>
        <w:spacing w:line="240" w:lineRule="auto"/>
        <w:ind w:left="567" w:hanging="567"/>
        <w:rPr>
          <w:iCs/>
          <w:noProof/>
          <w:szCs w:val="22"/>
        </w:rPr>
      </w:pPr>
      <w:r w:rsidRPr="00D442F1">
        <w:rPr>
          <w:b/>
          <w:szCs w:val="22"/>
        </w:rPr>
        <w:t>Additional risk minimisation measures</w:t>
      </w:r>
    </w:p>
    <w:p w:rsidR="00D53A34" w:rsidRPr="00D442F1" w:rsidP="00166894" w14:paraId="0F320A02" w14:textId="77777777">
      <w:pPr>
        <w:keepNext/>
        <w:widowControl w:val="0"/>
        <w:tabs>
          <w:tab w:val="clear" w:pos="567"/>
        </w:tabs>
        <w:spacing w:line="240" w:lineRule="auto"/>
        <w:rPr>
          <w:iCs/>
          <w:noProof/>
          <w:szCs w:val="22"/>
        </w:rPr>
      </w:pPr>
    </w:p>
    <w:p w:rsidR="002A7B00" w:rsidRPr="00D442F1" w:rsidP="00166894" w14:paraId="0DB6A26E" w14:textId="77777777">
      <w:pPr>
        <w:keepNext/>
        <w:widowControl w:val="0"/>
        <w:tabs>
          <w:tab w:val="clear" w:pos="567"/>
        </w:tabs>
        <w:spacing w:line="240" w:lineRule="auto"/>
        <w:rPr>
          <w:b/>
          <w:iCs/>
          <w:noProof/>
          <w:szCs w:val="22"/>
        </w:rPr>
      </w:pPr>
      <w:r w:rsidRPr="00D442F1">
        <w:rPr>
          <w:b/>
          <w:iCs/>
          <w:noProof/>
          <w:szCs w:val="22"/>
        </w:rPr>
        <w:t>Key elements:</w:t>
      </w:r>
    </w:p>
    <w:p w:rsidR="00304FF1" w:rsidRPr="00D442F1" w:rsidP="00166894" w14:paraId="3282162D" w14:textId="77777777">
      <w:pPr>
        <w:keepNext/>
        <w:widowControl w:val="0"/>
        <w:tabs>
          <w:tab w:val="clear" w:pos="567"/>
        </w:tabs>
        <w:spacing w:line="240" w:lineRule="auto"/>
        <w:rPr>
          <w:iCs/>
          <w:noProof/>
          <w:szCs w:val="22"/>
        </w:rPr>
      </w:pPr>
    </w:p>
    <w:p w:rsidR="00304FF1" w:rsidRPr="00D442F1" w:rsidP="00166894" w14:paraId="43998960" w14:textId="77777777">
      <w:pPr>
        <w:keepNext/>
        <w:widowControl w:val="0"/>
        <w:tabs>
          <w:tab w:val="clear" w:pos="567"/>
        </w:tabs>
        <w:spacing w:line="240" w:lineRule="auto"/>
        <w:rPr>
          <w:iCs/>
          <w:noProof/>
          <w:szCs w:val="22"/>
          <w:u w:val="single"/>
        </w:rPr>
      </w:pPr>
      <w:r w:rsidRPr="00D442F1">
        <w:rPr>
          <w:iCs/>
          <w:noProof/>
          <w:szCs w:val="22"/>
          <w:u w:val="single"/>
        </w:rPr>
        <w:t>Availability of tocilizumab and site qualification</w:t>
      </w:r>
    </w:p>
    <w:p w:rsidR="002A7B00" w:rsidRPr="00D442F1" w:rsidP="00166894" w14:paraId="7437F739" w14:textId="77777777">
      <w:pPr>
        <w:keepNext/>
        <w:widowControl w:val="0"/>
        <w:tabs>
          <w:tab w:val="clear" w:pos="567"/>
        </w:tabs>
        <w:spacing w:line="240" w:lineRule="auto"/>
        <w:rPr>
          <w:iCs/>
          <w:noProof/>
          <w:szCs w:val="22"/>
        </w:rPr>
      </w:pPr>
    </w:p>
    <w:p w:rsidR="00304FF1" w:rsidRPr="00385FB9" w:rsidP="00166894" w14:paraId="22142D43" w14:textId="77777777">
      <w:pPr>
        <w:widowControl w:val="0"/>
        <w:tabs>
          <w:tab w:val="clear" w:pos="567"/>
        </w:tabs>
        <w:spacing w:line="240" w:lineRule="auto"/>
        <w:ind w:right="-1"/>
        <w:rPr>
          <w:iCs/>
          <w:noProof/>
          <w:szCs w:val="22"/>
        </w:rPr>
      </w:pPr>
      <w:r w:rsidRPr="00D442F1">
        <w:rPr>
          <w:iCs/>
          <w:noProof/>
          <w:szCs w:val="22"/>
        </w:rPr>
        <w:t xml:space="preserve">To minimise the risks associated with </w:t>
      </w:r>
      <w:r w:rsidRPr="00385FB9">
        <w:rPr>
          <w:iCs/>
          <w:noProof/>
          <w:szCs w:val="22"/>
        </w:rPr>
        <w:t xml:space="preserve">KYMRIAH treatment, the MAH must ensure that hospitals and their </w:t>
      </w:r>
      <w:r w:rsidRPr="00385FB9" w:rsidR="001810F7">
        <w:rPr>
          <w:iCs/>
          <w:noProof/>
          <w:szCs w:val="22"/>
        </w:rPr>
        <w:t>associated centres that dispense KYMRIAH are specially qualified in accordance with the agreed control distribution programme.</w:t>
      </w:r>
    </w:p>
    <w:p w:rsidR="002A7B00" w:rsidRPr="00385FB9" w:rsidP="00166894" w14:paraId="7B191803" w14:textId="77777777">
      <w:pPr>
        <w:widowControl w:val="0"/>
        <w:tabs>
          <w:tab w:val="clear" w:pos="567"/>
        </w:tabs>
        <w:spacing w:line="240" w:lineRule="auto"/>
        <w:ind w:right="-1"/>
        <w:rPr>
          <w:iCs/>
          <w:noProof/>
          <w:szCs w:val="22"/>
        </w:rPr>
      </w:pPr>
    </w:p>
    <w:p w:rsidR="001810F7" w:rsidRPr="00D442F1" w:rsidP="00166894" w14:paraId="0CBB1F88" w14:textId="06EBD74C">
      <w:pPr>
        <w:widowControl w:val="0"/>
        <w:tabs>
          <w:tab w:val="clear" w:pos="567"/>
        </w:tabs>
        <w:spacing w:line="240" w:lineRule="auto"/>
        <w:ind w:right="-1"/>
        <w:rPr>
          <w:iCs/>
          <w:noProof/>
          <w:szCs w:val="22"/>
          <w:lang w:val="en-US"/>
        </w:rPr>
      </w:pPr>
      <w:r w:rsidRPr="00385FB9">
        <w:rPr>
          <w:iCs/>
          <w:noProof/>
          <w:szCs w:val="22"/>
        </w:rPr>
        <w:t>The MAH must ensure on</w:t>
      </w:r>
      <w:r w:rsidRPr="00385FB9">
        <w:rPr>
          <w:iCs/>
          <w:noProof/>
          <w:szCs w:val="22"/>
        </w:rPr>
        <w:noBreakHyphen/>
        <w:t>site, immediate access to tocilizumab for each patient as CRS management medication prior to treating patients.</w:t>
      </w:r>
      <w:r w:rsidRPr="00385FB9" w:rsidR="00680676">
        <w:rPr>
          <w:iCs/>
          <w:noProof/>
          <w:szCs w:val="22"/>
        </w:rPr>
        <w:t xml:space="preserve"> </w:t>
      </w:r>
      <w:r w:rsidRPr="00385FB9" w:rsidR="00680676">
        <w:t>Hospitals should hav</w:t>
      </w:r>
      <w:r w:rsidRPr="00D442F1" w:rsidR="00680676">
        <w:t>e access to additional doses of tocilizumab</w:t>
      </w:r>
      <w:r w:rsidRPr="00D442F1" w:rsidR="00C119AB">
        <w:t xml:space="preserve"> within 8</w:t>
      </w:r>
      <w:r w:rsidRPr="00D442F1" w:rsidR="00A71FE3">
        <w:t> </w:t>
      </w:r>
      <w:r w:rsidRPr="00D442F1" w:rsidR="00C119AB">
        <w:t>hours</w:t>
      </w:r>
      <w:r w:rsidRPr="00D442F1" w:rsidR="00680676">
        <w:t>.</w:t>
      </w:r>
    </w:p>
    <w:p w:rsidR="001810F7" w:rsidRPr="00D442F1" w:rsidP="00166894" w14:paraId="01B56260" w14:textId="77777777">
      <w:pPr>
        <w:widowControl w:val="0"/>
        <w:tabs>
          <w:tab w:val="clear" w:pos="567"/>
        </w:tabs>
        <w:spacing w:line="240" w:lineRule="auto"/>
        <w:ind w:right="-1"/>
        <w:rPr>
          <w:iCs/>
          <w:noProof/>
          <w:szCs w:val="22"/>
        </w:rPr>
      </w:pPr>
    </w:p>
    <w:p w:rsidR="001810F7" w:rsidRPr="00D442F1" w:rsidP="00166894" w14:paraId="268BB8AB" w14:textId="77777777">
      <w:pPr>
        <w:widowControl w:val="0"/>
        <w:tabs>
          <w:tab w:val="clear" w:pos="567"/>
        </w:tabs>
        <w:spacing w:line="240" w:lineRule="auto"/>
        <w:ind w:right="-1"/>
        <w:rPr>
          <w:iCs/>
          <w:noProof/>
          <w:szCs w:val="22"/>
        </w:rPr>
      </w:pPr>
      <w:r w:rsidRPr="00D442F1">
        <w:rPr>
          <w:iCs/>
          <w:noProof/>
          <w:szCs w:val="22"/>
        </w:rPr>
        <w:t>KYMRIAH will only be supplied to hospitals and associated centres that are qualified and only if the healthcare professionals involved in the treatment of a patient have completed the educational programme.</w:t>
      </w:r>
    </w:p>
    <w:p w:rsidR="000B468F" w:rsidRPr="00D442F1" w:rsidP="00166894" w14:paraId="3C653C2A" w14:textId="77777777">
      <w:pPr>
        <w:widowControl w:val="0"/>
        <w:tabs>
          <w:tab w:val="clear" w:pos="567"/>
        </w:tabs>
        <w:spacing w:line="240" w:lineRule="auto"/>
        <w:ind w:right="-1"/>
        <w:rPr>
          <w:iCs/>
          <w:noProof/>
          <w:szCs w:val="22"/>
        </w:rPr>
      </w:pPr>
    </w:p>
    <w:p w:rsidR="000B468F" w:rsidRPr="00D442F1" w:rsidP="00166894" w14:paraId="12C1DC92" w14:textId="77777777">
      <w:pPr>
        <w:keepNext/>
        <w:widowControl w:val="0"/>
        <w:tabs>
          <w:tab w:val="clear" w:pos="567"/>
        </w:tabs>
        <w:spacing w:line="240" w:lineRule="auto"/>
        <w:rPr>
          <w:iCs/>
          <w:noProof/>
          <w:szCs w:val="22"/>
          <w:u w:val="single"/>
        </w:rPr>
      </w:pPr>
      <w:r w:rsidRPr="00D442F1">
        <w:rPr>
          <w:iCs/>
          <w:noProof/>
          <w:szCs w:val="22"/>
          <w:u w:val="single"/>
        </w:rPr>
        <w:t>Educational programme</w:t>
      </w:r>
    </w:p>
    <w:p w:rsidR="003E70B2" w:rsidRPr="00D442F1" w:rsidP="00166894" w14:paraId="32378131" w14:textId="77777777">
      <w:pPr>
        <w:keepNext/>
        <w:widowControl w:val="0"/>
        <w:tabs>
          <w:tab w:val="clear" w:pos="567"/>
        </w:tabs>
        <w:spacing w:line="240" w:lineRule="auto"/>
        <w:rPr>
          <w:iCs/>
          <w:noProof/>
          <w:szCs w:val="22"/>
        </w:rPr>
      </w:pPr>
    </w:p>
    <w:p w:rsidR="003E70B2" w:rsidRPr="00D442F1" w:rsidP="00166894" w14:paraId="1663F877" w14:textId="77777777">
      <w:pPr>
        <w:widowControl w:val="0"/>
        <w:tabs>
          <w:tab w:val="clear" w:pos="567"/>
        </w:tabs>
        <w:spacing w:line="240" w:lineRule="auto"/>
        <w:ind w:right="-1"/>
        <w:rPr>
          <w:iCs/>
          <w:noProof/>
          <w:szCs w:val="22"/>
        </w:rPr>
      </w:pPr>
      <w:r w:rsidRPr="00D442F1">
        <w:rPr>
          <w:iCs/>
          <w:noProof/>
          <w:szCs w:val="22"/>
        </w:rPr>
        <w:t>Prior to the launch of KYMRIAH in each Member State, the MAH must agree about the content and format of the educational materials with the National Competent Authority.</w:t>
      </w:r>
    </w:p>
    <w:p w:rsidR="003E70B2" w:rsidRPr="00D442F1" w:rsidP="00166894" w14:paraId="143FA189" w14:textId="77777777">
      <w:pPr>
        <w:widowControl w:val="0"/>
        <w:tabs>
          <w:tab w:val="clear" w:pos="567"/>
        </w:tabs>
        <w:spacing w:line="240" w:lineRule="auto"/>
        <w:ind w:right="-1"/>
        <w:rPr>
          <w:iCs/>
          <w:noProof/>
          <w:szCs w:val="22"/>
        </w:rPr>
      </w:pPr>
    </w:p>
    <w:p w:rsidR="003E70B2" w:rsidRPr="00D442F1" w:rsidP="00166894" w14:paraId="6824B000" w14:textId="77777777">
      <w:pPr>
        <w:keepNext/>
        <w:widowControl w:val="0"/>
        <w:tabs>
          <w:tab w:val="clear" w:pos="567"/>
        </w:tabs>
        <w:spacing w:line="240" w:lineRule="auto"/>
        <w:rPr>
          <w:iCs/>
          <w:noProof/>
          <w:szCs w:val="22"/>
        </w:rPr>
      </w:pPr>
      <w:r w:rsidRPr="00D442F1">
        <w:rPr>
          <w:iCs/>
          <w:noProof/>
          <w:szCs w:val="22"/>
        </w:rPr>
        <w:t>HCP educational programme</w:t>
      </w:r>
    </w:p>
    <w:p w:rsidR="001810F7" w:rsidRPr="00D442F1" w:rsidP="00166894" w14:paraId="6280E8C8" w14:textId="77777777">
      <w:pPr>
        <w:keepNext/>
        <w:widowControl w:val="0"/>
        <w:tabs>
          <w:tab w:val="clear" w:pos="567"/>
        </w:tabs>
        <w:spacing w:line="240" w:lineRule="auto"/>
        <w:rPr>
          <w:iCs/>
          <w:noProof/>
          <w:szCs w:val="22"/>
        </w:rPr>
      </w:pPr>
    </w:p>
    <w:p w:rsidR="003E70B2" w:rsidRPr="00D442F1" w:rsidP="00166894" w14:paraId="066F395F" w14:textId="77777777">
      <w:pPr>
        <w:keepNext/>
        <w:keepLines/>
        <w:widowControl w:val="0"/>
        <w:tabs>
          <w:tab w:val="clear" w:pos="567"/>
        </w:tabs>
        <w:spacing w:line="240" w:lineRule="auto"/>
        <w:rPr>
          <w:iCs/>
          <w:noProof/>
          <w:szCs w:val="22"/>
        </w:rPr>
      </w:pPr>
      <w:r w:rsidRPr="00D442F1">
        <w:rPr>
          <w:iCs/>
          <w:noProof/>
          <w:szCs w:val="22"/>
        </w:rPr>
        <w:t>The MAH shall ensure that in each Member State where KYMRIAH is marketed, all HCPs who are expected to prescribe, dispense annd administer KYMRIAH shall be provided with a guidance document to:</w:t>
      </w:r>
    </w:p>
    <w:p w:rsidR="003E70B2" w:rsidRPr="00D442F1" w:rsidP="00166894" w14:paraId="73F89686"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facilitate identification of CRS and serious neurological adverse reactions</w:t>
      </w:r>
    </w:p>
    <w:p w:rsidR="003E70B2" w:rsidRPr="00D442F1" w:rsidP="00166894" w14:paraId="22B3888B"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facilitate management of the CRS and serious neurological adverse reactions</w:t>
      </w:r>
    </w:p>
    <w:p w:rsidR="003E70B2" w:rsidRPr="00D442F1" w:rsidP="00166894" w14:paraId="5C8A0BB2"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ensure adequate monitoring of CRS and serious neurological adverse reactions</w:t>
      </w:r>
    </w:p>
    <w:p w:rsidR="003E70B2" w:rsidRPr="00D442F1" w:rsidP="00166894" w14:paraId="36EF8547"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facilitate provision of all relevant information to patients</w:t>
      </w:r>
    </w:p>
    <w:p w:rsidR="003E70B2" w:rsidRPr="00D442F1" w:rsidP="00166894" w14:paraId="1DD8D7ED"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ensure that adverse reactions are adequately and appropriately reported</w:t>
      </w:r>
    </w:p>
    <w:p w:rsidR="003E70B2" w:rsidRPr="00385FB9" w:rsidP="00166894" w14:paraId="22E05E7D"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 xml:space="preserve">ensure that detailed instructions </w:t>
      </w:r>
      <w:r w:rsidRPr="00385FB9">
        <w:rPr>
          <w:iCs/>
          <w:noProof/>
          <w:szCs w:val="22"/>
        </w:rPr>
        <w:t>about the thawing procedure are provided</w:t>
      </w:r>
    </w:p>
    <w:p w:rsidR="003E70B2" w:rsidRPr="00385FB9" w:rsidP="00166894" w14:paraId="1495AE84" w14:textId="262A76A4">
      <w:pPr>
        <w:widowControl w:val="0"/>
        <w:numPr>
          <w:ilvl w:val="0"/>
          <w:numId w:val="37"/>
        </w:numPr>
        <w:tabs>
          <w:tab w:val="clear" w:pos="567"/>
        </w:tabs>
        <w:spacing w:line="240" w:lineRule="auto"/>
        <w:ind w:left="567" w:right="-1" w:hanging="567"/>
        <w:rPr>
          <w:iCs/>
          <w:noProof/>
          <w:szCs w:val="22"/>
        </w:rPr>
      </w:pPr>
      <w:r w:rsidRPr="00385FB9">
        <w:rPr>
          <w:iCs/>
          <w:noProof/>
          <w:szCs w:val="22"/>
        </w:rPr>
        <w:t>before treating a patient, ensure that tocilizumab for each patient are available on site</w:t>
      </w:r>
    </w:p>
    <w:p w:rsidR="003E70B2" w:rsidRPr="00D442F1" w:rsidP="00166894" w14:paraId="4D54ADE8" w14:textId="77777777">
      <w:pPr>
        <w:widowControl w:val="0"/>
        <w:tabs>
          <w:tab w:val="clear" w:pos="567"/>
        </w:tabs>
        <w:spacing w:line="240" w:lineRule="auto"/>
        <w:ind w:right="-1"/>
        <w:rPr>
          <w:iCs/>
          <w:noProof/>
          <w:szCs w:val="22"/>
        </w:rPr>
      </w:pPr>
    </w:p>
    <w:p w:rsidR="003E70B2" w:rsidRPr="00D442F1" w:rsidP="00166894" w14:paraId="44A080B6" w14:textId="77777777">
      <w:pPr>
        <w:keepNext/>
        <w:widowControl w:val="0"/>
        <w:tabs>
          <w:tab w:val="clear" w:pos="567"/>
        </w:tabs>
        <w:spacing w:line="240" w:lineRule="auto"/>
        <w:rPr>
          <w:iCs/>
          <w:noProof/>
          <w:szCs w:val="22"/>
        </w:rPr>
      </w:pPr>
      <w:r w:rsidRPr="00D442F1">
        <w:rPr>
          <w:iCs/>
          <w:noProof/>
          <w:szCs w:val="22"/>
        </w:rPr>
        <w:t>Patient educational programme</w:t>
      </w:r>
    </w:p>
    <w:p w:rsidR="003E70B2" w:rsidRPr="00D442F1" w:rsidP="00166894" w14:paraId="5C76A161" w14:textId="77777777">
      <w:pPr>
        <w:keepNext/>
        <w:widowControl w:val="0"/>
        <w:tabs>
          <w:tab w:val="clear" w:pos="567"/>
        </w:tabs>
        <w:spacing w:line="240" w:lineRule="auto"/>
        <w:rPr>
          <w:iCs/>
          <w:noProof/>
          <w:szCs w:val="22"/>
        </w:rPr>
      </w:pPr>
    </w:p>
    <w:p w:rsidR="00B42FBA" w:rsidRPr="00D442F1" w:rsidP="00166894" w14:paraId="4E19E938" w14:textId="77777777">
      <w:pPr>
        <w:keepNext/>
        <w:widowControl w:val="0"/>
        <w:tabs>
          <w:tab w:val="clear" w:pos="567"/>
        </w:tabs>
        <w:spacing w:line="240" w:lineRule="auto"/>
        <w:rPr>
          <w:iCs/>
          <w:noProof/>
          <w:szCs w:val="22"/>
        </w:rPr>
      </w:pPr>
      <w:r w:rsidRPr="00D442F1">
        <w:rPr>
          <w:iCs/>
          <w:noProof/>
          <w:szCs w:val="22"/>
        </w:rPr>
        <w:t xml:space="preserve">To inform </w:t>
      </w:r>
      <w:r w:rsidRPr="00D442F1" w:rsidR="00073695">
        <w:rPr>
          <w:iCs/>
          <w:noProof/>
          <w:szCs w:val="22"/>
        </w:rPr>
        <w:t xml:space="preserve">and explain to </w:t>
      </w:r>
      <w:r w:rsidRPr="00D442F1">
        <w:rPr>
          <w:iCs/>
          <w:noProof/>
          <w:szCs w:val="22"/>
        </w:rPr>
        <w:t>patients:</w:t>
      </w:r>
    </w:p>
    <w:p w:rsidR="00B42FBA" w:rsidRPr="00D442F1" w:rsidP="00166894" w14:paraId="5314E129"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the risks of CRS and serious neurological adverse reactions associated with KYMRIAH</w:t>
      </w:r>
    </w:p>
    <w:p w:rsidR="00B42FBA" w:rsidRPr="00D442F1" w:rsidP="00166894" w14:paraId="630EB73C"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the need to report the symptoms to their treating doctor immediately</w:t>
      </w:r>
    </w:p>
    <w:p w:rsidR="00B42FBA" w:rsidRPr="00D442F1" w:rsidP="00166894" w14:paraId="469874BA"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the need to remain in the proximity of the location where KYMRIAH was received for at least 4 weeks following KYMRIAH infusion</w:t>
      </w:r>
    </w:p>
    <w:p w:rsidR="00B42FBA" w:rsidRPr="00D442F1" w:rsidP="00166894" w14:paraId="61C2EE0B" w14:textId="77777777">
      <w:pPr>
        <w:widowControl w:val="0"/>
        <w:numPr>
          <w:ilvl w:val="0"/>
          <w:numId w:val="37"/>
        </w:numPr>
        <w:tabs>
          <w:tab w:val="clear" w:pos="567"/>
        </w:tabs>
        <w:spacing w:line="240" w:lineRule="auto"/>
        <w:ind w:left="567" w:right="-1" w:hanging="567"/>
        <w:rPr>
          <w:iCs/>
          <w:noProof/>
          <w:szCs w:val="22"/>
        </w:rPr>
      </w:pPr>
      <w:r w:rsidRPr="00D442F1">
        <w:rPr>
          <w:iCs/>
          <w:noProof/>
          <w:szCs w:val="22"/>
        </w:rPr>
        <w:t>the need to carry the patient alert card at all times</w:t>
      </w:r>
    </w:p>
    <w:p w:rsidR="00B42FBA" w:rsidRPr="00D442F1" w:rsidP="00166894" w14:paraId="0E32FA1C" w14:textId="77777777">
      <w:pPr>
        <w:widowControl w:val="0"/>
        <w:tabs>
          <w:tab w:val="clear" w:pos="567"/>
        </w:tabs>
        <w:spacing w:line="240" w:lineRule="auto"/>
        <w:ind w:right="-1"/>
        <w:rPr>
          <w:iCs/>
          <w:noProof/>
          <w:szCs w:val="22"/>
        </w:rPr>
      </w:pPr>
    </w:p>
    <w:p w:rsidR="00D53A34" w:rsidRPr="00D442F1" w:rsidP="00166894" w14:paraId="54B1BD0B" w14:textId="77777777">
      <w:pPr>
        <w:keepNext/>
        <w:keepLines/>
        <w:widowControl w:val="0"/>
        <w:numPr>
          <w:ilvl w:val="0"/>
          <w:numId w:val="36"/>
        </w:numPr>
        <w:tabs>
          <w:tab w:val="clear" w:pos="567"/>
          <w:tab w:val="clear" w:pos="720"/>
        </w:tabs>
        <w:spacing w:line="240" w:lineRule="auto"/>
        <w:ind w:left="567" w:right="-1" w:hanging="567"/>
        <w:rPr>
          <w:b/>
          <w:szCs w:val="22"/>
        </w:rPr>
      </w:pPr>
      <w:r w:rsidRPr="00D442F1">
        <w:rPr>
          <w:b/>
          <w:szCs w:val="22"/>
        </w:rPr>
        <w:t>Obligation to conduct post</w:t>
      </w:r>
      <w:r w:rsidRPr="00D442F1" w:rsidR="00B42FBA">
        <w:rPr>
          <w:b/>
          <w:szCs w:val="22"/>
        </w:rPr>
        <w:noBreakHyphen/>
      </w:r>
      <w:r w:rsidRPr="00D442F1">
        <w:rPr>
          <w:b/>
          <w:szCs w:val="22"/>
        </w:rPr>
        <w:t>authorisation measures</w:t>
      </w:r>
    </w:p>
    <w:p w:rsidR="00D53A34" w:rsidRPr="00D442F1" w:rsidP="00166894" w14:paraId="41AE23AA" w14:textId="77777777">
      <w:pPr>
        <w:keepNext/>
        <w:keepLines/>
        <w:widowControl w:val="0"/>
        <w:tabs>
          <w:tab w:val="clear" w:pos="567"/>
        </w:tabs>
        <w:spacing w:line="240" w:lineRule="auto"/>
        <w:ind w:right="-1"/>
        <w:rPr>
          <w:szCs w:val="22"/>
        </w:rPr>
      </w:pPr>
    </w:p>
    <w:p w:rsidR="00D53A34" w:rsidRPr="00D442F1" w:rsidP="00166894" w14:paraId="509B1456" w14:textId="77777777">
      <w:pPr>
        <w:keepNext/>
        <w:keepLines/>
        <w:widowControl w:val="0"/>
        <w:tabs>
          <w:tab w:val="clear" w:pos="567"/>
        </w:tabs>
        <w:spacing w:line="240" w:lineRule="auto"/>
        <w:ind w:right="-1"/>
        <w:rPr>
          <w:iCs/>
          <w:szCs w:val="22"/>
        </w:rPr>
      </w:pPr>
      <w:r w:rsidRPr="00D442F1">
        <w:rPr>
          <w:iCs/>
          <w:szCs w:val="22"/>
        </w:rPr>
        <w:t>The MAH shall complete, within the stated timeframe, the below measures:</w:t>
      </w:r>
    </w:p>
    <w:p w:rsidR="00D53A34" w:rsidRPr="00D442F1" w:rsidP="00166894" w14:paraId="68681070" w14:textId="77777777">
      <w:pPr>
        <w:keepNext/>
        <w:keepLines/>
        <w:widowControl w:val="0"/>
        <w:tabs>
          <w:tab w:val="clear" w:pos="567"/>
        </w:tabs>
        <w:spacing w:line="240" w:lineRule="auto"/>
        <w:ind w:right="-1"/>
        <w:rPr>
          <w:iCs/>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6"/>
        <w:gridCol w:w="2755"/>
      </w:tblGrid>
      <w:tr w14:paraId="2578E2BB" w14:textId="77777777" w:rsidTr="00166894">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cantSplit/>
        </w:trPr>
        <w:tc>
          <w:tcPr>
            <w:tcW w:w="3480" w:type="pct"/>
            <w:tcBorders>
              <w:top w:val="single" w:sz="4" w:space="0" w:color="auto"/>
              <w:left w:val="single" w:sz="4" w:space="0" w:color="auto"/>
              <w:bottom w:val="single" w:sz="4" w:space="0" w:color="auto"/>
              <w:right w:val="single" w:sz="4" w:space="0" w:color="auto"/>
            </w:tcBorders>
          </w:tcPr>
          <w:p w:rsidR="00D53A34" w:rsidRPr="00D442F1" w:rsidP="00166894" w14:paraId="7B4B99C9" w14:textId="77777777">
            <w:pPr>
              <w:keepNext/>
              <w:keepLines/>
              <w:widowControl w:val="0"/>
              <w:tabs>
                <w:tab w:val="clear" w:pos="567"/>
              </w:tabs>
              <w:spacing w:line="240" w:lineRule="auto"/>
              <w:ind w:right="-1"/>
              <w:rPr>
                <w:b/>
                <w:iCs/>
                <w:szCs w:val="22"/>
              </w:rPr>
            </w:pPr>
            <w:r w:rsidRPr="00D442F1">
              <w:rPr>
                <w:b/>
                <w:iCs/>
                <w:szCs w:val="22"/>
              </w:rPr>
              <w:t>Description</w:t>
            </w:r>
          </w:p>
        </w:tc>
        <w:tc>
          <w:tcPr>
            <w:tcW w:w="1520" w:type="pct"/>
            <w:tcBorders>
              <w:top w:val="single" w:sz="4" w:space="0" w:color="auto"/>
              <w:left w:val="single" w:sz="4" w:space="0" w:color="auto"/>
              <w:bottom w:val="single" w:sz="4" w:space="0" w:color="auto"/>
              <w:right w:val="single" w:sz="4" w:space="0" w:color="auto"/>
            </w:tcBorders>
          </w:tcPr>
          <w:p w:rsidR="00D53A34" w:rsidRPr="00D442F1" w:rsidP="00166894" w14:paraId="1E57B2F3" w14:textId="77777777">
            <w:pPr>
              <w:keepNext/>
              <w:keepLines/>
              <w:widowControl w:val="0"/>
              <w:tabs>
                <w:tab w:val="clear" w:pos="567"/>
              </w:tabs>
              <w:spacing w:line="240" w:lineRule="auto"/>
              <w:ind w:right="-1"/>
              <w:rPr>
                <w:b/>
                <w:iCs/>
                <w:szCs w:val="22"/>
              </w:rPr>
            </w:pPr>
            <w:r w:rsidRPr="00D442F1">
              <w:rPr>
                <w:b/>
                <w:iCs/>
                <w:szCs w:val="22"/>
              </w:rPr>
              <w:t>Due date</w:t>
            </w:r>
          </w:p>
        </w:tc>
      </w:tr>
      <w:tr w14:paraId="0A084B8F" w14:textId="77777777" w:rsidTr="00166894">
        <w:tblPrEx>
          <w:tblW w:w="5000" w:type="pct"/>
          <w:tblLook w:val="01E0"/>
        </w:tblPrEx>
        <w:trPr>
          <w:cantSplit/>
        </w:trPr>
        <w:tc>
          <w:tcPr>
            <w:tcW w:w="3480" w:type="pct"/>
            <w:tcBorders>
              <w:top w:val="single" w:sz="4" w:space="0" w:color="auto"/>
              <w:left w:val="single" w:sz="4" w:space="0" w:color="auto"/>
              <w:bottom w:val="single" w:sz="4" w:space="0" w:color="auto"/>
              <w:right w:val="single" w:sz="4" w:space="0" w:color="auto"/>
            </w:tcBorders>
          </w:tcPr>
          <w:p w:rsidR="00B42FBA" w:rsidRPr="00D442F1" w:rsidP="00166894" w14:paraId="299EDA3B" w14:textId="77777777">
            <w:pPr>
              <w:keepNext/>
              <w:keepLines/>
              <w:widowControl w:val="0"/>
              <w:tabs>
                <w:tab w:val="clear" w:pos="567"/>
              </w:tabs>
              <w:spacing w:line="240" w:lineRule="auto"/>
              <w:ind w:right="-1"/>
              <w:rPr>
                <w:iCs/>
                <w:szCs w:val="22"/>
              </w:rPr>
            </w:pPr>
            <w:r w:rsidRPr="00D442F1">
              <w:rPr>
                <w:iCs/>
                <w:szCs w:val="22"/>
              </w:rPr>
              <w:t>Non</w:t>
            </w:r>
            <w:r w:rsidRPr="00D442F1">
              <w:rPr>
                <w:iCs/>
                <w:szCs w:val="22"/>
              </w:rPr>
              <w:noBreakHyphen/>
              <w:t>interventional post</w:t>
            </w:r>
            <w:r w:rsidRPr="00D442F1">
              <w:rPr>
                <w:iCs/>
                <w:szCs w:val="22"/>
              </w:rPr>
              <w:noBreakHyphen/>
              <w:t>authorisation safety study (PASS): In order to further characterise the safety – including long</w:t>
            </w:r>
            <w:r w:rsidRPr="00D442F1">
              <w:rPr>
                <w:iCs/>
                <w:szCs w:val="22"/>
              </w:rPr>
              <w:noBreakHyphen/>
              <w:t>term safety – of Kymriah, the applicant should conduct and submit a study based on data from a disease registry in ALL and DLBCL patients.</w:t>
            </w:r>
          </w:p>
        </w:tc>
        <w:tc>
          <w:tcPr>
            <w:tcW w:w="1520" w:type="pct"/>
            <w:tcBorders>
              <w:top w:val="single" w:sz="4" w:space="0" w:color="auto"/>
              <w:left w:val="single" w:sz="4" w:space="0" w:color="auto"/>
              <w:bottom w:val="single" w:sz="4" w:space="0" w:color="auto"/>
              <w:right w:val="single" w:sz="4" w:space="0" w:color="auto"/>
            </w:tcBorders>
          </w:tcPr>
          <w:p w:rsidR="00B42FBA" w:rsidRPr="00D442F1" w:rsidP="00166894" w14:paraId="4E26C90C" w14:textId="77777777">
            <w:pPr>
              <w:keepNext/>
              <w:keepLines/>
              <w:widowControl w:val="0"/>
              <w:tabs>
                <w:tab w:val="clear" w:pos="567"/>
              </w:tabs>
              <w:spacing w:line="240" w:lineRule="auto"/>
              <w:ind w:right="-1"/>
              <w:rPr>
                <w:iCs/>
                <w:szCs w:val="22"/>
              </w:rPr>
            </w:pPr>
            <w:r w:rsidRPr="00D442F1">
              <w:rPr>
                <w:iCs/>
                <w:szCs w:val="22"/>
              </w:rPr>
              <w:t>Update reports:</w:t>
            </w:r>
          </w:p>
          <w:p w:rsidR="00B42FBA" w:rsidRPr="00D442F1" w:rsidP="00166894" w14:paraId="40FBB35E" w14:textId="77777777">
            <w:pPr>
              <w:keepNext/>
              <w:keepLines/>
              <w:widowControl w:val="0"/>
              <w:tabs>
                <w:tab w:val="clear" w:pos="567"/>
              </w:tabs>
              <w:spacing w:line="240" w:lineRule="auto"/>
              <w:ind w:right="-1"/>
              <w:rPr>
                <w:iCs/>
                <w:szCs w:val="22"/>
              </w:rPr>
            </w:pPr>
            <w:r w:rsidRPr="00D442F1">
              <w:rPr>
                <w:iCs/>
                <w:szCs w:val="22"/>
              </w:rPr>
              <w:t>Annual safety reports and 5</w:t>
            </w:r>
            <w:r w:rsidRPr="00D442F1">
              <w:rPr>
                <w:iCs/>
                <w:szCs w:val="22"/>
              </w:rPr>
              <w:noBreakHyphen/>
              <w:t>yearly interim reports</w:t>
            </w:r>
          </w:p>
          <w:p w:rsidR="00B42FBA" w:rsidRPr="00D442F1" w:rsidP="00166894" w14:paraId="131CE71B" w14:textId="77777777">
            <w:pPr>
              <w:keepNext/>
              <w:keepLines/>
              <w:widowControl w:val="0"/>
              <w:tabs>
                <w:tab w:val="clear" w:pos="567"/>
              </w:tabs>
              <w:spacing w:line="240" w:lineRule="auto"/>
              <w:ind w:right="-1"/>
              <w:rPr>
                <w:iCs/>
                <w:szCs w:val="22"/>
              </w:rPr>
            </w:pPr>
          </w:p>
          <w:p w:rsidR="00B42FBA" w:rsidRPr="00D442F1" w:rsidP="00166894" w14:paraId="56DAB4FF" w14:textId="77777777">
            <w:pPr>
              <w:keepNext/>
              <w:keepLines/>
              <w:widowControl w:val="0"/>
              <w:tabs>
                <w:tab w:val="clear" w:pos="567"/>
              </w:tabs>
              <w:spacing w:line="240" w:lineRule="auto"/>
              <w:ind w:right="-1"/>
              <w:rPr>
                <w:iCs/>
                <w:szCs w:val="22"/>
              </w:rPr>
            </w:pPr>
            <w:r w:rsidRPr="00D442F1">
              <w:rPr>
                <w:iCs/>
                <w:szCs w:val="22"/>
              </w:rPr>
              <w:t>Final report of study results:</w:t>
            </w:r>
          </w:p>
          <w:p w:rsidR="00B42FBA" w:rsidRPr="00D442F1" w:rsidP="00166894" w14:paraId="1F5E91B3" w14:textId="77777777">
            <w:pPr>
              <w:keepNext/>
              <w:keepLines/>
              <w:widowControl w:val="0"/>
              <w:tabs>
                <w:tab w:val="clear" w:pos="567"/>
              </w:tabs>
              <w:spacing w:line="240" w:lineRule="auto"/>
              <w:ind w:right="-1"/>
              <w:rPr>
                <w:iCs/>
                <w:szCs w:val="22"/>
              </w:rPr>
            </w:pPr>
            <w:r w:rsidRPr="00D442F1">
              <w:rPr>
                <w:iCs/>
                <w:szCs w:val="22"/>
              </w:rPr>
              <w:t>December 2038</w:t>
            </w:r>
          </w:p>
        </w:tc>
      </w:tr>
      <w:tr w14:paraId="2861DBB9" w14:textId="77777777" w:rsidTr="00166894">
        <w:tblPrEx>
          <w:tblW w:w="5000" w:type="pct"/>
          <w:tblLook w:val="01E0"/>
        </w:tblPrEx>
        <w:trPr>
          <w:cantSplit/>
        </w:trPr>
        <w:tc>
          <w:tcPr>
            <w:tcW w:w="3480" w:type="pct"/>
            <w:tcBorders>
              <w:top w:val="single" w:sz="4" w:space="0" w:color="auto"/>
              <w:left w:val="single" w:sz="4" w:space="0" w:color="auto"/>
              <w:bottom w:val="single" w:sz="4" w:space="0" w:color="auto"/>
              <w:right w:val="single" w:sz="4" w:space="0" w:color="auto"/>
            </w:tcBorders>
          </w:tcPr>
          <w:p w:rsidR="00D53A34" w:rsidRPr="00D442F1" w:rsidP="00166894" w14:paraId="7B476405" w14:textId="77777777">
            <w:pPr>
              <w:keepNext/>
              <w:keepLines/>
              <w:widowControl w:val="0"/>
              <w:tabs>
                <w:tab w:val="clear" w:pos="567"/>
              </w:tabs>
              <w:spacing w:line="240" w:lineRule="auto"/>
              <w:ind w:right="-1"/>
              <w:rPr>
                <w:iCs/>
                <w:szCs w:val="22"/>
              </w:rPr>
            </w:pPr>
            <w:r w:rsidRPr="00D442F1">
              <w:rPr>
                <w:iCs/>
                <w:szCs w:val="22"/>
              </w:rPr>
              <w:t>Post</w:t>
            </w:r>
            <w:r w:rsidRPr="00D442F1" w:rsidR="00B42FBA">
              <w:rPr>
                <w:iCs/>
                <w:szCs w:val="22"/>
              </w:rPr>
              <w:noBreakHyphen/>
            </w:r>
            <w:r w:rsidRPr="00D442F1">
              <w:rPr>
                <w:iCs/>
                <w:szCs w:val="22"/>
              </w:rPr>
              <w:t>authorisation efficacy study (PAES):</w:t>
            </w:r>
            <w:r w:rsidRPr="00D442F1" w:rsidR="00B42FBA">
              <w:rPr>
                <w:iCs/>
                <w:szCs w:val="22"/>
              </w:rPr>
              <w:t xml:space="preserve"> In order to further evaluate the efficacy and safety of Kymriah in ALL patients below the age of 3 years, the applicant should conduct and submit a study based on data from a disease registry in ALL patients.</w:t>
            </w:r>
          </w:p>
        </w:tc>
        <w:tc>
          <w:tcPr>
            <w:tcW w:w="1520" w:type="pct"/>
            <w:tcBorders>
              <w:top w:val="single" w:sz="4" w:space="0" w:color="auto"/>
              <w:left w:val="single" w:sz="4" w:space="0" w:color="auto"/>
              <w:bottom w:val="single" w:sz="4" w:space="0" w:color="auto"/>
              <w:right w:val="single" w:sz="4" w:space="0" w:color="auto"/>
            </w:tcBorders>
          </w:tcPr>
          <w:p w:rsidR="00D53A34" w:rsidRPr="00D442F1" w:rsidP="00166894" w14:paraId="7CD5010F" w14:textId="77777777">
            <w:pPr>
              <w:keepNext/>
              <w:keepLines/>
              <w:widowControl w:val="0"/>
              <w:tabs>
                <w:tab w:val="clear" w:pos="567"/>
              </w:tabs>
              <w:spacing w:line="240" w:lineRule="auto"/>
              <w:ind w:right="-1"/>
              <w:rPr>
                <w:iCs/>
                <w:szCs w:val="22"/>
              </w:rPr>
            </w:pPr>
            <w:r w:rsidRPr="00D442F1">
              <w:rPr>
                <w:iCs/>
                <w:szCs w:val="22"/>
              </w:rPr>
              <w:t>Update reports:</w:t>
            </w:r>
          </w:p>
          <w:p w:rsidR="00B42FBA" w:rsidRPr="00D442F1" w:rsidP="00166894" w14:paraId="1296965C" w14:textId="77777777">
            <w:pPr>
              <w:keepNext/>
              <w:keepLines/>
              <w:widowControl w:val="0"/>
              <w:tabs>
                <w:tab w:val="clear" w:pos="567"/>
              </w:tabs>
              <w:spacing w:line="240" w:lineRule="auto"/>
              <w:ind w:right="-1"/>
              <w:rPr>
                <w:iCs/>
                <w:szCs w:val="22"/>
              </w:rPr>
            </w:pPr>
            <w:r w:rsidRPr="00D442F1">
              <w:rPr>
                <w:iCs/>
                <w:szCs w:val="22"/>
              </w:rPr>
              <w:t>Included as part of the annual reports of the non</w:t>
            </w:r>
            <w:r w:rsidRPr="00D442F1">
              <w:rPr>
                <w:iCs/>
                <w:szCs w:val="22"/>
              </w:rPr>
              <w:noBreakHyphen/>
              <w:t>interventional PASS</w:t>
            </w:r>
          </w:p>
          <w:p w:rsidR="00B42FBA" w:rsidRPr="00D442F1" w:rsidP="00166894" w14:paraId="36130F47" w14:textId="77777777">
            <w:pPr>
              <w:keepNext/>
              <w:keepLines/>
              <w:widowControl w:val="0"/>
              <w:tabs>
                <w:tab w:val="clear" w:pos="567"/>
              </w:tabs>
              <w:spacing w:line="240" w:lineRule="auto"/>
              <w:ind w:right="-1"/>
              <w:rPr>
                <w:iCs/>
                <w:szCs w:val="22"/>
              </w:rPr>
            </w:pPr>
          </w:p>
          <w:p w:rsidR="00B42FBA" w:rsidRPr="00D442F1" w:rsidP="00166894" w14:paraId="143DF80E" w14:textId="77777777">
            <w:pPr>
              <w:keepNext/>
              <w:keepLines/>
              <w:widowControl w:val="0"/>
              <w:tabs>
                <w:tab w:val="clear" w:pos="567"/>
              </w:tabs>
              <w:spacing w:line="240" w:lineRule="auto"/>
              <w:ind w:right="-1"/>
              <w:rPr>
                <w:iCs/>
                <w:szCs w:val="22"/>
              </w:rPr>
            </w:pPr>
            <w:r w:rsidRPr="00D442F1">
              <w:rPr>
                <w:iCs/>
                <w:szCs w:val="22"/>
              </w:rPr>
              <w:t>Final report: December 2023</w:t>
            </w:r>
          </w:p>
        </w:tc>
      </w:tr>
      <w:tr w14:paraId="382A3A7D" w14:textId="77777777" w:rsidTr="00166894">
        <w:tblPrEx>
          <w:tblW w:w="5000" w:type="pct"/>
          <w:tblLook w:val="01E0"/>
        </w:tblPrEx>
        <w:trPr>
          <w:cantSplit/>
        </w:trPr>
        <w:tc>
          <w:tcPr>
            <w:tcW w:w="3480" w:type="pct"/>
            <w:tcBorders>
              <w:top w:val="single" w:sz="4" w:space="0" w:color="auto"/>
              <w:left w:val="single" w:sz="4" w:space="0" w:color="auto"/>
              <w:bottom w:val="single" w:sz="4" w:space="0" w:color="auto"/>
              <w:right w:val="single" w:sz="4" w:space="0" w:color="auto"/>
            </w:tcBorders>
          </w:tcPr>
          <w:p w:rsidR="00B42FBA" w:rsidRPr="00D442F1" w:rsidP="00166894" w14:paraId="4D37093F" w14:textId="77777777">
            <w:pPr>
              <w:keepNext/>
              <w:keepLines/>
              <w:widowControl w:val="0"/>
              <w:tabs>
                <w:tab w:val="clear" w:pos="567"/>
              </w:tabs>
              <w:spacing w:line="240" w:lineRule="auto"/>
              <w:rPr>
                <w:szCs w:val="22"/>
              </w:rPr>
            </w:pPr>
            <w:r w:rsidRPr="00D442F1">
              <w:rPr>
                <w:iCs/>
                <w:szCs w:val="22"/>
              </w:rPr>
              <w:t>Post</w:t>
            </w:r>
            <w:r w:rsidRPr="00D442F1">
              <w:rPr>
                <w:iCs/>
                <w:szCs w:val="22"/>
              </w:rPr>
              <w:noBreakHyphen/>
              <w:t>authorisation efficacy study (PAES): In order to further evaluate the efficacy of Kymriah in patients with relapsed/refractory DLBCL, the applicant should conduct and submit a prospective, observational study in patients with r/r DLBCL based on data from registry with efficacy outcome measures in line with study C2201, including details of the manufacturing turnaround time (i.e. time from last relapse or confirmed refractory status, time from decision to treat, and time from leukapheresis to infusion).</w:t>
            </w:r>
          </w:p>
        </w:tc>
        <w:tc>
          <w:tcPr>
            <w:tcW w:w="1520" w:type="pct"/>
            <w:tcBorders>
              <w:top w:val="single" w:sz="4" w:space="0" w:color="auto"/>
              <w:left w:val="single" w:sz="4" w:space="0" w:color="auto"/>
              <w:bottom w:val="single" w:sz="4" w:space="0" w:color="auto"/>
              <w:right w:val="single" w:sz="4" w:space="0" w:color="auto"/>
            </w:tcBorders>
          </w:tcPr>
          <w:p w:rsidR="00B42FBA" w:rsidRPr="00D442F1" w:rsidP="00166894" w14:paraId="536A82D6" w14:textId="77777777">
            <w:pPr>
              <w:keepNext/>
              <w:keepLines/>
              <w:widowControl w:val="0"/>
              <w:tabs>
                <w:tab w:val="clear" w:pos="567"/>
              </w:tabs>
              <w:spacing w:line="240" w:lineRule="auto"/>
              <w:rPr>
                <w:szCs w:val="22"/>
                <w:lang w:eastAsia="zh-CN"/>
              </w:rPr>
            </w:pPr>
            <w:r w:rsidRPr="00D442F1">
              <w:rPr>
                <w:szCs w:val="22"/>
                <w:lang w:eastAsia="zh-CN"/>
              </w:rPr>
              <w:t>June 2022</w:t>
            </w:r>
          </w:p>
        </w:tc>
      </w:tr>
      <w:tr w14:paraId="4C802EE4" w14:textId="77777777" w:rsidTr="00166894">
        <w:tblPrEx>
          <w:tblW w:w="5000" w:type="pct"/>
          <w:tblLook w:val="01E0"/>
        </w:tblPrEx>
        <w:trPr>
          <w:cantSplit/>
        </w:trPr>
        <w:tc>
          <w:tcPr>
            <w:tcW w:w="3480" w:type="pct"/>
            <w:tcBorders>
              <w:top w:val="single" w:sz="4" w:space="0" w:color="auto"/>
              <w:left w:val="single" w:sz="4" w:space="0" w:color="auto"/>
              <w:bottom w:val="single" w:sz="4" w:space="0" w:color="auto"/>
              <w:right w:val="single" w:sz="4" w:space="0" w:color="auto"/>
            </w:tcBorders>
          </w:tcPr>
          <w:p w:rsidR="00D53A34" w:rsidRPr="00D442F1" w:rsidP="00EB7876" w14:paraId="471292B8" w14:textId="461638AF">
            <w:pPr>
              <w:keepNext/>
              <w:keepLines/>
              <w:widowControl w:val="0"/>
              <w:tabs>
                <w:tab w:val="clear" w:pos="567"/>
              </w:tabs>
              <w:spacing w:line="240" w:lineRule="auto"/>
              <w:rPr>
                <w:szCs w:val="22"/>
                <w:lang w:eastAsia="zh-CN"/>
              </w:rPr>
            </w:pPr>
            <w:r w:rsidRPr="00D442F1">
              <w:rPr>
                <w:iCs/>
                <w:szCs w:val="22"/>
              </w:rPr>
              <w:t>Post</w:t>
            </w:r>
            <w:r w:rsidRPr="00D442F1">
              <w:rPr>
                <w:iCs/>
                <w:szCs w:val="22"/>
              </w:rPr>
              <w:noBreakHyphen/>
              <w:t xml:space="preserve">authorisation efficacy study (PAES): In order to further characterise </w:t>
            </w:r>
            <w:r w:rsidRPr="00D442F1" w:rsidR="0094080B">
              <w:rPr>
                <w:iCs/>
                <w:szCs w:val="22"/>
              </w:rPr>
              <w:t xml:space="preserve">the </w:t>
            </w:r>
            <w:r w:rsidRPr="00D442F1">
              <w:rPr>
                <w:iCs/>
                <w:szCs w:val="22"/>
              </w:rPr>
              <w:t>long</w:t>
            </w:r>
            <w:r w:rsidRPr="00D442F1">
              <w:rPr>
                <w:iCs/>
                <w:szCs w:val="22"/>
              </w:rPr>
              <w:noBreakHyphen/>
              <w:t xml:space="preserve">term efficacy and safety of Kymriah in relapsed/refractory DLBCL, the applicant should submit </w:t>
            </w:r>
            <w:r w:rsidRPr="00D442F1" w:rsidR="00310219">
              <w:rPr>
                <w:iCs/>
                <w:szCs w:val="22"/>
              </w:rPr>
              <w:t>the 24 months follow</w:t>
            </w:r>
            <w:r w:rsidRPr="00D442F1" w:rsidR="00310219">
              <w:rPr>
                <w:iCs/>
                <w:szCs w:val="22"/>
              </w:rPr>
              <w:noBreakHyphen/>
              <w:t>up of all infused patients from study</w:t>
            </w:r>
            <w:r w:rsidRPr="00D442F1">
              <w:rPr>
                <w:iCs/>
                <w:szCs w:val="22"/>
              </w:rPr>
              <w:t xml:space="preserve"> C2201</w:t>
            </w:r>
            <w:r w:rsidRPr="00D442F1" w:rsidR="00310219">
              <w:rPr>
                <w:iCs/>
                <w:szCs w:val="22"/>
              </w:rPr>
              <w:t>. In addition the applicant should submit the final CSR including 5 years of follow</w:t>
            </w:r>
            <w:r w:rsidRPr="00D442F1" w:rsidR="00310219">
              <w:rPr>
                <w:iCs/>
                <w:szCs w:val="22"/>
              </w:rPr>
              <w:noBreakHyphen/>
              <w:t>up.</w:t>
            </w:r>
          </w:p>
        </w:tc>
        <w:tc>
          <w:tcPr>
            <w:tcW w:w="1520" w:type="pct"/>
            <w:tcBorders>
              <w:top w:val="single" w:sz="4" w:space="0" w:color="auto"/>
              <w:left w:val="single" w:sz="4" w:space="0" w:color="auto"/>
              <w:bottom w:val="single" w:sz="4" w:space="0" w:color="auto"/>
              <w:right w:val="single" w:sz="4" w:space="0" w:color="auto"/>
            </w:tcBorders>
          </w:tcPr>
          <w:p w:rsidR="00D53A34" w:rsidRPr="00D442F1" w:rsidP="00166894" w14:paraId="2E93775C" w14:textId="5D8979DF">
            <w:pPr>
              <w:keepNext/>
              <w:keepLines/>
              <w:widowControl w:val="0"/>
              <w:tabs>
                <w:tab w:val="clear" w:pos="567"/>
              </w:tabs>
              <w:spacing w:line="240" w:lineRule="auto"/>
              <w:rPr>
                <w:szCs w:val="22"/>
                <w:lang w:eastAsia="zh-CN"/>
              </w:rPr>
            </w:pPr>
            <w:r w:rsidRPr="00D442F1">
              <w:rPr>
                <w:szCs w:val="22"/>
                <w:lang w:eastAsia="zh-CN"/>
              </w:rPr>
              <w:t>Updated report:</w:t>
            </w:r>
          </w:p>
          <w:p w:rsidR="00310219" w:rsidRPr="00D442F1" w:rsidP="00166894" w14:paraId="6A56C814" w14:textId="1432FA00">
            <w:pPr>
              <w:keepNext/>
              <w:keepLines/>
              <w:widowControl w:val="0"/>
              <w:tabs>
                <w:tab w:val="clear" w:pos="567"/>
              </w:tabs>
              <w:spacing w:line="240" w:lineRule="auto"/>
              <w:rPr>
                <w:szCs w:val="22"/>
                <w:lang w:eastAsia="zh-CN"/>
              </w:rPr>
            </w:pPr>
            <w:r w:rsidRPr="00D442F1">
              <w:rPr>
                <w:szCs w:val="22"/>
                <w:lang w:eastAsia="zh-CN"/>
              </w:rPr>
              <w:t>November 2020</w:t>
            </w:r>
          </w:p>
          <w:p w:rsidR="00310219" w:rsidRPr="00D442F1" w:rsidP="00166894" w14:paraId="1E46A84B" w14:textId="77777777">
            <w:pPr>
              <w:keepNext/>
              <w:keepLines/>
              <w:widowControl w:val="0"/>
              <w:tabs>
                <w:tab w:val="clear" w:pos="567"/>
              </w:tabs>
              <w:spacing w:line="240" w:lineRule="auto"/>
              <w:rPr>
                <w:szCs w:val="22"/>
                <w:lang w:eastAsia="zh-CN"/>
              </w:rPr>
            </w:pPr>
          </w:p>
          <w:p w:rsidR="00310219" w:rsidRPr="00D442F1" w:rsidP="00166894" w14:paraId="17B316D9" w14:textId="77777777">
            <w:pPr>
              <w:keepNext/>
              <w:keepLines/>
              <w:widowControl w:val="0"/>
              <w:tabs>
                <w:tab w:val="clear" w:pos="567"/>
              </w:tabs>
              <w:spacing w:line="240" w:lineRule="auto"/>
              <w:rPr>
                <w:szCs w:val="22"/>
                <w:lang w:eastAsia="zh-CN"/>
              </w:rPr>
            </w:pPr>
            <w:r w:rsidRPr="00D442F1">
              <w:rPr>
                <w:szCs w:val="22"/>
                <w:lang w:eastAsia="zh-CN"/>
              </w:rPr>
              <w:t>Final CSR: August 2023</w:t>
            </w:r>
          </w:p>
        </w:tc>
      </w:tr>
      <w:tr w14:paraId="2FB5FF38" w14:textId="77777777" w:rsidTr="00166894">
        <w:tblPrEx>
          <w:tblW w:w="5000" w:type="pct"/>
          <w:tblLook w:val="01E0"/>
        </w:tblPrEx>
        <w:trPr>
          <w:cantSplit/>
        </w:trPr>
        <w:tc>
          <w:tcPr>
            <w:tcW w:w="3480" w:type="pct"/>
            <w:tcBorders>
              <w:top w:val="single" w:sz="4" w:space="0" w:color="auto"/>
              <w:left w:val="single" w:sz="4" w:space="0" w:color="auto"/>
              <w:bottom w:val="single" w:sz="4" w:space="0" w:color="auto"/>
              <w:right w:val="single" w:sz="4" w:space="0" w:color="auto"/>
            </w:tcBorders>
          </w:tcPr>
          <w:p w:rsidR="00D53A34" w:rsidRPr="00D442F1" w:rsidP="00166894" w14:paraId="6C93B32C" w14:textId="77777777">
            <w:pPr>
              <w:keepNext/>
              <w:keepLines/>
              <w:widowControl w:val="0"/>
              <w:tabs>
                <w:tab w:val="clear" w:pos="567"/>
              </w:tabs>
              <w:spacing w:line="240" w:lineRule="auto"/>
              <w:rPr>
                <w:szCs w:val="22"/>
                <w:lang w:eastAsia="zh-CN"/>
              </w:rPr>
            </w:pPr>
            <w:r w:rsidRPr="00D442F1">
              <w:rPr>
                <w:iCs/>
                <w:szCs w:val="22"/>
              </w:rPr>
              <w:t>Post</w:t>
            </w:r>
            <w:r w:rsidRPr="00D442F1">
              <w:rPr>
                <w:iCs/>
                <w:szCs w:val="22"/>
              </w:rPr>
              <w:noBreakHyphen/>
              <w:t>authorisation efficacy study (PAES): In order to further characterise the long</w:t>
            </w:r>
            <w:r w:rsidRPr="00D442F1">
              <w:rPr>
                <w:iCs/>
                <w:szCs w:val="22"/>
              </w:rPr>
              <w:noBreakHyphen/>
              <w:t>term efficacy and safety of Kymriah in relapsed/refractory DLBCL, the applicant should submit the results of study CCTL019H2301 – open</w:t>
            </w:r>
            <w:r w:rsidRPr="00D442F1">
              <w:rPr>
                <w:iCs/>
                <w:szCs w:val="22"/>
              </w:rPr>
              <w:noBreakHyphen/>
              <w:t>label, Phase III study of Kymriah versus standard of care in adult patients with relapsed or refractory aggressive B</w:t>
            </w:r>
            <w:r w:rsidRPr="00D442F1">
              <w:rPr>
                <w:iCs/>
                <w:szCs w:val="22"/>
              </w:rPr>
              <w:noBreakHyphen/>
              <w:t xml:space="preserve">cell </w:t>
            </w:r>
            <w:r w:rsidRPr="00D442F1" w:rsidR="00CE6922">
              <w:rPr>
                <w:iCs/>
                <w:szCs w:val="22"/>
              </w:rPr>
              <w:t>non</w:t>
            </w:r>
            <w:r w:rsidRPr="00D442F1" w:rsidR="00CE6922">
              <w:rPr>
                <w:iCs/>
                <w:szCs w:val="22"/>
              </w:rPr>
              <w:noBreakHyphen/>
              <w:t>Hodgkin lymphoma</w:t>
            </w:r>
            <w:r w:rsidRPr="00D442F1">
              <w:rPr>
                <w:iCs/>
                <w:szCs w:val="22"/>
              </w:rPr>
              <w:t>.</w:t>
            </w:r>
          </w:p>
        </w:tc>
        <w:tc>
          <w:tcPr>
            <w:tcW w:w="1520" w:type="pct"/>
            <w:tcBorders>
              <w:top w:val="single" w:sz="4" w:space="0" w:color="auto"/>
              <w:left w:val="single" w:sz="4" w:space="0" w:color="auto"/>
              <w:bottom w:val="single" w:sz="4" w:space="0" w:color="auto"/>
              <w:right w:val="single" w:sz="4" w:space="0" w:color="auto"/>
            </w:tcBorders>
          </w:tcPr>
          <w:p w:rsidR="00D53A34" w:rsidRPr="00D442F1" w:rsidP="00166894" w14:paraId="794D90B9" w14:textId="77777777">
            <w:pPr>
              <w:keepNext/>
              <w:keepLines/>
              <w:widowControl w:val="0"/>
              <w:tabs>
                <w:tab w:val="clear" w:pos="567"/>
              </w:tabs>
              <w:spacing w:line="240" w:lineRule="auto"/>
              <w:rPr>
                <w:szCs w:val="22"/>
                <w:lang w:eastAsia="zh-CN"/>
              </w:rPr>
            </w:pPr>
            <w:r w:rsidRPr="00D442F1">
              <w:rPr>
                <w:szCs w:val="22"/>
                <w:lang w:eastAsia="zh-CN"/>
              </w:rPr>
              <w:t>June 2022</w:t>
            </w:r>
          </w:p>
        </w:tc>
      </w:tr>
    </w:tbl>
    <w:p w:rsidR="00D53A34" w:rsidRPr="00D442F1" w:rsidP="00166894" w14:paraId="740CE47A" w14:textId="77777777">
      <w:pPr>
        <w:widowControl w:val="0"/>
        <w:tabs>
          <w:tab w:val="clear" w:pos="567"/>
        </w:tabs>
        <w:spacing w:line="240" w:lineRule="auto"/>
        <w:ind w:right="-1"/>
        <w:rPr>
          <w:szCs w:val="22"/>
        </w:rPr>
      </w:pPr>
    </w:p>
    <w:p w:rsidR="00D53A34" w:rsidRPr="00D442F1" w:rsidP="00166894" w14:paraId="2DA6140F" w14:textId="77777777">
      <w:pPr>
        <w:widowControl w:val="0"/>
        <w:tabs>
          <w:tab w:val="clear" w:pos="567"/>
        </w:tabs>
        <w:spacing w:line="240" w:lineRule="auto"/>
        <w:ind w:right="566"/>
        <w:rPr>
          <w:noProof/>
          <w:szCs w:val="22"/>
        </w:rPr>
      </w:pPr>
      <w:r w:rsidRPr="00D442F1">
        <w:rPr>
          <w:b/>
          <w:noProof/>
          <w:szCs w:val="22"/>
        </w:rPr>
        <w:br w:type="page"/>
      </w:r>
    </w:p>
    <w:p w:rsidR="009D22D3" w:rsidRPr="00D442F1" w:rsidP="00166894" w14:paraId="575C411D" w14:textId="77777777">
      <w:pPr>
        <w:widowControl w:val="0"/>
        <w:numPr>
          <w:ilvl w:val="12"/>
          <w:numId w:val="0"/>
        </w:numPr>
        <w:tabs>
          <w:tab w:val="clear" w:pos="567"/>
        </w:tabs>
        <w:spacing w:line="240" w:lineRule="auto"/>
        <w:ind w:right="-2"/>
        <w:rPr>
          <w:noProof/>
          <w:szCs w:val="22"/>
        </w:rPr>
      </w:pPr>
    </w:p>
    <w:p w:rsidR="00812D16" w:rsidRPr="00D442F1" w:rsidP="00166894" w14:paraId="093AE22F" w14:textId="77777777">
      <w:pPr>
        <w:widowControl w:val="0"/>
        <w:tabs>
          <w:tab w:val="clear" w:pos="567"/>
        </w:tabs>
        <w:spacing w:line="240" w:lineRule="auto"/>
        <w:ind w:right="566"/>
        <w:rPr>
          <w:noProof/>
          <w:szCs w:val="22"/>
        </w:rPr>
      </w:pPr>
    </w:p>
    <w:p w:rsidR="00812D16" w:rsidRPr="00D442F1" w:rsidP="00166894" w14:paraId="3303E716" w14:textId="77777777">
      <w:pPr>
        <w:widowControl w:val="0"/>
        <w:tabs>
          <w:tab w:val="clear" w:pos="567"/>
        </w:tabs>
        <w:spacing w:line="240" w:lineRule="auto"/>
        <w:rPr>
          <w:noProof/>
          <w:szCs w:val="22"/>
        </w:rPr>
      </w:pPr>
    </w:p>
    <w:p w:rsidR="00812D16" w:rsidRPr="00D442F1" w:rsidP="00166894" w14:paraId="37C511CE" w14:textId="77777777">
      <w:pPr>
        <w:widowControl w:val="0"/>
        <w:tabs>
          <w:tab w:val="clear" w:pos="567"/>
        </w:tabs>
        <w:spacing w:line="240" w:lineRule="auto"/>
        <w:rPr>
          <w:noProof/>
          <w:szCs w:val="22"/>
        </w:rPr>
      </w:pPr>
    </w:p>
    <w:p w:rsidR="00812D16" w:rsidRPr="00D442F1" w:rsidP="00166894" w14:paraId="1E48EB5F" w14:textId="77777777">
      <w:pPr>
        <w:widowControl w:val="0"/>
        <w:tabs>
          <w:tab w:val="clear" w:pos="567"/>
        </w:tabs>
        <w:spacing w:line="240" w:lineRule="auto"/>
        <w:rPr>
          <w:noProof/>
          <w:szCs w:val="22"/>
        </w:rPr>
      </w:pPr>
    </w:p>
    <w:p w:rsidR="00812D16" w:rsidRPr="00D442F1" w:rsidP="00166894" w14:paraId="6E7A65B0" w14:textId="77777777">
      <w:pPr>
        <w:widowControl w:val="0"/>
        <w:tabs>
          <w:tab w:val="clear" w:pos="567"/>
        </w:tabs>
        <w:spacing w:line="240" w:lineRule="auto"/>
        <w:rPr>
          <w:noProof/>
          <w:szCs w:val="22"/>
        </w:rPr>
      </w:pPr>
    </w:p>
    <w:p w:rsidR="00812D16" w:rsidRPr="00D442F1" w:rsidP="00166894" w14:paraId="689C0A65" w14:textId="77777777">
      <w:pPr>
        <w:widowControl w:val="0"/>
        <w:tabs>
          <w:tab w:val="clear" w:pos="567"/>
        </w:tabs>
        <w:spacing w:line="240" w:lineRule="auto"/>
      </w:pPr>
    </w:p>
    <w:p w:rsidR="00812D16" w:rsidRPr="00D442F1" w:rsidP="00166894" w14:paraId="4547AF77" w14:textId="77777777">
      <w:pPr>
        <w:widowControl w:val="0"/>
        <w:tabs>
          <w:tab w:val="clear" w:pos="567"/>
        </w:tabs>
        <w:spacing w:line="240" w:lineRule="auto"/>
      </w:pPr>
    </w:p>
    <w:p w:rsidR="00812D16" w:rsidRPr="00D442F1" w:rsidP="00166894" w14:paraId="6A233BD9" w14:textId="77777777">
      <w:pPr>
        <w:widowControl w:val="0"/>
        <w:tabs>
          <w:tab w:val="clear" w:pos="567"/>
        </w:tabs>
        <w:spacing w:line="240" w:lineRule="auto"/>
      </w:pPr>
    </w:p>
    <w:p w:rsidR="00812D16" w:rsidRPr="00D442F1" w:rsidP="00166894" w14:paraId="64BBE8F1" w14:textId="77777777">
      <w:pPr>
        <w:widowControl w:val="0"/>
        <w:tabs>
          <w:tab w:val="clear" w:pos="567"/>
        </w:tabs>
        <w:spacing w:line="240" w:lineRule="auto"/>
      </w:pPr>
    </w:p>
    <w:p w:rsidR="00812D16" w:rsidRPr="00D442F1" w:rsidP="00166894" w14:paraId="17E46216" w14:textId="77777777">
      <w:pPr>
        <w:widowControl w:val="0"/>
        <w:tabs>
          <w:tab w:val="clear" w:pos="567"/>
        </w:tabs>
        <w:spacing w:line="240" w:lineRule="auto"/>
      </w:pPr>
    </w:p>
    <w:p w:rsidR="00812D16" w:rsidRPr="00D442F1" w:rsidP="00166894" w14:paraId="2F939520" w14:textId="77777777">
      <w:pPr>
        <w:widowControl w:val="0"/>
        <w:tabs>
          <w:tab w:val="clear" w:pos="567"/>
        </w:tabs>
        <w:spacing w:line="240" w:lineRule="auto"/>
        <w:rPr>
          <w:noProof/>
          <w:szCs w:val="22"/>
        </w:rPr>
      </w:pPr>
    </w:p>
    <w:p w:rsidR="00812D16" w:rsidRPr="00D442F1" w:rsidP="00166894" w14:paraId="4BCCA9C4" w14:textId="77777777">
      <w:pPr>
        <w:widowControl w:val="0"/>
        <w:tabs>
          <w:tab w:val="clear" w:pos="567"/>
        </w:tabs>
        <w:spacing w:line="240" w:lineRule="auto"/>
        <w:rPr>
          <w:noProof/>
          <w:szCs w:val="22"/>
        </w:rPr>
      </w:pPr>
    </w:p>
    <w:p w:rsidR="00812D16" w:rsidRPr="00D442F1" w:rsidP="00166894" w14:paraId="0599A670" w14:textId="77777777">
      <w:pPr>
        <w:widowControl w:val="0"/>
        <w:tabs>
          <w:tab w:val="clear" w:pos="567"/>
        </w:tabs>
        <w:spacing w:line="240" w:lineRule="auto"/>
        <w:rPr>
          <w:noProof/>
          <w:szCs w:val="22"/>
        </w:rPr>
      </w:pPr>
    </w:p>
    <w:p w:rsidR="00485E7A" w:rsidRPr="00D442F1" w:rsidP="00166894" w14:paraId="7292CF2E" w14:textId="77777777">
      <w:pPr>
        <w:widowControl w:val="0"/>
        <w:tabs>
          <w:tab w:val="clear" w:pos="567"/>
        </w:tabs>
        <w:spacing w:line="240" w:lineRule="auto"/>
        <w:rPr>
          <w:noProof/>
          <w:szCs w:val="22"/>
        </w:rPr>
      </w:pPr>
    </w:p>
    <w:p w:rsidR="00812D16" w:rsidRPr="00D442F1" w:rsidP="00166894" w14:paraId="05231645" w14:textId="77777777">
      <w:pPr>
        <w:widowControl w:val="0"/>
        <w:tabs>
          <w:tab w:val="clear" w:pos="567"/>
        </w:tabs>
        <w:spacing w:line="240" w:lineRule="auto"/>
        <w:rPr>
          <w:noProof/>
          <w:szCs w:val="22"/>
        </w:rPr>
      </w:pPr>
    </w:p>
    <w:p w:rsidR="00812D16" w:rsidRPr="00D442F1" w:rsidP="00166894" w14:paraId="2E1A009A" w14:textId="77777777">
      <w:pPr>
        <w:widowControl w:val="0"/>
        <w:tabs>
          <w:tab w:val="clear" w:pos="567"/>
        </w:tabs>
        <w:spacing w:line="240" w:lineRule="auto"/>
        <w:rPr>
          <w:noProof/>
          <w:szCs w:val="22"/>
        </w:rPr>
      </w:pPr>
    </w:p>
    <w:p w:rsidR="00812D16" w:rsidRPr="00D442F1" w:rsidP="00166894" w14:paraId="3695DBE1" w14:textId="77777777">
      <w:pPr>
        <w:widowControl w:val="0"/>
        <w:tabs>
          <w:tab w:val="clear" w:pos="567"/>
        </w:tabs>
        <w:spacing w:line="240" w:lineRule="auto"/>
        <w:rPr>
          <w:noProof/>
          <w:szCs w:val="22"/>
        </w:rPr>
      </w:pPr>
    </w:p>
    <w:p w:rsidR="00812D16" w:rsidRPr="00D442F1" w:rsidP="00166894" w14:paraId="2E21089A" w14:textId="77777777">
      <w:pPr>
        <w:widowControl w:val="0"/>
        <w:tabs>
          <w:tab w:val="clear" w:pos="567"/>
        </w:tabs>
      </w:pPr>
    </w:p>
    <w:p w:rsidR="00812D16" w:rsidRPr="00D442F1" w:rsidP="00166894" w14:paraId="4453C8D2" w14:textId="77777777">
      <w:pPr>
        <w:widowControl w:val="0"/>
        <w:tabs>
          <w:tab w:val="clear" w:pos="567"/>
        </w:tabs>
      </w:pPr>
    </w:p>
    <w:p w:rsidR="00812D16" w:rsidRPr="00D442F1" w:rsidP="00166894" w14:paraId="5D4C0810" w14:textId="77777777">
      <w:pPr>
        <w:widowControl w:val="0"/>
        <w:tabs>
          <w:tab w:val="clear" w:pos="567"/>
        </w:tabs>
      </w:pPr>
    </w:p>
    <w:p w:rsidR="00812D16" w:rsidRPr="00D442F1" w:rsidP="00166894" w14:paraId="48DE3D9B" w14:textId="77777777">
      <w:pPr>
        <w:widowControl w:val="0"/>
        <w:tabs>
          <w:tab w:val="clear" w:pos="567"/>
        </w:tabs>
      </w:pPr>
    </w:p>
    <w:p w:rsidR="00812D16" w:rsidRPr="00D442F1" w:rsidP="00166894" w14:paraId="10EE3D73" w14:textId="77777777">
      <w:pPr>
        <w:widowControl w:val="0"/>
        <w:tabs>
          <w:tab w:val="clear" w:pos="567"/>
        </w:tabs>
      </w:pPr>
    </w:p>
    <w:p w:rsidR="00812D16" w:rsidRPr="00D442F1" w:rsidP="00166894" w14:paraId="1EB82BF6" w14:textId="77777777">
      <w:pPr>
        <w:widowControl w:val="0"/>
        <w:tabs>
          <w:tab w:val="clear" w:pos="567"/>
        </w:tabs>
      </w:pPr>
    </w:p>
    <w:p w:rsidR="00812D16" w:rsidRPr="00D442F1" w:rsidP="00166894" w14:paraId="1A7B4546" w14:textId="77777777">
      <w:pPr>
        <w:widowControl w:val="0"/>
        <w:tabs>
          <w:tab w:val="clear" w:pos="567"/>
        </w:tabs>
        <w:spacing w:line="240" w:lineRule="auto"/>
        <w:jc w:val="center"/>
        <w:outlineLvl w:val="0"/>
        <w:rPr>
          <w:b/>
          <w:noProof/>
          <w:szCs w:val="22"/>
        </w:rPr>
      </w:pPr>
      <w:r w:rsidRPr="00D442F1">
        <w:rPr>
          <w:b/>
          <w:noProof/>
          <w:szCs w:val="22"/>
        </w:rPr>
        <w:t>ANNEX III</w:t>
      </w:r>
    </w:p>
    <w:p w:rsidR="00812D16" w:rsidRPr="00D442F1" w:rsidP="00166894" w14:paraId="061D5E28" w14:textId="77777777">
      <w:pPr>
        <w:widowControl w:val="0"/>
        <w:tabs>
          <w:tab w:val="clear" w:pos="567"/>
        </w:tabs>
        <w:spacing w:line="240" w:lineRule="auto"/>
        <w:jc w:val="center"/>
        <w:rPr>
          <w:b/>
          <w:noProof/>
          <w:szCs w:val="22"/>
        </w:rPr>
      </w:pPr>
    </w:p>
    <w:p w:rsidR="00812D16" w:rsidRPr="00D442F1" w:rsidP="00166894" w14:paraId="2FB1E233" w14:textId="77777777">
      <w:pPr>
        <w:widowControl w:val="0"/>
        <w:tabs>
          <w:tab w:val="clear" w:pos="567"/>
        </w:tabs>
        <w:spacing w:line="240" w:lineRule="auto"/>
        <w:jc w:val="center"/>
        <w:outlineLvl w:val="0"/>
        <w:rPr>
          <w:b/>
          <w:noProof/>
          <w:szCs w:val="22"/>
        </w:rPr>
      </w:pPr>
      <w:r w:rsidRPr="00D442F1">
        <w:rPr>
          <w:b/>
          <w:noProof/>
          <w:szCs w:val="22"/>
        </w:rPr>
        <w:t>LABELLING AND PACKAGE LEAFLET</w:t>
      </w:r>
    </w:p>
    <w:p w:rsidR="000166C1" w:rsidRPr="00D442F1" w:rsidP="00166894" w14:paraId="563F84CF" w14:textId="77777777">
      <w:pPr>
        <w:widowControl w:val="0"/>
        <w:tabs>
          <w:tab w:val="clear" w:pos="567"/>
        </w:tabs>
      </w:pPr>
      <w:r w:rsidRPr="00D442F1">
        <w:rPr>
          <w:b/>
          <w:noProof/>
        </w:rPr>
        <w:br w:type="page"/>
      </w:r>
    </w:p>
    <w:p w:rsidR="000166C1" w:rsidRPr="00D442F1" w:rsidP="00166894" w14:paraId="5DD6E193" w14:textId="77777777">
      <w:pPr>
        <w:widowControl w:val="0"/>
        <w:tabs>
          <w:tab w:val="clear" w:pos="567"/>
        </w:tabs>
      </w:pPr>
    </w:p>
    <w:p w:rsidR="000166C1" w:rsidRPr="00D442F1" w:rsidP="00166894" w14:paraId="17989F38" w14:textId="77777777">
      <w:pPr>
        <w:widowControl w:val="0"/>
        <w:tabs>
          <w:tab w:val="clear" w:pos="567"/>
        </w:tabs>
      </w:pPr>
    </w:p>
    <w:p w:rsidR="000166C1" w:rsidRPr="00D442F1" w:rsidP="00166894" w14:paraId="5520E083" w14:textId="77777777">
      <w:pPr>
        <w:widowControl w:val="0"/>
        <w:tabs>
          <w:tab w:val="clear" w:pos="567"/>
        </w:tabs>
      </w:pPr>
    </w:p>
    <w:p w:rsidR="000166C1" w:rsidRPr="00D442F1" w:rsidP="00166894" w14:paraId="6951F221" w14:textId="77777777">
      <w:pPr>
        <w:widowControl w:val="0"/>
        <w:tabs>
          <w:tab w:val="clear" w:pos="567"/>
        </w:tabs>
      </w:pPr>
    </w:p>
    <w:p w:rsidR="000166C1" w:rsidRPr="00D442F1" w:rsidP="00166894" w14:paraId="07C2D573" w14:textId="77777777">
      <w:pPr>
        <w:widowControl w:val="0"/>
        <w:tabs>
          <w:tab w:val="clear" w:pos="567"/>
        </w:tabs>
      </w:pPr>
    </w:p>
    <w:p w:rsidR="000166C1" w:rsidRPr="00D442F1" w:rsidP="00166894" w14:paraId="5883611C" w14:textId="77777777">
      <w:pPr>
        <w:widowControl w:val="0"/>
        <w:tabs>
          <w:tab w:val="clear" w:pos="567"/>
        </w:tabs>
      </w:pPr>
    </w:p>
    <w:p w:rsidR="000166C1" w:rsidRPr="00D442F1" w:rsidP="00166894" w14:paraId="43316230" w14:textId="77777777">
      <w:pPr>
        <w:widowControl w:val="0"/>
        <w:tabs>
          <w:tab w:val="clear" w:pos="567"/>
        </w:tabs>
      </w:pPr>
    </w:p>
    <w:p w:rsidR="000166C1" w:rsidRPr="00D442F1" w:rsidP="00166894" w14:paraId="58909E4F" w14:textId="77777777">
      <w:pPr>
        <w:widowControl w:val="0"/>
        <w:tabs>
          <w:tab w:val="clear" w:pos="567"/>
        </w:tabs>
      </w:pPr>
    </w:p>
    <w:p w:rsidR="000166C1" w:rsidRPr="00D442F1" w:rsidP="00166894" w14:paraId="3F16127E" w14:textId="77777777">
      <w:pPr>
        <w:widowControl w:val="0"/>
        <w:tabs>
          <w:tab w:val="clear" w:pos="567"/>
        </w:tabs>
      </w:pPr>
    </w:p>
    <w:p w:rsidR="000166C1" w:rsidRPr="00D442F1" w:rsidP="00166894" w14:paraId="4CD044CA" w14:textId="77777777">
      <w:pPr>
        <w:widowControl w:val="0"/>
        <w:tabs>
          <w:tab w:val="clear" w:pos="567"/>
        </w:tabs>
      </w:pPr>
    </w:p>
    <w:p w:rsidR="000166C1" w:rsidRPr="00D442F1" w:rsidP="00166894" w14:paraId="6CEBCB21" w14:textId="77777777">
      <w:pPr>
        <w:widowControl w:val="0"/>
        <w:tabs>
          <w:tab w:val="clear" w:pos="567"/>
        </w:tabs>
      </w:pPr>
    </w:p>
    <w:p w:rsidR="000166C1" w:rsidRPr="00D442F1" w:rsidP="00166894" w14:paraId="2CDC9159" w14:textId="77777777">
      <w:pPr>
        <w:widowControl w:val="0"/>
        <w:tabs>
          <w:tab w:val="clear" w:pos="567"/>
        </w:tabs>
      </w:pPr>
    </w:p>
    <w:p w:rsidR="000166C1" w:rsidRPr="00D442F1" w:rsidP="00166894" w14:paraId="24C0CD97" w14:textId="77777777">
      <w:pPr>
        <w:widowControl w:val="0"/>
        <w:tabs>
          <w:tab w:val="clear" w:pos="567"/>
        </w:tabs>
      </w:pPr>
    </w:p>
    <w:p w:rsidR="000166C1" w:rsidRPr="00D442F1" w:rsidP="00166894" w14:paraId="139BCD8F" w14:textId="77777777">
      <w:pPr>
        <w:widowControl w:val="0"/>
        <w:tabs>
          <w:tab w:val="clear" w:pos="567"/>
        </w:tabs>
      </w:pPr>
    </w:p>
    <w:p w:rsidR="000166C1" w:rsidRPr="00D442F1" w:rsidP="00166894" w14:paraId="5B29A729" w14:textId="77777777">
      <w:pPr>
        <w:widowControl w:val="0"/>
        <w:tabs>
          <w:tab w:val="clear" w:pos="567"/>
        </w:tabs>
      </w:pPr>
    </w:p>
    <w:p w:rsidR="00485E7A" w:rsidRPr="00D442F1" w:rsidP="00166894" w14:paraId="67FEC348" w14:textId="77777777">
      <w:pPr>
        <w:widowControl w:val="0"/>
        <w:tabs>
          <w:tab w:val="clear" w:pos="567"/>
        </w:tabs>
      </w:pPr>
    </w:p>
    <w:p w:rsidR="000166C1" w:rsidRPr="00D442F1" w:rsidP="00166894" w14:paraId="339696DF" w14:textId="77777777">
      <w:pPr>
        <w:widowControl w:val="0"/>
        <w:tabs>
          <w:tab w:val="clear" w:pos="567"/>
        </w:tabs>
      </w:pPr>
    </w:p>
    <w:p w:rsidR="000166C1" w:rsidRPr="00D442F1" w:rsidP="00166894" w14:paraId="3326AA33" w14:textId="77777777">
      <w:pPr>
        <w:widowControl w:val="0"/>
        <w:tabs>
          <w:tab w:val="clear" w:pos="567"/>
        </w:tabs>
      </w:pPr>
    </w:p>
    <w:p w:rsidR="000166C1" w:rsidRPr="00D442F1" w:rsidP="00166894" w14:paraId="6D5C416A" w14:textId="77777777">
      <w:pPr>
        <w:widowControl w:val="0"/>
        <w:tabs>
          <w:tab w:val="clear" w:pos="567"/>
        </w:tabs>
      </w:pPr>
    </w:p>
    <w:p w:rsidR="00B64B2F" w:rsidRPr="00D442F1" w:rsidP="00166894" w14:paraId="07466603" w14:textId="77777777">
      <w:pPr>
        <w:widowControl w:val="0"/>
        <w:tabs>
          <w:tab w:val="clear" w:pos="567"/>
        </w:tabs>
      </w:pPr>
    </w:p>
    <w:p w:rsidR="00B64B2F" w:rsidRPr="00D442F1" w:rsidP="00166894" w14:paraId="32C44726" w14:textId="77777777">
      <w:pPr>
        <w:widowControl w:val="0"/>
        <w:tabs>
          <w:tab w:val="clear" w:pos="567"/>
        </w:tabs>
      </w:pPr>
    </w:p>
    <w:p w:rsidR="00B64B2F" w:rsidRPr="00D442F1" w:rsidP="00166894" w14:paraId="2EEA5047" w14:textId="77777777">
      <w:pPr>
        <w:widowControl w:val="0"/>
        <w:tabs>
          <w:tab w:val="clear" w:pos="567"/>
        </w:tabs>
      </w:pPr>
    </w:p>
    <w:p w:rsidR="00B64B2F" w:rsidRPr="00D442F1" w:rsidP="00166894" w14:paraId="6E16749A" w14:textId="77777777">
      <w:pPr>
        <w:widowControl w:val="0"/>
        <w:tabs>
          <w:tab w:val="clear" w:pos="567"/>
        </w:tabs>
      </w:pPr>
    </w:p>
    <w:p w:rsidR="00812D16" w:rsidRPr="00D442F1" w:rsidP="00166894" w14:paraId="6E843CB7" w14:textId="77777777">
      <w:pPr>
        <w:widowControl w:val="0"/>
        <w:tabs>
          <w:tab w:val="clear" w:pos="567"/>
        </w:tabs>
        <w:spacing w:line="240" w:lineRule="auto"/>
        <w:jc w:val="center"/>
        <w:outlineLvl w:val="0"/>
        <w:rPr>
          <w:noProof/>
          <w:szCs w:val="22"/>
        </w:rPr>
      </w:pPr>
      <w:r w:rsidRPr="00D442F1">
        <w:rPr>
          <w:b/>
          <w:noProof/>
          <w:szCs w:val="22"/>
        </w:rPr>
        <w:t>A. LABELLING</w:t>
      </w:r>
    </w:p>
    <w:p w:rsidR="00084102" w:rsidRPr="00D442F1" w:rsidP="00166894" w14:paraId="621A3396" w14:textId="77777777">
      <w:pPr>
        <w:widowControl w:val="0"/>
        <w:tabs>
          <w:tab w:val="clear" w:pos="567"/>
        </w:tabs>
        <w:spacing w:line="240" w:lineRule="auto"/>
        <w:rPr>
          <w:noProof/>
          <w:szCs w:val="22"/>
        </w:rPr>
      </w:pPr>
      <w:r w:rsidRPr="00D442F1">
        <w:rPr>
          <w:noProof/>
          <w:szCs w:val="22"/>
        </w:rPr>
        <w:br w:type="page"/>
      </w:r>
    </w:p>
    <w:p w:rsidR="00485E7A" w:rsidRPr="00D442F1" w:rsidP="00166894" w14:paraId="2239EC1E" w14:textId="77777777">
      <w:pPr>
        <w:widowControl w:val="0"/>
        <w:tabs>
          <w:tab w:val="clear" w:pos="567"/>
        </w:tabs>
        <w:spacing w:line="240" w:lineRule="auto"/>
        <w:rPr>
          <w:noProof/>
          <w:szCs w:val="22"/>
        </w:rPr>
      </w:pPr>
    </w:p>
    <w:p w:rsidR="0055731C" w:rsidRPr="00D442F1" w:rsidP="00166894" w14:paraId="23240095"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D442F1">
        <w:rPr>
          <w:b/>
          <w:noProof/>
          <w:szCs w:val="22"/>
        </w:rPr>
        <w:t xml:space="preserve">PARTICULARS TO APPEAR ON THE </w:t>
      </w:r>
      <w:r w:rsidRPr="00D442F1" w:rsidR="00B11A7F">
        <w:rPr>
          <w:b/>
          <w:noProof/>
          <w:szCs w:val="22"/>
        </w:rPr>
        <w:t xml:space="preserve">IMMEDIATE </w:t>
      </w:r>
      <w:r w:rsidRPr="00D442F1">
        <w:rPr>
          <w:b/>
          <w:noProof/>
          <w:szCs w:val="22"/>
        </w:rPr>
        <w:t>PACKAGING</w:t>
      </w:r>
    </w:p>
    <w:p w:rsidR="0055731C" w:rsidRPr="00D442F1" w:rsidP="00166894" w14:paraId="37372B1F"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p>
    <w:p w:rsidR="0055731C" w:rsidRPr="00D442F1" w:rsidP="00166894" w14:paraId="5A7E19AE"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pPr>
      <w:r w:rsidRPr="00D442F1">
        <w:rPr>
          <w:b/>
          <w:noProof/>
          <w:szCs w:val="22"/>
        </w:rPr>
        <w:t>INFUSION BAG</w:t>
      </w:r>
      <w:r w:rsidRPr="00D442F1" w:rsidR="00C322D2">
        <w:rPr>
          <w:b/>
          <w:noProof/>
          <w:szCs w:val="22"/>
        </w:rPr>
        <w:t xml:space="preserve"> LABEL</w:t>
      </w:r>
    </w:p>
    <w:p w:rsidR="0055731C" w:rsidRPr="00D442F1" w:rsidP="00166894" w14:paraId="32AC04C0" w14:textId="77777777">
      <w:pPr>
        <w:widowControl w:val="0"/>
        <w:tabs>
          <w:tab w:val="clear" w:pos="567"/>
        </w:tabs>
        <w:spacing w:line="240" w:lineRule="auto"/>
        <w:rPr>
          <w:noProof/>
          <w:szCs w:val="22"/>
        </w:rPr>
      </w:pPr>
    </w:p>
    <w:p w:rsidR="00B11A7F" w:rsidRPr="00D442F1" w:rsidP="00166894" w14:paraId="0C3EF9BE" w14:textId="77777777">
      <w:pPr>
        <w:widowControl w:val="0"/>
        <w:tabs>
          <w:tab w:val="clear" w:pos="567"/>
        </w:tabs>
        <w:spacing w:line="240" w:lineRule="auto"/>
        <w:rPr>
          <w:noProof/>
          <w:szCs w:val="22"/>
        </w:rPr>
      </w:pPr>
    </w:p>
    <w:p w:rsidR="0055731C" w:rsidRPr="00D442F1" w:rsidP="00166894" w14:paraId="66FFA625"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pPr>
      <w:r w:rsidRPr="00D442F1">
        <w:rPr>
          <w:b/>
        </w:rPr>
        <w:t>1.</w:t>
      </w:r>
      <w:r w:rsidRPr="00D442F1">
        <w:rPr>
          <w:b/>
        </w:rPr>
        <w:tab/>
        <w:t>NAME OF THE MEDICINAL PRODUCT</w:t>
      </w:r>
    </w:p>
    <w:p w:rsidR="0055731C" w:rsidRPr="00D442F1" w:rsidP="00166894" w14:paraId="7895B527" w14:textId="77777777">
      <w:pPr>
        <w:widowControl w:val="0"/>
        <w:tabs>
          <w:tab w:val="clear" w:pos="567"/>
        </w:tabs>
        <w:spacing w:line="240" w:lineRule="auto"/>
        <w:rPr>
          <w:noProof/>
          <w:szCs w:val="22"/>
        </w:rPr>
      </w:pPr>
    </w:p>
    <w:p w:rsidR="0055731C" w:rsidRPr="00D442F1" w:rsidP="00166894" w14:paraId="22537F99" w14:textId="77777777">
      <w:pPr>
        <w:widowControl w:val="0"/>
        <w:tabs>
          <w:tab w:val="clear" w:pos="567"/>
        </w:tabs>
        <w:spacing w:line="240" w:lineRule="auto"/>
        <w:rPr>
          <w:noProof/>
          <w:szCs w:val="22"/>
          <w:lang w:val="fr-CH"/>
        </w:rPr>
      </w:pPr>
      <w:r w:rsidRPr="00D442F1">
        <w:rPr>
          <w:noProof/>
          <w:szCs w:val="22"/>
          <w:lang w:val="fr-CH"/>
        </w:rPr>
        <w:t xml:space="preserve">Kymriah </w:t>
      </w:r>
      <w:r w:rsidRPr="00D442F1" w:rsidR="00F8118F">
        <w:rPr>
          <w:noProof/>
          <w:szCs w:val="22"/>
          <w:lang w:val="fr-CH"/>
        </w:rPr>
        <w:t>1.</w:t>
      </w:r>
      <w:r w:rsidRPr="00D442F1" w:rsidR="00495EEE">
        <w:rPr>
          <w:rFonts w:eastAsia="Calibri"/>
          <w:szCs w:val="22"/>
          <w:lang w:val="fr-CH"/>
        </w:rPr>
        <w:t>2 x 10</w:t>
      </w:r>
      <w:r w:rsidRPr="00D442F1" w:rsidR="00495EEE">
        <w:rPr>
          <w:rFonts w:eastAsia="Calibri"/>
          <w:szCs w:val="22"/>
          <w:vertAlign w:val="superscript"/>
          <w:lang w:val="fr-CH"/>
        </w:rPr>
        <w:t>6</w:t>
      </w:r>
      <w:r w:rsidRPr="00D442F1" w:rsidR="00495EEE">
        <w:rPr>
          <w:rFonts w:eastAsia="Calibri"/>
          <w:szCs w:val="22"/>
          <w:lang w:val="fr-CH"/>
        </w:rPr>
        <w:t> – 6 x 10</w:t>
      </w:r>
      <w:r w:rsidRPr="00D442F1" w:rsidR="00495EEE">
        <w:rPr>
          <w:rFonts w:eastAsia="Calibri"/>
          <w:szCs w:val="22"/>
          <w:vertAlign w:val="superscript"/>
          <w:lang w:val="fr-CH"/>
        </w:rPr>
        <w:t>8</w:t>
      </w:r>
      <w:r w:rsidRPr="00D442F1" w:rsidR="00495EEE">
        <w:rPr>
          <w:rFonts w:eastAsia="Calibri"/>
          <w:szCs w:val="22"/>
          <w:lang w:val="fr-CH"/>
        </w:rPr>
        <w:t xml:space="preserve"> cells</w:t>
      </w:r>
      <w:r w:rsidRPr="00D442F1" w:rsidR="00495EEE">
        <w:rPr>
          <w:noProof/>
          <w:szCs w:val="22"/>
          <w:lang w:val="fr-CH"/>
        </w:rPr>
        <w:t xml:space="preserve"> </w:t>
      </w:r>
      <w:r w:rsidRPr="00D442F1">
        <w:rPr>
          <w:noProof/>
          <w:szCs w:val="22"/>
          <w:lang w:val="fr-CH"/>
        </w:rPr>
        <w:t>dispersion for infusion</w:t>
      </w:r>
    </w:p>
    <w:p w:rsidR="003A6B04" w:rsidRPr="00D442F1" w:rsidP="00166894" w14:paraId="7852CFBE" w14:textId="77777777">
      <w:pPr>
        <w:widowControl w:val="0"/>
        <w:tabs>
          <w:tab w:val="clear" w:pos="567"/>
        </w:tabs>
        <w:spacing w:line="240" w:lineRule="auto"/>
        <w:rPr>
          <w:noProof/>
          <w:szCs w:val="22"/>
          <w:lang w:val="fr-CH"/>
        </w:rPr>
      </w:pPr>
      <w:r w:rsidRPr="00D442F1">
        <w:rPr>
          <w:noProof/>
          <w:szCs w:val="22"/>
          <w:lang w:val="fr-CH"/>
        </w:rPr>
        <w:t>tisagenlecleucel</w:t>
      </w:r>
      <w:r w:rsidRPr="00D442F1" w:rsidR="004A12C0">
        <w:rPr>
          <w:noProof/>
          <w:szCs w:val="22"/>
          <w:lang w:val="fr-CH"/>
        </w:rPr>
        <w:t xml:space="preserve"> (CAR+ viable T cells)</w:t>
      </w:r>
    </w:p>
    <w:p w:rsidR="00084102" w:rsidRPr="00D442F1" w:rsidP="00166894" w14:paraId="1BF8B0F3" w14:textId="77777777">
      <w:pPr>
        <w:widowControl w:val="0"/>
        <w:tabs>
          <w:tab w:val="clear" w:pos="567"/>
        </w:tabs>
        <w:spacing w:line="240" w:lineRule="auto"/>
        <w:rPr>
          <w:noProof/>
          <w:szCs w:val="22"/>
          <w:lang w:val="fr-CH"/>
        </w:rPr>
      </w:pPr>
    </w:p>
    <w:p w:rsidR="0055731C" w:rsidRPr="00D442F1" w:rsidP="00166894" w14:paraId="2EA916BF" w14:textId="77777777">
      <w:pPr>
        <w:widowControl w:val="0"/>
        <w:tabs>
          <w:tab w:val="clear" w:pos="567"/>
        </w:tabs>
        <w:spacing w:line="240" w:lineRule="auto"/>
        <w:rPr>
          <w:noProof/>
          <w:szCs w:val="22"/>
          <w:lang w:val="fr-CH"/>
        </w:rPr>
      </w:pPr>
    </w:p>
    <w:p w:rsidR="0055731C" w:rsidRPr="00D442F1" w:rsidP="00166894" w14:paraId="27DA6745"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D442F1">
        <w:rPr>
          <w:b/>
          <w:noProof/>
          <w:szCs w:val="22"/>
        </w:rPr>
        <w:t>2.</w:t>
      </w:r>
      <w:r w:rsidRPr="00D442F1">
        <w:rPr>
          <w:b/>
          <w:noProof/>
          <w:szCs w:val="22"/>
        </w:rPr>
        <w:tab/>
        <w:t>STATEMENT OF ACTIVE SUBSTANCE(S)</w:t>
      </w:r>
    </w:p>
    <w:p w:rsidR="0055731C" w:rsidRPr="00D442F1" w:rsidP="00166894" w14:paraId="00B8794B" w14:textId="77777777">
      <w:pPr>
        <w:widowControl w:val="0"/>
        <w:tabs>
          <w:tab w:val="clear" w:pos="567"/>
        </w:tabs>
        <w:spacing w:line="240" w:lineRule="auto"/>
        <w:rPr>
          <w:noProof/>
          <w:szCs w:val="22"/>
        </w:rPr>
      </w:pPr>
    </w:p>
    <w:p w:rsidR="0055731C" w:rsidRPr="00D442F1" w:rsidP="00166894" w14:paraId="4011E0B4" w14:textId="77777777">
      <w:pPr>
        <w:widowControl w:val="0"/>
        <w:tabs>
          <w:tab w:val="clear" w:pos="567"/>
        </w:tabs>
        <w:spacing w:line="240" w:lineRule="auto"/>
        <w:rPr>
          <w:szCs w:val="22"/>
        </w:rPr>
      </w:pPr>
      <w:r w:rsidRPr="00D442F1">
        <w:rPr>
          <w:szCs w:val="22"/>
        </w:rPr>
        <w:t xml:space="preserve">Autologous human T cells genetically modified </w:t>
      </w:r>
      <w:r w:rsidRPr="00D442F1">
        <w:rPr>
          <w:i/>
          <w:szCs w:val="22"/>
        </w:rPr>
        <w:t>ex vivo</w:t>
      </w:r>
      <w:r w:rsidRPr="00D442F1">
        <w:rPr>
          <w:szCs w:val="22"/>
        </w:rPr>
        <w:t xml:space="preserve"> using a lentiviral vector encoding an anti</w:t>
      </w:r>
      <w:r w:rsidRPr="00D442F1">
        <w:rPr>
          <w:szCs w:val="22"/>
        </w:rPr>
        <w:noBreakHyphen/>
        <w:t>CD19 chimeric antigen receptor</w:t>
      </w:r>
      <w:r w:rsidRPr="00D442F1" w:rsidR="00FD25A1">
        <w:rPr>
          <w:szCs w:val="22"/>
        </w:rPr>
        <w:t xml:space="preserve"> (CAR)</w:t>
      </w:r>
      <w:r w:rsidRPr="00D442F1">
        <w:rPr>
          <w:szCs w:val="22"/>
        </w:rPr>
        <w:t>.</w:t>
      </w:r>
    </w:p>
    <w:p w:rsidR="00FD25A1" w:rsidRPr="00D442F1" w:rsidP="00166894" w14:paraId="08E6248C" w14:textId="77777777">
      <w:pPr>
        <w:widowControl w:val="0"/>
        <w:tabs>
          <w:tab w:val="clear" w:pos="567"/>
        </w:tabs>
        <w:spacing w:line="240" w:lineRule="auto"/>
        <w:rPr>
          <w:szCs w:val="22"/>
          <w:shd w:val="pct15" w:color="auto" w:fill="auto"/>
        </w:rPr>
      </w:pPr>
      <w:r w:rsidRPr="00D442F1">
        <w:rPr>
          <w:szCs w:val="22"/>
          <w:shd w:val="pct15" w:color="auto" w:fill="auto"/>
        </w:rPr>
        <w:t xml:space="preserve">Contains </w:t>
      </w:r>
      <w:r w:rsidRPr="00D442F1" w:rsidR="00F7678A">
        <w:rPr>
          <w:szCs w:val="22"/>
          <w:shd w:val="pct15" w:color="auto" w:fill="auto"/>
        </w:rPr>
        <w:t>1.2</w:t>
      </w:r>
      <w:r w:rsidRPr="00D442F1">
        <w:rPr>
          <w:noProof/>
          <w:szCs w:val="22"/>
          <w:shd w:val="pct15" w:color="auto" w:fill="auto"/>
        </w:rPr>
        <w:t> x 10</w:t>
      </w:r>
      <w:r w:rsidRPr="00D442F1">
        <w:rPr>
          <w:noProof/>
          <w:szCs w:val="22"/>
          <w:shd w:val="pct15" w:color="auto" w:fill="auto"/>
          <w:vertAlign w:val="superscript"/>
        </w:rPr>
        <w:t>6</w:t>
      </w:r>
      <w:r w:rsidRPr="00D442F1">
        <w:rPr>
          <w:noProof/>
          <w:szCs w:val="22"/>
          <w:shd w:val="pct15" w:color="auto" w:fill="auto"/>
        </w:rPr>
        <w:t xml:space="preserve"> to 6 x 10</w:t>
      </w:r>
      <w:r w:rsidRPr="00D442F1">
        <w:rPr>
          <w:noProof/>
          <w:szCs w:val="22"/>
          <w:shd w:val="pct15" w:color="auto" w:fill="auto"/>
          <w:vertAlign w:val="superscript"/>
        </w:rPr>
        <w:t>8</w:t>
      </w:r>
      <w:r w:rsidRPr="00D442F1">
        <w:rPr>
          <w:noProof/>
          <w:szCs w:val="22"/>
          <w:shd w:val="pct15" w:color="auto" w:fill="auto"/>
        </w:rPr>
        <w:t xml:space="preserve"> </w:t>
      </w:r>
      <w:r w:rsidRPr="00D442F1">
        <w:rPr>
          <w:szCs w:val="22"/>
          <w:shd w:val="pct15" w:color="auto" w:fill="auto"/>
        </w:rPr>
        <w:t>CAR</w:t>
      </w:r>
      <w:r w:rsidRPr="00D442F1" w:rsidR="00F7678A">
        <w:rPr>
          <w:szCs w:val="22"/>
          <w:shd w:val="pct15" w:color="auto" w:fill="auto"/>
        </w:rPr>
        <w:t>+</w:t>
      </w:r>
      <w:r w:rsidRPr="00D442F1">
        <w:rPr>
          <w:szCs w:val="22"/>
          <w:shd w:val="pct15" w:color="auto" w:fill="auto"/>
        </w:rPr>
        <w:t xml:space="preserve"> viable T cells</w:t>
      </w:r>
      <w:r w:rsidRPr="00D442F1" w:rsidR="00B24575">
        <w:rPr>
          <w:szCs w:val="22"/>
          <w:shd w:val="pct15" w:color="auto" w:fill="auto"/>
        </w:rPr>
        <w:t>.</w:t>
      </w:r>
    </w:p>
    <w:p w:rsidR="0055731C" w:rsidRPr="00D442F1" w:rsidP="00166894" w14:paraId="0014D4EC" w14:textId="77777777">
      <w:pPr>
        <w:widowControl w:val="0"/>
        <w:tabs>
          <w:tab w:val="clear" w:pos="567"/>
        </w:tabs>
        <w:spacing w:line="240" w:lineRule="auto"/>
        <w:rPr>
          <w:noProof/>
          <w:szCs w:val="22"/>
        </w:rPr>
      </w:pPr>
    </w:p>
    <w:p w:rsidR="0055731C" w:rsidRPr="00D442F1" w:rsidP="00166894" w14:paraId="3A390ED8" w14:textId="77777777">
      <w:pPr>
        <w:widowControl w:val="0"/>
        <w:tabs>
          <w:tab w:val="clear" w:pos="567"/>
        </w:tabs>
        <w:spacing w:line="240" w:lineRule="auto"/>
        <w:rPr>
          <w:noProof/>
          <w:szCs w:val="22"/>
        </w:rPr>
      </w:pPr>
    </w:p>
    <w:p w:rsidR="0055731C" w:rsidRPr="00D442F1" w:rsidP="00166894" w14:paraId="39FB3549"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3.</w:t>
      </w:r>
      <w:r w:rsidRPr="00D442F1">
        <w:rPr>
          <w:b/>
          <w:noProof/>
          <w:szCs w:val="22"/>
        </w:rPr>
        <w:tab/>
        <w:t>LIST OF EXCIPIENTS</w:t>
      </w:r>
    </w:p>
    <w:p w:rsidR="0055731C" w:rsidRPr="00D442F1" w:rsidP="00166894" w14:paraId="7537F733" w14:textId="77777777">
      <w:pPr>
        <w:widowControl w:val="0"/>
        <w:tabs>
          <w:tab w:val="clear" w:pos="567"/>
        </w:tabs>
        <w:spacing w:line="240" w:lineRule="auto"/>
        <w:rPr>
          <w:noProof/>
          <w:szCs w:val="22"/>
        </w:rPr>
      </w:pPr>
    </w:p>
    <w:p w:rsidR="00AA7CD4" w:rsidRPr="00D442F1" w:rsidP="00166894" w14:paraId="7F135CE1" w14:textId="77777777">
      <w:pPr>
        <w:widowControl w:val="0"/>
        <w:tabs>
          <w:tab w:val="clear" w:pos="567"/>
        </w:tabs>
        <w:spacing w:line="240" w:lineRule="auto"/>
        <w:rPr>
          <w:noProof/>
          <w:szCs w:val="22"/>
        </w:rPr>
      </w:pPr>
      <w:r w:rsidRPr="00D442F1">
        <w:rPr>
          <w:noProof/>
          <w:szCs w:val="22"/>
        </w:rPr>
        <w:t xml:space="preserve">Also contains: glucose, sodium chloride, </w:t>
      </w:r>
      <w:r w:rsidRPr="00D442F1" w:rsidR="00C272BE">
        <w:rPr>
          <w:noProof/>
          <w:szCs w:val="22"/>
        </w:rPr>
        <w:t xml:space="preserve">human </w:t>
      </w:r>
      <w:r w:rsidRPr="00D442F1">
        <w:rPr>
          <w:noProof/>
          <w:szCs w:val="22"/>
        </w:rPr>
        <w:t>albumin solution, dextran 40 for injection, dimethylsulfoxide, sodium gluconate, sodium acetate, potassium chloride, magnesium chloride, sodium</w:t>
      </w:r>
      <w:r w:rsidRPr="00D442F1">
        <w:rPr>
          <w:noProof/>
          <w:szCs w:val="22"/>
        </w:rPr>
        <w:noBreakHyphen/>
        <w:t>N</w:t>
      </w:r>
      <w:r w:rsidRPr="00D442F1">
        <w:rPr>
          <w:noProof/>
          <w:szCs w:val="22"/>
        </w:rPr>
        <w:noBreakHyphen/>
        <w:t>acetyltryptophanate, sodium caprylate, aluminium, water for injections.</w:t>
      </w:r>
      <w:r w:rsidRPr="00D442F1" w:rsidR="00C272BE">
        <w:rPr>
          <w:noProof/>
          <w:szCs w:val="22"/>
        </w:rPr>
        <w:t xml:space="preserve"> </w:t>
      </w:r>
      <w:r w:rsidRPr="00D442F1" w:rsidR="00C272BE">
        <w:rPr>
          <w:noProof/>
          <w:szCs w:val="22"/>
          <w:shd w:val="pct15" w:color="auto" w:fill="auto"/>
        </w:rPr>
        <w:t>See leaflet for further information.</w:t>
      </w:r>
    </w:p>
    <w:p w:rsidR="00B11A7F" w:rsidRPr="00D442F1" w:rsidP="00166894" w14:paraId="24DF1F99" w14:textId="77777777">
      <w:pPr>
        <w:widowControl w:val="0"/>
        <w:tabs>
          <w:tab w:val="clear" w:pos="567"/>
        </w:tabs>
        <w:spacing w:line="240" w:lineRule="auto"/>
        <w:rPr>
          <w:noProof/>
          <w:szCs w:val="22"/>
        </w:rPr>
      </w:pPr>
    </w:p>
    <w:p w:rsidR="0055731C" w:rsidRPr="00D442F1" w:rsidP="00166894" w14:paraId="1ECBEDCD" w14:textId="77777777">
      <w:pPr>
        <w:widowControl w:val="0"/>
        <w:tabs>
          <w:tab w:val="clear" w:pos="567"/>
        </w:tabs>
        <w:spacing w:line="240" w:lineRule="auto"/>
        <w:rPr>
          <w:noProof/>
          <w:szCs w:val="22"/>
        </w:rPr>
      </w:pPr>
    </w:p>
    <w:p w:rsidR="0055731C" w:rsidRPr="00D442F1" w:rsidP="00166894" w14:paraId="106E9450"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4.</w:t>
      </w:r>
      <w:r w:rsidRPr="00D442F1">
        <w:rPr>
          <w:b/>
          <w:noProof/>
          <w:szCs w:val="22"/>
        </w:rPr>
        <w:tab/>
        <w:t>PHARMACEUTICAL FORM AND CONTENTS</w:t>
      </w:r>
    </w:p>
    <w:p w:rsidR="0055731C" w:rsidRPr="00D442F1" w:rsidP="00166894" w14:paraId="7D3C756F" w14:textId="77777777">
      <w:pPr>
        <w:widowControl w:val="0"/>
        <w:tabs>
          <w:tab w:val="clear" w:pos="567"/>
        </w:tabs>
        <w:spacing w:line="240" w:lineRule="auto"/>
        <w:rPr>
          <w:noProof/>
          <w:szCs w:val="22"/>
        </w:rPr>
      </w:pPr>
    </w:p>
    <w:p w:rsidR="00ED46E0" w:rsidRPr="00D442F1" w:rsidP="00166894" w14:paraId="13722241" w14:textId="77777777">
      <w:pPr>
        <w:widowControl w:val="0"/>
        <w:tabs>
          <w:tab w:val="clear" w:pos="567"/>
        </w:tabs>
        <w:spacing w:line="240" w:lineRule="auto"/>
        <w:rPr>
          <w:noProof/>
          <w:szCs w:val="22"/>
        </w:rPr>
      </w:pPr>
      <w:r w:rsidRPr="00D442F1">
        <w:rPr>
          <w:noProof/>
          <w:szCs w:val="22"/>
          <w:shd w:val="pct15" w:color="auto" w:fill="auto"/>
        </w:rPr>
        <w:t>Dispersion for infusion</w:t>
      </w:r>
    </w:p>
    <w:p w:rsidR="0055731C" w:rsidRPr="00D442F1" w:rsidP="00166894" w14:paraId="1C98E611" w14:textId="77777777">
      <w:pPr>
        <w:widowControl w:val="0"/>
        <w:tabs>
          <w:tab w:val="clear" w:pos="567"/>
        </w:tabs>
        <w:spacing w:line="240" w:lineRule="auto"/>
        <w:rPr>
          <w:noProof/>
          <w:szCs w:val="22"/>
        </w:rPr>
      </w:pPr>
      <w:r w:rsidRPr="00D442F1">
        <w:rPr>
          <w:noProof/>
          <w:szCs w:val="22"/>
        </w:rPr>
        <w:t>10</w:t>
      </w:r>
      <w:r w:rsidRPr="00D442F1" w:rsidR="00AA7CD4">
        <w:rPr>
          <w:noProof/>
          <w:szCs w:val="22"/>
        </w:rPr>
        <w:t> </w:t>
      </w:r>
      <w:r w:rsidRPr="00D442F1" w:rsidR="00E13F94">
        <w:rPr>
          <w:noProof/>
          <w:szCs w:val="22"/>
        </w:rPr>
        <w:t>mL</w:t>
      </w:r>
      <w:r w:rsidRPr="00D442F1" w:rsidR="00AA7CD4">
        <w:rPr>
          <w:noProof/>
          <w:szCs w:val="22"/>
        </w:rPr>
        <w:t> </w:t>
      </w:r>
      <w:r w:rsidRPr="00D442F1" w:rsidR="009F6C8F">
        <w:rPr>
          <w:noProof/>
          <w:szCs w:val="22"/>
        </w:rPr>
        <w:noBreakHyphen/>
      </w:r>
      <w:r w:rsidRPr="00D442F1" w:rsidR="00AA7CD4">
        <w:rPr>
          <w:noProof/>
          <w:szCs w:val="22"/>
        </w:rPr>
        <w:t> </w:t>
      </w:r>
      <w:r w:rsidRPr="00D442F1">
        <w:rPr>
          <w:noProof/>
          <w:szCs w:val="22"/>
        </w:rPr>
        <w:t>50</w:t>
      </w:r>
      <w:r w:rsidRPr="00D442F1" w:rsidR="00AA7CD4">
        <w:rPr>
          <w:noProof/>
          <w:szCs w:val="22"/>
        </w:rPr>
        <w:t> </w:t>
      </w:r>
      <w:r w:rsidRPr="00D442F1">
        <w:rPr>
          <w:noProof/>
          <w:szCs w:val="22"/>
        </w:rPr>
        <w:t>mL per bag</w:t>
      </w:r>
      <w:r w:rsidRPr="00D442F1" w:rsidR="00FE4447">
        <w:rPr>
          <w:noProof/>
          <w:szCs w:val="22"/>
        </w:rPr>
        <w:t>.</w:t>
      </w:r>
    </w:p>
    <w:p w:rsidR="0055731C" w:rsidRPr="00D442F1" w:rsidP="00166894" w14:paraId="30BED479" w14:textId="77777777">
      <w:pPr>
        <w:widowControl w:val="0"/>
        <w:tabs>
          <w:tab w:val="clear" w:pos="567"/>
        </w:tabs>
        <w:spacing w:line="240" w:lineRule="auto"/>
        <w:rPr>
          <w:noProof/>
          <w:szCs w:val="22"/>
        </w:rPr>
      </w:pPr>
    </w:p>
    <w:p w:rsidR="00B11A7F" w:rsidRPr="00D442F1" w:rsidP="00166894" w14:paraId="23E9E593" w14:textId="77777777">
      <w:pPr>
        <w:widowControl w:val="0"/>
        <w:tabs>
          <w:tab w:val="clear" w:pos="567"/>
        </w:tabs>
        <w:spacing w:line="240" w:lineRule="auto"/>
        <w:rPr>
          <w:noProof/>
          <w:szCs w:val="22"/>
        </w:rPr>
      </w:pPr>
    </w:p>
    <w:p w:rsidR="0055731C" w:rsidRPr="00D442F1" w:rsidP="00166894" w14:paraId="5F18F40B"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5.</w:t>
      </w:r>
      <w:r w:rsidRPr="00D442F1">
        <w:rPr>
          <w:b/>
          <w:noProof/>
          <w:szCs w:val="22"/>
        </w:rPr>
        <w:tab/>
        <w:t>METHOD AND ROUTE(S) OF ADMINISTRATION</w:t>
      </w:r>
    </w:p>
    <w:p w:rsidR="0055731C" w:rsidRPr="00D442F1" w:rsidP="00166894" w14:paraId="5B573A50" w14:textId="77777777">
      <w:pPr>
        <w:widowControl w:val="0"/>
        <w:tabs>
          <w:tab w:val="clear" w:pos="567"/>
        </w:tabs>
        <w:spacing w:line="240" w:lineRule="auto"/>
        <w:rPr>
          <w:noProof/>
          <w:szCs w:val="22"/>
        </w:rPr>
      </w:pPr>
    </w:p>
    <w:p w:rsidR="0055731C" w:rsidRPr="00D442F1" w:rsidP="00166894" w14:paraId="3C64F39E" w14:textId="77777777">
      <w:pPr>
        <w:widowControl w:val="0"/>
        <w:tabs>
          <w:tab w:val="clear" w:pos="567"/>
        </w:tabs>
        <w:spacing w:line="240" w:lineRule="auto"/>
        <w:rPr>
          <w:noProof/>
          <w:szCs w:val="22"/>
        </w:rPr>
      </w:pPr>
      <w:r w:rsidRPr="00D442F1">
        <w:rPr>
          <w:noProof/>
          <w:szCs w:val="22"/>
        </w:rPr>
        <w:t>Intravenous use</w:t>
      </w:r>
    </w:p>
    <w:p w:rsidR="0055731C" w:rsidRPr="00D442F1" w:rsidP="00166894" w14:paraId="07E2C51A" w14:textId="77777777">
      <w:pPr>
        <w:widowControl w:val="0"/>
        <w:tabs>
          <w:tab w:val="clear" w:pos="567"/>
        </w:tabs>
        <w:spacing w:line="240" w:lineRule="auto"/>
        <w:rPr>
          <w:noProof/>
          <w:szCs w:val="22"/>
        </w:rPr>
      </w:pPr>
      <w:r w:rsidRPr="00D442F1">
        <w:rPr>
          <w:noProof/>
          <w:szCs w:val="22"/>
        </w:rPr>
        <w:t>Do not use leukocyte depleting filter</w:t>
      </w:r>
      <w:r w:rsidRPr="00D442F1" w:rsidR="00FE4447">
        <w:rPr>
          <w:noProof/>
          <w:szCs w:val="22"/>
        </w:rPr>
        <w:t>.</w:t>
      </w:r>
    </w:p>
    <w:p w:rsidR="0055731C" w:rsidRPr="00D442F1" w:rsidP="00166894" w14:paraId="21B01B9D" w14:textId="77777777">
      <w:pPr>
        <w:widowControl w:val="0"/>
        <w:tabs>
          <w:tab w:val="clear" w:pos="567"/>
        </w:tabs>
        <w:spacing w:line="240" w:lineRule="auto"/>
        <w:rPr>
          <w:noProof/>
          <w:szCs w:val="22"/>
        </w:rPr>
      </w:pPr>
    </w:p>
    <w:p w:rsidR="0055731C" w:rsidRPr="00D442F1" w:rsidP="00166894" w14:paraId="7C200D1B" w14:textId="77777777">
      <w:pPr>
        <w:widowControl w:val="0"/>
        <w:tabs>
          <w:tab w:val="clear" w:pos="567"/>
        </w:tabs>
        <w:spacing w:line="240" w:lineRule="auto"/>
        <w:rPr>
          <w:noProof/>
          <w:szCs w:val="22"/>
        </w:rPr>
      </w:pPr>
    </w:p>
    <w:p w:rsidR="0055731C" w:rsidRPr="00D442F1" w:rsidP="00166894" w14:paraId="74A3B20D"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6.</w:t>
      </w:r>
      <w:r w:rsidRPr="00D442F1">
        <w:rPr>
          <w:b/>
          <w:noProof/>
          <w:szCs w:val="22"/>
        </w:rPr>
        <w:tab/>
        <w:t>SPECIAL WARNING THAT THE MEDICINAL PRODUCT MUST BE STORED OUT OF THE SIGHT AND REACH OF CHILDREN</w:t>
      </w:r>
    </w:p>
    <w:p w:rsidR="0055731C" w:rsidRPr="00D442F1" w:rsidP="00166894" w14:paraId="46F296A2" w14:textId="77777777">
      <w:pPr>
        <w:widowControl w:val="0"/>
        <w:tabs>
          <w:tab w:val="clear" w:pos="567"/>
        </w:tabs>
        <w:spacing w:line="240" w:lineRule="auto"/>
        <w:rPr>
          <w:noProof/>
          <w:szCs w:val="22"/>
        </w:rPr>
      </w:pPr>
    </w:p>
    <w:p w:rsidR="0055731C" w:rsidRPr="00D442F1" w:rsidP="00166894" w14:paraId="63898CB5" w14:textId="77777777">
      <w:pPr>
        <w:widowControl w:val="0"/>
        <w:tabs>
          <w:tab w:val="clear" w:pos="567"/>
        </w:tabs>
        <w:spacing w:line="240" w:lineRule="auto"/>
        <w:rPr>
          <w:noProof/>
          <w:szCs w:val="22"/>
        </w:rPr>
      </w:pPr>
      <w:r w:rsidRPr="00D442F1">
        <w:rPr>
          <w:noProof/>
          <w:szCs w:val="22"/>
          <w:shd w:val="pct15" w:color="auto" w:fill="auto"/>
        </w:rPr>
        <w:t>Keep out of the sight and reach of children.</w:t>
      </w:r>
    </w:p>
    <w:p w:rsidR="0055731C" w:rsidRPr="00D442F1" w:rsidP="00166894" w14:paraId="2EE7DD03" w14:textId="77777777">
      <w:pPr>
        <w:widowControl w:val="0"/>
        <w:tabs>
          <w:tab w:val="clear" w:pos="567"/>
        </w:tabs>
        <w:spacing w:line="240" w:lineRule="auto"/>
        <w:rPr>
          <w:noProof/>
          <w:szCs w:val="22"/>
        </w:rPr>
      </w:pPr>
    </w:p>
    <w:p w:rsidR="0055731C" w:rsidRPr="00D442F1" w:rsidP="00166894" w14:paraId="10168D17" w14:textId="77777777">
      <w:pPr>
        <w:widowControl w:val="0"/>
        <w:tabs>
          <w:tab w:val="clear" w:pos="567"/>
        </w:tabs>
        <w:spacing w:line="240" w:lineRule="auto"/>
        <w:rPr>
          <w:noProof/>
          <w:szCs w:val="22"/>
        </w:rPr>
      </w:pPr>
    </w:p>
    <w:p w:rsidR="0055731C" w:rsidRPr="00D442F1" w:rsidP="00166894" w14:paraId="4C2F6C65" w14:textId="77777777">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7.</w:t>
      </w:r>
      <w:r w:rsidRPr="00D442F1">
        <w:rPr>
          <w:b/>
          <w:noProof/>
          <w:szCs w:val="22"/>
        </w:rPr>
        <w:tab/>
        <w:t>OTHER SPECIAL WARNING(S), IF NECESSARY</w:t>
      </w:r>
    </w:p>
    <w:p w:rsidR="0055731C" w:rsidRPr="00D442F1" w:rsidP="00166894" w14:paraId="525E2BA4" w14:textId="77777777">
      <w:pPr>
        <w:widowControl w:val="0"/>
        <w:tabs>
          <w:tab w:val="clear" w:pos="567"/>
        </w:tabs>
        <w:spacing w:line="240" w:lineRule="auto"/>
        <w:rPr>
          <w:noProof/>
          <w:szCs w:val="22"/>
        </w:rPr>
      </w:pPr>
    </w:p>
    <w:p w:rsidR="0055731C" w:rsidRPr="00D442F1" w:rsidP="00166894" w14:paraId="01BD2154" w14:textId="77777777">
      <w:pPr>
        <w:widowControl w:val="0"/>
        <w:tabs>
          <w:tab w:val="clear" w:pos="567"/>
        </w:tabs>
        <w:spacing w:line="240" w:lineRule="auto"/>
        <w:rPr>
          <w:noProof/>
          <w:szCs w:val="22"/>
        </w:rPr>
      </w:pPr>
      <w:r w:rsidRPr="00D442F1">
        <w:rPr>
          <w:noProof/>
          <w:szCs w:val="22"/>
        </w:rPr>
        <w:t>For autologous use only.</w:t>
      </w:r>
    </w:p>
    <w:p w:rsidR="0055731C" w:rsidRPr="00D442F1" w:rsidP="00166894" w14:paraId="4FB43276" w14:textId="77777777">
      <w:pPr>
        <w:widowControl w:val="0"/>
        <w:tabs>
          <w:tab w:val="clear" w:pos="567"/>
        </w:tabs>
        <w:spacing w:line="240" w:lineRule="auto"/>
      </w:pPr>
    </w:p>
    <w:p w:rsidR="0055731C" w:rsidRPr="00D442F1" w:rsidP="00166894" w14:paraId="4F00B362" w14:textId="77777777">
      <w:pPr>
        <w:widowControl w:val="0"/>
        <w:tabs>
          <w:tab w:val="clear" w:pos="567"/>
        </w:tabs>
        <w:spacing w:line="240" w:lineRule="auto"/>
      </w:pPr>
    </w:p>
    <w:p w:rsidR="0055731C" w:rsidRPr="00D442F1" w:rsidP="00166894" w14:paraId="68EE9143" w14:textId="77777777">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pPr>
      <w:r w:rsidRPr="00D442F1">
        <w:rPr>
          <w:b/>
        </w:rPr>
        <w:t>8.</w:t>
      </w:r>
      <w:r w:rsidRPr="00D442F1">
        <w:rPr>
          <w:b/>
        </w:rPr>
        <w:tab/>
        <w:t>EXPIRY DATE</w:t>
      </w:r>
    </w:p>
    <w:p w:rsidR="0055731C" w:rsidRPr="00D442F1" w:rsidP="00166894" w14:paraId="2347AF4D" w14:textId="77777777">
      <w:pPr>
        <w:keepNext/>
        <w:keepLines/>
        <w:widowControl w:val="0"/>
        <w:tabs>
          <w:tab w:val="clear" w:pos="567"/>
        </w:tabs>
        <w:spacing w:line="240" w:lineRule="auto"/>
      </w:pPr>
    </w:p>
    <w:p w:rsidR="0055731C" w:rsidRPr="00D442F1" w:rsidP="00166894" w14:paraId="101CEF66" w14:textId="77777777">
      <w:pPr>
        <w:keepLines/>
        <w:widowControl w:val="0"/>
        <w:tabs>
          <w:tab w:val="clear" w:pos="567"/>
        </w:tabs>
        <w:spacing w:line="240" w:lineRule="auto"/>
      </w:pPr>
      <w:r w:rsidRPr="00D442F1">
        <w:t>EXP</w:t>
      </w:r>
    </w:p>
    <w:p w:rsidR="0055731C" w:rsidRPr="00D442F1" w:rsidP="00166894" w14:paraId="4118C80A" w14:textId="77777777">
      <w:pPr>
        <w:widowControl w:val="0"/>
        <w:tabs>
          <w:tab w:val="clear" w:pos="567"/>
        </w:tabs>
        <w:spacing w:line="240" w:lineRule="auto"/>
        <w:rPr>
          <w:noProof/>
          <w:szCs w:val="22"/>
        </w:rPr>
      </w:pPr>
    </w:p>
    <w:p w:rsidR="0055731C" w:rsidRPr="00D442F1" w:rsidP="00166894" w14:paraId="6EBEF302" w14:textId="77777777">
      <w:pPr>
        <w:widowControl w:val="0"/>
        <w:tabs>
          <w:tab w:val="clear" w:pos="567"/>
        </w:tabs>
        <w:spacing w:line="240" w:lineRule="auto"/>
        <w:rPr>
          <w:noProof/>
          <w:szCs w:val="22"/>
        </w:rPr>
      </w:pPr>
    </w:p>
    <w:p w:rsidR="0055731C" w:rsidRPr="00D442F1" w:rsidP="00166894" w14:paraId="2E7D8997" w14:textId="77777777">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9.</w:t>
      </w:r>
      <w:r w:rsidRPr="00D442F1">
        <w:rPr>
          <w:b/>
          <w:noProof/>
          <w:szCs w:val="22"/>
        </w:rPr>
        <w:tab/>
        <w:t>SPECIAL STORAGE CONDITIONS</w:t>
      </w:r>
    </w:p>
    <w:p w:rsidR="0055731C" w:rsidRPr="00D442F1" w:rsidP="00166894" w14:paraId="2114350F" w14:textId="77777777">
      <w:pPr>
        <w:keepNext/>
        <w:keepLines/>
        <w:widowControl w:val="0"/>
        <w:tabs>
          <w:tab w:val="clear" w:pos="567"/>
        </w:tabs>
        <w:spacing w:line="240" w:lineRule="auto"/>
        <w:rPr>
          <w:noProof/>
          <w:szCs w:val="22"/>
        </w:rPr>
      </w:pPr>
    </w:p>
    <w:p w:rsidR="0055731C" w:rsidRPr="00D442F1" w:rsidP="00166894" w14:paraId="1F4433B4" w14:textId="77777777">
      <w:pPr>
        <w:keepNext/>
        <w:keepLines/>
        <w:widowControl w:val="0"/>
        <w:tabs>
          <w:tab w:val="clear" w:pos="567"/>
        </w:tabs>
        <w:spacing w:line="240" w:lineRule="auto"/>
        <w:rPr>
          <w:noProof/>
          <w:szCs w:val="22"/>
        </w:rPr>
      </w:pPr>
      <w:r w:rsidRPr="00D442F1">
        <w:rPr>
          <w:noProof/>
          <w:szCs w:val="22"/>
        </w:rPr>
        <w:t xml:space="preserve">Store </w:t>
      </w:r>
      <w:r w:rsidRPr="00D442F1" w:rsidR="00F0440B">
        <w:rPr>
          <w:noProof/>
          <w:szCs w:val="22"/>
        </w:rPr>
        <w:t xml:space="preserve">and transport </w:t>
      </w:r>
      <w:r w:rsidRPr="00D442F1" w:rsidR="00130ECE">
        <w:rPr>
          <w:noProof/>
          <w:szCs w:val="22"/>
        </w:rPr>
        <w:t>below</w:t>
      </w:r>
      <w:r w:rsidRPr="00D442F1">
        <w:rPr>
          <w:noProof/>
          <w:szCs w:val="22"/>
        </w:rPr>
        <w:t xml:space="preserve"> </w:t>
      </w:r>
      <w:r w:rsidRPr="00D442F1">
        <w:rPr>
          <w:noProof/>
          <w:szCs w:val="22"/>
        </w:rPr>
        <w:noBreakHyphen/>
        <w:t>120°C; do not thaw the product until use.</w:t>
      </w:r>
    </w:p>
    <w:p w:rsidR="0055731C" w:rsidRPr="00D442F1" w:rsidP="00166894" w14:paraId="16803D29" w14:textId="77777777">
      <w:pPr>
        <w:widowControl w:val="0"/>
        <w:tabs>
          <w:tab w:val="clear" w:pos="567"/>
        </w:tabs>
        <w:spacing w:line="240" w:lineRule="auto"/>
        <w:rPr>
          <w:noProof/>
          <w:szCs w:val="22"/>
        </w:rPr>
      </w:pPr>
    </w:p>
    <w:p w:rsidR="0055731C" w:rsidRPr="00D442F1" w:rsidP="00166894" w14:paraId="50B70D48" w14:textId="77777777">
      <w:pPr>
        <w:widowControl w:val="0"/>
        <w:tabs>
          <w:tab w:val="clear" w:pos="567"/>
        </w:tabs>
        <w:spacing w:line="240" w:lineRule="auto"/>
        <w:rPr>
          <w:noProof/>
          <w:szCs w:val="22"/>
        </w:rPr>
      </w:pPr>
    </w:p>
    <w:p w:rsidR="0055731C" w:rsidRPr="00385FB9" w:rsidP="00166894" w14:paraId="198576A0"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D442F1">
        <w:rPr>
          <w:b/>
          <w:noProof/>
          <w:szCs w:val="22"/>
        </w:rPr>
        <w:t>10.</w:t>
      </w:r>
      <w:r w:rsidRPr="00D442F1">
        <w:rPr>
          <w:b/>
          <w:noProof/>
          <w:szCs w:val="22"/>
        </w:rPr>
        <w:tab/>
        <w:t xml:space="preserve">SPECIAL PRECAUTIONS FOR </w:t>
      </w:r>
      <w:r w:rsidRPr="00385FB9">
        <w:rPr>
          <w:b/>
          <w:noProof/>
          <w:szCs w:val="22"/>
        </w:rPr>
        <w:t>DISPOSAL OF UNUSED MEDICINAL PRODUCTS OR WASTE MATERIALS DERIVED FROM SUCH MEDICINAL PRODUCTS, IF APPROPRIATE</w:t>
      </w:r>
    </w:p>
    <w:p w:rsidR="0055731C" w:rsidRPr="00385FB9" w:rsidP="00166894" w14:paraId="30248815" w14:textId="77777777">
      <w:pPr>
        <w:widowControl w:val="0"/>
        <w:tabs>
          <w:tab w:val="clear" w:pos="567"/>
        </w:tabs>
        <w:spacing w:line="240" w:lineRule="auto"/>
        <w:rPr>
          <w:noProof/>
          <w:szCs w:val="22"/>
        </w:rPr>
      </w:pPr>
    </w:p>
    <w:p w:rsidR="0055731C" w:rsidRPr="00385FB9" w:rsidP="00166894" w14:paraId="04854AB3" w14:textId="77777777">
      <w:pPr>
        <w:pStyle w:val="Default"/>
        <w:widowControl w:val="0"/>
        <w:rPr>
          <w:sz w:val="22"/>
          <w:szCs w:val="22"/>
          <w:lang w:val="en-GB"/>
        </w:rPr>
      </w:pPr>
      <w:r w:rsidRPr="00385FB9">
        <w:rPr>
          <w:sz w:val="22"/>
          <w:szCs w:val="22"/>
          <w:lang w:val="en-GB"/>
        </w:rPr>
        <w:t>Contains genetically</w:t>
      </w:r>
      <w:r w:rsidRPr="00385FB9">
        <w:rPr>
          <w:sz w:val="22"/>
          <w:szCs w:val="22"/>
          <w:lang w:val="en-GB"/>
        </w:rPr>
        <w:noBreakHyphen/>
        <w:t>modified cells.</w:t>
      </w:r>
    </w:p>
    <w:p w:rsidR="0055731C" w:rsidRPr="00385FB9" w:rsidP="00166894" w14:paraId="088F69EE" w14:textId="02AD9BF5">
      <w:pPr>
        <w:widowControl w:val="0"/>
        <w:tabs>
          <w:tab w:val="clear" w:pos="567"/>
        </w:tabs>
        <w:spacing w:line="240" w:lineRule="auto"/>
        <w:rPr>
          <w:szCs w:val="22"/>
        </w:rPr>
      </w:pPr>
      <w:r w:rsidRPr="00385FB9">
        <w:rPr>
          <w:szCs w:val="22"/>
        </w:rPr>
        <w:t>D</w:t>
      </w:r>
      <w:r w:rsidRPr="00385FB9">
        <w:rPr>
          <w:szCs w:val="22"/>
        </w:rPr>
        <w:t>ispose of as per local guideline</w:t>
      </w:r>
      <w:r w:rsidRPr="00385FB9" w:rsidR="002F65FC">
        <w:rPr>
          <w:noProof/>
          <w:szCs w:val="22"/>
        </w:rPr>
        <w:t xml:space="preserve"> on handling of biological waste</w:t>
      </w:r>
      <w:r w:rsidRPr="00385FB9">
        <w:rPr>
          <w:szCs w:val="22"/>
        </w:rPr>
        <w:t>.</w:t>
      </w:r>
    </w:p>
    <w:p w:rsidR="0055731C" w:rsidRPr="00385FB9" w:rsidP="00166894" w14:paraId="00DF8C15" w14:textId="77777777">
      <w:pPr>
        <w:widowControl w:val="0"/>
        <w:tabs>
          <w:tab w:val="clear" w:pos="567"/>
        </w:tabs>
        <w:spacing w:line="240" w:lineRule="auto"/>
        <w:rPr>
          <w:noProof/>
          <w:szCs w:val="22"/>
        </w:rPr>
      </w:pPr>
    </w:p>
    <w:p w:rsidR="0055731C" w:rsidRPr="00385FB9" w:rsidP="00166894" w14:paraId="1B0DB316" w14:textId="77777777">
      <w:pPr>
        <w:widowControl w:val="0"/>
        <w:tabs>
          <w:tab w:val="clear" w:pos="567"/>
        </w:tabs>
        <w:spacing w:line="240" w:lineRule="auto"/>
        <w:rPr>
          <w:noProof/>
          <w:szCs w:val="22"/>
        </w:rPr>
      </w:pPr>
    </w:p>
    <w:p w:rsidR="0055731C" w:rsidRPr="00D442F1" w:rsidP="00166894" w14:paraId="779C01F8"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385FB9">
        <w:rPr>
          <w:b/>
          <w:noProof/>
          <w:szCs w:val="22"/>
        </w:rPr>
        <w:t>11.</w:t>
      </w:r>
      <w:r w:rsidRPr="00385FB9">
        <w:rPr>
          <w:b/>
          <w:noProof/>
          <w:szCs w:val="22"/>
        </w:rPr>
        <w:tab/>
        <w:t>NAME AND ADDRESS OF THE MARKETING</w:t>
      </w:r>
      <w:r w:rsidRPr="00D442F1">
        <w:rPr>
          <w:b/>
          <w:noProof/>
          <w:szCs w:val="22"/>
        </w:rPr>
        <w:t xml:space="preserve"> AUTHORISATION HOLDER</w:t>
      </w:r>
    </w:p>
    <w:p w:rsidR="0055731C" w:rsidRPr="00D442F1" w:rsidP="00166894" w14:paraId="37048E87" w14:textId="77777777">
      <w:pPr>
        <w:keepNext/>
        <w:widowControl w:val="0"/>
        <w:tabs>
          <w:tab w:val="clear" w:pos="567"/>
        </w:tabs>
        <w:spacing w:line="240" w:lineRule="auto"/>
        <w:rPr>
          <w:noProof/>
          <w:szCs w:val="22"/>
        </w:rPr>
      </w:pPr>
    </w:p>
    <w:p w:rsidR="0055731C" w:rsidRPr="00D442F1" w:rsidP="00166894" w14:paraId="44DCA3D7" w14:textId="77777777">
      <w:pPr>
        <w:keepNext/>
        <w:widowControl w:val="0"/>
        <w:tabs>
          <w:tab w:val="clear" w:pos="567"/>
        </w:tabs>
        <w:spacing w:line="240" w:lineRule="auto"/>
        <w:rPr>
          <w:noProof/>
          <w:szCs w:val="22"/>
          <w:shd w:val="pct15" w:color="auto" w:fill="auto"/>
        </w:rPr>
      </w:pPr>
      <w:r w:rsidRPr="00D442F1">
        <w:rPr>
          <w:noProof/>
          <w:szCs w:val="22"/>
          <w:shd w:val="pct15" w:color="auto" w:fill="auto"/>
        </w:rPr>
        <w:t>Novartis Europharm Limited</w:t>
      </w:r>
    </w:p>
    <w:p w:rsidR="00130ECE" w:rsidRPr="00D442F1" w:rsidP="00166894" w14:paraId="5F863DEE" w14:textId="77777777">
      <w:pPr>
        <w:keepNext/>
        <w:widowControl w:val="0"/>
        <w:tabs>
          <w:tab w:val="clear" w:pos="567"/>
        </w:tabs>
        <w:spacing w:line="240" w:lineRule="auto"/>
        <w:rPr>
          <w:rFonts w:eastAsia="Calibri"/>
          <w:color w:val="000000"/>
          <w:szCs w:val="22"/>
          <w:shd w:val="pct15" w:color="auto" w:fill="auto"/>
          <w:lang w:val="en-US"/>
        </w:rPr>
      </w:pPr>
      <w:r w:rsidRPr="00D442F1">
        <w:rPr>
          <w:rFonts w:eastAsia="Calibri"/>
          <w:color w:val="000000"/>
          <w:szCs w:val="22"/>
          <w:shd w:val="pct15" w:color="auto" w:fill="auto"/>
          <w:lang w:val="en-US"/>
        </w:rPr>
        <w:t>Vista Building</w:t>
      </w:r>
    </w:p>
    <w:p w:rsidR="00130ECE" w:rsidRPr="00D442F1" w:rsidP="00166894" w14:paraId="3C02B099" w14:textId="77777777">
      <w:pPr>
        <w:keepNext/>
        <w:widowControl w:val="0"/>
        <w:tabs>
          <w:tab w:val="clear" w:pos="567"/>
        </w:tabs>
        <w:spacing w:line="240" w:lineRule="auto"/>
        <w:rPr>
          <w:rFonts w:eastAsia="Calibri"/>
          <w:color w:val="000000"/>
          <w:szCs w:val="22"/>
          <w:shd w:val="pct15" w:color="auto" w:fill="auto"/>
          <w:lang w:val="en-US"/>
        </w:rPr>
      </w:pPr>
      <w:r w:rsidRPr="00D442F1">
        <w:rPr>
          <w:rFonts w:eastAsia="Calibri"/>
          <w:color w:val="000000"/>
          <w:szCs w:val="22"/>
          <w:shd w:val="pct15" w:color="auto" w:fill="auto"/>
          <w:lang w:val="en-US"/>
        </w:rPr>
        <w:t>Elm Park, Merrion Road</w:t>
      </w:r>
    </w:p>
    <w:p w:rsidR="00130ECE" w:rsidRPr="00D442F1" w:rsidP="00166894" w14:paraId="4E3DAEF4" w14:textId="77777777">
      <w:pPr>
        <w:keepNext/>
        <w:widowControl w:val="0"/>
        <w:tabs>
          <w:tab w:val="clear" w:pos="567"/>
        </w:tabs>
        <w:spacing w:line="240" w:lineRule="auto"/>
        <w:rPr>
          <w:rFonts w:eastAsia="Calibri"/>
          <w:color w:val="000000"/>
          <w:szCs w:val="22"/>
          <w:shd w:val="pct15" w:color="auto" w:fill="auto"/>
          <w:lang w:val="en-US"/>
        </w:rPr>
      </w:pPr>
      <w:r w:rsidRPr="00D442F1">
        <w:rPr>
          <w:rFonts w:eastAsia="Calibri"/>
          <w:color w:val="000000"/>
          <w:szCs w:val="22"/>
          <w:shd w:val="pct15" w:color="auto" w:fill="auto"/>
          <w:lang w:val="en-US"/>
        </w:rPr>
        <w:t>Dublin 4</w:t>
      </w:r>
    </w:p>
    <w:p w:rsidR="00130ECE" w:rsidRPr="00D442F1" w:rsidP="00166894" w14:paraId="2F6DAA85" w14:textId="77777777">
      <w:pPr>
        <w:widowControl w:val="0"/>
        <w:tabs>
          <w:tab w:val="clear" w:pos="567"/>
        </w:tabs>
        <w:spacing w:line="240" w:lineRule="auto"/>
        <w:rPr>
          <w:rFonts w:eastAsia="Calibri"/>
          <w:color w:val="000000"/>
          <w:szCs w:val="22"/>
          <w:lang w:val="en-US"/>
        </w:rPr>
      </w:pPr>
      <w:r w:rsidRPr="00D442F1">
        <w:rPr>
          <w:rFonts w:eastAsia="Calibri"/>
          <w:color w:val="000000"/>
          <w:szCs w:val="22"/>
          <w:shd w:val="pct15" w:color="auto" w:fill="auto"/>
          <w:lang w:val="en-US"/>
        </w:rPr>
        <w:t>Ireland</w:t>
      </w:r>
    </w:p>
    <w:p w:rsidR="0055731C" w:rsidRPr="00D442F1" w:rsidP="00166894" w14:paraId="1D338F07" w14:textId="77777777">
      <w:pPr>
        <w:widowControl w:val="0"/>
        <w:tabs>
          <w:tab w:val="clear" w:pos="567"/>
        </w:tabs>
        <w:spacing w:line="240" w:lineRule="auto"/>
        <w:rPr>
          <w:noProof/>
          <w:szCs w:val="22"/>
        </w:rPr>
      </w:pPr>
    </w:p>
    <w:p w:rsidR="0055731C" w:rsidRPr="00D442F1" w:rsidP="00166894" w14:paraId="5E02C9CC" w14:textId="77777777">
      <w:pPr>
        <w:widowControl w:val="0"/>
        <w:tabs>
          <w:tab w:val="clear" w:pos="567"/>
        </w:tabs>
        <w:spacing w:line="240" w:lineRule="auto"/>
        <w:rPr>
          <w:noProof/>
          <w:szCs w:val="22"/>
        </w:rPr>
      </w:pPr>
    </w:p>
    <w:p w:rsidR="0055731C" w:rsidRPr="00D442F1" w:rsidP="00166894" w14:paraId="2C04712D"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12.</w:t>
      </w:r>
      <w:r w:rsidRPr="00D442F1">
        <w:rPr>
          <w:b/>
          <w:noProof/>
          <w:szCs w:val="22"/>
        </w:rPr>
        <w:tab/>
        <w:t>MARKETING AUTHORISATION NUMBER(S)</w:t>
      </w:r>
    </w:p>
    <w:p w:rsidR="0055731C" w:rsidRPr="00D442F1" w:rsidP="00166894" w14:paraId="41768B90" w14:textId="77777777">
      <w:pPr>
        <w:widowControl w:val="0"/>
        <w:tabs>
          <w:tab w:val="clear" w:pos="567"/>
        </w:tabs>
        <w:spacing w:line="240" w:lineRule="auto"/>
        <w:rPr>
          <w:noProof/>
          <w:szCs w:val="22"/>
        </w:rPr>
      </w:pPr>
    </w:p>
    <w:tbl>
      <w:tblPr>
        <w:tblW w:w="0" w:type="auto"/>
        <w:tblLook w:val="04A0"/>
      </w:tblPr>
      <w:tblGrid>
        <w:gridCol w:w="4553"/>
        <w:gridCol w:w="4518"/>
      </w:tblGrid>
      <w:tr w14:paraId="4D28D044" w14:textId="77777777" w:rsidTr="004B101B">
        <w:tblPrEx>
          <w:tblW w:w="0" w:type="auto"/>
          <w:tblLook w:val="04A0"/>
        </w:tblPrEx>
        <w:tc>
          <w:tcPr>
            <w:tcW w:w="4643" w:type="dxa"/>
            <w:shd w:val="clear" w:color="auto" w:fill="auto"/>
          </w:tcPr>
          <w:p w:rsidR="0055731C" w:rsidRPr="00D442F1" w:rsidP="00166894" w14:paraId="7BD4E056" w14:textId="77777777">
            <w:pPr>
              <w:widowControl w:val="0"/>
              <w:spacing w:line="240" w:lineRule="auto"/>
              <w:outlineLvl w:val="0"/>
              <w:rPr>
                <w:noProof/>
                <w:szCs w:val="22"/>
              </w:rPr>
            </w:pPr>
            <w:r w:rsidRPr="00D442F1">
              <w:rPr>
                <w:noProof/>
                <w:szCs w:val="22"/>
              </w:rPr>
              <w:t>EU/</w:t>
            </w:r>
            <w:r w:rsidRPr="00D442F1" w:rsidR="009E6731">
              <w:rPr>
                <w:noProof/>
                <w:szCs w:val="22"/>
              </w:rPr>
              <w:t>1/18/1297/001</w:t>
            </w:r>
          </w:p>
        </w:tc>
        <w:tc>
          <w:tcPr>
            <w:tcW w:w="4644" w:type="dxa"/>
            <w:shd w:val="clear" w:color="auto" w:fill="auto"/>
          </w:tcPr>
          <w:p w:rsidR="0055731C" w:rsidRPr="00D442F1" w:rsidP="00166894" w14:paraId="30AF38F5" w14:textId="77777777">
            <w:pPr>
              <w:widowControl w:val="0"/>
              <w:spacing w:line="240" w:lineRule="auto"/>
              <w:outlineLvl w:val="0"/>
              <w:rPr>
                <w:noProof/>
                <w:szCs w:val="22"/>
                <w:shd w:val="pct15" w:color="auto" w:fill="auto"/>
              </w:rPr>
            </w:pPr>
            <w:r w:rsidRPr="00D442F1">
              <w:rPr>
                <w:noProof/>
                <w:szCs w:val="22"/>
                <w:shd w:val="pct15" w:color="auto" w:fill="auto"/>
              </w:rPr>
              <w:t>10 – 50</w:t>
            </w:r>
            <w:r w:rsidRPr="00D442F1" w:rsidR="00E64474">
              <w:rPr>
                <w:noProof/>
                <w:szCs w:val="22"/>
                <w:shd w:val="pct15" w:color="auto" w:fill="auto"/>
              </w:rPr>
              <w:t> </w:t>
            </w:r>
            <w:r w:rsidRPr="00D442F1">
              <w:rPr>
                <w:noProof/>
                <w:szCs w:val="22"/>
                <w:shd w:val="pct15" w:color="auto" w:fill="auto"/>
              </w:rPr>
              <w:t>ml</w:t>
            </w:r>
          </w:p>
        </w:tc>
      </w:tr>
    </w:tbl>
    <w:p w:rsidR="0055731C" w:rsidRPr="00D442F1" w:rsidP="00166894" w14:paraId="31CAA290" w14:textId="77777777">
      <w:pPr>
        <w:widowControl w:val="0"/>
        <w:tabs>
          <w:tab w:val="clear" w:pos="567"/>
        </w:tabs>
        <w:spacing w:line="240" w:lineRule="auto"/>
        <w:rPr>
          <w:noProof/>
          <w:szCs w:val="22"/>
        </w:rPr>
      </w:pPr>
    </w:p>
    <w:p w:rsidR="00B11A7F" w:rsidRPr="00D442F1" w:rsidP="00166894" w14:paraId="45CB2A54" w14:textId="77777777">
      <w:pPr>
        <w:widowControl w:val="0"/>
        <w:tabs>
          <w:tab w:val="clear" w:pos="567"/>
        </w:tabs>
        <w:spacing w:line="240" w:lineRule="auto"/>
        <w:rPr>
          <w:noProof/>
          <w:szCs w:val="22"/>
        </w:rPr>
      </w:pPr>
    </w:p>
    <w:p w:rsidR="0055731C" w:rsidRPr="00D442F1" w:rsidP="00166894" w14:paraId="1E23C550"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13.</w:t>
      </w:r>
      <w:r w:rsidRPr="00D442F1">
        <w:rPr>
          <w:b/>
          <w:noProof/>
          <w:szCs w:val="22"/>
        </w:rPr>
        <w:tab/>
        <w:t>BATCH NUMBER, DONATION AND PRODUCT CODES</w:t>
      </w:r>
    </w:p>
    <w:p w:rsidR="0055731C" w:rsidRPr="00D442F1" w:rsidP="00166894" w14:paraId="5D555E02" w14:textId="77777777">
      <w:pPr>
        <w:widowControl w:val="0"/>
        <w:tabs>
          <w:tab w:val="clear" w:pos="567"/>
        </w:tabs>
        <w:spacing w:line="240" w:lineRule="auto"/>
        <w:rPr>
          <w:noProof/>
          <w:szCs w:val="22"/>
        </w:rPr>
      </w:pPr>
    </w:p>
    <w:p w:rsidR="0055731C" w:rsidRPr="00D442F1" w:rsidP="00166894" w14:paraId="2F046BAA" w14:textId="77777777">
      <w:pPr>
        <w:widowControl w:val="0"/>
        <w:tabs>
          <w:tab w:val="clear" w:pos="567"/>
        </w:tabs>
        <w:spacing w:line="240" w:lineRule="auto"/>
        <w:rPr>
          <w:noProof/>
          <w:szCs w:val="22"/>
        </w:rPr>
      </w:pPr>
      <w:r w:rsidRPr="00D442F1">
        <w:rPr>
          <w:noProof/>
          <w:szCs w:val="22"/>
        </w:rPr>
        <w:t>Name</w:t>
      </w:r>
      <w:r w:rsidRPr="00D442F1" w:rsidR="00F0440B">
        <w:rPr>
          <w:noProof/>
          <w:szCs w:val="22"/>
        </w:rPr>
        <w:t>:</w:t>
      </w:r>
    </w:p>
    <w:p w:rsidR="0055731C" w:rsidRPr="00D442F1" w:rsidP="00166894" w14:paraId="57A312AD" w14:textId="77777777">
      <w:pPr>
        <w:widowControl w:val="0"/>
        <w:tabs>
          <w:tab w:val="clear" w:pos="567"/>
        </w:tabs>
        <w:spacing w:line="240" w:lineRule="auto"/>
        <w:rPr>
          <w:noProof/>
          <w:szCs w:val="22"/>
        </w:rPr>
      </w:pPr>
      <w:r w:rsidRPr="00D442F1">
        <w:rPr>
          <w:noProof/>
          <w:szCs w:val="22"/>
        </w:rPr>
        <w:t>Date of birth</w:t>
      </w:r>
      <w:r w:rsidRPr="00D442F1" w:rsidR="00F0440B">
        <w:rPr>
          <w:noProof/>
          <w:szCs w:val="22"/>
        </w:rPr>
        <w:t>:</w:t>
      </w:r>
      <w:r w:rsidRPr="00D442F1">
        <w:rPr>
          <w:noProof/>
          <w:szCs w:val="22"/>
        </w:rPr>
        <w:t xml:space="preserve"> </w:t>
      </w:r>
      <w:r w:rsidRPr="00D442F1">
        <w:rPr>
          <w:noProof/>
          <w:szCs w:val="22"/>
          <w:shd w:val="pct15" w:color="auto" w:fill="auto"/>
        </w:rPr>
        <w:t>{DD MMM YYYY}</w:t>
      </w:r>
    </w:p>
    <w:p w:rsidR="00D43480" w:rsidRPr="00D442F1" w:rsidP="00166894" w14:paraId="26106059" w14:textId="3E2782DD">
      <w:pPr>
        <w:widowControl w:val="0"/>
        <w:tabs>
          <w:tab w:val="clear" w:pos="567"/>
        </w:tabs>
        <w:spacing w:line="240" w:lineRule="auto"/>
        <w:rPr>
          <w:noProof/>
          <w:szCs w:val="22"/>
        </w:rPr>
      </w:pPr>
      <w:r w:rsidRPr="00D442F1">
        <w:t>Aph ID/DIN</w:t>
      </w:r>
      <w:r w:rsidRPr="00D442F1" w:rsidR="005A222A">
        <w:t>:</w:t>
      </w:r>
    </w:p>
    <w:p w:rsidR="00D43480" w:rsidRPr="00D442F1" w:rsidP="00166894" w14:paraId="5D4D0694" w14:textId="77777777">
      <w:pPr>
        <w:widowControl w:val="0"/>
        <w:tabs>
          <w:tab w:val="clear" w:pos="567"/>
        </w:tabs>
        <w:spacing w:line="240" w:lineRule="auto"/>
      </w:pPr>
      <w:r w:rsidRPr="00D442F1">
        <w:t>Batch</w:t>
      </w:r>
      <w:r w:rsidRPr="00D442F1" w:rsidR="00F0440B">
        <w:t>:</w:t>
      </w:r>
    </w:p>
    <w:p w:rsidR="00D43480" w:rsidRPr="00D442F1" w:rsidP="00166894" w14:paraId="6F024A35" w14:textId="44E1384C">
      <w:pPr>
        <w:widowControl w:val="0"/>
        <w:tabs>
          <w:tab w:val="clear" w:pos="567"/>
        </w:tabs>
        <w:spacing w:line="240" w:lineRule="auto"/>
        <w:rPr>
          <w:noProof/>
          <w:szCs w:val="22"/>
        </w:rPr>
      </w:pPr>
      <w:r w:rsidRPr="00D442F1">
        <w:rPr>
          <w:noProof/>
          <w:szCs w:val="22"/>
        </w:rPr>
        <w:t xml:space="preserve">Bag </w:t>
      </w:r>
      <w:r w:rsidRPr="00D442F1">
        <w:rPr>
          <w:noProof/>
          <w:szCs w:val="22"/>
          <w:shd w:val="pct15" w:color="auto" w:fill="auto"/>
        </w:rPr>
        <w:t>x</w:t>
      </w:r>
    </w:p>
    <w:p w:rsidR="0055731C" w:rsidRPr="00D442F1" w:rsidP="00166894" w14:paraId="45E5C96A" w14:textId="77777777">
      <w:pPr>
        <w:widowControl w:val="0"/>
        <w:tabs>
          <w:tab w:val="clear" w:pos="567"/>
        </w:tabs>
        <w:spacing w:line="240" w:lineRule="auto"/>
        <w:rPr>
          <w:noProof/>
          <w:szCs w:val="22"/>
        </w:rPr>
      </w:pPr>
    </w:p>
    <w:p w:rsidR="00B11A7F" w:rsidRPr="00D442F1" w:rsidP="00166894" w14:paraId="1B6CD295" w14:textId="77777777">
      <w:pPr>
        <w:widowControl w:val="0"/>
        <w:tabs>
          <w:tab w:val="clear" w:pos="567"/>
        </w:tabs>
        <w:spacing w:line="240" w:lineRule="auto"/>
        <w:rPr>
          <w:noProof/>
          <w:szCs w:val="22"/>
        </w:rPr>
      </w:pPr>
    </w:p>
    <w:p w:rsidR="0055731C" w:rsidRPr="00D442F1" w:rsidP="00166894" w14:paraId="38D76742"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14.</w:t>
      </w:r>
      <w:r w:rsidRPr="00D442F1">
        <w:rPr>
          <w:b/>
          <w:noProof/>
          <w:szCs w:val="22"/>
        </w:rPr>
        <w:tab/>
        <w:t>GENERAL CLASSIFICATION FOR SUPPLY</w:t>
      </w:r>
    </w:p>
    <w:p w:rsidR="0055731C" w:rsidRPr="00D442F1" w:rsidP="00166894" w14:paraId="3AA1339B" w14:textId="77777777">
      <w:pPr>
        <w:widowControl w:val="0"/>
        <w:tabs>
          <w:tab w:val="clear" w:pos="567"/>
        </w:tabs>
        <w:spacing w:line="240" w:lineRule="auto"/>
        <w:rPr>
          <w:noProof/>
          <w:szCs w:val="22"/>
        </w:rPr>
      </w:pPr>
    </w:p>
    <w:p w:rsidR="0055731C" w:rsidRPr="00D442F1" w:rsidP="00166894" w14:paraId="554598F9" w14:textId="77777777">
      <w:pPr>
        <w:widowControl w:val="0"/>
        <w:tabs>
          <w:tab w:val="clear" w:pos="567"/>
        </w:tabs>
        <w:spacing w:line="240" w:lineRule="auto"/>
        <w:rPr>
          <w:noProof/>
          <w:szCs w:val="22"/>
        </w:rPr>
      </w:pPr>
    </w:p>
    <w:p w:rsidR="0055731C" w:rsidRPr="00D442F1" w:rsidP="00166894" w14:paraId="6A0A763A" w14:textId="77777777">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442F1">
        <w:rPr>
          <w:b/>
          <w:noProof/>
          <w:szCs w:val="22"/>
        </w:rPr>
        <w:t>15.</w:t>
      </w:r>
      <w:r w:rsidRPr="00D442F1">
        <w:rPr>
          <w:b/>
          <w:noProof/>
          <w:szCs w:val="22"/>
        </w:rPr>
        <w:tab/>
        <w:t>INSTRUCTIONS ON USE</w:t>
      </w:r>
    </w:p>
    <w:p w:rsidR="0055731C" w:rsidRPr="00D442F1" w:rsidP="00166894" w14:paraId="2E666CE2" w14:textId="77777777">
      <w:pPr>
        <w:widowControl w:val="0"/>
        <w:tabs>
          <w:tab w:val="clear" w:pos="567"/>
        </w:tabs>
        <w:spacing w:line="240" w:lineRule="auto"/>
        <w:rPr>
          <w:noProof/>
          <w:szCs w:val="22"/>
        </w:rPr>
      </w:pPr>
    </w:p>
    <w:p w:rsidR="00B11A7F" w:rsidRPr="00D442F1" w:rsidP="00166894" w14:paraId="2A6BDD77" w14:textId="77777777">
      <w:pPr>
        <w:widowControl w:val="0"/>
        <w:tabs>
          <w:tab w:val="clear" w:pos="567"/>
        </w:tabs>
        <w:spacing w:line="240" w:lineRule="auto"/>
        <w:rPr>
          <w:noProof/>
          <w:szCs w:val="22"/>
        </w:rPr>
      </w:pPr>
    </w:p>
    <w:p w:rsidR="0055731C" w:rsidRPr="00D442F1" w:rsidP="00166894" w14:paraId="071BDD06"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noProof/>
          <w:szCs w:val="22"/>
        </w:rPr>
      </w:pPr>
      <w:r w:rsidRPr="00D442F1">
        <w:rPr>
          <w:b/>
          <w:noProof/>
          <w:szCs w:val="22"/>
        </w:rPr>
        <w:t>16.</w:t>
      </w:r>
      <w:r w:rsidRPr="00D442F1">
        <w:rPr>
          <w:b/>
          <w:noProof/>
          <w:szCs w:val="22"/>
        </w:rPr>
        <w:tab/>
        <w:t>INFORMATION IN BRAILLE</w:t>
      </w:r>
    </w:p>
    <w:p w:rsidR="0055731C" w:rsidRPr="00D442F1" w:rsidP="00166894" w14:paraId="52FAEAE6" w14:textId="77777777">
      <w:pPr>
        <w:widowControl w:val="0"/>
        <w:tabs>
          <w:tab w:val="clear" w:pos="567"/>
        </w:tabs>
        <w:spacing w:line="240" w:lineRule="auto"/>
        <w:rPr>
          <w:noProof/>
          <w:szCs w:val="22"/>
        </w:rPr>
      </w:pPr>
    </w:p>
    <w:p w:rsidR="0055731C" w:rsidRPr="00D442F1" w:rsidP="00166894" w14:paraId="7F124A79" w14:textId="77777777">
      <w:pPr>
        <w:widowControl w:val="0"/>
        <w:tabs>
          <w:tab w:val="clear" w:pos="567"/>
        </w:tabs>
        <w:spacing w:line="240" w:lineRule="auto"/>
        <w:rPr>
          <w:noProof/>
          <w:szCs w:val="22"/>
          <w:shd w:val="clear" w:color="auto" w:fill="CCCCCC"/>
        </w:rPr>
      </w:pPr>
      <w:r w:rsidRPr="00D442F1">
        <w:rPr>
          <w:noProof/>
          <w:szCs w:val="22"/>
          <w:shd w:val="pct15" w:color="auto" w:fill="auto"/>
        </w:rPr>
        <w:t>Justification for not including Braille accepted.</w:t>
      </w:r>
    </w:p>
    <w:p w:rsidR="0055731C" w:rsidRPr="00D442F1" w:rsidP="00166894" w14:paraId="7BC00AC0" w14:textId="77777777">
      <w:pPr>
        <w:widowControl w:val="0"/>
        <w:tabs>
          <w:tab w:val="clear" w:pos="567"/>
        </w:tabs>
        <w:spacing w:line="240" w:lineRule="auto"/>
        <w:rPr>
          <w:noProof/>
          <w:szCs w:val="22"/>
          <w:shd w:val="clear" w:color="auto" w:fill="CCCCCC"/>
        </w:rPr>
      </w:pPr>
    </w:p>
    <w:p w:rsidR="001B79C5" w:rsidRPr="00D442F1" w:rsidP="00166894" w14:paraId="11695F44" w14:textId="77777777">
      <w:pPr>
        <w:widowControl w:val="0"/>
        <w:tabs>
          <w:tab w:val="clear" w:pos="567"/>
        </w:tabs>
        <w:spacing w:line="240" w:lineRule="auto"/>
        <w:rPr>
          <w:noProof/>
          <w:szCs w:val="22"/>
          <w:shd w:val="clear" w:color="auto" w:fill="CCCCCC"/>
        </w:rPr>
      </w:pPr>
    </w:p>
    <w:p w:rsidR="0055731C" w:rsidRPr="00D442F1" w:rsidP="00166894" w14:paraId="12785C64" w14:textId="77777777">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rPr>
      </w:pPr>
      <w:r w:rsidRPr="00D442F1">
        <w:rPr>
          <w:b/>
          <w:noProof/>
        </w:rPr>
        <w:t>17.</w:t>
      </w:r>
      <w:r w:rsidRPr="00D442F1">
        <w:rPr>
          <w:b/>
          <w:noProof/>
        </w:rPr>
        <w:tab/>
        <w:t>UNIQUE IDENTIFIER – 2D BARCODE</w:t>
      </w:r>
    </w:p>
    <w:p w:rsidR="00130ECE" w:rsidRPr="00D442F1" w:rsidP="00166894" w14:paraId="2E7D3402" w14:textId="77777777">
      <w:pPr>
        <w:keepNext/>
        <w:widowControl w:val="0"/>
        <w:tabs>
          <w:tab w:val="clear" w:pos="567"/>
        </w:tabs>
        <w:spacing w:line="240" w:lineRule="auto"/>
        <w:rPr>
          <w:noProof/>
          <w:shd w:val="pct15" w:color="auto" w:fill="auto"/>
        </w:rPr>
      </w:pPr>
    </w:p>
    <w:p w:rsidR="00130ECE" w:rsidRPr="00D442F1" w:rsidP="00166894" w14:paraId="1440F5BD" w14:textId="77777777">
      <w:pPr>
        <w:widowControl w:val="0"/>
        <w:tabs>
          <w:tab w:val="clear" w:pos="567"/>
        </w:tabs>
        <w:spacing w:line="240" w:lineRule="auto"/>
        <w:rPr>
          <w:noProof/>
        </w:rPr>
      </w:pPr>
      <w:r w:rsidRPr="00D442F1">
        <w:rPr>
          <w:noProof/>
          <w:shd w:val="pct15" w:color="auto" w:fill="auto"/>
        </w:rPr>
        <w:t>Not applicable</w:t>
      </w:r>
    </w:p>
    <w:p w:rsidR="0055731C" w:rsidRPr="00D442F1" w:rsidP="00166894" w14:paraId="1B20124E" w14:textId="77777777">
      <w:pPr>
        <w:widowControl w:val="0"/>
        <w:tabs>
          <w:tab w:val="clear" w:pos="567"/>
        </w:tabs>
        <w:spacing w:line="240" w:lineRule="auto"/>
        <w:rPr>
          <w:noProof/>
          <w:szCs w:val="22"/>
          <w:shd w:val="clear" w:color="auto" w:fill="CCCCCC"/>
        </w:rPr>
      </w:pPr>
    </w:p>
    <w:p w:rsidR="0055731C" w:rsidRPr="00D442F1" w:rsidP="00166894" w14:paraId="386AE81E" w14:textId="77777777">
      <w:pPr>
        <w:widowControl w:val="0"/>
        <w:tabs>
          <w:tab w:val="clear" w:pos="567"/>
        </w:tabs>
        <w:spacing w:line="240" w:lineRule="auto"/>
        <w:rPr>
          <w:noProof/>
        </w:rPr>
      </w:pPr>
    </w:p>
    <w:p w:rsidR="0055731C" w:rsidRPr="00D442F1" w:rsidP="00166894" w14:paraId="7857A00F" w14:textId="77777777">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rPr>
      </w:pPr>
      <w:r w:rsidRPr="00D442F1">
        <w:rPr>
          <w:b/>
          <w:noProof/>
        </w:rPr>
        <w:t>18.</w:t>
      </w:r>
      <w:r w:rsidRPr="00D442F1">
        <w:rPr>
          <w:b/>
          <w:noProof/>
        </w:rPr>
        <w:tab/>
        <w:t xml:space="preserve">UNIQUE IDENTIFIER </w:t>
      </w:r>
      <w:r w:rsidRPr="00D442F1">
        <w:rPr>
          <w:b/>
          <w:noProof/>
        </w:rPr>
        <w:noBreakHyphen/>
        <w:t xml:space="preserve"> HUMAN READABLE DATA</w:t>
      </w:r>
    </w:p>
    <w:p w:rsidR="00130ECE" w:rsidRPr="00D442F1" w:rsidP="00166894" w14:paraId="54A4657F" w14:textId="77777777">
      <w:pPr>
        <w:keepNext/>
        <w:widowControl w:val="0"/>
        <w:tabs>
          <w:tab w:val="clear" w:pos="567"/>
        </w:tabs>
        <w:spacing w:line="240" w:lineRule="auto"/>
        <w:rPr>
          <w:noProof/>
          <w:shd w:val="pct15" w:color="auto" w:fill="auto"/>
        </w:rPr>
      </w:pPr>
    </w:p>
    <w:p w:rsidR="0055731C" w:rsidRPr="00D442F1" w:rsidP="00485E7A" w14:paraId="41D69154" w14:textId="77777777">
      <w:pPr>
        <w:widowControl w:val="0"/>
        <w:tabs>
          <w:tab w:val="clear" w:pos="567"/>
        </w:tabs>
        <w:spacing w:line="240" w:lineRule="auto"/>
      </w:pPr>
      <w:r w:rsidRPr="00D442F1">
        <w:rPr>
          <w:noProof/>
          <w:shd w:val="pct15" w:color="auto" w:fill="auto"/>
        </w:rPr>
        <w:t>Not applicable</w:t>
      </w:r>
      <w:r w:rsidRPr="00D442F1">
        <w:rPr>
          <w:noProof/>
        </w:rPr>
        <w:br w:type="page"/>
      </w:r>
    </w:p>
    <w:p w:rsidR="0055731C" w:rsidRPr="00D442F1" w:rsidP="00166894" w14:paraId="5F921556" w14:textId="77777777">
      <w:pPr>
        <w:widowControl w:val="0"/>
        <w:spacing w:line="240" w:lineRule="auto"/>
      </w:pPr>
    </w:p>
    <w:p w:rsidR="0055731C" w:rsidRPr="00D442F1" w:rsidP="00166894" w14:paraId="02496B93" w14:textId="77777777">
      <w:pPr>
        <w:widowControl w:val="0"/>
        <w:spacing w:line="240" w:lineRule="auto"/>
      </w:pPr>
    </w:p>
    <w:p w:rsidR="0055731C" w:rsidRPr="00D442F1" w:rsidP="00166894" w14:paraId="55B08605" w14:textId="77777777">
      <w:pPr>
        <w:widowControl w:val="0"/>
        <w:spacing w:line="240" w:lineRule="auto"/>
      </w:pPr>
    </w:p>
    <w:p w:rsidR="0055731C" w:rsidRPr="00D442F1" w:rsidP="00166894" w14:paraId="701260AE" w14:textId="77777777">
      <w:pPr>
        <w:widowControl w:val="0"/>
        <w:spacing w:line="240" w:lineRule="auto"/>
      </w:pPr>
    </w:p>
    <w:p w:rsidR="0055731C" w:rsidRPr="00D442F1" w:rsidP="00166894" w14:paraId="0C13F584" w14:textId="77777777">
      <w:pPr>
        <w:widowControl w:val="0"/>
        <w:spacing w:line="240" w:lineRule="auto"/>
      </w:pPr>
    </w:p>
    <w:p w:rsidR="00FE401B" w:rsidRPr="00D442F1" w:rsidP="00166894" w14:paraId="74BE77A1" w14:textId="77777777">
      <w:pPr>
        <w:widowControl w:val="0"/>
        <w:spacing w:line="240" w:lineRule="auto"/>
      </w:pPr>
    </w:p>
    <w:p w:rsidR="00FE401B" w:rsidRPr="00D442F1" w:rsidP="00166894" w14:paraId="4A0061E9" w14:textId="77777777">
      <w:pPr>
        <w:widowControl w:val="0"/>
        <w:spacing w:line="240" w:lineRule="auto"/>
      </w:pPr>
    </w:p>
    <w:p w:rsidR="00FE401B" w:rsidRPr="00D442F1" w:rsidP="00166894" w14:paraId="0BB8FC64" w14:textId="77777777">
      <w:pPr>
        <w:widowControl w:val="0"/>
        <w:spacing w:line="240" w:lineRule="auto"/>
      </w:pPr>
    </w:p>
    <w:p w:rsidR="00FE401B" w:rsidRPr="00D442F1" w:rsidP="00166894" w14:paraId="52B74C83" w14:textId="77777777">
      <w:pPr>
        <w:widowControl w:val="0"/>
        <w:spacing w:line="240" w:lineRule="auto"/>
      </w:pPr>
    </w:p>
    <w:p w:rsidR="00FE401B" w:rsidRPr="00D442F1" w:rsidP="00166894" w14:paraId="5CFF22AB" w14:textId="77777777">
      <w:pPr>
        <w:widowControl w:val="0"/>
        <w:spacing w:line="240" w:lineRule="auto"/>
      </w:pPr>
    </w:p>
    <w:p w:rsidR="00FE401B" w:rsidRPr="00D442F1" w:rsidP="00166894" w14:paraId="42E1D53C" w14:textId="77777777">
      <w:pPr>
        <w:widowControl w:val="0"/>
        <w:spacing w:line="240" w:lineRule="auto"/>
      </w:pPr>
    </w:p>
    <w:p w:rsidR="00FE401B" w:rsidRPr="00D442F1" w:rsidP="00166894" w14:paraId="6CBE33D7" w14:textId="77777777">
      <w:pPr>
        <w:widowControl w:val="0"/>
        <w:spacing w:line="240" w:lineRule="auto"/>
      </w:pPr>
    </w:p>
    <w:p w:rsidR="00FE401B" w:rsidRPr="00D442F1" w:rsidP="00166894" w14:paraId="57D79F2A" w14:textId="77777777">
      <w:pPr>
        <w:widowControl w:val="0"/>
        <w:spacing w:line="240" w:lineRule="auto"/>
      </w:pPr>
    </w:p>
    <w:p w:rsidR="00FE401B" w:rsidRPr="00D442F1" w:rsidP="00166894" w14:paraId="0601E301" w14:textId="77777777">
      <w:pPr>
        <w:widowControl w:val="0"/>
        <w:spacing w:line="240" w:lineRule="auto"/>
      </w:pPr>
    </w:p>
    <w:p w:rsidR="00FE401B" w:rsidRPr="00D442F1" w:rsidP="00166894" w14:paraId="116E618D" w14:textId="77777777">
      <w:pPr>
        <w:widowControl w:val="0"/>
        <w:spacing w:line="240" w:lineRule="auto"/>
      </w:pPr>
    </w:p>
    <w:p w:rsidR="00FE401B" w:rsidRPr="00D442F1" w:rsidP="00166894" w14:paraId="52A11CF0" w14:textId="77777777">
      <w:pPr>
        <w:widowControl w:val="0"/>
        <w:spacing w:line="240" w:lineRule="auto"/>
      </w:pPr>
    </w:p>
    <w:p w:rsidR="00FE401B" w:rsidRPr="00D442F1" w:rsidP="00166894" w14:paraId="09DFFE4E" w14:textId="77777777">
      <w:pPr>
        <w:widowControl w:val="0"/>
        <w:spacing w:line="240" w:lineRule="auto"/>
      </w:pPr>
    </w:p>
    <w:p w:rsidR="00F35307" w:rsidRPr="00D442F1" w:rsidP="00166894" w14:paraId="712BA503" w14:textId="77777777">
      <w:pPr>
        <w:widowControl w:val="0"/>
        <w:spacing w:line="240" w:lineRule="auto"/>
      </w:pPr>
    </w:p>
    <w:p w:rsidR="00F35307" w:rsidRPr="00D442F1" w:rsidP="00166894" w14:paraId="32666A83" w14:textId="77777777">
      <w:pPr>
        <w:widowControl w:val="0"/>
        <w:spacing w:line="240" w:lineRule="auto"/>
      </w:pPr>
    </w:p>
    <w:p w:rsidR="00B8328E" w:rsidRPr="00D442F1" w:rsidP="00166894" w14:paraId="1E10F856" w14:textId="77777777">
      <w:pPr>
        <w:widowControl w:val="0"/>
        <w:spacing w:line="240" w:lineRule="auto"/>
      </w:pPr>
    </w:p>
    <w:p w:rsidR="00BF68F3" w:rsidRPr="00D442F1" w:rsidP="00166894" w14:paraId="0C13BF6E" w14:textId="77777777">
      <w:pPr>
        <w:widowControl w:val="0"/>
        <w:spacing w:line="240" w:lineRule="auto"/>
      </w:pPr>
    </w:p>
    <w:p w:rsidR="00F35307" w:rsidRPr="00D442F1" w:rsidP="00166894" w14:paraId="6CA39DAC" w14:textId="77777777">
      <w:pPr>
        <w:widowControl w:val="0"/>
        <w:spacing w:line="240" w:lineRule="auto"/>
      </w:pPr>
    </w:p>
    <w:p w:rsidR="00F35307" w:rsidRPr="00D442F1" w:rsidP="00166894" w14:paraId="5BE4D0F6" w14:textId="77777777">
      <w:pPr>
        <w:widowControl w:val="0"/>
        <w:tabs>
          <w:tab w:val="clear" w:pos="567"/>
        </w:tabs>
        <w:spacing w:line="240" w:lineRule="auto"/>
        <w:jc w:val="center"/>
        <w:outlineLvl w:val="0"/>
        <w:rPr>
          <w:b/>
          <w:noProof/>
        </w:rPr>
      </w:pPr>
      <w:r w:rsidRPr="00D442F1">
        <w:rPr>
          <w:b/>
          <w:noProof/>
        </w:rPr>
        <w:t>B. PACKAGE LEAFLET</w:t>
      </w:r>
    </w:p>
    <w:p w:rsidR="00CE3C79" w:rsidRPr="00D442F1" w:rsidP="00166894" w14:paraId="74314268" w14:textId="77777777">
      <w:pPr>
        <w:widowControl w:val="0"/>
        <w:tabs>
          <w:tab w:val="clear" w:pos="567"/>
        </w:tabs>
        <w:spacing w:line="240" w:lineRule="auto"/>
        <w:jc w:val="center"/>
        <w:outlineLvl w:val="0"/>
        <w:rPr>
          <w:noProof/>
          <w:szCs w:val="22"/>
        </w:rPr>
      </w:pPr>
      <w:r w:rsidRPr="00D442F1">
        <w:rPr>
          <w:noProof/>
          <w:szCs w:val="22"/>
        </w:rPr>
        <w:br w:type="page"/>
      </w:r>
      <w:r w:rsidRPr="00D442F1">
        <w:rPr>
          <w:b/>
          <w:noProof/>
          <w:szCs w:val="22"/>
        </w:rPr>
        <w:t>Package leaflet: Information for the patient or carer</w:t>
      </w:r>
    </w:p>
    <w:p w:rsidR="00CE3C79" w:rsidRPr="00D442F1" w:rsidP="00166894" w14:paraId="20CD9634" w14:textId="77777777">
      <w:pPr>
        <w:widowControl w:val="0"/>
        <w:numPr>
          <w:ilvl w:val="12"/>
          <w:numId w:val="0"/>
        </w:numPr>
        <w:shd w:val="clear" w:color="auto" w:fill="FFFFFF"/>
        <w:tabs>
          <w:tab w:val="clear" w:pos="567"/>
        </w:tabs>
        <w:spacing w:line="240" w:lineRule="auto"/>
        <w:rPr>
          <w:noProof/>
          <w:szCs w:val="22"/>
        </w:rPr>
      </w:pPr>
    </w:p>
    <w:p w:rsidR="00CE3C79" w:rsidRPr="00D442F1" w:rsidP="00166894" w14:paraId="0A081DA3" w14:textId="77777777">
      <w:pPr>
        <w:widowControl w:val="0"/>
        <w:tabs>
          <w:tab w:val="clear" w:pos="567"/>
        </w:tabs>
        <w:spacing w:line="240" w:lineRule="auto"/>
        <w:jc w:val="center"/>
        <w:outlineLvl w:val="0"/>
        <w:rPr>
          <w:b/>
          <w:noProof/>
          <w:szCs w:val="22"/>
          <w:lang w:val="fr-CH"/>
        </w:rPr>
      </w:pPr>
      <w:r w:rsidRPr="00D442F1">
        <w:rPr>
          <w:b/>
          <w:noProof/>
          <w:szCs w:val="22"/>
          <w:lang w:val="fr-CH"/>
        </w:rPr>
        <w:t xml:space="preserve">Kymriah </w:t>
      </w:r>
      <w:r w:rsidRPr="00D442F1" w:rsidR="00F8118F">
        <w:rPr>
          <w:b/>
          <w:noProof/>
          <w:szCs w:val="22"/>
          <w:lang w:val="fr-CH"/>
        </w:rPr>
        <w:t>1.</w:t>
      </w:r>
      <w:r w:rsidRPr="00D442F1" w:rsidR="00495EEE">
        <w:rPr>
          <w:rFonts w:eastAsia="Calibri"/>
          <w:b/>
          <w:szCs w:val="22"/>
          <w:lang w:val="fr-CH"/>
        </w:rPr>
        <w:t>2 x 10</w:t>
      </w:r>
      <w:r w:rsidRPr="00D442F1" w:rsidR="00495EEE">
        <w:rPr>
          <w:rFonts w:eastAsia="Calibri"/>
          <w:b/>
          <w:szCs w:val="22"/>
          <w:vertAlign w:val="superscript"/>
          <w:lang w:val="fr-CH"/>
        </w:rPr>
        <w:t>6</w:t>
      </w:r>
      <w:r w:rsidRPr="00D442F1" w:rsidR="00495EEE">
        <w:rPr>
          <w:rFonts w:eastAsia="Calibri"/>
          <w:b/>
          <w:szCs w:val="22"/>
          <w:lang w:val="fr-CH"/>
        </w:rPr>
        <w:t> – 6 x 10</w:t>
      </w:r>
      <w:r w:rsidRPr="00D442F1" w:rsidR="00495EEE">
        <w:rPr>
          <w:rFonts w:eastAsia="Calibri"/>
          <w:b/>
          <w:szCs w:val="22"/>
          <w:vertAlign w:val="superscript"/>
          <w:lang w:val="fr-CH"/>
        </w:rPr>
        <w:t>8</w:t>
      </w:r>
      <w:r w:rsidRPr="00D442F1" w:rsidR="00495EEE">
        <w:rPr>
          <w:rFonts w:eastAsia="Calibri"/>
          <w:b/>
          <w:szCs w:val="22"/>
          <w:lang w:val="fr-CH"/>
        </w:rPr>
        <w:t xml:space="preserve"> cells</w:t>
      </w:r>
      <w:r w:rsidRPr="00D442F1" w:rsidR="00495EEE">
        <w:rPr>
          <w:b/>
          <w:noProof/>
          <w:szCs w:val="22"/>
          <w:lang w:val="fr-CH"/>
        </w:rPr>
        <w:t xml:space="preserve"> </w:t>
      </w:r>
      <w:r w:rsidRPr="00D442F1">
        <w:rPr>
          <w:b/>
          <w:noProof/>
          <w:szCs w:val="22"/>
          <w:lang w:val="fr-CH"/>
        </w:rPr>
        <w:t>dispersion for infusion</w:t>
      </w:r>
    </w:p>
    <w:p w:rsidR="00CE3C79" w:rsidRPr="00D442F1" w:rsidP="00166894" w14:paraId="7465BA66" w14:textId="77777777">
      <w:pPr>
        <w:widowControl w:val="0"/>
        <w:numPr>
          <w:ilvl w:val="12"/>
          <w:numId w:val="0"/>
        </w:numPr>
        <w:tabs>
          <w:tab w:val="clear" w:pos="567"/>
        </w:tabs>
        <w:spacing w:line="240" w:lineRule="auto"/>
        <w:jc w:val="center"/>
        <w:rPr>
          <w:noProof/>
          <w:szCs w:val="22"/>
          <w:lang w:val="fr-CH"/>
        </w:rPr>
      </w:pPr>
      <w:r w:rsidRPr="00D442F1">
        <w:rPr>
          <w:noProof/>
          <w:szCs w:val="22"/>
          <w:lang w:val="fr-CH"/>
        </w:rPr>
        <w:t>t</w:t>
      </w:r>
      <w:r w:rsidRPr="00D442F1" w:rsidR="00130D97">
        <w:rPr>
          <w:noProof/>
          <w:szCs w:val="22"/>
          <w:lang w:val="fr-CH"/>
        </w:rPr>
        <w:t>isagenlecleucel</w:t>
      </w:r>
      <w:r w:rsidRPr="00D442F1" w:rsidR="0056255E">
        <w:rPr>
          <w:noProof/>
          <w:szCs w:val="22"/>
          <w:lang w:val="fr-CH"/>
        </w:rPr>
        <w:t xml:space="preserve"> (CAR+ viable T cells)</w:t>
      </w:r>
    </w:p>
    <w:p w:rsidR="00CE3C79" w:rsidRPr="00D442F1" w:rsidP="00166894" w14:paraId="7DACC021" w14:textId="77777777">
      <w:pPr>
        <w:widowControl w:val="0"/>
        <w:tabs>
          <w:tab w:val="clear" w:pos="567"/>
        </w:tabs>
        <w:spacing w:line="240" w:lineRule="auto"/>
        <w:rPr>
          <w:noProof/>
          <w:szCs w:val="22"/>
          <w:lang w:val="fr-CH"/>
        </w:rPr>
      </w:pPr>
    </w:p>
    <w:p w:rsidR="00CE3C79" w:rsidRPr="00D442F1" w:rsidP="00166894" w14:paraId="6753B38A" w14:textId="77777777">
      <w:pPr>
        <w:widowControl w:val="0"/>
        <w:tabs>
          <w:tab w:val="clear" w:pos="567"/>
        </w:tabs>
        <w:spacing w:line="240" w:lineRule="auto"/>
        <w:rPr>
          <w:szCs w:val="22"/>
        </w:rPr>
      </w:pPr>
      <w:r>
        <w:rPr>
          <w:noProof/>
          <w:lang w:eastAsia="en-GB"/>
        </w:rPr>
        <w:drawing>
          <wp:inline distT="0" distB="0" distL="0" distR="0">
            <wp:extent cx="200025" cy="171450"/>
            <wp:effectExtent l="0" t="0" r="0" b="0"/>
            <wp:docPr id="1675247001"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0368" name="Picture 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0025" cy="171450"/>
                    </a:xfrm>
                    <a:prstGeom prst="rect">
                      <a:avLst/>
                    </a:prstGeom>
                  </pic:spPr>
                </pic:pic>
              </a:graphicData>
            </a:graphic>
          </wp:inline>
        </w:drawing>
      </w:r>
      <w:r>
        <w:t>This medicine is subject to additional monitoring. This will allow quick identification of new safety information. You can help by reporting any side effects you may get. See the end of section 4 for how to report side effects.</w:t>
      </w:r>
    </w:p>
    <w:p w:rsidR="00CE3C79" w:rsidRPr="00D442F1" w:rsidP="00166894" w14:paraId="111B9139" w14:textId="77777777">
      <w:pPr>
        <w:widowControl w:val="0"/>
        <w:tabs>
          <w:tab w:val="clear" w:pos="567"/>
        </w:tabs>
        <w:spacing w:line="240" w:lineRule="auto"/>
        <w:rPr>
          <w:noProof/>
          <w:szCs w:val="22"/>
        </w:rPr>
      </w:pPr>
    </w:p>
    <w:p w:rsidR="00CE3C79" w:rsidRPr="00D442F1" w:rsidP="00166894" w14:paraId="699EF43F" w14:textId="77777777">
      <w:pPr>
        <w:widowControl w:val="0"/>
        <w:tabs>
          <w:tab w:val="clear" w:pos="567"/>
        </w:tabs>
        <w:suppressAutoHyphens/>
        <w:spacing w:line="240" w:lineRule="auto"/>
        <w:rPr>
          <w:noProof/>
          <w:szCs w:val="22"/>
        </w:rPr>
      </w:pPr>
      <w:r w:rsidRPr="00D442F1">
        <w:rPr>
          <w:b/>
          <w:noProof/>
          <w:szCs w:val="22"/>
        </w:rPr>
        <w:t>Read all of this leaflet carefully before you (or your child) are given this medicine because it contains important information.</w:t>
      </w:r>
    </w:p>
    <w:p w:rsidR="00CE3C79" w:rsidRPr="00D442F1" w:rsidP="00166894" w14:paraId="120D0C1A" w14:textId="77777777">
      <w:pPr>
        <w:widowControl w:val="0"/>
        <w:numPr>
          <w:ilvl w:val="0"/>
          <w:numId w:val="6"/>
        </w:numPr>
        <w:tabs>
          <w:tab w:val="clear" w:pos="567"/>
        </w:tabs>
        <w:spacing w:line="240" w:lineRule="auto"/>
        <w:ind w:left="567" w:right="-2" w:hanging="567"/>
        <w:rPr>
          <w:noProof/>
          <w:szCs w:val="22"/>
        </w:rPr>
      </w:pPr>
      <w:r w:rsidRPr="00D442F1">
        <w:rPr>
          <w:noProof/>
          <w:szCs w:val="22"/>
        </w:rPr>
        <w:t>Keep this leaflet. You may need to read it again.</w:t>
      </w:r>
    </w:p>
    <w:p w:rsidR="00CE3C79" w:rsidRPr="00D442F1" w:rsidP="00166894" w14:paraId="1995F48D" w14:textId="77777777">
      <w:pPr>
        <w:widowControl w:val="0"/>
        <w:numPr>
          <w:ilvl w:val="0"/>
          <w:numId w:val="6"/>
        </w:numPr>
        <w:tabs>
          <w:tab w:val="clear" w:pos="567"/>
        </w:tabs>
        <w:spacing w:line="240" w:lineRule="auto"/>
        <w:ind w:left="567" w:right="-2" w:hanging="567"/>
        <w:rPr>
          <w:noProof/>
          <w:szCs w:val="22"/>
        </w:rPr>
      </w:pPr>
      <w:r w:rsidRPr="00D442F1">
        <w:rPr>
          <w:noProof/>
          <w:szCs w:val="22"/>
        </w:rPr>
        <w:t>If you have any further questions, ask your doctor.</w:t>
      </w:r>
    </w:p>
    <w:p w:rsidR="00CE3C79" w:rsidRPr="00D442F1" w:rsidP="00166894" w14:paraId="28D3740E" w14:textId="77777777">
      <w:pPr>
        <w:widowControl w:val="0"/>
        <w:numPr>
          <w:ilvl w:val="0"/>
          <w:numId w:val="6"/>
        </w:numPr>
        <w:tabs>
          <w:tab w:val="clear" w:pos="567"/>
        </w:tabs>
        <w:spacing w:line="240" w:lineRule="auto"/>
        <w:ind w:left="567" w:hanging="567"/>
        <w:rPr>
          <w:szCs w:val="22"/>
        </w:rPr>
      </w:pPr>
      <w:r w:rsidRPr="00D442F1">
        <w:rPr>
          <w:noProof/>
          <w:szCs w:val="22"/>
        </w:rPr>
        <w:t>If you get any side effects, talk to your doctor.</w:t>
      </w:r>
      <w:r w:rsidRPr="00D442F1">
        <w:rPr>
          <w:color w:val="FF0000"/>
          <w:szCs w:val="22"/>
        </w:rPr>
        <w:t xml:space="preserve"> </w:t>
      </w:r>
      <w:r w:rsidRPr="00D442F1">
        <w:rPr>
          <w:szCs w:val="22"/>
        </w:rPr>
        <w:t>This includes any possible side effects not listed in this leaflet. See section 4.</w:t>
      </w:r>
    </w:p>
    <w:p w:rsidR="00CE3C79" w:rsidRPr="00D442F1" w:rsidP="00166894" w14:paraId="531804B7" w14:textId="77777777">
      <w:pPr>
        <w:widowControl w:val="0"/>
        <w:numPr>
          <w:ilvl w:val="0"/>
          <w:numId w:val="6"/>
        </w:numPr>
        <w:tabs>
          <w:tab w:val="clear" w:pos="567"/>
        </w:tabs>
        <w:spacing w:line="240" w:lineRule="auto"/>
        <w:ind w:left="567" w:hanging="567"/>
        <w:rPr>
          <w:szCs w:val="22"/>
        </w:rPr>
      </w:pPr>
      <w:r w:rsidRPr="00D442F1">
        <w:rPr>
          <w:szCs w:val="22"/>
        </w:rPr>
        <w:t>Your doctor will give you a Patient Alert Card. Read it carefully and follow the instructions on it.</w:t>
      </w:r>
    </w:p>
    <w:p w:rsidR="00CE3C79" w:rsidRPr="00D442F1" w:rsidP="00166894" w14:paraId="5B79D332" w14:textId="77777777">
      <w:pPr>
        <w:widowControl w:val="0"/>
        <w:numPr>
          <w:ilvl w:val="0"/>
          <w:numId w:val="6"/>
        </w:numPr>
        <w:tabs>
          <w:tab w:val="clear" w:pos="567"/>
        </w:tabs>
        <w:spacing w:line="240" w:lineRule="auto"/>
        <w:ind w:left="567" w:hanging="567"/>
        <w:rPr>
          <w:szCs w:val="22"/>
        </w:rPr>
      </w:pPr>
      <w:r w:rsidRPr="00D442F1">
        <w:rPr>
          <w:szCs w:val="22"/>
        </w:rPr>
        <w:t>Always show the Patient Alert Card to the doctor or nurse when you see them or if you go to hospital.</w:t>
      </w:r>
    </w:p>
    <w:p w:rsidR="00CE3C79" w:rsidRPr="00D442F1" w:rsidP="00166894" w14:paraId="6BA80286" w14:textId="77777777">
      <w:pPr>
        <w:widowControl w:val="0"/>
        <w:numPr>
          <w:ilvl w:val="0"/>
          <w:numId w:val="6"/>
        </w:numPr>
        <w:tabs>
          <w:tab w:val="clear" w:pos="567"/>
        </w:tabs>
        <w:spacing w:line="240" w:lineRule="auto"/>
        <w:ind w:left="567" w:hanging="567"/>
        <w:rPr>
          <w:szCs w:val="22"/>
        </w:rPr>
      </w:pPr>
      <w:r w:rsidRPr="00D442F1">
        <w:rPr>
          <w:szCs w:val="22"/>
        </w:rPr>
        <w:t xml:space="preserve">The information </w:t>
      </w:r>
      <w:r w:rsidRPr="00D442F1" w:rsidR="00E10AFB">
        <w:rPr>
          <w:szCs w:val="22"/>
        </w:rPr>
        <w:t xml:space="preserve">in </w:t>
      </w:r>
      <w:r w:rsidRPr="00D442F1">
        <w:rPr>
          <w:szCs w:val="22"/>
        </w:rPr>
        <w:t xml:space="preserve">this leaflet is for you or your child – but in the leaflet it will just say </w:t>
      </w:r>
      <w:r w:rsidRPr="00D442F1" w:rsidR="00BA5322">
        <w:rPr>
          <w:szCs w:val="22"/>
        </w:rPr>
        <w:t>“</w:t>
      </w:r>
      <w:r w:rsidRPr="00D442F1">
        <w:rPr>
          <w:szCs w:val="22"/>
        </w:rPr>
        <w:t>you</w:t>
      </w:r>
      <w:r w:rsidRPr="00D442F1" w:rsidR="00BA5322">
        <w:rPr>
          <w:szCs w:val="22"/>
        </w:rPr>
        <w:t>”</w:t>
      </w:r>
      <w:r w:rsidRPr="00D442F1">
        <w:rPr>
          <w:szCs w:val="22"/>
        </w:rPr>
        <w:t>.</w:t>
      </w:r>
    </w:p>
    <w:p w:rsidR="00CE3C79" w:rsidRPr="00D442F1" w:rsidP="00166894" w14:paraId="2775B4F5" w14:textId="77777777">
      <w:pPr>
        <w:widowControl w:val="0"/>
        <w:tabs>
          <w:tab w:val="clear" w:pos="567"/>
        </w:tabs>
        <w:spacing w:line="240" w:lineRule="auto"/>
        <w:ind w:right="-2"/>
        <w:rPr>
          <w:szCs w:val="22"/>
        </w:rPr>
      </w:pPr>
    </w:p>
    <w:p w:rsidR="00CE3C79" w:rsidRPr="00D442F1" w:rsidP="00166894" w14:paraId="69ABF298" w14:textId="77777777">
      <w:pPr>
        <w:widowControl w:val="0"/>
        <w:numPr>
          <w:ilvl w:val="12"/>
          <w:numId w:val="0"/>
        </w:numPr>
        <w:tabs>
          <w:tab w:val="clear" w:pos="567"/>
        </w:tabs>
        <w:spacing w:line="240" w:lineRule="auto"/>
        <w:ind w:right="-2"/>
        <w:rPr>
          <w:noProof/>
          <w:szCs w:val="22"/>
        </w:rPr>
      </w:pPr>
      <w:r w:rsidRPr="00D442F1">
        <w:rPr>
          <w:b/>
          <w:noProof/>
          <w:szCs w:val="22"/>
        </w:rPr>
        <w:t>What is in this leaflet</w:t>
      </w:r>
    </w:p>
    <w:p w:rsidR="00CE3C79" w:rsidRPr="00D442F1" w:rsidP="00166894" w14:paraId="04869806" w14:textId="77777777">
      <w:pPr>
        <w:widowControl w:val="0"/>
        <w:numPr>
          <w:ilvl w:val="12"/>
          <w:numId w:val="0"/>
        </w:numPr>
        <w:tabs>
          <w:tab w:val="clear" w:pos="567"/>
        </w:tabs>
        <w:spacing w:line="240" w:lineRule="auto"/>
        <w:ind w:right="-29"/>
        <w:rPr>
          <w:noProof/>
          <w:szCs w:val="22"/>
        </w:rPr>
      </w:pPr>
      <w:r w:rsidRPr="00D442F1">
        <w:rPr>
          <w:noProof/>
          <w:szCs w:val="22"/>
        </w:rPr>
        <w:t>1.</w:t>
      </w:r>
      <w:r w:rsidRPr="00D442F1">
        <w:rPr>
          <w:noProof/>
          <w:szCs w:val="22"/>
        </w:rPr>
        <w:tab/>
        <w:t>What Kymriah is and what it is used for</w:t>
      </w:r>
    </w:p>
    <w:p w:rsidR="00CE3C79" w:rsidRPr="00D442F1" w:rsidP="00166894" w14:paraId="3A82D9C0" w14:textId="77777777">
      <w:pPr>
        <w:widowControl w:val="0"/>
        <w:numPr>
          <w:ilvl w:val="12"/>
          <w:numId w:val="0"/>
        </w:numPr>
        <w:tabs>
          <w:tab w:val="clear" w:pos="567"/>
        </w:tabs>
        <w:spacing w:line="240" w:lineRule="auto"/>
        <w:ind w:right="-29"/>
        <w:rPr>
          <w:noProof/>
          <w:szCs w:val="22"/>
        </w:rPr>
      </w:pPr>
      <w:r w:rsidRPr="00D442F1">
        <w:rPr>
          <w:noProof/>
          <w:szCs w:val="22"/>
        </w:rPr>
        <w:t>2.</w:t>
      </w:r>
      <w:r w:rsidRPr="00D442F1">
        <w:rPr>
          <w:noProof/>
          <w:szCs w:val="22"/>
        </w:rPr>
        <w:tab/>
        <w:t>What you need to know before you are given Kymriah</w:t>
      </w:r>
    </w:p>
    <w:p w:rsidR="00CE3C79" w:rsidRPr="00D442F1" w:rsidP="00166894" w14:paraId="48E85DBC" w14:textId="77777777">
      <w:pPr>
        <w:widowControl w:val="0"/>
        <w:numPr>
          <w:ilvl w:val="12"/>
          <w:numId w:val="0"/>
        </w:numPr>
        <w:tabs>
          <w:tab w:val="clear" w:pos="567"/>
        </w:tabs>
        <w:spacing w:line="240" w:lineRule="auto"/>
        <w:ind w:right="-29"/>
        <w:rPr>
          <w:noProof/>
          <w:szCs w:val="22"/>
        </w:rPr>
      </w:pPr>
      <w:r w:rsidRPr="00D442F1">
        <w:rPr>
          <w:noProof/>
          <w:szCs w:val="22"/>
        </w:rPr>
        <w:t>3.</w:t>
      </w:r>
      <w:r w:rsidRPr="00D442F1">
        <w:rPr>
          <w:noProof/>
          <w:szCs w:val="22"/>
        </w:rPr>
        <w:tab/>
      </w:r>
      <w:r w:rsidRPr="00D442F1" w:rsidR="00130D97">
        <w:rPr>
          <w:noProof/>
          <w:szCs w:val="22"/>
        </w:rPr>
        <w:t>How Kymriah is given</w:t>
      </w:r>
    </w:p>
    <w:p w:rsidR="00CE3C79" w:rsidRPr="00D442F1" w:rsidP="00166894" w14:paraId="1560DDFA" w14:textId="77777777">
      <w:pPr>
        <w:widowControl w:val="0"/>
        <w:numPr>
          <w:ilvl w:val="12"/>
          <w:numId w:val="0"/>
        </w:numPr>
        <w:tabs>
          <w:tab w:val="clear" w:pos="567"/>
        </w:tabs>
        <w:spacing w:line="240" w:lineRule="auto"/>
        <w:ind w:right="-29"/>
        <w:rPr>
          <w:noProof/>
          <w:szCs w:val="22"/>
        </w:rPr>
      </w:pPr>
      <w:r w:rsidRPr="00D442F1">
        <w:rPr>
          <w:noProof/>
          <w:szCs w:val="22"/>
        </w:rPr>
        <w:t>4.</w:t>
      </w:r>
      <w:r w:rsidRPr="00D442F1">
        <w:rPr>
          <w:noProof/>
          <w:szCs w:val="22"/>
        </w:rPr>
        <w:tab/>
        <w:t>Possible side effects</w:t>
      </w:r>
    </w:p>
    <w:p w:rsidR="00CE3C79" w:rsidRPr="00D442F1" w:rsidP="00166894" w14:paraId="403069C8" w14:textId="77777777">
      <w:pPr>
        <w:widowControl w:val="0"/>
        <w:tabs>
          <w:tab w:val="clear" w:pos="567"/>
        </w:tabs>
        <w:spacing w:line="240" w:lineRule="auto"/>
        <w:ind w:right="-29"/>
        <w:rPr>
          <w:noProof/>
          <w:szCs w:val="22"/>
        </w:rPr>
      </w:pPr>
      <w:r w:rsidRPr="00D442F1">
        <w:rPr>
          <w:noProof/>
          <w:szCs w:val="22"/>
        </w:rPr>
        <w:t>5.</w:t>
      </w:r>
      <w:r w:rsidRPr="00D442F1">
        <w:rPr>
          <w:noProof/>
          <w:szCs w:val="22"/>
        </w:rPr>
        <w:tab/>
        <w:t>How to store Kymriah</w:t>
      </w:r>
    </w:p>
    <w:p w:rsidR="00CE3C79" w:rsidRPr="00D442F1" w:rsidP="00166894" w14:paraId="1C56ECB5" w14:textId="77777777">
      <w:pPr>
        <w:widowControl w:val="0"/>
        <w:tabs>
          <w:tab w:val="clear" w:pos="567"/>
        </w:tabs>
        <w:spacing w:line="240" w:lineRule="auto"/>
        <w:ind w:right="-29"/>
        <w:rPr>
          <w:noProof/>
          <w:szCs w:val="22"/>
        </w:rPr>
      </w:pPr>
      <w:r w:rsidRPr="00D442F1">
        <w:rPr>
          <w:noProof/>
          <w:szCs w:val="22"/>
        </w:rPr>
        <w:t>6.</w:t>
      </w:r>
      <w:r w:rsidRPr="00D442F1">
        <w:rPr>
          <w:noProof/>
          <w:szCs w:val="22"/>
        </w:rPr>
        <w:tab/>
        <w:t>Contents of the pack and other information</w:t>
      </w:r>
    </w:p>
    <w:p w:rsidR="00CE3C79" w:rsidRPr="00D442F1" w:rsidP="00166894" w14:paraId="4DC3A76E" w14:textId="77777777">
      <w:pPr>
        <w:widowControl w:val="0"/>
        <w:numPr>
          <w:ilvl w:val="12"/>
          <w:numId w:val="0"/>
        </w:numPr>
        <w:tabs>
          <w:tab w:val="clear" w:pos="567"/>
        </w:tabs>
        <w:spacing w:line="240" w:lineRule="auto"/>
        <w:rPr>
          <w:noProof/>
          <w:szCs w:val="22"/>
        </w:rPr>
      </w:pPr>
    </w:p>
    <w:p w:rsidR="00CE3C79" w:rsidRPr="00D442F1" w:rsidP="00166894" w14:paraId="65FB1255" w14:textId="77777777">
      <w:pPr>
        <w:widowControl w:val="0"/>
        <w:numPr>
          <w:ilvl w:val="12"/>
          <w:numId w:val="0"/>
        </w:numPr>
        <w:tabs>
          <w:tab w:val="clear" w:pos="567"/>
        </w:tabs>
        <w:spacing w:line="240" w:lineRule="auto"/>
        <w:rPr>
          <w:noProof/>
          <w:szCs w:val="22"/>
        </w:rPr>
      </w:pPr>
    </w:p>
    <w:p w:rsidR="00CE3C79" w:rsidRPr="00D442F1" w:rsidP="00166894" w14:paraId="6BFB2BE1" w14:textId="77777777">
      <w:pPr>
        <w:keepNext/>
        <w:widowControl w:val="0"/>
        <w:tabs>
          <w:tab w:val="clear" w:pos="567"/>
        </w:tabs>
        <w:spacing w:line="240" w:lineRule="auto"/>
        <w:ind w:left="567" w:right="-2" w:hanging="567"/>
        <w:rPr>
          <w:b/>
          <w:szCs w:val="22"/>
        </w:rPr>
      </w:pPr>
      <w:r w:rsidRPr="00D442F1">
        <w:rPr>
          <w:b/>
          <w:szCs w:val="22"/>
        </w:rPr>
        <w:t>1.</w:t>
      </w:r>
      <w:r w:rsidRPr="00D442F1">
        <w:rPr>
          <w:b/>
          <w:szCs w:val="22"/>
        </w:rPr>
        <w:tab/>
        <w:t>What Kymriah is and what it is used for</w:t>
      </w:r>
    </w:p>
    <w:p w:rsidR="00CE3C79" w:rsidRPr="00D442F1" w:rsidP="00166894" w14:paraId="1DCF5140" w14:textId="77777777">
      <w:pPr>
        <w:keepNext/>
        <w:widowControl w:val="0"/>
        <w:numPr>
          <w:ilvl w:val="12"/>
          <w:numId w:val="0"/>
        </w:numPr>
        <w:tabs>
          <w:tab w:val="clear" w:pos="567"/>
        </w:tabs>
        <w:spacing w:line="240" w:lineRule="auto"/>
        <w:rPr>
          <w:noProof/>
          <w:szCs w:val="22"/>
        </w:rPr>
      </w:pPr>
    </w:p>
    <w:p w:rsidR="00CE3C79" w:rsidRPr="00D442F1" w:rsidP="00166894" w14:paraId="356CB721" w14:textId="77777777">
      <w:pPr>
        <w:keepNext/>
        <w:widowControl w:val="0"/>
        <w:numPr>
          <w:ilvl w:val="12"/>
          <w:numId w:val="0"/>
        </w:numPr>
        <w:tabs>
          <w:tab w:val="clear" w:pos="567"/>
        </w:tabs>
        <w:spacing w:line="240" w:lineRule="auto"/>
        <w:rPr>
          <w:b/>
          <w:noProof/>
          <w:szCs w:val="22"/>
        </w:rPr>
      </w:pPr>
      <w:r w:rsidRPr="00D442F1">
        <w:rPr>
          <w:b/>
          <w:noProof/>
          <w:szCs w:val="22"/>
        </w:rPr>
        <w:t xml:space="preserve">What </w:t>
      </w:r>
      <w:r w:rsidRPr="00D442F1">
        <w:rPr>
          <w:b/>
          <w:szCs w:val="22"/>
        </w:rPr>
        <w:t>Kymriah is</w:t>
      </w:r>
    </w:p>
    <w:p w:rsidR="00CE3C79" w:rsidRPr="00D442F1" w:rsidP="00166894" w14:paraId="26BA2D47" w14:textId="77777777">
      <w:pPr>
        <w:widowControl w:val="0"/>
        <w:numPr>
          <w:ilvl w:val="12"/>
          <w:numId w:val="0"/>
        </w:numPr>
        <w:tabs>
          <w:tab w:val="clear" w:pos="567"/>
        </w:tabs>
        <w:spacing w:line="240" w:lineRule="auto"/>
        <w:rPr>
          <w:noProof/>
          <w:szCs w:val="22"/>
        </w:rPr>
      </w:pPr>
      <w:r w:rsidRPr="00D442F1">
        <w:rPr>
          <w:noProof/>
          <w:szCs w:val="22"/>
        </w:rPr>
        <w:t>Kymriah</w:t>
      </w:r>
      <w:r w:rsidRPr="00D442F1" w:rsidR="00C158CF">
        <w:rPr>
          <w:noProof/>
          <w:szCs w:val="22"/>
        </w:rPr>
        <w:t>, also known as tisagenlecleucel,</w:t>
      </w:r>
      <w:r w:rsidRPr="00D442F1">
        <w:rPr>
          <w:noProof/>
          <w:szCs w:val="22"/>
        </w:rPr>
        <w:t xml:space="preserve"> is made from some of your own white blood</w:t>
      </w:r>
      <w:r w:rsidRPr="00D442F1">
        <w:rPr>
          <w:szCs w:val="22"/>
        </w:rPr>
        <w:t xml:space="preserve"> cells</w:t>
      </w:r>
      <w:r w:rsidRPr="00D442F1">
        <w:rPr>
          <w:noProof/>
          <w:szCs w:val="22"/>
          <w:lang w:val="en-US"/>
        </w:rPr>
        <w:t xml:space="preserve"> called T cells.</w:t>
      </w:r>
      <w:r w:rsidRPr="00D442F1" w:rsidR="00C158CF">
        <w:rPr>
          <w:noProof/>
          <w:szCs w:val="22"/>
          <w:lang w:val="en-US"/>
        </w:rPr>
        <w:t xml:space="preserve"> T cells</w:t>
      </w:r>
      <w:r w:rsidRPr="00D442F1">
        <w:rPr>
          <w:noProof/>
          <w:szCs w:val="22"/>
          <w:lang w:val="en-US"/>
        </w:rPr>
        <w:t xml:space="preserve"> </w:t>
      </w:r>
      <w:r w:rsidRPr="00D442F1">
        <w:rPr>
          <w:noProof/>
          <w:szCs w:val="22"/>
        </w:rPr>
        <w:t>are important for your immune system</w:t>
      </w:r>
      <w:r w:rsidRPr="00D442F1" w:rsidR="00C158CF">
        <w:rPr>
          <w:noProof/>
          <w:szCs w:val="22"/>
        </w:rPr>
        <w:t xml:space="preserve"> (the body’s defences) </w:t>
      </w:r>
      <w:r w:rsidRPr="00D442F1">
        <w:rPr>
          <w:noProof/>
          <w:szCs w:val="22"/>
        </w:rPr>
        <w:t>to work properly.</w:t>
      </w:r>
    </w:p>
    <w:p w:rsidR="00CE3C79" w:rsidRPr="00D442F1" w:rsidP="00166894" w14:paraId="4F67D0C9" w14:textId="77777777">
      <w:pPr>
        <w:widowControl w:val="0"/>
        <w:tabs>
          <w:tab w:val="clear" w:pos="567"/>
        </w:tabs>
        <w:spacing w:line="240" w:lineRule="auto"/>
        <w:rPr>
          <w:szCs w:val="22"/>
        </w:rPr>
      </w:pPr>
    </w:p>
    <w:p w:rsidR="00CE3C79" w:rsidRPr="00D442F1" w:rsidP="00166894" w14:paraId="5CC1A09C" w14:textId="77777777">
      <w:pPr>
        <w:keepNext/>
        <w:widowControl w:val="0"/>
        <w:tabs>
          <w:tab w:val="clear" w:pos="567"/>
        </w:tabs>
        <w:spacing w:line="240" w:lineRule="auto"/>
        <w:rPr>
          <w:b/>
          <w:noProof/>
          <w:szCs w:val="22"/>
        </w:rPr>
      </w:pPr>
      <w:r w:rsidRPr="00D442F1">
        <w:rPr>
          <w:b/>
          <w:szCs w:val="22"/>
        </w:rPr>
        <w:t xml:space="preserve">How </w:t>
      </w:r>
      <w:r w:rsidRPr="00D442F1">
        <w:rPr>
          <w:b/>
          <w:noProof/>
          <w:szCs w:val="22"/>
        </w:rPr>
        <w:t>does Kymriah work?</w:t>
      </w:r>
    </w:p>
    <w:p w:rsidR="00CE3C79" w:rsidRPr="00D442F1" w:rsidP="00166894" w14:paraId="0B3B689A" w14:textId="4E9DB1A0">
      <w:pPr>
        <w:widowControl w:val="0"/>
        <w:tabs>
          <w:tab w:val="clear" w:pos="567"/>
        </w:tabs>
        <w:spacing w:line="240" w:lineRule="auto"/>
        <w:rPr>
          <w:szCs w:val="22"/>
        </w:rPr>
      </w:pPr>
      <w:r w:rsidRPr="00D442F1">
        <w:rPr>
          <w:noProof/>
          <w:szCs w:val="22"/>
        </w:rPr>
        <w:t>The T cells are taken</w:t>
      </w:r>
      <w:r w:rsidRPr="00D442F1">
        <w:rPr>
          <w:szCs w:val="22"/>
        </w:rPr>
        <w:t xml:space="preserve"> from your blood and a</w:t>
      </w:r>
      <w:r w:rsidRPr="00D442F1">
        <w:rPr>
          <w:noProof/>
          <w:szCs w:val="22"/>
        </w:rPr>
        <w:t xml:space="preserve"> new gene is put into the T cells so that they can </w:t>
      </w:r>
      <w:r w:rsidRPr="00D442F1" w:rsidR="00646CCE">
        <w:rPr>
          <w:noProof/>
          <w:szCs w:val="22"/>
        </w:rPr>
        <w:t>target</w:t>
      </w:r>
      <w:r w:rsidRPr="00D442F1">
        <w:rPr>
          <w:szCs w:val="22"/>
        </w:rPr>
        <w:t xml:space="preserve"> </w:t>
      </w:r>
      <w:r w:rsidRPr="00D442F1">
        <w:rPr>
          <w:noProof/>
          <w:szCs w:val="22"/>
        </w:rPr>
        <w:t xml:space="preserve">the </w:t>
      </w:r>
      <w:r w:rsidRPr="00D442F1" w:rsidR="00646CCE">
        <w:rPr>
          <w:noProof/>
          <w:szCs w:val="22"/>
        </w:rPr>
        <w:t xml:space="preserve">cancer </w:t>
      </w:r>
      <w:r w:rsidRPr="00D442F1">
        <w:rPr>
          <w:noProof/>
          <w:szCs w:val="22"/>
        </w:rPr>
        <w:t xml:space="preserve">cells </w:t>
      </w:r>
      <w:r w:rsidRPr="00D442F1" w:rsidR="00646CCE">
        <w:rPr>
          <w:noProof/>
          <w:szCs w:val="22"/>
        </w:rPr>
        <w:t>in your body</w:t>
      </w:r>
      <w:r w:rsidRPr="00D442F1">
        <w:rPr>
          <w:noProof/>
          <w:szCs w:val="22"/>
        </w:rPr>
        <w:t>.</w:t>
      </w:r>
      <w:r w:rsidRPr="00D442F1">
        <w:rPr>
          <w:szCs w:val="22"/>
        </w:rPr>
        <w:t xml:space="preserve"> When </w:t>
      </w:r>
      <w:r w:rsidRPr="00D442F1">
        <w:rPr>
          <w:noProof/>
          <w:szCs w:val="22"/>
        </w:rPr>
        <w:t>Kymriah is infused into</w:t>
      </w:r>
      <w:r w:rsidRPr="00D442F1">
        <w:rPr>
          <w:szCs w:val="22"/>
        </w:rPr>
        <w:t xml:space="preserve"> your blood, the </w:t>
      </w:r>
      <w:r w:rsidRPr="00D442F1">
        <w:rPr>
          <w:noProof/>
          <w:szCs w:val="22"/>
        </w:rPr>
        <w:t>modified</w:t>
      </w:r>
      <w:r w:rsidRPr="00D442F1">
        <w:rPr>
          <w:szCs w:val="22"/>
        </w:rPr>
        <w:t xml:space="preserve"> T cells will </w:t>
      </w:r>
      <w:r w:rsidRPr="00D442F1" w:rsidR="005F6454">
        <w:rPr>
          <w:noProof/>
          <w:szCs w:val="22"/>
        </w:rPr>
        <w:t>find</w:t>
      </w:r>
      <w:r w:rsidRPr="00D442F1" w:rsidR="00646CCE">
        <w:rPr>
          <w:noProof/>
          <w:szCs w:val="22"/>
        </w:rPr>
        <w:t xml:space="preserve"> and kill</w:t>
      </w:r>
      <w:r w:rsidRPr="00D442F1">
        <w:rPr>
          <w:szCs w:val="22"/>
        </w:rPr>
        <w:t xml:space="preserve"> the </w:t>
      </w:r>
      <w:r w:rsidRPr="00D442F1">
        <w:rPr>
          <w:noProof/>
          <w:szCs w:val="22"/>
        </w:rPr>
        <w:t xml:space="preserve">cancer </w:t>
      </w:r>
      <w:r w:rsidRPr="00D442F1">
        <w:rPr>
          <w:szCs w:val="22"/>
        </w:rPr>
        <w:t>cells.</w:t>
      </w:r>
    </w:p>
    <w:p w:rsidR="00CE3C79" w:rsidRPr="00D442F1" w:rsidP="00166894" w14:paraId="01288CF4" w14:textId="77777777">
      <w:pPr>
        <w:widowControl w:val="0"/>
        <w:numPr>
          <w:ilvl w:val="12"/>
          <w:numId w:val="0"/>
        </w:numPr>
        <w:tabs>
          <w:tab w:val="clear" w:pos="567"/>
        </w:tabs>
        <w:spacing w:line="240" w:lineRule="auto"/>
        <w:rPr>
          <w:szCs w:val="22"/>
        </w:rPr>
      </w:pPr>
    </w:p>
    <w:p w:rsidR="00CE3C79" w:rsidRPr="00D442F1" w:rsidP="00166894" w14:paraId="0BB4182D" w14:textId="77777777">
      <w:pPr>
        <w:keepNext/>
        <w:widowControl w:val="0"/>
        <w:tabs>
          <w:tab w:val="clear" w:pos="567"/>
        </w:tabs>
        <w:spacing w:line="240" w:lineRule="auto"/>
        <w:rPr>
          <w:b/>
          <w:noProof/>
          <w:szCs w:val="22"/>
        </w:rPr>
      </w:pPr>
      <w:r w:rsidRPr="00D442F1">
        <w:rPr>
          <w:b/>
          <w:szCs w:val="22"/>
        </w:rPr>
        <w:t>What</w:t>
      </w:r>
      <w:r w:rsidRPr="00D442F1">
        <w:rPr>
          <w:b/>
          <w:noProof/>
          <w:szCs w:val="22"/>
        </w:rPr>
        <w:t xml:space="preserve"> </w:t>
      </w:r>
      <w:r w:rsidRPr="00D442F1">
        <w:rPr>
          <w:b/>
          <w:szCs w:val="22"/>
        </w:rPr>
        <w:t xml:space="preserve">Kymriah is used </w:t>
      </w:r>
      <w:r w:rsidRPr="00D442F1">
        <w:rPr>
          <w:b/>
          <w:noProof/>
          <w:szCs w:val="22"/>
        </w:rPr>
        <w:t>for</w:t>
      </w:r>
    </w:p>
    <w:p w:rsidR="00CE3C79" w:rsidRPr="00D442F1" w:rsidP="00166894" w14:paraId="17103E48" w14:textId="77777777">
      <w:pPr>
        <w:keepNext/>
        <w:widowControl w:val="0"/>
        <w:numPr>
          <w:ilvl w:val="12"/>
          <w:numId w:val="0"/>
        </w:numPr>
        <w:tabs>
          <w:tab w:val="clear" w:pos="567"/>
        </w:tabs>
        <w:spacing w:line="240" w:lineRule="auto"/>
        <w:rPr>
          <w:noProof/>
          <w:szCs w:val="22"/>
        </w:rPr>
      </w:pPr>
      <w:r w:rsidRPr="00D442F1">
        <w:rPr>
          <w:noProof/>
          <w:szCs w:val="22"/>
        </w:rPr>
        <w:t>Kymriah is used to treat:</w:t>
      </w:r>
    </w:p>
    <w:p w:rsidR="00CE3C79" w:rsidRPr="00D442F1" w:rsidP="00166894" w14:paraId="65321D85" w14:textId="77777777">
      <w:pPr>
        <w:widowControl w:val="0"/>
        <w:numPr>
          <w:ilvl w:val="0"/>
          <w:numId w:val="8"/>
        </w:numPr>
        <w:tabs>
          <w:tab w:val="clear" w:pos="567"/>
        </w:tabs>
        <w:spacing w:line="240" w:lineRule="auto"/>
        <w:ind w:left="567" w:hanging="567"/>
        <w:rPr>
          <w:noProof/>
          <w:szCs w:val="22"/>
        </w:rPr>
      </w:pPr>
      <w:r w:rsidRPr="00D442F1">
        <w:rPr>
          <w:b/>
          <w:noProof/>
          <w:szCs w:val="22"/>
        </w:rPr>
        <w:t>B</w:t>
      </w:r>
      <w:r w:rsidRPr="00D442F1">
        <w:rPr>
          <w:b/>
          <w:noProof/>
          <w:szCs w:val="22"/>
        </w:rPr>
        <w:noBreakHyphen/>
        <w:t>cell acute lymphoblastic leukaemia (B</w:t>
      </w:r>
      <w:r w:rsidRPr="00D442F1">
        <w:rPr>
          <w:b/>
          <w:noProof/>
          <w:szCs w:val="22"/>
        </w:rPr>
        <w:noBreakHyphen/>
        <w:t>cell ALL)</w:t>
      </w:r>
      <w:r w:rsidRPr="00D442F1">
        <w:rPr>
          <w:noProof/>
          <w:szCs w:val="22"/>
        </w:rPr>
        <w:t xml:space="preserve"> </w:t>
      </w:r>
      <w:r w:rsidRPr="00D442F1">
        <w:rPr>
          <w:noProof/>
          <w:szCs w:val="22"/>
        </w:rPr>
        <w:noBreakHyphen/>
        <w:t xml:space="preserve"> a form of cancer that affects some </w:t>
      </w:r>
      <w:r w:rsidRPr="00D442F1" w:rsidR="005F6454">
        <w:rPr>
          <w:noProof/>
          <w:szCs w:val="22"/>
        </w:rPr>
        <w:t xml:space="preserve">other </w:t>
      </w:r>
      <w:r w:rsidRPr="00D442F1">
        <w:rPr>
          <w:noProof/>
          <w:szCs w:val="22"/>
        </w:rPr>
        <w:t xml:space="preserve">types of white blood cells. </w:t>
      </w:r>
      <w:r w:rsidRPr="00D442F1" w:rsidR="00C158CF">
        <w:rPr>
          <w:noProof/>
          <w:szCs w:val="22"/>
        </w:rPr>
        <w:t xml:space="preserve">The medicine </w:t>
      </w:r>
      <w:r w:rsidRPr="00D442F1">
        <w:rPr>
          <w:noProof/>
          <w:szCs w:val="22"/>
        </w:rPr>
        <w:t xml:space="preserve">can be used in children and young adults </w:t>
      </w:r>
      <w:r w:rsidRPr="00D442F1" w:rsidR="00130D97">
        <w:rPr>
          <w:noProof/>
          <w:szCs w:val="22"/>
        </w:rPr>
        <w:t>up</w:t>
      </w:r>
      <w:r w:rsidRPr="00D442F1">
        <w:rPr>
          <w:noProof/>
          <w:szCs w:val="22"/>
        </w:rPr>
        <w:t xml:space="preserve"> to </w:t>
      </w:r>
      <w:r w:rsidRPr="00D442F1" w:rsidR="00646CCE">
        <w:rPr>
          <w:noProof/>
          <w:szCs w:val="22"/>
        </w:rPr>
        <w:t xml:space="preserve">and including </w:t>
      </w:r>
      <w:r w:rsidRPr="00D442F1">
        <w:rPr>
          <w:noProof/>
          <w:szCs w:val="22"/>
        </w:rPr>
        <w:t>25 years of age with this cancer.</w:t>
      </w:r>
    </w:p>
    <w:p w:rsidR="00CE3C79" w:rsidRPr="00D442F1" w:rsidP="00166894" w14:paraId="4EA352D7" w14:textId="77777777">
      <w:pPr>
        <w:widowControl w:val="0"/>
        <w:numPr>
          <w:ilvl w:val="0"/>
          <w:numId w:val="8"/>
        </w:numPr>
        <w:tabs>
          <w:tab w:val="clear" w:pos="567"/>
        </w:tabs>
        <w:spacing w:line="240" w:lineRule="auto"/>
        <w:ind w:left="567" w:hanging="567"/>
        <w:rPr>
          <w:noProof/>
          <w:szCs w:val="22"/>
        </w:rPr>
      </w:pPr>
      <w:r w:rsidRPr="00D442F1">
        <w:rPr>
          <w:b/>
          <w:noProof/>
          <w:szCs w:val="22"/>
        </w:rPr>
        <w:t>Diffuse</w:t>
      </w:r>
      <w:r w:rsidRPr="00D442F1">
        <w:rPr>
          <w:b/>
          <w:szCs w:val="22"/>
        </w:rPr>
        <w:t xml:space="preserve"> large B</w:t>
      </w:r>
      <w:r w:rsidRPr="00D442F1">
        <w:rPr>
          <w:b/>
          <w:szCs w:val="22"/>
        </w:rPr>
        <w:noBreakHyphen/>
        <w:t xml:space="preserve">cell </w:t>
      </w:r>
      <w:r w:rsidRPr="00D442F1">
        <w:rPr>
          <w:b/>
          <w:noProof/>
          <w:szCs w:val="22"/>
        </w:rPr>
        <w:t>lymphoma (DLBCL)</w:t>
      </w:r>
      <w:r w:rsidRPr="00D442F1">
        <w:rPr>
          <w:noProof/>
          <w:szCs w:val="22"/>
        </w:rPr>
        <w:t xml:space="preserve"> </w:t>
      </w:r>
      <w:r w:rsidRPr="00D442F1">
        <w:rPr>
          <w:noProof/>
          <w:szCs w:val="22"/>
        </w:rPr>
        <w:noBreakHyphen/>
      </w:r>
      <w:r w:rsidRPr="00D442F1">
        <w:rPr>
          <w:szCs w:val="22"/>
        </w:rPr>
        <w:t xml:space="preserve"> </w:t>
      </w:r>
      <w:r w:rsidRPr="00D442F1">
        <w:rPr>
          <w:noProof/>
          <w:szCs w:val="22"/>
        </w:rPr>
        <w:t>a</w:t>
      </w:r>
      <w:r w:rsidRPr="00D442F1" w:rsidR="005F6454">
        <w:rPr>
          <w:noProof/>
          <w:szCs w:val="22"/>
        </w:rPr>
        <w:t>nother</w:t>
      </w:r>
      <w:r w:rsidRPr="00D442F1">
        <w:rPr>
          <w:noProof/>
          <w:szCs w:val="22"/>
        </w:rPr>
        <w:t xml:space="preserve"> form of cancer that affects some types of white blood cells, mostly in the lymph nodes. </w:t>
      </w:r>
      <w:r w:rsidRPr="00D442F1" w:rsidR="00C158CF">
        <w:rPr>
          <w:noProof/>
          <w:szCs w:val="22"/>
        </w:rPr>
        <w:t xml:space="preserve">The medicine </w:t>
      </w:r>
      <w:r w:rsidRPr="00D442F1">
        <w:rPr>
          <w:noProof/>
          <w:szCs w:val="22"/>
        </w:rPr>
        <w:t>can be used in adults (18 years of age or older) with this cancer.</w:t>
      </w:r>
    </w:p>
    <w:p w:rsidR="00CE3C79" w:rsidRPr="00D442F1" w:rsidP="00166894" w14:paraId="6AADEA41" w14:textId="77777777">
      <w:pPr>
        <w:widowControl w:val="0"/>
        <w:tabs>
          <w:tab w:val="clear" w:pos="567"/>
        </w:tabs>
        <w:spacing w:line="240" w:lineRule="auto"/>
        <w:rPr>
          <w:noProof/>
          <w:szCs w:val="22"/>
        </w:rPr>
      </w:pPr>
    </w:p>
    <w:p w:rsidR="00CE3C79" w:rsidRPr="00D442F1" w:rsidP="00166894" w14:paraId="2D00ABE3" w14:textId="77777777">
      <w:pPr>
        <w:widowControl w:val="0"/>
        <w:numPr>
          <w:ilvl w:val="12"/>
          <w:numId w:val="0"/>
        </w:numPr>
        <w:tabs>
          <w:tab w:val="clear" w:pos="567"/>
        </w:tabs>
        <w:spacing w:line="240" w:lineRule="auto"/>
        <w:rPr>
          <w:szCs w:val="22"/>
        </w:rPr>
      </w:pPr>
      <w:r w:rsidRPr="00D442F1">
        <w:rPr>
          <w:noProof/>
          <w:szCs w:val="22"/>
        </w:rPr>
        <w:t>If you have any questions about how Kymriah works or why this medicine has been prescribed for you, ask your doctor.</w:t>
      </w:r>
    </w:p>
    <w:p w:rsidR="00CE3C79" w:rsidRPr="00D442F1" w:rsidP="00166894" w14:paraId="0DCEE900" w14:textId="77777777">
      <w:pPr>
        <w:widowControl w:val="0"/>
        <w:tabs>
          <w:tab w:val="clear" w:pos="567"/>
        </w:tabs>
        <w:spacing w:line="240" w:lineRule="auto"/>
        <w:ind w:right="-2"/>
        <w:rPr>
          <w:noProof/>
          <w:szCs w:val="22"/>
        </w:rPr>
      </w:pPr>
    </w:p>
    <w:p w:rsidR="00097C3D" w:rsidRPr="00D442F1" w:rsidP="00166894" w14:paraId="55CD6E0E" w14:textId="77777777">
      <w:pPr>
        <w:widowControl w:val="0"/>
        <w:tabs>
          <w:tab w:val="clear" w:pos="567"/>
        </w:tabs>
        <w:spacing w:line="240" w:lineRule="auto"/>
        <w:ind w:right="-2"/>
        <w:rPr>
          <w:noProof/>
          <w:szCs w:val="22"/>
        </w:rPr>
      </w:pPr>
    </w:p>
    <w:p w:rsidR="00CE3C79" w:rsidRPr="00D442F1" w:rsidP="00166894" w14:paraId="4503ECBF" w14:textId="77777777">
      <w:pPr>
        <w:keepNext/>
        <w:widowControl w:val="0"/>
        <w:tabs>
          <w:tab w:val="clear" w:pos="567"/>
        </w:tabs>
        <w:spacing w:line="240" w:lineRule="auto"/>
        <w:ind w:left="567" w:right="-2" w:hanging="567"/>
        <w:rPr>
          <w:b/>
          <w:szCs w:val="22"/>
        </w:rPr>
      </w:pPr>
      <w:r w:rsidRPr="00D442F1">
        <w:rPr>
          <w:b/>
          <w:szCs w:val="22"/>
        </w:rPr>
        <w:t>2.</w:t>
      </w:r>
      <w:r w:rsidRPr="00D442F1">
        <w:rPr>
          <w:b/>
          <w:szCs w:val="22"/>
        </w:rPr>
        <w:tab/>
        <w:t xml:space="preserve">What you need to know before you </w:t>
      </w:r>
      <w:r w:rsidRPr="00D442F1">
        <w:rPr>
          <w:b/>
          <w:noProof/>
          <w:szCs w:val="22"/>
        </w:rPr>
        <w:t>are given</w:t>
      </w:r>
      <w:r w:rsidRPr="00D442F1">
        <w:rPr>
          <w:b/>
          <w:szCs w:val="22"/>
        </w:rPr>
        <w:t xml:space="preserve"> Kymriah</w:t>
      </w:r>
    </w:p>
    <w:p w:rsidR="00CE3C79" w:rsidRPr="00D442F1" w:rsidP="00166894" w14:paraId="429E372D" w14:textId="77777777">
      <w:pPr>
        <w:keepNext/>
        <w:widowControl w:val="0"/>
        <w:tabs>
          <w:tab w:val="clear" w:pos="567"/>
        </w:tabs>
        <w:rPr>
          <w:szCs w:val="22"/>
        </w:rPr>
      </w:pPr>
    </w:p>
    <w:p w:rsidR="00CE3C79" w:rsidRPr="00D442F1" w:rsidP="00166894" w14:paraId="4AB78061" w14:textId="77777777">
      <w:pPr>
        <w:keepNext/>
        <w:widowControl w:val="0"/>
        <w:numPr>
          <w:ilvl w:val="12"/>
          <w:numId w:val="0"/>
        </w:numPr>
        <w:tabs>
          <w:tab w:val="clear" w:pos="567"/>
        </w:tabs>
        <w:spacing w:line="240" w:lineRule="auto"/>
        <w:outlineLvl w:val="0"/>
        <w:rPr>
          <w:noProof/>
          <w:szCs w:val="22"/>
        </w:rPr>
      </w:pPr>
      <w:r w:rsidRPr="00D442F1">
        <w:rPr>
          <w:b/>
          <w:noProof/>
          <w:szCs w:val="22"/>
        </w:rPr>
        <w:t>You should not be given Kymriah:</w:t>
      </w:r>
    </w:p>
    <w:p w:rsidR="00CE3C79" w:rsidRPr="00D442F1" w:rsidP="00166894" w14:paraId="7CC4EA91" w14:textId="77777777">
      <w:pPr>
        <w:widowControl w:val="0"/>
        <w:numPr>
          <w:ilvl w:val="0"/>
          <w:numId w:val="9"/>
        </w:numPr>
        <w:tabs>
          <w:tab w:val="clear" w:pos="567"/>
        </w:tabs>
        <w:spacing w:line="240" w:lineRule="auto"/>
        <w:ind w:left="567" w:hanging="567"/>
        <w:rPr>
          <w:szCs w:val="22"/>
        </w:rPr>
      </w:pPr>
      <w:r w:rsidRPr="00D442F1">
        <w:rPr>
          <w:noProof/>
          <w:szCs w:val="22"/>
        </w:rPr>
        <w:t>i</w:t>
      </w:r>
      <w:r w:rsidRPr="00D442F1">
        <w:rPr>
          <w:noProof/>
          <w:szCs w:val="22"/>
        </w:rPr>
        <w:t>f you are allergic to any of the ingredients of this medicine (listed in section 6).</w:t>
      </w:r>
      <w:r w:rsidRPr="00D442F1">
        <w:rPr>
          <w:szCs w:val="22"/>
        </w:rPr>
        <w:t xml:space="preserve"> </w:t>
      </w:r>
      <w:r w:rsidRPr="00D442F1">
        <w:rPr>
          <w:noProof/>
          <w:szCs w:val="22"/>
        </w:rPr>
        <w:t>If you think you may be allergic, ask your doctor for advice.</w:t>
      </w:r>
    </w:p>
    <w:p w:rsidR="00CE3C79" w:rsidRPr="00D442F1" w:rsidP="00166894" w14:paraId="2967BB02" w14:textId="77777777">
      <w:pPr>
        <w:widowControl w:val="0"/>
        <w:tabs>
          <w:tab w:val="clear" w:pos="567"/>
        </w:tabs>
        <w:spacing w:line="240" w:lineRule="auto"/>
        <w:rPr>
          <w:noProof/>
          <w:szCs w:val="22"/>
        </w:rPr>
      </w:pPr>
    </w:p>
    <w:p w:rsidR="00CE3C79" w:rsidRPr="00D442F1" w:rsidP="00166894" w14:paraId="0B7DF8CC" w14:textId="77777777">
      <w:pPr>
        <w:keepNext/>
        <w:widowControl w:val="0"/>
        <w:numPr>
          <w:ilvl w:val="12"/>
          <w:numId w:val="0"/>
        </w:numPr>
        <w:tabs>
          <w:tab w:val="clear" w:pos="567"/>
        </w:tabs>
        <w:spacing w:line="240" w:lineRule="auto"/>
        <w:outlineLvl w:val="0"/>
        <w:rPr>
          <w:b/>
          <w:noProof/>
          <w:szCs w:val="22"/>
        </w:rPr>
      </w:pPr>
      <w:r w:rsidRPr="00D442F1">
        <w:rPr>
          <w:b/>
          <w:noProof/>
          <w:szCs w:val="22"/>
        </w:rPr>
        <w:t>Warnings and precautions</w:t>
      </w:r>
    </w:p>
    <w:p w:rsidR="00CE3C79" w:rsidRPr="00D442F1" w:rsidP="00166894" w14:paraId="7ABE5F01" w14:textId="77777777">
      <w:pPr>
        <w:widowControl w:val="0"/>
        <w:numPr>
          <w:ilvl w:val="12"/>
          <w:numId w:val="0"/>
        </w:numPr>
        <w:tabs>
          <w:tab w:val="clear" w:pos="567"/>
        </w:tabs>
        <w:spacing w:line="240" w:lineRule="auto"/>
        <w:rPr>
          <w:szCs w:val="22"/>
        </w:rPr>
      </w:pPr>
      <w:r w:rsidRPr="00D442F1">
        <w:rPr>
          <w:szCs w:val="22"/>
        </w:rPr>
        <w:t xml:space="preserve">Kymriah is made from your </w:t>
      </w:r>
      <w:r w:rsidRPr="00D442F1" w:rsidR="005F6454">
        <w:rPr>
          <w:szCs w:val="22"/>
        </w:rPr>
        <w:t xml:space="preserve">own </w:t>
      </w:r>
      <w:r w:rsidRPr="00D442F1">
        <w:rPr>
          <w:szCs w:val="22"/>
        </w:rPr>
        <w:t>white blood cells and should only be given to you.</w:t>
      </w:r>
    </w:p>
    <w:p w:rsidR="00CE3C79" w:rsidRPr="00D442F1" w:rsidP="00166894" w14:paraId="744FB2B4" w14:textId="77777777">
      <w:pPr>
        <w:widowControl w:val="0"/>
        <w:numPr>
          <w:ilvl w:val="12"/>
          <w:numId w:val="0"/>
        </w:numPr>
        <w:tabs>
          <w:tab w:val="clear" w:pos="567"/>
        </w:tabs>
        <w:spacing w:line="240" w:lineRule="auto"/>
        <w:rPr>
          <w:szCs w:val="22"/>
        </w:rPr>
      </w:pPr>
    </w:p>
    <w:p w:rsidR="00CE3C79" w:rsidRPr="00D442F1" w:rsidP="00166894" w14:paraId="3087A1A5" w14:textId="77777777">
      <w:pPr>
        <w:keepNext/>
        <w:widowControl w:val="0"/>
        <w:numPr>
          <w:ilvl w:val="12"/>
          <w:numId w:val="0"/>
        </w:numPr>
        <w:tabs>
          <w:tab w:val="clear" w:pos="567"/>
        </w:tabs>
        <w:spacing w:line="240" w:lineRule="auto"/>
        <w:outlineLvl w:val="0"/>
        <w:rPr>
          <w:szCs w:val="22"/>
        </w:rPr>
      </w:pPr>
      <w:r w:rsidRPr="00D442F1">
        <w:rPr>
          <w:b/>
          <w:szCs w:val="22"/>
        </w:rPr>
        <w:t xml:space="preserve">Before you are given </w:t>
      </w:r>
      <w:r w:rsidRPr="00D442F1">
        <w:rPr>
          <w:b/>
          <w:noProof/>
          <w:szCs w:val="22"/>
        </w:rPr>
        <w:t>Kymriah</w:t>
      </w:r>
      <w:r w:rsidRPr="00D442F1">
        <w:rPr>
          <w:b/>
          <w:szCs w:val="22"/>
        </w:rPr>
        <w:t xml:space="preserve"> you should tell your doctor if:</w:t>
      </w:r>
    </w:p>
    <w:p w:rsidR="00CE3C79" w:rsidRPr="00D442F1" w:rsidP="00166894" w14:paraId="5E511354" w14:textId="77777777">
      <w:pPr>
        <w:widowControl w:val="0"/>
        <w:numPr>
          <w:ilvl w:val="0"/>
          <w:numId w:val="10"/>
        </w:numPr>
        <w:tabs>
          <w:tab w:val="clear" w:pos="567"/>
        </w:tabs>
        <w:spacing w:line="240" w:lineRule="auto"/>
        <w:ind w:left="567" w:hanging="567"/>
        <w:rPr>
          <w:noProof/>
          <w:szCs w:val="22"/>
        </w:rPr>
      </w:pPr>
      <w:r w:rsidRPr="00D442F1">
        <w:rPr>
          <w:noProof/>
          <w:szCs w:val="22"/>
        </w:rPr>
        <w:t xml:space="preserve">You have had a stem cell transplant in the last </w:t>
      </w:r>
      <w:r w:rsidRPr="00D442F1" w:rsidR="00130D97">
        <w:rPr>
          <w:noProof/>
          <w:szCs w:val="22"/>
        </w:rPr>
        <w:t>4</w:t>
      </w:r>
      <w:r w:rsidRPr="00D442F1">
        <w:rPr>
          <w:noProof/>
          <w:szCs w:val="22"/>
        </w:rPr>
        <w:t> months.</w:t>
      </w:r>
      <w:r w:rsidRPr="00D442F1" w:rsidR="00495EEE">
        <w:rPr>
          <w:noProof/>
          <w:szCs w:val="22"/>
        </w:rPr>
        <w:t xml:space="preserve"> Your doctor will check if you have signs or symptoms of graft</w:t>
      </w:r>
      <w:r w:rsidRPr="00D442F1" w:rsidR="00495EEE">
        <w:rPr>
          <w:noProof/>
          <w:szCs w:val="22"/>
        </w:rPr>
        <w:noBreakHyphen/>
        <w:t>versus</w:t>
      </w:r>
      <w:r w:rsidRPr="00D442F1" w:rsidR="00495EEE">
        <w:rPr>
          <w:noProof/>
          <w:szCs w:val="22"/>
        </w:rPr>
        <w:noBreakHyphen/>
        <w:t>host disease. This happens when transplanted cells attack your body, causing symptoms such as rash, nausea, vomiting, diarrhoea and bloody stools.</w:t>
      </w:r>
    </w:p>
    <w:p w:rsidR="00CE3C79" w:rsidRPr="00D442F1" w:rsidP="00166894" w14:paraId="675F55EE" w14:textId="77777777">
      <w:pPr>
        <w:widowControl w:val="0"/>
        <w:numPr>
          <w:ilvl w:val="0"/>
          <w:numId w:val="10"/>
        </w:numPr>
        <w:tabs>
          <w:tab w:val="clear" w:pos="567"/>
        </w:tabs>
        <w:spacing w:line="240" w:lineRule="auto"/>
        <w:ind w:left="567" w:hanging="567"/>
        <w:rPr>
          <w:noProof/>
          <w:szCs w:val="22"/>
        </w:rPr>
      </w:pPr>
      <w:r w:rsidRPr="00D442F1">
        <w:rPr>
          <w:noProof/>
          <w:szCs w:val="22"/>
        </w:rPr>
        <w:t xml:space="preserve">You have any lung, heart or blood pressure </w:t>
      </w:r>
      <w:r w:rsidRPr="00D442F1" w:rsidR="00694F01">
        <w:rPr>
          <w:noProof/>
          <w:szCs w:val="22"/>
        </w:rPr>
        <w:t xml:space="preserve">(low or raised) </w:t>
      </w:r>
      <w:r w:rsidRPr="00D442F1">
        <w:rPr>
          <w:noProof/>
          <w:szCs w:val="22"/>
        </w:rPr>
        <w:t>problems.</w:t>
      </w:r>
    </w:p>
    <w:p w:rsidR="00CE3C79" w:rsidRPr="00D442F1" w:rsidP="00166894" w14:paraId="4F707230" w14:textId="77777777">
      <w:pPr>
        <w:widowControl w:val="0"/>
        <w:numPr>
          <w:ilvl w:val="0"/>
          <w:numId w:val="10"/>
        </w:numPr>
        <w:tabs>
          <w:tab w:val="clear" w:pos="567"/>
        </w:tabs>
        <w:spacing w:line="240" w:lineRule="auto"/>
        <w:ind w:left="567" w:hanging="567"/>
        <w:rPr>
          <w:noProof/>
          <w:szCs w:val="22"/>
        </w:rPr>
      </w:pPr>
      <w:r w:rsidRPr="00D442F1">
        <w:rPr>
          <w:noProof/>
          <w:szCs w:val="22"/>
        </w:rPr>
        <w:t xml:space="preserve">You notice the </w:t>
      </w:r>
      <w:r w:rsidRPr="00D442F1" w:rsidR="00C158CF">
        <w:rPr>
          <w:noProof/>
          <w:szCs w:val="22"/>
        </w:rPr>
        <w:t xml:space="preserve">symptoms </w:t>
      </w:r>
      <w:r w:rsidRPr="00D442F1">
        <w:rPr>
          <w:noProof/>
          <w:szCs w:val="22"/>
        </w:rPr>
        <w:t xml:space="preserve">of your </w:t>
      </w:r>
      <w:r w:rsidRPr="00D442F1" w:rsidR="00C158CF">
        <w:rPr>
          <w:noProof/>
          <w:szCs w:val="22"/>
        </w:rPr>
        <w:t xml:space="preserve">cancer </w:t>
      </w:r>
      <w:r w:rsidRPr="00D442F1">
        <w:rPr>
          <w:noProof/>
          <w:szCs w:val="22"/>
        </w:rPr>
        <w:t>are getting worse</w:t>
      </w:r>
      <w:r w:rsidRPr="00D442F1" w:rsidR="00C158CF">
        <w:rPr>
          <w:noProof/>
          <w:szCs w:val="22"/>
        </w:rPr>
        <w:t>. If you have leukaemia this might include</w:t>
      </w:r>
      <w:r w:rsidRPr="00D442F1">
        <w:rPr>
          <w:noProof/>
          <w:szCs w:val="22"/>
        </w:rPr>
        <w:t xml:space="preserve"> fever, feeling weak, bleeding gums, bruising.</w:t>
      </w:r>
      <w:r w:rsidRPr="00D442F1" w:rsidR="00C158CF">
        <w:rPr>
          <w:noProof/>
          <w:szCs w:val="22"/>
        </w:rPr>
        <w:t xml:space="preserve"> If you have lymphoma, this might include </w:t>
      </w:r>
      <w:r w:rsidRPr="00D442F1">
        <w:rPr>
          <w:noProof/>
          <w:szCs w:val="22"/>
        </w:rPr>
        <w:t>unexplained fever, feeling weak, night sweats, sudden weight loss.</w:t>
      </w:r>
    </w:p>
    <w:p w:rsidR="00CE3C79" w:rsidRPr="00D442F1" w:rsidP="00166894" w14:paraId="27D97667" w14:textId="77777777">
      <w:pPr>
        <w:widowControl w:val="0"/>
        <w:numPr>
          <w:ilvl w:val="0"/>
          <w:numId w:val="10"/>
        </w:numPr>
        <w:tabs>
          <w:tab w:val="clear" w:pos="567"/>
        </w:tabs>
        <w:spacing w:line="240" w:lineRule="auto"/>
        <w:ind w:left="567" w:hanging="567"/>
        <w:rPr>
          <w:noProof/>
          <w:szCs w:val="22"/>
        </w:rPr>
      </w:pPr>
      <w:r w:rsidRPr="00D442F1">
        <w:rPr>
          <w:noProof/>
          <w:szCs w:val="22"/>
        </w:rPr>
        <w:t>You have an infection. The infection will be treated before the Kymriah infusion.</w:t>
      </w:r>
    </w:p>
    <w:p w:rsidR="00CE3C79" w:rsidRPr="00D442F1" w:rsidP="00166894" w14:paraId="5CA01486" w14:textId="77777777">
      <w:pPr>
        <w:widowControl w:val="0"/>
        <w:numPr>
          <w:ilvl w:val="0"/>
          <w:numId w:val="10"/>
        </w:numPr>
        <w:tabs>
          <w:tab w:val="clear" w:pos="567"/>
        </w:tabs>
        <w:spacing w:line="240" w:lineRule="auto"/>
        <w:ind w:left="567" w:hanging="567"/>
        <w:rPr>
          <w:noProof/>
          <w:szCs w:val="22"/>
        </w:rPr>
      </w:pPr>
      <w:r w:rsidRPr="00D442F1">
        <w:rPr>
          <w:noProof/>
          <w:szCs w:val="22"/>
        </w:rPr>
        <w:t xml:space="preserve">You have had hepatitis B, hepatitis C or </w:t>
      </w:r>
      <w:r w:rsidRPr="00D442F1" w:rsidR="002812EE">
        <w:rPr>
          <w:noProof/>
          <w:szCs w:val="22"/>
        </w:rPr>
        <w:t>human immunodeficiency virus (</w:t>
      </w:r>
      <w:r w:rsidRPr="00D442F1">
        <w:rPr>
          <w:noProof/>
          <w:szCs w:val="22"/>
        </w:rPr>
        <w:t>HIV</w:t>
      </w:r>
      <w:r w:rsidRPr="00D442F1" w:rsidR="002812EE">
        <w:rPr>
          <w:noProof/>
          <w:szCs w:val="22"/>
        </w:rPr>
        <w:t>)</w:t>
      </w:r>
      <w:r w:rsidRPr="00D442F1" w:rsidR="00C158CF">
        <w:rPr>
          <w:noProof/>
          <w:szCs w:val="22"/>
        </w:rPr>
        <w:t xml:space="preserve"> infection</w:t>
      </w:r>
      <w:r w:rsidRPr="00D442F1">
        <w:rPr>
          <w:noProof/>
          <w:szCs w:val="22"/>
        </w:rPr>
        <w:t>.</w:t>
      </w:r>
    </w:p>
    <w:p w:rsidR="00C31C91" w:rsidRPr="00D442F1" w:rsidP="00166894" w14:paraId="044040FC" w14:textId="77777777">
      <w:pPr>
        <w:widowControl w:val="0"/>
        <w:numPr>
          <w:ilvl w:val="0"/>
          <w:numId w:val="10"/>
        </w:numPr>
        <w:tabs>
          <w:tab w:val="clear" w:pos="567"/>
        </w:tabs>
        <w:spacing w:line="240" w:lineRule="auto"/>
        <w:ind w:left="567" w:hanging="567"/>
        <w:rPr>
          <w:noProof/>
          <w:szCs w:val="22"/>
        </w:rPr>
      </w:pPr>
      <w:r w:rsidRPr="00D442F1">
        <w:rPr>
          <w:noProof/>
          <w:szCs w:val="22"/>
        </w:rPr>
        <w:t xml:space="preserve">You are pregnant, think you may be pregnant, or plan to become pregnant (see sections </w:t>
      </w:r>
      <w:r w:rsidRPr="00D442F1" w:rsidR="00097C3D">
        <w:rPr>
          <w:noProof/>
          <w:szCs w:val="22"/>
        </w:rPr>
        <w:t>“</w:t>
      </w:r>
      <w:r w:rsidRPr="00D442F1">
        <w:rPr>
          <w:noProof/>
          <w:szCs w:val="22"/>
        </w:rPr>
        <w:t>Pregnancy and breast</w:t>
      </w:r>
      <w:r w:rsidRPr="00D442F1">
        <w:rPr>
          <w:noProof/>
          <w:szCs w:val="22"/>
        </w:rPr>
        <w:noBreakHyphen/>
        <w:t>feeding</w:t>
      </w:r>
      <w:r w:rsidRPr="00D442F1" w:rsidR="00097C3D">
        <w:rPr>
          <w:noProof/>
          <w:szCs w:val="22"/>
        </w:rPr>
        <w:t>”</w:t>
      </w:r>
      <w:r w:rsidRPr="00D442F1">
        <w:rPr>
          <w:noProof/>
          <w:szCs w:val="22"/>
        </w:rPr>
        <w:t xml:space="preserve"> and </w:t>
      </w:r>
      <w:r w:rsidRPr="00D442F1" w:rsidR="00097C3D">
        <w:rPr>
          <w:noProof/>
          <w:szCs w:val="22"/>
        </w:rPr>
        <w:t>“</w:t>
      </w:r>
      <w:r w:rsidRPr="00D442F1">
        <w:rPr>
          <w:noProof/>
          <w:szCs w:val="22"/>
        </w:rPr>
        <w:t xml:space="preserve">Contraception for </w:t>
      </w:r>
      <w:r w:rsidRPr="00D442F1" w:rsidR="003572FC">
        <w:rPr>
          <w:noProof/>
          <w:szCs w:val="22"/>
        </w:rPr>
        <w:t>wo</w:t>
      </w:r>
      <w:r w:rsidRPr="00D442F1">
        <w:rPr>
          <w:noProof/>
          <w:szCs w:val="22"/>
        </w:rPr>
        <w:t>men and men</w:t>
      </w:r>
      <w:r w:rsidRPr="00D442F1" w:rsidR="00097C3D">
        <w:rPr>
          <w:noProof/>
          <w:szCs w:val="22"/>
        </w:rPr>
        <w:t>”</w:t>
      </w:r>
      <w:r w:rsidRPr="00D442F1">
        <w:rPr>
          <w:noProof/>
          <w:szCs w:val="22"/>
        </w:rPr>
        <w:t xml:space="preserve"> below).</w:t>
      </w:r>
    </w:p>
    <w:p w:rsidR="00495EEE" w:rsidRPr="00D442F1" w:rsidP="00166894" w14:paraId="3009B108" w14:textId="77777777">
      <w:pPr>
        <w:keepNext/>
        <w:widowControl w:val="0"/>
        <w:numPr>
          <w:ilvl w:val="0"/>
          <w:numId w:val="10"/>
        </w:numPr>
        <w:tabs>
          <w:tab w:val="clear" w:pos="567"/>
        </w:tabs>
        <w:spacing w:line="240" w:lineRule="auto"/>
        <w:ind w:left="567" w:hanging="567"/>
        <w:rPr>
          <w:noProof/>
          <w:szCs w:val="22"/>
        </w:rPr>
      </w:pPr>
      <w:r w:rsidRPr="00D442F1">
        <w:rPr>
          <w:noProof/>
          <w:szCs w:val="22"/>
        </w:rPr>
        <w:t>You had a vaccination in the previous 6 weeks or are planning to have one in the next few months.</w:t>
      </w:r>
    </w:p>
    <w:p w:rsidR="00CE3C79" w:rsidRPr="00D442F1" w:rsidP="00166894" w14:paraId="7ED93D32" w14:textId="77777777">
      <w:pPr>
        <w:widowControl w:val="0"/>
        <w:tabs>
          <w:tab w:val="clear" w:pos="567"/>
        </w:tabs>
        <w:spacing w:line="240" w:lineRule="auto"/>
        <w:rPr>
          <w:noProof/>
          <w:szCs w:val="22"/>
        </w:rPr>
      </w:pPr>
      <w:r w:rsidRPr="00D442F1">
        <w:rPr>
          <w:noProof/>
          <w:szCs w:val="22"/>
        </w:rPr>
        <w:t>If any of the above apply to you (or you are not sure), talk to your doctor before being given Kymriah.</w:t>
      </w:r>
    </w:p>
    <w:p w:rsidR="00CE3C79" w:rsidRPr="00D442F1" w:rsidP="00166894" w14:paraId="6F0D9754" w14:textId="77777777">
      <w:pPr>
        <w:widowControl w:val="0"/>
        <w:tabs>
          <w:tab w:val="clear" w:pos="567"/>
        </w:tabs>
        <w:spacing w:line="240" w:lineRule="auto"/>
        <w:rPr>
          <w:noProof/>
          <w:szCs w:val="22"/>
        </w:rPr>
      </w:pPr>
    </w:p>
    <w:p w:rsidR="00CE3C79" w:rsidRPr="00D442F1" w:rsidP="00166894" w14:paraId="77736E91" w14:textId="77777777">
      <w:pPr>
        <w:keepNext/>
        <w:widowControl w:val="0"/>
        <w:numPr>
          <w:ilvl w:val="12"/>
          <w:numId w:val="0"/>
        </w:numPr>
        <w:tabs>
          <w:tab w:val="clear" w:pos="567"/>
        </w:tabs>
        <w:spacing w:line="240" w:lineRule="auto"/>
        <w:rPr>
          <w:b/>
          <w:noProof/>
          <w:szCs w:val="22"/>
        </w:rPr>
      </w:pPr>
      <w:r w:rsidRPr="00D442F1">
        <w:rPr>
          <w:b/>
          <w:noProof/>
          <w:szCs w:val="22"/>
        </w:rPr>
        <w:t>Test and checks</w:t>
      </w:r>
    </w:p>
    <w:p w:rsidR="00CE3C79" w:rsidRPr="00D442F1" w:rsidP="00166894" w14:paraId="2265B706" w14:textId="77777777">
      <w:pPr>
        <w:keepNext/>
        <w:widowControl w:val="0"/>
        <w:numPr>
          <w:ilvl w:val="12"/>
          <w:numId w:val="0"/>
        </w:numPr>
        <w:tabs>
          <w:tab w:val="clear" w:pos="567"/>
        </w:tabs>
        <w:spacing w:line="240" w:lineRule="auto"/>
        <w:rPr>
          <w:b/>
          <w:noProof/>
          <w:szCs w:val="22"/>
        </w:rPr>
      </w:pPr>
      <w:r w:rsidRPr="00D442F1">
        <w:rPr>
          <w:b/>
          <w:noProof/>
          <w:szCs w:val="22"/>
        </w:rPr>
        <w:t>Before you are given Kymriah</w:t>
      </w:r>
      <w:r w:rsidRPr="00D442F1">
        <w:rPr>
          <w:noProof/>
          <w:szCs w:val="22"/>
        </w:rPr>
        <w:t xml:space="preserve"> </w:t>
      </w:r>
      <w:r w:rsidRPr="00D442F1">
        <w:rPr>
          <w:b/>
          <w:noProof/>
          <w:szCs w:val="22"/>
        </w:rPr>
        <w:t>your doctor will:</w:t>
      </w:r>
    </w:p>
    <w:p w:rsidR="00CE3C79" w:rsidRPr="00D442F1" w:rsidP="00166894" w14:paraId="332B2EE2" w14:textId="77777777">
      <w:pPr>
        <w:widowControl w:val="0"/>
        <w:numPr>
          <w:ilvl w:val="0"/>
          <w:numId w:val="11"/>
        </w:numPr>
        <w:tabs>
          <w:tab w:val="clear" w:pos="567"/>
        </w:tabs>
        <w:spacing w:line="240" w:lineRule="auto"/>
        <w:ind w:left="567" w:hanging="567"/>
        <w:rPr>
          <w:noProof/>
          <w:szCs w:val="22"/>
        </w:rPr>
      </w:pPr>
      <w:r w:rsidRPr="00D442F1">
        <w:rPr>
          <w:noProof/>
          <w:szCs w:val="22"/>
        </w:rPr>
        <w:t>Check your lungs, heart and blood pressure.</w:t>
      </w:r>
    </w:p>
    <w:p w:rsidR="00CE3C79" w:rsidRPr="00D442F1" w:rsidP="00166894" w14:paraId="1AB25571" w14:textId="77777777">
      <w:pPr>
        <w:widowControl w:val="0"/>
        <w:numPr>
          <w:ilvl w:val="0"/>
          <w:numId w:val="11"/>
        </w:numPr>
        <w:tabs>
          <w:tab w:val="clear" w:pos="567"/>
        </w:tabs>
        <w:spacing w:line="240" w:lineRule="auto"/>
        <w:ind w:left="567" w:hanging="567"/>
        <w:rPr>
          <w:noProof/>
          <w:szCs w:val="22"/>
        </w:rPr>
      </w:pPr>
      <w:r w:rsidRPr="00D442F1">
        <w:rPr>
          <w:noProof/>
          <w:szCs w:val="22"/>
        </w:rPr>
        <w:t>Look for signs of infection; any infection will be treated before you are given Kymriah.</w:t>
      </w:r>
    </w:p>
    <w:p w:rsidR="00CE3C79" w:rsidRPr="00D442F1" w:rsidP="00166894" w14:paraId="46849283" w14:textId="12B42DC8">
      <w:pPr>
        <w:widowControl w:val="0"/>
        <w:numPr>
          <w:ilvl w:val="0"/>
          <w:numId w:val="11"/>
        </w:numPr>
        <w:tabs>
          <w:tab w:val="clear" w:pos="567"/>
        </w:tabs>
        <w:spacing w:line="240" w:lineRule="auto"/>
        <w:ind w:left="567" w:hanging="567"/>
        <w:rPr>
          <w:noProof/>
          <w:szCs w:val="22"/>
        </w:rPr>
      </w:pPr>
      <w:r w:rsidRPr="00D442F1">
        <w:rPr>
          <w:noProof/>
          <w:szCs w:val="22"/>
        </w:rPr>
        <w:t xml:space="preserve">Check </w:t>
      </w:r>
      <w:r w:rsidRPr="00D442F1" w:rsidR="00C158CF">
        <w:rPr>
          <w:noProof/>
          <w:szCs w:val="22"/>
        </w:rPr>
        <w:t xml:space="preserve">if </w:t>
      </w:r>
      <w:r w:rsidRPr="00D442F1">
        <w:rPr>
          <w:noProof/>
          <w:szCs w:val="22"/>
        </w:rPr>
        <w:t xml:space="preserve">your </w:t>
      </w:r>
      <w:r w:rsidRPr="00D442F1" w:rsidR="00DB415C">
        <w:rPr>
          <w:noProof/>
          <w:szCs w:val="22"/>
        </w:rPr>
        <w:t>lymphoma or leuk</w:t>
      </w:r>
      <w:r w:rsidRPr="00D442F1" w:rsidR="00A71FE3">
        <w:rPr>
          <w:noProof/>
          <w:szCs w:val="22"/>
        </w:rPr>
        <w:t>a</w:t>
      </w:r>
      <w:r w:rsidRPr="00D442F1" w:rsidR="00DB415C">
        <w:rPr>
          <w:noProof/>
          <w:szCs w:val="22"/>
        </w:rPr>
        <w:t xml:space="preserve">emia </w:t>
      </w:r>
      <w:r w:rsidRPr="00D442F1">
        <w:rPr>
          <w:noProof/>
          <w:szCs w:val="22"/>
        </w:rPr>
        <w:t>is getting worse.</w:t>
      </w:r>
    </w:p>
    <w:p w:rsidR="00CE3C79" w:rsidRPr="00D442F1" w:rsidP="00166894" w14:paraId="66F589D9" w14:textId="77777777">
      <w:pPr>
        <w:widowControl w:val="0"/>
        <w:numPr>
          <w:ilvl w:val="0"/>
          <w:numId w:val="11"/>
        </w:numPr>
        <w:tabs>
          <w:tab w:val="clear" w:pos="567"/>
        </w:tabs>
        <w:spacing w:line="240" w:lineRule="auto"/>
        <w:ind w:left="567" w:hanging="567"/>
        <w:rPr>
          <w:noProof/>
          <w:szCs w:val="22"/>
        </w:rPr>
      </w:pPr>
      <w:r w:rsidRPr="00D442F1">
        <w:rPr>
          <w:noProof/>
          <w:szCs w:val="22"/>
        </w:rPr>
        <w:t xml:space="preserve">Look for signs of </w:t>
      </w:r>
      <w:r w:rsidRPr="00D442F1" w:rsidR="00097C3D">
        <w:rPr>
          <w:noProof/>
          <w:szCs w:val="22"/>
        </w:rPr>
        <w:t>g</w:t>
      </w:r>
      <w:r w:rsidRPr="00D442F1">
        <w:rPr>
          <w:noProof/>
          <w:szCs w:val="22"/>
        </w:rPr>
        <w:t>raft</w:t>
      </w:r>
      <w:r w:rsidRPr="00D442F1">
        <w:rPr>
          <w:noProof/>
          <w:szCs w:val="22"/>
        </w:rPr>
        <w:noBreakHyphen/>
        <w:t>versus</w:t>
      </w:r>
      <w:r w:rsidRPr="00D442F1">
        <w:rPr>
          <w:noProof/>
          <w:szCs w:val="22"/>
        </w:rPr>
        <w:noBreakHyphen/>
      </w:r>
      <w:r w:rsidRPr="00D442F1" w:rsidR="00097C3D">
        <w:rPr>
          <w:noProof/>
          <w:szCs w:val="22"/>
        </w:rPr>
        <w:t>h</w:t>
      </w:r>
      <w:r w:rsidRPr="00D442F1">
        <w:rPr>
          <w:noProof/>
          <w:szCs w:val="22"/>
        </w:rPr>
        <w:t xml:space="preserve">ost </w:t>
      </w:r>
      <w:r w:rsidRPr="00D442F1" w:rsidR="00097C3D">
        <w:rPr>
          <w:noProof/>
          <w:szCs w:val="22"/>
        </w:rPr>
        <w:t>d</w:t>
      </w:r>
      <w:r w:rsidRPr="00D442F1">
        <w:rPr>
          <w:noProof/>
          <w:szCs w:val="22"/>
        </w:rPr>
        <w:t>isease that can happen after a transplant.</w:t>
      </w:r>
    </w:p>
    <w:p w:rsidR="00CE3C79" w:rsidRPr="00D442F1" w:rsidP="00166894" w14:paraId="74B63700" w14:textId="77777777">
      <w:pPr>
        <w:widowControl w:val="0"/>
        <w:numPr>
          <w:ilvl w:val="0"/>
          <w:numId w:val="11"/>
        </w:numPr>
        <w:tabs>
          <w:tab w:val="clear" w:pos="567"/>
        </w:tabs>
        <w:spacing w:line="240" w:lineRule="auto"/>
        <w:ind w:left="567" w:hanging="567"/>
        <w:rPr>
          <w:strike/>
          <w:noProof/>
          <w:szCs w:val="22"/>
        </w:rPr>
      </w:pPr>
      <w:r w:rsidRPr="00D442F1">
        <w:rPr>
          <w:noProof/>
          <w:szCs w:val="22"/>
        </w:rPr>
        <w:t xml:space="preserve">Check your blood for uric acid and </w:t>
      </w:r>
      <w:r w:rsidRPr="00D442F1" w:rsidR="000F10FC">
        <w:rPr>
          <w:noProof/>
          <w:szCs w:val="22"/>
        </w:rPr>
        <w:t xml:space="preserve">for </w:t>
      </w:r>
      <w:r w:rsidRPr="00D442F1">
        <w:rPr>
          <w:noProof/>
          <w:szCs w:val="22"/>
        </w:rPr>
        <w:t xml:space="preserve">how many cancer cells there are in your blood. This will show if you are likely to develop a condition called tumour lysis syndrome. </w:t>
      </w:r>
      <w:r w:rsidRPr="00D442F1" w:rsidR="000F10FC">
        <w:rPr>
          <w:noProof/>
          <w:szCs w:val="22"/>
        </w:rPr>
        <w:t>Y</w:t>
      </w:r>
      <w:r w:rsidRPr="00D442F1">
        <w:rPr>
          <w:noProof/>
          <w:szCs w:val="22"/>
        </w:rPr>
        <w:t xml:space="preserve">ou </w:t>
      </w:r>
      <w:r w:rsidRPr="00D442F1" w:rsidR="000F10FC">
        <w:rPr>
          <w:noProof/>
          <w:szCs w:val="22"/>
        </w:rPr>
        <w:t xml:space="preserve">may </w:t>
      </w:r>
      <w:r w:rsidRPr="00D442F1">
        <w:rPr>
          <w:noProof/>
          <w:szCs w:val="22"/>
        </w:rPr>
        <w:t xml:space="preserve">be given medicines to help </w:t>
      </w:r>
      <w:r w:rsidRPr="00D442F1" w:rsidR="000F10FC">
        <w:rPr>
          <w:noProof/>
          <w:szCs w:val="22"/>
        </w:rPr>
        <w:t>prevent the condition</w:t>
      </w:r>
      <w:r w:rsidRPr="00D442F1">
        <w:rPr>
          <w:noProof/>
          <w:szCs w:val="22"/>
        </w:rPr>
        <w:t>.</w:t>
      </w:r>
    </w:p>
    <w:p w:rsidR="00DB415C" w:rsidRPr="00D442F1" w:rsidP="005D778F" w14:paraId="0D68EDCB" w14:textId="77777777">
      <w:pPr>
        <w:widowControl w:val="0"/>
        <w:numPr>
          <w:ilvl w:val="0"/>
          <w:numId w:val="11"/>
        </w:numPr>
        <w:tabs>
          <w:tab w:val="clear" w:pos="567"/>
        </w:tabs>
        <w:spacing w:line="240" w:lineRule="auto"/>
        <w:ind w:left="567" w:hanging="567"/>
        <w:rPr>
          <w:szCs w:val="22"/>
        </w:rPr>
      </w:pPr>
      <w:r w:rsidRPr="00D442F1">
        <w:rPr>
          <w:szCs w:val="22"/>
        </w:rPr>
        <w:t xml:space="preserve">Check </w:t>
      </w:r>
      <w:r w:rsidRPr="00D442F1" w:rsidR="000F10FC">
        <w:rPr>
          <w:szCs w:val="22"/>
        </w:rPr>
        <w:t>for</w:t>
      </w:r>
      <w:r w:rsidRPr="00D442F1">
        <w:rPr>
          <w:szCs w:val="22"/>
        </w:rPr>
        <w:t xml:space="preserve"> hepatitis B, hepatitis C or HIV </w:t>
      </w:r>
      <w:r w:rsidRPr="00D442F1" w:rsidR="000F10FC">
        <w:rPr>
          <w:szCs w:val="22"/>
        </w:rPr>
        <w:t>infection</w:t>
      </w:r>
      <w:r w:rsidRPr="00D442F1">
        <w:rPr>
          <w:szCs w:val="22"/>
        </w:rPr>
        <w:t>.</w:t>
      </w:r>
    </w:p>
    <w:p w:rsidR="00CE3C79" w:rsidRPr="00D442F1" w:rsidP="00166894" w14:paraId="0D7742B7" w14:textId="77777777">
      <w:pPr>
        <w:widowControl w:val="0"/>
        <w:tabs>
          <w:tab w:val="clear" w:pos="567"/>
        </w:tabs>
        <w:spacing w:line="240" w:lineRule="auto"/>
        <w:rPr>
          <w:noProof/>
          <w:szCs w:val="22"/>
        </w:rPr>
      </w:pPr>
    </w:p>
    <w:p w:rsidR="002464E7" w:rsidRPr="00D442F1" w:rsidP="00166894" w14:paraId="33472246" w14:textId="77777777">
      <w:pPr>
        <w:keepNext/>
        <w:widowControl w:val="0"/>
        <w:numPr>
          <w:ilvl w:val="12"/>
          <w:numId w:val="0"/>
        </w:numPr>
        <w:tabs>
          <w:tab w:val="clear" w:pos="567"/>
        </w:tabs>
        <w:spacing w:line="240" w:lineRule="auto"/>
        <w:rPr>
          <w:b/>
          <w:szCs w:val="22"/>
        </w:rPr>
      </w:pPr>
      <w:r w:rsidRPr="00D442F1">
        <w:rPr>
          <w:b/>
          <w:szCs w:val="22"/>
        </w:rPr>
        <w:t>After you have been given Kymriah</w:t>
      </w:r>
    </w:p>
    <w:p w:rsidR="00CE3C79" w:rsidRPr="00D442F1" w:rsidP="00166894" w14:paraId="4AFAAF52" w14:textId="52106731">
      <w:pPr>
        <w:keepNext/>
        <w:widowControl w:val="0"/>
        <w:numPr>
          <w:ilvl w:val="12"/>
          <w:numId w:val="0"/>
        </w:numPr>
        <w:tabs>
          <w:tab w:val="clear" w:pos="567"/>
        </w:tabs>
        <w:spacing w:line="240" w:lineRule="auto"/>
        <w:rPr>
          <w:b/>
          <w:szCs w:val="22"/>
        </w:rPr>
      </w:pPr>
      <w:r w:rsidRPr="00D442F1">
        <w:rPr>
          <w:b/>
          <w:szCs w:val="22"/>
        </w:rPr>
        <w:t>Tell</w:t>
      </w:r>
      <w:r w:rsidRPr="00D442F1" w:rsidR="00495EEE">
        <w:rPr>
          <w:b/>
          <w:szCs w:val="22"/>
        </w:rPr>
        <w:t xml:space="preserve"> your doctor or nurse </w:t>
      </w:r>
      <w:r w:rsidRPr="00D442F1" w:rsidR="00114C65">
        <w:rPr>
          <w:b/>
          <w:szCs w:val="22"/>
        </w:rPr>
        <w:t>im</w:t>
      </w:r>
      <w:r w:rsidRPr="00D442F1" w:rsidR="003046EB">
        <w:rPr>
          <w:b/>
          <w:szCs w:val="22"/>
        </w:rPr>
        <w:t>mediately</w:t>
      </w:r>
      <w:r w:rsidRPr="00D442F1" w:rsidR="00987F79">
        <w:rPr>
          <w:b/>
          <w:szCs w:val="22"/>
        </w:rPr>
        <w:t xml:space="preserve"> </w:t>
      </w:r>
      <w:r w:rsidRPr="00D442F1" w:rsidR="00495EEE">
        <w:rPr>
          <w:b/>
          <w:szCs w:val="22"/>
        </w:rPr>
        <w:t xml:space="preserve">if you have </w:t>
      </w:r>
      <w:r w:rsidRPr="00D442F1" w:rsidR="003046EB">
        <w:rPr>
          <w:b/>
          <w:szCs w:val="22"/>
        </w:rPr>
        <w:t>any</w:t>
      </w:r>
      <w:r w:rsidRPr="00D442F1" w:rsidR="00495EEE">
        <w:rPr>
          <w:b/>
          <w:szCs w:val="22"/>
        </w:rPr>
        <w:t xml:space="preserve"> of</w:t>
      </w:r>
      <w:r w:rsidRPr="00D442F1" w:rsidR="003046EB">
        <w:rPr>
          <w:b/>
          <w:szCs w:val="22"/>
        </w:rPr>
        <w:t xml:space="preserve"> the following</w:t>
      </w:r>
      <w:r w:rsidRPr="00D442F1">
        <w:rPr>
          <w:b/>
          <w:noProof/>
          <w:szCs w:val="22"/>
        </w:rPr>
        <w:t>:</w:t>
      </w:r>
    </w:p>
    <w:p w:rsidR="00CE3C79" w:rsidRPr="00D442F1" w:rsidP="00166894" w14:paraId="0E24B91B" w14:textId="77777777">
      <w:pPr>
        <w:widowControl w:val="0"/>
        <w:numPr>
          <w:ilvl w:val="0"/>
          <w:numId w:val="11"/>
        </w:numPr>
        <w:tabs>
          <w:tab w:val="clear" w:pos="567"/>
        </w:tabs>
        <w:spacing w:line="240" w:lineRule="auto"/>
        <w:ind w:left="568" w:hanging="568"/>
        <w:rPr>
          <w:noProof/>
          <w:szCs w:val="22"/>
        </w:rPr>
      </w:pPr>
      <w:r w:rsidRPr="00D442F1">
        <w:rPr>
          <w:szCs w:val="22"/>
        </w:rPr>
        <w:t xml:space="preserve">Fever, which may be a symptom of an infection. </w:t>
      </w:r>
      <w:r w:rsidRPr="00D442F1">
        <w:rPr>
          <w:szCs w:val="22"/>
        </w:rPr>
        <w:t xml:space="preserve">Your </w:t>
      </w:r>
      <w:r w:rsidRPr="00D442F1">
        <w:rPr>
          <w:noProof/>
          <w:szCs w:val="22"/>
        </w:rPr>
        <w:t>doctor will regularly check your blood counts as the number of blood cells and other blood components</w:t>
      </w:r>
      <w:r w:rsidRPr="00D442F1" w:rsidR="000F10FC">
        <w:rPr>
          <w:noProof/>
          <w:szCs w:val="22"/>
        </w:rPr>
        <w:t xml:space="preserve"> may decrease</w:t>
      </w:r>
      <w:r w:rsidRPr="00D442F1">
        <w:rPr>
          <w:noProof/>
          <w:szCs w:val="22"/>
        </w:rPr>
        <w:t>.</w:t>
      </w:r>
    </w:p>
    <w:p w:rsidR="000F10FC" w:rsidRPr="00D442F1" w:rsidP="00166894" w14:paraId="31DDEBE5" w14:textId="77777777">
      <w:pPr>
        <w:widowControl w:val="0"/>
        <w:numPr>
          <w:ilvl w:val="0"/>
          <w:numId w:val="11"/>
        </w:numPr>
        <w:tabs>
          <w:tab w:val="clear" w:pos="567"/>
        </w:tabs>
        <w:spacing w:line="240" w:lineRule="auto"/>
        <w:ind w:left="568" w:hanging="568"/>
        <w:rPr>
          <w:szCs w:val="22"/>
        </w:rPr>
      </w:pPr>
      <w:r w:rsidRPr="00D442F1">
        <w:rPr>
          <w:szCs w:val="22"/>
        </w:rPr>
        <w:t>Take your temperature twice a day for 3</w:t>
      </w:r>
      <w:r w:rsidRPr="00D442F1">
        <w:rPr>
          <w:szCs w:val="22"/>
        </w:rPr>
        <w:noBreakHyphen/>
        <w:t>4 weeks after treatment with Kymriah. If your temperature is high, see your doctor immediately.</w:t>
      </w:r>
    </w:p>
    <w:p w:rsidR="00495EEE" w:rsidRPr="00D442F1" w:rsidP="00166894" w14:paraId="29AF74AD" w14:textId="77777777">
      <w:pPr>
        <w:widowControl w:val="0"/>
        <w:numPr>
          <w:ilvl w:val="0"/>
          <w:numId w:val="11"/>
        </w:numPr>
        <w:tabs>
          <w:tab w:val="clear" w:pos="567"/>
        </w:tabs>
        <w:spacing w:line="240" w:lineRule="auto"/>
        <w:ind w:left="568" w:hanging="568"/>
        <w:rPr>
          <w:szCs w:val="22"/>
        </w:rPr>
      </w:pPr>
      <w:r w:rsidRPr="00D442F1">
        <w:rPr>
          <w:szCs w:val="22"/>
        </w:rPr>
        <w:t>Extreme tiredness, weakness and shortness of breath, which may be symptoms of a lack of red blood cells.</w:t>
      </w:r>
    </w:p>
    <w:p w:rsidR="00495EEE" w:rsidRPr="00D442F1" w:rsidP="00166894" w14:paraId="4B1BEB70" w14:textId="77777777">
      <w:pPr>
        <w:widowControl w:val="0"/>
        <w:numPr>
          <w:ilvl w:val="0"/>
          <w:numId w:val="11"/>
        </w:numPr>
        <w:tabs>
          <w:tab w:val="clear" w:pos="567"/>
        </w:tabs>
        <w:spacing w:line="240" w:lineRule="auto"/>
        <w:ind w:left="568" w:hanging="568"/>
        <w:rPr>
          <w:szCs w:val="22"/>
        </w:rPr>
      </w:pPr>
      <w:r w:rsidRPr="00D442F1">
        <w:rPr>
          <w:szCs w:val="22"/>
        </w:rPr>
        <w:t>Bleeding or bruising more easily, which may be symptoms of low levels of cells in the blood known as platelets.</w:t>
      </w:r>
    </w:p>
    <w:p w:rsidR="00987F79" w:rsidRPr="00D442F1" w:rsidP="00880B5B" w14:paraId="0923F252" w14:textId="77777777">
      <w:pPr>
        <w:widowControl w:val="0"/>
        <w:tabs>
          <w:tab w:val="clear" w:pos="567"/>
        </w:tabs>
        <w:spacing w:line="240" w:lineRule="auto"/>
        <w:rPr>
          <w:noProof/>
          <w:szCs w:val="22"/>
        </w:rPr>
      </w:pPr>
    </w:p>
    <w:p w:rsidR="007053DB" w:rsidRPr="00D442F1" w:rsidP="00880B5B" w14:paraId="1DD42214" w14:textId="19F9A739">
      <w:pPr>
        <w:widowControl w:val="0"/>
        <w:tabs>
          <w:tab w:val="clear" w:pos="567"/>
        </w:tabs>
        <w:spacing w:line="240" w:lineRule="auto"/>
      </w:pPr>
      <w:r w:rsidRPr="00D442F1">
        <w:rPr>
          <w:noProof/>
          <w:szCs w:val="22"/>
        </w:rPr>
        <w:t>There may be an effect on the results of some types of HIV test – ask your doctor about this.</w:t>
      </w:r>
    </w:p>
    <w:p w:rsidR="00987F79" w:rsidRPr="00D442F1" w:rsidP="00880B5B" w14:paraId="6E2C1714" w14:textId="77777777">
      <w:pPr>
        <w:widowControl w:val="0"/>
        <w:tabs>
          <w:tab w:val="clear" w:pos="567"/>
        </w:tabs>
        <w:spacing w:line="240" w:lineRule="auto"/>
      </w:pPr>
    </w:p>
    <w:p w:rsidR="007053DB" w:rsidRPr="00385FB9" w:rsidP="00880B5B" w14:paraId="2C7E54DA" w14:textId="77777777">
      <w:pPr>
        <w:widowControl w:val="0"/>
        <w:tabs>
          <w:tab w:val="clear" w:pos="567"/>
        </w:tabs>
        <w:spacing w:line="240" w:lineRule="auto"/>
        <w:rPr>
          <w:noProof/>
          <w:szCs w:val="22"/>
        </w:rPr>
      </w:pPr>
      <w:r w:rsidRPr="00D442F1">
        <w:t xml:space="preserve">Your doctor will regularly monitor </w:t>
      </w:r>
      <w:r w:rsidRPr="00385FB9">
        <w:t xml:space="preserve">your blood counts after you receive Kymriah as you may experience a reduction in the number of blood cells and </w:t>
      </w:r>
      <w:r w:rsidRPr="00385FB9" w:rsidR="00B04E83">
        <w:t xml:space="preserve">other </w:t>
      </w:r>
      <w:r w:rsidRPr="00385FB9">
        <w:t>blood components</w:t>
      </w:r>
      <w:r w:rsidRPr="00385FB9" w:rsidR="00987F79">
        <w:t>.</w:t>
      </w:r>
    </w:p>
    <w:p w:rsidR="007053DB" w:rsidRPr="00385FB9" w:rsidP="00880B5B" w14:paraId="0589E8F8" w14:textId="77777777">
      <w:pPr>
        <w:widowControl w:val="0"/>
        <w:tabs>
          <w:tab w:val="clear" w:pos="567"/>
        </w:tabs>
        <w:spacing w:line="240" w:lineRule="auto"/>
        <w:rPr>
          <w:noProof/>
          <w:szCs w:val="22"/>
        </w:rPr>
      </w:pPr>
    </w:p>
    <w:p w:rsidR="005664CC" w:rsidRPr="00385FB9" w:rsidP="00880B5B" w14:paraId="16BB274C" w14:textId="4F99F5E1">
      <w:pPr>
        <w:widowControl w:val="0"/>
        <w:tabs>
          <w:tab w:val="clear" w:pos="567"/>
        </w:tabs>
        <w:spacing w:line="240" w:lineRule="auto"/>
        <w:rPr>
          <w:noProof/>
          <w:szCs w:val="22"/>
        </w:rPr>
      </w:pPr>
      <w:r w:rsidRPr="00385FB9">
        <w:rPr>
          <w:noProof/>
          <w:szCs w:val="22"/>
        </w:rPr>
        <w:t>Do not donate blood, organs, tissues or cells.</w:t>
      </w:r>
    </w:p>
    <w:p w:rsidR="00CE3C79" w:rsidRPr="00385FB9" w:rsidP="00166894" w14:paraId="24DF40BD" w14:textId="77777777">
      <w:pPr>
        <w:widowControl w:val="0"/>
        <w:tabs>
          <w:tab w:val="clear" w:pos="567"/>
        </w:tabs>
        <w:spacing w:line="240" w:lineRule="auto"/>
        <w:ind w:right="-2"/>
        <w:rPr>
          <w:noProof/>
          <w:szCs w:val="22"/>
        </w:rPr>
      </w:pPr>
    </w:p>
    <w:p w:rsidR="00CE3C79" w:rsidRPr="00D442F1" w:rsidP="00166894" w14:paraId="23C359FE" w14:textId="77777777">
      <w:pPr>
        <w:keepNext/>
        <w:widowControl w:val="0"/>
        <w:numPr>
          <w:ilvl w:val="12"/>
          <w:numId w:val="0"/>
        </w:numPr>
        <w:tabs>
          <w:tab w:val="clear" w:pos="567"/>
        </w:tabs>
        <w:spacing w:line="240" w:lineRule="auto"/>
        <w:rPr>
          <w:b/>
          <w:bCs/>
          <w:noProof/>
          <w:szCs w:val="22"/>
        </w:rPr>
      </w:pPr>
      <w:r w:rsidRPr="00385FB9">
        <w:rPr>
          <w:b/>
          <w:noProof/>
          <w:szCs w:val="22"/>
        </w:rPr>
        <w:t>Children</w:t>
      </w:r>
      <w:r w:rsidRPr="00385FB9">
        <w:rPr>
          <w:b/>
          <w:bCs/>
          <w:noProof/>
          <w:szCs w:val="22"/>
        </w:rPr>
        <w:t xml:space="preserve"> and </w:t>
      </w:r>
      <w:r w:rsidRPr="00385FB9" w:rsidR="000F10FC">
        <w:rPr>
          <w:b/>
          <w:bCs/>
          <w:noProof/>
          <w:szCs w:val="22"/>
        </w:rPr>
        <w:t>adolescents</w:t>
      </w:r>
    </w:p>
    <w:p w:rsidR="0035492E" w:rsidRPr="00D442F1" w:rsidP="00166894" w14:paraId="18603C1E" w14:textId="1991056F">
      <w:pPr>
        <w:widowControl w:val="0"/>
        <w:numPr>
          <w:ilvl w:val="0"/>
          <w:numId w:val="12"/>
        </w:numPr>
        <w:tabs>
          <w:tab w:val="clear" w:pos="567"/>
        </w:tabs>
        <w:spacing w:line="240" w:lineRule="auto"/>
        <w:ind w:left="567" w:hanging="567"/>
        <w:rPr>
          <w:bCs/>
          <w:noProof/>
          <w:szCs w:val="22"/>
        </w:rPr>
      </w:pPr>
      <w:r w:rsidRPr="00D442F1">
        <w:rPr>
          <w:bCs/>
          <w:noProof/>
          <w:szCs w:val="22"/>
        </w:rPr>
        <w:t xml:space="preserve">No formal studies have been performed in </w:t>
      </w:r>
      <w:r w:rsidRPr="00D442F1" w:rsidR="00905D16">
        <w:rPr>
          <w:bCs/>
          <w:noProof/>
          <w:szCs w:val="22"/>
        </w:rPr>
        <w:t>paediatric patients</w:t>
      </w:r>
      <w:r w:rsidRPr="00D442F1" w:rsidR="006A0106">
        <w:rPr>
          <w:bCs/>
          <w:noProof/>
          <w:szCs w:val="22"/>
        </w:rPr>
        <w:t xml:space="preserve"> </w:t>
      </w:r>
      <w:r w:rsidRPr="00D442F1">
        <w:rPr>
          <w:bCs/>
          <w:noProof/>
          <w:szCs w:val="22"/>
        </w:rPr>
        <w:t>below 3</w:t>
      </w:r>
      <w:r w:rsidRPr="00D442F1" w:rsidR="006A0106">
        <w:rPr>
          <w:bCs/>
          <w:noProof/>
          <w:szCs w:val="22"/>
        </w:rPr>
        <w:t> </w:t>
      </w:r>
      <w:r w:rsidRPr="00D442F1">
        <w:rPr>
          <w:bCs/>
          <w:noProof/>
          <w:szCs w:val="22"/>
        </w:rPr>
        <w:t>years of age in B</w:t>
      </w:r>
      <w:r w:rsidRPr="00D442F1" w:rsidR="006A0106">
        <w:rPr>
          <w:bCs/>
          <w:noProof/>
          <w:szCs w:val="22"/>
        </w:rPr>
        <w:noBreakHyphen/>
      </w:r>
      <w:r w:rsidRPr="00D442F1">
        <w:rPr>
          <w:bCs/>
          <w:noProof/>
          <w:szCs w:val="22"/>
        </w:rPr>
        <w:t>cell ALL.</w:t>
      </w:r>
    </w:p>
    <w:p w:rsidR="00CE3C79" w:rsidRPr="00D442F1" w:rsidP="00166894" w14:paraId="3EEF1261" w14:textId="77777777">
      <w:pPr>
        <w:widowControl w:val="0"/>
        <w:numPr>
          <w:ilvl w:val="0"/>
          <w:numId w:val="12"/>
        </w:numPr>
        <w:tabs>
          <w:tab w:val="clear" w:pos="567"/>
        </w:tabs>
        <w:spacing w:line="240" w:lineRule="auto"/>
        <w:ind w:left="567" w:hanging="567"/>
        <w:rPr>
          <w:bCs/>
          <w:noProof/>
          <w:szCs w:val="22"/>
        </w:rPr>
      </w:pPr>
      <w:r w:rsidRPr="00D442F1">
        <w:rPr>
          <w:bCs/>
          <w:noProof/>
          <w:szCs w:val="22"/>
        </w:rPr>
        <w:t xml:space="preserve">Kymriah should not be used in children and </w:t>
      </w:r>
      <w:r w:rsidRPr="00D442F1" w:rsidR="000F10FC">
        <w:rPr>
          <w:bCs/>
          <w:noProof/>
          <w:szCs w:val="22"/>
        </w:rPr>
        <w:t>adolescents</w:t>
      </w:r>
      <w:r w:rsidRPr="00D442F1">
        <w:rPr>
          <w:bCs/>
          <w:noProof/>
          <w:szCs w:val="22"/>
        </w:rPr>
        <w:t xml:space="preserve"> below 18 years of age to treat DLBCL</w:t>
      </w:r>
      <w:r w:rsidRPr="00D442F1">
        <w:rPr>
          <w:noProof/>
          <w:szCs w:val="22"/>
        </w:rPr>
        <w:t>. This is because Kymriah has</w:t>
      </w:r>
      <w:r w:rsidRPr="00D442F1">
        <w:rPr>
          <w:szCs w:val="22"/>
        </w:rPr>
        <w:t xml:space="preserve"> not </w:t>
      </w:r>
      <w:r w:rsidRPr="00D442F1">
        <w:rPr>
          <w:noProof/>
          <w:szCs w:val="22"/>
        </w:rPr>
        <w:t>been studied</w:t>
      </w:r>
      <w:r w:rsidRPr="00D442F1">
        <w:rPr>
          <w:szCs w:val="22"/>
        </w:rPr>
        <w:t xml:space="preserve"> in this age group.</w:t>
      </w:r>
    </w:p>
    <w:p w:rsidR="00CE3C79" w:rsidRPr="00D442F1" w:rsidP="00166894" w14:paraId="74A0F804" w14:textId="77777777">
      <w:pPr>
        <w:widowControl w:val="0"/>
        <w:tabs>
          <w:tab w:val="clear" w:pos="567"/>
        </w:tabs>
        <w:spacing w:line="240" w:lineRule="auto"/>
        <w:ind w:right="-2"/>
        <w:rPr>
          <w:szCs w:val="22"/>
        </w:rPr>
      </w:pPr>
    </w:p>
    <w:p w:rsidR="00CE3C79" w:rsidRPr="00D442F1" w:rsidP="00166894" w14:paraId="5E57970E" w14:textId="77777777">
      <w:pPr>
        <w:keepNext/>
        <w:widowControl w:val="0"/>
        <w:numPr>
          <w:ilvl w:val="12"/>
          <w:numId w:val="0"/>
        </w:numPr>
        <w:tabs>
          <w:tab w:val="clear" w:pos="567"/>
        </w:tabs>
        <w:spacing w:line="240" w:lineRule="auto"/>
        <w:rPr>
          <w:szCs w:val="22"/>
        </w:rPr>
      </w:pPr>
      <w:r w:rsidRPr="00D442F1">
        <w:rPr>
          <w:b/>
          <w:szCs w:val="22"/>
        </w:rPr>
        <w:t xml:space="preserve">Other </w:t>
      </w:r>
      <w:r w:rsidRPr="00D442F1">
        <w:rPr>
          <w:b/>
          <w:noProof/>
          <w:szCs w:val="22"/>
        </w:rPr>
        <w:t>medicines</w:t>
      </w:r>
      <w:r w:rsidRPr="00D442F1">
        <w:rPr>
          <w:b/>
          <w:szCs w:val="22"/>
        </w:rPr>
        <w:t xml:space="preserve"> and Kymriah</w:t>
      </w:r>
    </w:p>
    <w:p w:rsidR="00CE3C79" w:rsidRPr="00D442F1" w:rsidP="00166894" w14:paraId="614AD99D" w14:textId="77777777">
      <w:pPr>
        <w:widowControl w:val="0"/>
        <w:numPr>
          <w:ilvl w:val="12"/>
          <w:numId w:val="0"/>
        </w:numPr>
        <w:tabs>
          <w:tab w:val="clear" w:pos="567"/>
        </w:tabs>
        <w:spacing w:line="240" w:lineRule="auto"/>
        <w:ind w:right="-2"/>
        <w:rPr>
          <w:szCs w:val="22"/>
        </w:rPr>
      </w:pPr>
      <w:r w:rsidRPr="00D442F1">
        <w:rPr>
          <w:szCs w:val="22"/>
        </w:rPr>
        <w:t xml:space="preserve">Tell your doctor </w:t>
      </w:r>
      <w:r w:rsidRPr="00D442F1">
        <w:rPr>
          <w:noProof/>
          <w:szCs w:val="22"/>
        </w:rPr>
        <w:t xml:space="preserve">if you </w:t>
      </w:r>
      <w:r w:rsidRPr="00D442F1">
        <w:rPr>
          <w:szCs w:val="22"/>
        </w:rPr>
        <w:t>are taking, have recently taken</w:t>
      </w:r>
      <w:r w:rsidRPr="00D442F1">
        <w:rPr>
          <w:noProof/>
          <w:szCs w:val="22"/>
        </w:rPr>
        <w:t xml:space="preserve"> or might take any other medicines, including </w:t>
      </w:r>
      <w:r w:rsidRPr="00D442F1">
        <w:rPr>
          <w:szCs w:val="22"/>
        </w:rPr>
        <w:t>medicines obtained without a prescription. This is because other medicines can affect the way Kymriah works.</w:t>
      </w:r>
    </w:p>
    <w:p w:rsidR="00CE3C79" w:rsidRPr="00D442F1" w:rsidP="00166894" w14:paraId="0F8B3A99" w14:textId="77777777">
      <w:pPr>
        <w:widowControl w:val="0"/>
        <w:numPr>
          <w:ilvl w:val="12"/>
          <w:numId w:val="0"/>
        </w:numPr>
        <w:tabs>
          <w:tab w:val="clear" w:pos="567"/>
        </w:tabs>
        <w:spacing w:line="240" w:lineRule="auto"/>
        <w:ind w:right="-2"/>
        <w:rPr>
          <w:szCs w:val="22"/>
        </w:rPr>
      </w:pPr>
    </w:p>
    <w:p w:rsidR="00CE3C79" w:rsidRPr="00D442F1" w:rsidP="00166894" w14:paraId="6B53BBE6" w14:textId="77777777">
      <w:pPr>
        <w:keepNext/>
        <w:widowControl w:val="0"/>
        <w:numPr>
          <w:ilvl w:val="12"/>
          <w:numId w:val="0"/>
        </w:numPr>
        <w:tabs>
          <w:tab w:val="clear" w:pos="567"/>
        </w:tabs>
        <w:spacing w:line="240" w:lineRule="auto"/>
        <w:rPr>
          <w:szCs w:val="22"/>
        </w:rPr>
      </w:pPr>
      <w:r w:rsidRPr="00D442F1">
        <w:rPr>
          <w:szCs w:val="22"/>
        </w:rPr>
        <w:t xml:space="preserve">In particular, you must not be given </w:t>
      </w:r>
      <w:r w:rsidRPr="00D442F1" w:rsidR="007C72A2">
        <w:rPr>
          <w:szCs w:val="22"/>
        </w:rPr>
        <w:t xml:space="preserve">certain vaccines called </w:t>
      </w:r>
      <w:r w:rsidRPr="00D442F1">
        <w:rPr>
          <w:szCs w:val="22"/>
        </w:rPr>
        <w:t>live vaccine</w:t>
      </w:r>
      <w:r w:rsidRPr="00D442F1" w:rsidR="007C72A2">
        <w:rPr>
          <w:szCs w:val="22"/>
        </w:rPr>
        <w:t>s</w:t>
      </w:r>
      <w:r w:rsidRPr="00D442F1">
        <w:rPr>
          <w:szCs w:val="22"/>
        </w:rPr>
        <w:t>:</w:t>
      </w:r>
    </w:p>
    <w:p w:rsidR="00CE3C79" w:rsidRPr="00D442F1" w:rsidP="00166894" w14:paraId="065C48DD" w14:textId="77777777">
      <w:pPr>
        <w:widowControl w:val="0"/>
        <w:numPr>
          <w:ilvl w:val="0"/>
          <w:numId w:val="12"/>
        </w:numPr>
        <w:tabs>
          <w:tab w:val="clear" w:pos="567"/>
        </w:tabs>
        <w:spacing w:line="240" w:lineRule="auto"/>
        <w:ind w:left="567" w:hanging="567"/>
        <w:rPr>
          <w:szCs w:val="22"/>
        </w:rPr>
      </w:pPr>
      <w:r w:rsidRPr="00D442F1">
        <w:rPr>
          <w:szCs w:val="22"/>
        </w:rPr>
        <w:t xml:space="preserve">in </w:t>
      </w:r>
      <w:r w:rsidRPr="00D442F1">
        <w:rPr>
          <w:szCs w:val="22"/>
        </w:rPr>
        <w:t xml:space="preserve">the </w:t>
      </w:r>
      <w:r w:rsidRPr="00D442F1" w:rsidR="003150C7">
        <w:rPr>
          <w:szCs w:val="22"/>
        </w:rPr>
        <w:t>6</w:t>
      </w:r>
      <w:r w:rsidRPr="00D442F1">
        <w:rPr>
          <w:szCs w:val="22"/>
        </w:rPr>
        <w:t> weeks before you are given the short course of chemotherapy (called lymphodepleting chemotherapy) to prepare your body for the Kymriah cells.</w:t>
      </w:r>
    </w:p>
    <w:p w:rsidR="00CE3C79" w:rsidRPr="00D442F1" w:rsidP="00166894" w14:paraId="1D6405C0" w14:textId="77777777">
      <w:pPr>
        <w:widowControl w:val="0"/>
        <w:numPr>
          <w:ilvl w:val="0"/>
          <w:numId w:val="12"/>
        </w:numPr>
        <w:tabs>
          <w:tab w:val="clear" w:pos="567"/>
        </w:tabs>
        <w:spacing w:line="240" w:lineRule="auto"/>
        <w:ind w:left="567" w:hanging="567"/>
        <w:rPr>
          <w:szCs w:val="22"/>
        </w:rPr>
      </w:pPr>
      <w:r w:rsidRPr="00D442F1">
        <w:rPr>
          <w:szCs w:val="22"/>
        </w:rPr>
        <w:t>d</w:t>
      </w:r>
      <w:r w:rsidRPr="00D442F1">
        <w:rPr>
          <w:szCs w:val="22"/>
        </w:rPr>
        <w:t>uring Kymriah treatment.</w:t>
      </w:r>
    </w:p>
    <w:p w:rsidR="00CE3C79" w:rsidRPr="00D442F1" w:rsidP="00166894" w14:paraId="213D6AD2" w14:textId="77777777">
      <w:pPr>
        <w:keepNext/>
        <w:widowControl w:val="0"/>
        <w:numPr>
          <w:ilvl w:val="0"/>
          <w:numId w:val="12"/>
        </w:numPr>
        <w:tabs>
          <w:tab w:val="clear" w:pos="567"/>
        </w:tabs>
        <w:spacing w:line="240" w:lineRule="auto"/>
        <w:ind w:left="567" w:hanging="567"/>
        <w:rPr>
          <w:szCs w:val="22"/>
        </w:rPr>
      </w:pPr>
      <w:r w:rsidRPr="00D442F1">
        <w:rPr>
          <w:szCs w:val="22"/>
        </w:rPr>
        <w:t>a</w:t>
      </w:r>
      <w:r w:rsidRPr="00D442F1">
        <w:rPr>
          <w:szCs w:val="22"/>
        </w:rPr>
        <w:t>fter treatment while the immune system is recovering.</w:t>
      </w:r>
    </w:p>
    <w:p w:rsidR="00CE3C79" w:rsidRPr="00D442F1" w:rsidP="00166894" w14:paraId="4C37CC7C" w14:textId="77777777">
      <w:pPr>
        <w:widowControl w:val="0"/>
        <w:tabs>
          <w:tab w:val="clear" w:pos="567"/>
        </w:tabs>
        <w:spacing w:line="240" w:lineRule="auto"/>
        <w:rPr>
          <w:szCs w:val="22"/>
        </w:rPr>
      </w:pPr>
      <w:r w:rsidRPr="00D442F1">
        <w:rPr>
          <w:szCs w:val="22"/>
        </w:rPr>
        <w:t>Talk to your doctor if you need to have any vaccinations.</w:t>
      </w:r>
    </w:p>
    <w:p w:rsidR="00D83B4F" w:rsidRPr="00D442F1" w:rsidP="00166894" w14:paraId="13AC94DB" w14:textId="77777777">
      <w:pPr>
        <w:widowControl w:val="0"/>
        <w:tabs>
          <w:tab w:val="clear" w:pos="567"/>
        </w:tabs>
        <w:spacing w:line="240" w:lineRule="auto"/>
        <w:ind w:right="28"/>
        <w:rPr>
          <w:rFonts w:eastAsia="SimSun"/>
          <w:szCs w:val="22"/>
          <w:lang w:eastAsia="zh-CN"/>
        </w:rPr>
      </w:pPr>
    </w:p>
    <w:p w:rsidR="00D83B4F" w:rsidRPr="00D442F1" w:rsidP="00166894" w14:paraId="5ED746EF" w14:textId="77777777">
      <w:pPr>
        <w:widowControl w:val="0"/>
        <w:tabs>
          <w:tab w:val="clear" w:pos="567"/>
        </w:tabs>
        <w:spacing w:line="240" w:lineRule="auto"/>
        <w:ind w:right="28"/>
        <w:rPr>
          <w:rFonts w:eastAsia="SimSun"/>
          <w:szCs w:val="22"/>
          <w:lang w:eastAsia="zh-CN"/>
        </w:rPr>
      </w:pPr>
      <w:r w:rsidRPr="00D442F1">
        <w:rPr>
          <w:rFonts w:eastAsia="SimSun"/>
          <w:szCs w:val="22"/>
          <w:lang w:eastAsia="zh-CN"/>
        </w:rPr>
        <w:t>Before</w:t>
      </w:r>
      <w:r w:rsidRPr="00D442F1">
        <w:rPr>
          <w:rFonts w:eastAsia="SimSun"/>
          <w:spacing w:val="-6"/>
          <w:szCs w:val="22"/>
          <w:lang w:eastAsia="zh-CN"/>
        </w:rPr>
        <w:t xml:space="preserve"> </w:t>
      </w:r>
      <w:r w:rsidRPr="00D442F1">
        <w:rPr>
          <w:rFonts w:eastAsia="SimSun"/>
          <w:spacing w:val="1"/>
          <w:szCs w:val="22"/>
          <w:lang w:eastAsia="zh-CN"/>
        </w:rPr>
        <w:t>y</w:t>
      </w:r>
      <w:r w:rsidRPr="00D442F1">
        <w:rPr>
          <w:rFonts w:eastAsia="SimSun"/>
          <w:szCs w:val="22"/>
          <w:lang w:eastAsia="zh-CN"/>
        </w:rPr>
        <w:t>ou</w:t>
      </w:r>
      <w:r w:rsidRPr="00D442F1">
        <w:rPr>
          <w:rFonts w:eastAsia="SimSun"/>
          <w:spacing w:val="-6"/>
          <w:szCs w:val="22"/>
          <w:lang w:eastAsia="zh-CN"/>
        </w:rPr>
        <w:t xml:space="preserve"> </w:t>
      </w:r>
      <w:r w:rsidRPr="00D442F1">
        <w:rPr>
          <w:rFonts w:eastAsia="SimSun"/>
          <w:szCs w:val="22"/>
          <w:lang w:eastAsia="zh-CN"/>
        </w:rPr>
        <w:t>are</w:t>
      </w:r>
      <w:r w:rsidRPr="00D442F1">
        <w:rPr>
          <w:rFonts w:eastAsia="SimSun"/>
          <w:spacing w:val="-6"/>
          <w:szCs w:val="22"/>
          <w:lang w:eastAsia="zh-CN"/>
        </w:rPr>
        <w:t xml:space="preserve"> </w:t>
      </w:r>
      <w:r w:rsidRPr="00D442F1">
        <w:rPr>
          <w:rFonts w:eastAsia="SimSun"/>
          <w:szCs w:val="22"/>
          <w:lang w:eastAsia="zh-CN"/>
        </w:rPr>
        <w:t>given</w:t>
      </w:r>
      <w:r w:rsidRPr="00D442F1">
        <w:rPr>
          <w:rFonts w:eastAsia="SimSun"/>
          <w:spacing w:val="-5"/>
          <w:szCs w:val="22"/>
          <w:lang w:eastAsia="zh-CN"/>
        </w:rPr>
        <w:t xml:space="preserve"> </w:t>
      </w:r>
      <w:r w:rsidRPr="00D442F1">
        <w:rPr>
          <w:rFonts w:eastAsia="SimSun"/>
          <w:szCs w:val="22"/>
          <w:lang w:eastAsia="zh-CN"/>
        </w:rPr>
        <w:t>Kymriah</w:t>
      </w:r>
      <w:r w:rsidRPr="00D442F1">
        <w:rPr>
          <w:rFonts w:eastAsia="SimSun"/>
          <w:spacing w:val="-6"/>
          <w:szCs w:val="22"/>
          <w:lang w:eastAsia="zh-CN"/>
        </w:rPr>
        <w:t xml:space="preserve"> </w:t>
      </w:r>
      <w:r w:rsidRPr="00D442F1">
        <w:rPr>
          <w:rFonts w:eastAsia="SimSun"/>
          <w:szCs w:val="22"/>
          <w:lang w:eastAsia="zh-CN"/>
        </w:rPr>
        <w:t>tell</w:t>
      </w:r>
      <w:r w:rsidRPr="00D442F1">
        <w:rPr>
          <w:rFonts w:eastAsia="SimSun"/>
          <w:spacing w:val="-4"/>
          <w:szCs w:val="22"/>
          <w:lang w:eastAsia="zh-CN"/>
        </w:rPr>
        <w:t xml:space="preserve"> </w:t>
      </w:r>
      <w:r w:rsidRPr="00D442F1">
        <w:rPr>
          <w:rFonts w:eastAsia="SimSun"/>
          <w:szCs w:val="22"/>
          <w:lang w:eastAsia="zh-CN"/>
        </w:rPr>
        <w:t>your</w:t>
      </w:r>
      <w:r w:rsidRPr="00D442F1">
        <w:rPr>
          <w:rFonts w:eastAsia="SimSun"/>
          <w:spacing w:val="-5"/>
          <w:szCs w:val="22"/>
          <w:lang w:eastAsia="zh-CN"/>
        </w:rPr>
        <w:t xml:space="preserve"> </w:t>
      </w:r>
      <w:r w:rsidRPr="00D442F1">
        <w:rPr>
          <w:rFonts w:eastAsia="SimSun"/>
          <w:szCs w:val="22"/>
          <w:lang w:eastAsia="zh-CN"/>
        </w:rPr>
        <w:t>doctor</w:t>
      </w:r>
      <w:r w:rsidRPr="00D442F1">
        <w:rPr>
          <w:rFonts w:eastAsia="SimSun"/>
          <w:spacing w:val="-5"/>
          <w:szCs w:val="22"/>
          <w:lang w:eastAsia="zh-CN"/>
        </w:rPr>
        <w:t xml:space="preserve"> </w:t>
      </w:r>
      <w:r w:rsidRPr="00D442F1">
        <w:rPr>
          <w:rFonts w:eastAsia="SimSun"/>
          <w:szCs w:val="22"/>
          <w:lang w:eastAsia="zh-CN"/>
        </w:rPr>
        <w:t>or</w:t>
      </w:r>
      <w:r w:rsidRPr="00D442F1">
        <w:rPr>
          <w:rFonts w:eastAsia="SimSun"/>
          <w:spacing w:val="-6"/>
          <w:szCs w:val="22"/>
          <w:lang w:eastAsia="zh-CN"/>
        </w:rPr>
        <w:t xml:space="preserve"> </w:t>
      </w:r>
      <w:r w:rsidRPr="00D442F1">
        <w:rPr>
          <w:rFonts w:eastAsia="SimSun"/>
          <w:szCs w:val="22"/>
          <w:lang w:eastAsia="zh-CN"/>
        </w:rPr>
        <w:t>nurse</w:t>
      </w:r>
      <w:r w:rsidRPr="00D442F1">
        <w:rPr>
          <w:rFonts w:eastAsia="SimSun"/>
          <w:spacing w:val="-6"/>
          <w:szCs w:val="22"/>
          <w:lang w:eastAsia="zh-CN"/>
        </w:rPr>
        <w:t xml:space="preserve"> </w:t>
      </w:r>
      <w:r w:rsidRPr="00D442F1">
        <w:rPr>
          <w:rFonts w:eastAsia="SimSun"/>
          <w:szCs w:val="22"/>
          <w:lang w:eastAsia="zh-CN"/>
        </w:rPr>
        <w:t>if</w:t>
      </w:r>
      <w:r w:rsidRPr="00D442F1">
        <w:rPr>
          <w:rFonts w:eastAsia="SimSun"/>
          <w:spacing w:val="-6"/>
          <w:szCs w:val="22"/>
          <w:lang w:eastAsia="zh-CN"/>
        </w:rPr>
        <w:t xml:space="preserve"> </w:t>
      </w:r>
      <w:r w:rsidRPr="00D442F1">
        <w:rPr>
          <w:rFonts w:eastAsia="SimSun"/>
          <w:spacing w:val="1"/>
          <w:szCs w:val="22"/>
          <w:lang w:eastAsia="zh-CN"/>
        </w:rPr>
        <w:t>y</w:t>
      </w:r>
      <w:r w:rsidRPr="00D442F1">
        <w:rPr>
          <w:rFonts w:eastAsia="SimSun"/>
          <w:szCs w:val="22"/>
          <w:lang w:eastAsia="zh-CN"/>
        </w:rPr>
        <w:t>ou</w:t>
      </w:r>
      <w:r w:rsidRPr="00D442F1">
        <w:rPr>
          <w:rFonts w:eastAsia="SimSun"/>
          <w:spacing w:val="-5"/>
          <w:szCs w:val="22"/>
          <w:lang w:eastAsia="zh-CN"/>
        </w:rPr>
        <w:t xml:space="preserve"> </w:t>
      </w:r>
      <w:r w:rsidRPr="00D442F1">
        <w:rPr>
          <w:rFonts w:eastAsia="SimSun"/>
          <w:szCs w:val="22"/>
          <w:lang w:eastAsia="zh-CN"/>
        </w:rPr>
        <w:t>are</w:t>
      </w:r>
      <w:r w:rsidRPr="00D442F1">
        <w:rPr>
          <w:rFonts w:eastAsia="SimSun"/>
          <w:spacing w:val="-6"/>
          <w:szCs w:val="22"/>
          <w:lang w:eastAsia="zh-CN"/>
        </w:rPr>
        <w:t xml:space="preserve"> </w:t>
      </w:r>
      <w:r w:rsidRPr="00D442F1">
        <w:rPr>
          <w:rFonts w:eastAsia="SimSun"/>
          <w:szCs w:val="22"/>
          <w:lang w:eastAsia="zh-CN"/>
        </w:rPr>
        <w:t>taking</w:t>
      </w:r>
      <w:r w:rsidRPr="00D442F1">
        <w:rPr>
          <w:rFonts w:eastAsia="SimSun"/>
          <w:spacing w:val="-5"/>
          <w:szCs w:val="22"/>
          <w:lang w:eastAsia="zh-CN"/>
        </w:rPr>
        <w:t xml:space="preserve"> </w:t>
      </w:r>
      <w:r w:rsidRPr="00D442F1">
        <w:rPr>
          <w:rFonts w:eastAsia="SimSun"/>
          <w:szCs w:val="22"/>
          <w:lang w:eastAsia="zh-CN"/>
        </w:rPr>
        <w:t>any</w:t>
      </w:r>
      <w:r w:rsidRPr="00D442F1">
        <w:rPr>
          <w:rFonts w:eastAsia="SimSun"/>
          <w:spacing w:val="-5"/>
          <w:szCs w:val="22"/>
          <w:lang w:eastAsia="zh-CN"/>
        </w:rPr>
        <w:t xml:space="preserve"> </w:t>
      </w:r>
      <w:r w:rsidRPr="00D442F1">
        <w:rPr>
          <w:rFonts w:eastAsia="SimSun"/>
          <w:spacing w:val="-2"/>
          <w:szCs w:val="22"/>
          <w:lang w:eastAsia="zh-CN"/>
        </w:rPr>
        <w:t>m</w:t>
      </w:r>
      <w:r w:rsidRPr="00D442F1">
        <w:rPr>
          <w:rFonts w:eastAsia="SimSun"/>
          <w:szCs w:val="22"/>
          <w:lang w:eastAsia="zh-CN"/>
        </w:rPr>
        <w:t>edicines</w:t>
      </w:r>
      <w:r w:rsidRPr="00D442F1">
        <w:rPr>
          <w:rFonts w:eastAsia="SimSun"/>
          <w:spacing w:val="-5"/>
          <w:szCs w:val="22"/>
          <w:lang w:eastAsia="zh-CN"/>
        </w:rPr>
        <w:t xml:space="preserve"> </w:t>
      </w:r>
      <w:r w:rsidRPr="00D442F1">
        <w:rPr>
          <w:rFonts w:eastAsia="SimSun"/>
          <w:spacing w:val="1"/>
          <w:szCs w:val="22"/>
          <w:lang w:eastAsia="zh-CN"/>
        </w:rPr>
        <w:t>t</w:t>
      </w:r>
      <w:r w:rsidRPr="00D442F1">
        <w:rPr>
          <w:rFonts w:eastAsia="SimSun"/>
          <w:szCs w:val="22"/>
          <w:lang w:eastAsia="zh-CN"/>
        </w:rPr>
        <w:t>hat we</w:t>
      </w:r>
      <w:r w:rsidRPr="00D442F1">
        <w:rPr>
          <w:rFonts w:eastAsia="SimSun"/>
          <w:spacing w:val="-1"/>
          <w:szCs w:val="22"/>
          <w:lang w:eastAsia="zh-CN"/>
        </w:rPr>
        <w:t>a</w:t>
      </w:r>
      <w:r w:rsidRPr="00D442F1">
        <w:rPr>
          <w:rFonts w:eastAsia="SimSun"/>
          <w:szCs w:val="22"/>
          <w:lang w:eastAsia="zh-CN"/>
        </w:rPr>
        <w:t>ken</w:t>
      </w:r>
      <w:r w:rsidRPr="00D442F1">
        <w:rPr>
          <w:rFonts w:eastAsia="SimSun"/>
          <w:spacing w:val="-7"/>
          <w:szCs w:val="22"/>
          <w:lang w:eastAsia="zh-CN"/>
        </w:rPr>
        <w:t xml:space="preserve"> </w:t>
      </w:r>
      <w:r w:rsidRPr="00D442F1">
        <w:rPr>
          <w:rFonts w:eastAsia="SimSun"/>
          <w:spacing w:val="1"/>
          <w:szCs w:val="22"/>
          <w:lang w:eastAsia="zh-CN"/>
        </w:rPr>
        <w:t>y</w:t>
      </w:r>
      <w:r w:rsidRPr="00D442F1">
        <w:rPr>
          <w:rFonts w:eastAsia="SimSun"/>
          <w:szCs w:val="22"/>
          <w:lang w:eastAsia="zh-CN"/>
        </w:rPr>
        <w:t xml:space="preserve">our </w:t>
      </w:r>
      <w:r w:rsidRPr="00D442F1">
        <w:rPr>
          <w:rFonts w:eastAsia="SimSun"/>
          <w:spacing w:val="1"/>
          <w:szCs w:val="22"/>
          <w:lang w:eastAsia="zh-CN"/>
        </w:rPr>
        <w:t>i</w:t>
      </w:r>
      <w:r w:rsidRPr="00D442F1">
        <w:rPr>
          <w:rFonts w:eastAsia="SimSun"/>
          <w:szCs w:val="22"/>
          <w:lang w:eastAsia="zh-CN"/>
        </w:rPr>
        <w:t>m</w:t>
      </w:r>
      <w:r w:rsidRPr="00D442F1">
        <w:rPr>
          <w:rFonts w:eastAsia="SimSun"/>
          <w:spacing w:val="-3"/>
          <w:szCs w:val="22"/>
          <w:lang w:eastAsia="zh-CN"/>
        </w:rPr>
        <w:t>m</w:t>
      </w:r>
      <w:r w:rsidRPr="00D442F1">
        <w:rPr>
          <w:rFonts w:eastAsia="SimSun"/>
          <w:szCs w:val="22"/>
          <w:lang w:eastAsia="zh-CN"/>
        </w:rPr>
        <w:t>une</w:t>
      </w:r>
      <w:r w:rsidRPr="00D442F1">
        <w:rPr>
          <w:rFonts w:eastAsia="SimSun"/>
          <w:spacing w:val="-7"/>
          <w:szCs w:val="22"/>
          <w:lang w:eastAsia="zh-CN"/>
        </w:rPr>
        <w:t xml:space="preserve"> </w:t>
      </w:r>
      <w:r w:rsidRPr="00D442F1">
        <w:rPr>
          <w:rFonts w:eastAsia="SimSun"/>
          <w:szCs w:val="22"/>
          <w:lang w:eastAsia="zh-CN"/>
        </w:rPr>
        <w:t>s</w:t>
      </w:r>
      <w:r w:rsidRPr="00D442F1">
        <w:rPr>
          <w:rFonts w:eastAsia="SimSun"/>
          <w:spacing w:val="1"/>
          <w:szCs w:val="22"/>
          <w:lang w:eastAsia="zh-CN"/>
        </w:rPr>
        <w:t>y</w:t>
      </w:r>
      <w:r w:rsidRPr="00D442F1">
        <w:rPr>
          <w:rFonts w:eastAsia="SimSun"/>
          <w:szCs w:val="22"/>
          <w:lang w:eastAsia="zh-CN"/>
        </w:rPr>
        <w:t>stem</w:t>
      </w:r>
      <w:r w:rsidRPr="00D442F1">
        <w:rPr>
          <w:rFonts w:eastAsia="SimSun"/>
          <w:spacing w:val="-7"/>
          <w:szCs w:val="22"/>
          <w:lang w:eastAsia="zh-CN"/>
        </w:rPr>
        <w:t xml:space="preserve"> </w:t>
      </w:r>
      <w:r w:rsidRPr="00D442F1">
        <w:rPr>
          <w:rFonts w:eastAsia="SimSun"/>
          <w:szCs w:val="22"/>
          <w:lang w:eastAsia="zh-CN"/>
        </w:rPr>
        <w:t>such</w:t>
      </w:r>
      <w:r w:rsidRPr="00D442F1">
        <w:rPr>
          <w:rFonts w:eastAsia="SimSun"/>
          <w:spacing w:val="-6"/>
          <w:szCs w:val="22"/>
          <w:lang w:eastAsia="zh-CN"/>
        </w:rPr>
        <w:t xml:space="preserve"> </w:t>
      </w:r>
      <w:r w:rsidRPr="00D442F1">
        <w:rPr>
          <w:rFonts w:eastAsia="SimSun"/>
          <w:szCs w:val="22"/>
          <w:lang w:eastAsia="zh-CN"/>
        </w:rPr>
        <w:t>as</w:t>
      </w:r>
      <w:r w:rsidRPr="00D442F1">
        <w:rPr>
          <w:rFonts w:eastAsia="SimSun"/>
          <w:spacing w:val="-7"/>
          <w:szCs w:val="22"/>
          <w:lang w:eastAsia="zh-CN"/>
        </w:rPr>
        <w:t xml:space="preserve"> </w:t>
      </w:r>
      <w:r w:rsidRPr="00D442F1">
        <w:rPr>
          <w:rFonts w:eastAsia="SimSun"/>
          <w:szCs w:val="22"/>
          <w:lang w:eastAsia="zh-CN"/>
        </w:rPr>
        <w:t>co</w:t>
      </w:r>
      <w:r w:rsidRPr="00D442F1">
        <w:rPr>
          <w:rFonts w:eastAsia="SimSun"/>
          <w:spacing w:val="1"/>
          <w:szCs w:val="22"/>
          <w:lang w:eastAsia="zh-CN"/>
        </w:rPr>
        <w:t>r</w:t>
      </w:r>
      <w:r w:rsidRPr="00D442F1">
        <w:rPr>
          <w:rFonts w:eastAsia="SimSun"/>
          <w:szCs w:val="22"/>
          <w:lang w:eastAsia="zh-CN"/>
        </w:rPr>
        <w:t>ticosteroids,</w:t>
      </w:r>
      <w:r w:rsidRPr="00D442F1">
        <w:rPr>
          <w:rFonts w:eastAsia="SimSun"/>
          <w:spacing w:val="-7"/>
          <w:szCs w:val="22"/>
          <w:lang w:eastAsia="zh-CN"/>
        </w:rPr>
        <w:t xml:space="preserve"> </w:t>
      </w:r>
      <w:r w:rsidRPr="00D442F1">
        <w:rPr>
          <w:rFonts w:eastAsia="SimSun"/>
          <w:szCs w:val="22"/>
          <w:lang w:eastAsia="zh-CN"/>
        </w:rPr>
        <w:t>since</w:t>
      </w:r>
      <w:r w:rsidRPr="00D442F1">
        <w:rPr>
          <w:rFonts w:eastAsia="SimSun"/>
          <w:spacing w:val="-7"/>
          <w:szCs w:val="22"/>
          <w:lang w:eastAsia="zh-CN"/>
        </w:rPr>
        <w:t xml:space="preserve"> </w:t>
      </w:r>
      <w:r w:rsidRPr="00D442F1">
        <w:rPr>
          <w:rFonts w:eastAsia="SimSun"/>
          <w:szCs w:val="22"/>
          <w:lang w:eastAsia="zh-CN"/>
        </w:rPr>
        <w:t>these</w:t>
      </w:r>
      <w:r w:rsidRPr="00D442F1">
        <w:rPr>
          <w:rFonts w:eastAsia="SimSun"/>
          <w:spacing w:val="-6"/>
          <w:szCs w:val="22"/>
          <w:lang w:eastAsia="zh-CN"/>
        </w:rPr>
        <w:t xml:space="preserve"> </w:t>
      </w:r>
      <w:r w:rsidRPr="00D442F1">
        <w:rPr>
          <w:rFonts w:eastAsia="SimSun"/>
          <w:szCs w:val="22"/>
          <w:lang w:eastAsia="zh-CN"/>
        </w:rPr>
        <w:t>medicines</w:t>
      </w:r>
      <w:r w:rsidRPr="00D442F1">
        <w:rPr>
          <w:rFonts w:eastAsia="SimSun"/>
          <w:spacing w:val="-5"/>
          <w:szCs w:val="22"/>
          <w:lang w:eastAsia="zh-CN"/>
        </w:rPr>
        <w:t xml:space="preserve"> </w:t>
      </w:r>
      <w:r w:rsidRPr="00D442F1">
        <w:rPr>
          <w:rFonts w:eastAsia="SimSun"/>
          <w:spacing w:val="-2"/>
          <w:szCs w:val="22"/>
          <w:lang w:eastAsia="zh-CN"/>
        </w:rPr>
        <w:t>m</w:t>
      </w:r>
      <w:r w:rsidRPr="00D442F1">
        <w:rPr>
          <w:rFonts w:eastAsia="SimSun"/>
          <w:szCs w:val="22"/>
          <w:lang w:eastAsia="zh-CN"/>
        </w:rPr>
        <w:t>ay</w:t>
      </w:r>
      <w:r w:rsidRPr="00D442F1">
        <w:rPr>
          <w:rFonts w:eastAsia="SimSun"/>
          <w:spacing w:val="-6"/>
          <w:szCs w:val="22"/>
          <w:lang w:eastAsia="zh-CN"/>
        </w:rPr>
        <w:t xml:space="preserve"> </w:t>
      </w:r>
      <w:r w:rsidRPr="00D442F1">
        <w:rPr>
          <w:rFonts w:eastAsia="SimSun"/>
          <w:szCs w:val="22"/>
          <w:lang w:eastAsia="zh-CN"/>
        </w:rPr>
        <w:t>interfere</w:t>
      </w:r>
      <w:r w:rsidRPr="00D442F1">
        <w:rPr>
          <w:rFonts w:eastAsia="SimSun"/>
          <w:spacing w:val="-7"/>
          <w:szCs w:val="22"/>
          <w:lang w:eastAsia="zh-CN"/>
        </w:rPr>
        <w:t xml:space="preserve"> </w:t>
      </w:r>
      <w:r w:rsidRPr="00D442F1">
        <w:rPr>
          <w:rFonts w:eastAsia="SimSun"/>
          <w:szCs w:val="22"/>
          <w:lang w:eastAsia="zh-CN"/>
        </w:rPr>
        <w:t>with</w:t>
      </w:r>
      <w:r w:rsidRPr="00D442F1">
        <w:rPr>
          <w:rFonts w:eastAsia="SimSun"/>
          <w:spacing w:val="-6"/>
          <w:szCs w:val="22"/>
          <w:lang w:eastAsia="zh-CN"/>
        </w:rPr>
        <w:t xml:space="preserve"> </w:t>
      </w:r>
      <w:r w:rsidRPr="00D442F1">
        <w:rPr>
          <w:rFonts w:eastAsia="SimSun"/>
          <w:szCs w:val="22"/>
          <w:lang w:eastAsia="zh-CN"/>
        </w:rPr>
        <w:t>the effe</w:t>
      </w:r>
      <w:r w:rsidRPr="00D442F1">
        <w:rPr>
          <w:rFonts w:eastAsia="SimSun"/>
          <w:spacing w:val="-1"/>
          <w:szCs w:val="22"/>
          <w:lang w:eastAsia="zh-CN"/>
        </w:rPr>
        <w:t>c</w:t>
      </w:r>
      <w:r w:rsidRPr="00D442F1">
        <w:rPr>
          <w:rFonts w:eastAsia="SimSun"/>
          <w:szCs w:val="22"/>
          <w:lang w:eastAsia="zh-CN"/>
        </w:rPr>
        <w:t>t</w:t>
      </w:r>
      <w:r w:rsidRPr="00D442F1">
        <w:rPr>
          <w:rFonts w:eastAsia="SimSun"/>
          <w:spacing w:val="-11"/>
          <w:szCs w:val="22"/>
          <w:lang w:eastAsia="zh-CN"/>
        </w:rPr>
        <w:t xml:space="preserve"> </w:t>
      </w:r>
      <w:r w:rsidRPr="00D442F1">
        <w:rPr>
          <w:rFonts w:eastAsia="SimSun"/>
          <w:szCs w:val="22"/>
          <w:lang w:eastAsia="zh-CN"/>
        </w:rPr>
        <w:t>of</w:t>
      </w:r>
      <w:r w:rsidRPr="00D442F1">
        <w:rPr>
          <w:rFonts w:eastAsia="SimSun"/>
          <w:spacing w:val="-10"/>
          <w:szCs w:val="22"/>
          <w:lang w:eastAsia="zh-CN"/>
        </w:rPr>
        <w:t xml:space="preserve"> </w:t>
      </w:r>
      <w:r w:rsidRPr="00D442F1">
        <w:rPr>
          <w:rFonts w:eastAsia="SimSun"/>
          <w:szCs w:val="22"/>
          <w:lang w:eastAsia="zh-CN"/>
        </w:rPr>
        <w:t>Kymriah.</w:t>
      </w:r>
    </w:p>
    <w:p w:rsidR="00CE3C79" w:rsidRPr="00D442F1" w:rsidP="00166894" w14:paraId="03C93391" w14:textId="77777777">
      <w:pPr>
        <w:widowControl w:val="0"/>
        <w:numPr>
          <w:ilvl w:val="12"/>
          <w:numId w:val="0"/>
        </w:numPr>
        <w:tabs>
          <w:tab w:val="clear" w:pos="567"/>
        </w:tabs>
        <w:spacing w:line="240" w:lineRule="auto"/>
        <w:ind w:right="-2"/>
        <w:rPr>
          <w:noProof/>
          <w:szCs w:val="22"/>
        </w:rPr>
      </w:pPr>
    </w:p>
    <w:p w:rsidR="00CE3C79" w:rsidRPr="00D442F1" w:rsidP="00166894" w14:paraId="58CBF500" w14:textId="77777777">
      <w:pPr>
        <w:keepNext/>
        <w:widowControl w:val="0"/>
        <w:numPr>
          <w:ilvl w:val="12"/>
          <w:numId w:val="0"/>
        </w:numPr>
        <w:tabs>
          <w:tab w:val="clear" w:pos="567"/>
        </w:tabs>
        <w:spacing w:line="240" w:lineRule="auto"/>
        <w:rPr>
          <w:b/>
          <w:noProof/>
          <w:szCs w:val="22"/>
        </w:rPr>
      </w:pPr>
      <w:r w:rsidRPr="00D442F1">
        <w:rPr>
          <w:b/>
          <w:noProof/>
          <w:szCs w:val="22"/>
        </w:rPr>
        <w:t>Pregnancy and breast</w:t>
      </w:r>
      <w:r w:rsidRPr="00D442F1">
        <w:rPr>
          <w:b/>
          <w:noProof/>
          <w:szCs w:val="22"/>
        </w:rPr>
        <w:noBreakHyphen/>
        <w:t>feeding</w:t>
      </w:r>
    </w:p>
    <w:p w:rsidR="00CE3C79" w:rsidRPr="00D442F1" w:rsidP="00166894" w14:paraId="2382EB1A" w14:textId="77777777">
      <w:pPr>
        <w:keepNext/>
        <w:widowControl w:val="0"/>
        <w:tabs>
          <w:tab w:val="clear" w:pos="567"/>
        </w:tabs>
        <w:spacing w:line="240" w:lineRule="auto"/>
        <w:rPr>
          <w:szCs w:val="22"/>
        </w:rPr>
      </w:pPr>
      <w:r w:rsidRPr="00D442F1">
        <w:rPr>
          <w:szCs w:val="22"/>
        </w:rPr>
        <w:t>If you are pregnant or breast</w:t>
      </w:r>
      <w:r w:rsidRPr="00D442F1">
        <w:rPr>
          <w:szCs w:val="22"/>
        </w:rPr>
        <w:noBreakHyphen/>
        <w:t xml:space="preserve">feeding, think you may be pregnant or are planning to have a baby, ask your doctor for advice before </w:t>
      </w:r>
      <w:r w:rsidRPr="00D442F1">
        <w:rPr>
          <w:noProof/>
          <w:szCs w:val="22"/>
        </w:rPr>
        <w:t>being given</w:t>
      </w:r>
      <w:r w:rsidRPr="00D442F1">
        <w:rPr>
          <w:szCs w:val="22"/>
        </w:rPr>
        <w:t xml:space="preserve"> this medicine. </w:t>
      </w:r>
      <w:r w:rsidRPr="00D442F1">
        <w:rPr>
          <w:noProof/>
          <w:szCs w:val="22"/>
        </w:rPr>
        <w:t>This is because the effects</w:t>
      </w:r>
      <w:r w:rsidRPr="00D442F1">
        <w:rPr>
          <w:szCs w:val="22"/>
        </w:rPr>
        <w:t xml:space="preserve"> of Kymriah</w:t>
      </w:r>
      <w:r w:rsidRPr="00D442F1">
        <w:rPr>
          <w:noProof/>
          <w:szCs w:val="22"/>
        </w:rPr>
        <w:t xml:space="preserve"> in</w:t>
      </w:r>
      <w:r w:rsidRPr="00D442F1">
        <w:rPr>
          <w:szCs w:val="22"/>
        </w:rPr>
        <w:t xml:space="preserve"> pregnant</w:t>
      </w:r>
      <w:r w:rsidRPr="00D442F1">
        <w:rPr>
          <w:noProof/>
          <w:szCs w:val="22"/>
        </w:rPr>
        <w:t xml:space="preserve"> </w:t>
      </w:r>
      <w:r w:rsidRPr="00D442F1" w:rsidR="00291D31">
        <w:rPr>
          <w:noProof/>
          <w:szCs w:val="22"/>
        </w:rPr>
        <w:t>or breast</w:t>
      </w:r>
      <w:r w:rsidRPr="00D442F1" w:rsidR="00F32246">
        <w:rPr>
          <w:noProof/>
          <w:szCs w:val="22"/>
        </w:rPr>
        <w:noBreakHyphen/>
      </w:r>
      <w:r w:rsidRPr="00D442F1" w:rsidR="00291D31">
        <w:rPr>
          <w:noProof/>
          <w:szCs w:val="22"/>
        </w:rPr>
        <w:t xml:space="preserve">feeding </w:t>
      </w:r>
      <w:r w:rsidRPr="00D442F1">
        <w:rPr>
          <w:noProof/>
          <w:szCs w:val="22"/>
        </w:rPr>
        <w:t xml:space="preserve">women are not known, </w:t>
      </w:r>
      <w:r w:rsidRPr="00D442F1" w:rsidR="000F10FC">
        <w:rPr>
          <w:noProof/>
          <w:szCs w:val="22"/>
        </w:rPr>
        <w:t xml:space="preserve">and </w:t>
      </w:r>
      <w:r w:rsidRPr="00D442F1">
        <w:rPr>
          <w:noProof/>
          <w:szCs w:val="22"/>
        </w:rPr>
        <w:t>it may harm your unborn baby</w:t>
      </w:r>
      <w:r w:rsidRPr="00D442F1" w:rsidR="00291D31">
        <w:rPr>
          <w:noProof/>
          <w:szCs w:val="22"/>
        </w:rPr>
        <w:t xml:space="preserve"> or your newborn</w:t>
      </w:r>
      <w:r w:rsidRPr="00D442F1" w:rsidR="00F32246">
        <w:rPr>
          <w:noProof/>
          <w:szCs w:val="22"/>
        </w:rPr>
        <w:t>/infant</w:t>
      </w:r>
      <w:r w:rsidRPr="00D442F1">
        <w:rPr>
          <w:szCs w:val="22"/>
        </w:rPr>
        <w:t>.</w:t>
      </w:r>
    </w:p>
    <w:p w:rsidR="00CE3C79" w:rsidRPr="00D442F1" w:rsidP="00166894" w14:paraId="7081FFB6" w14:textId="77777777">
      <w:pPr>
        <w:widowControl w:val="0"/>
        <w:numPr>
          <w:ilvl w:val="0"/>
          <w:numId w:val="14"/>
        </w:numPr>
        <w:tabs>
          <w:tab w:val="clear" w:pos="567"/>
        </w:tabs>
        <w:spacing w:line="240" w:lineRule="auto"/>
        <w:ind w:left="567" w:hanging="567"/>
        <w:rPr>
          <w:noProof/>
          <w:szCs w:val="22"/>
        </w:rPr>
      </w:pPr>
      <w:r w:rsidRPr="00D442F1">
        <w:rPr>
          <w:noProof/>
          <w:szCs w:val="22"/>
        </w:rPr>
        <w:t>If</w:t>
      </w:r>
      <w:r w:rsidRPr="00D442F1">
        <w:rPr>
          <w:szCs w:val="22"/>
        </w:rPr>
        <w:t xml:space="preserve"> you </w:t>
      </w:r>
      <w:r w:rsidRPr="00D442F1">
        <w:rPr>
          <w:noProof/>
          <w:szCs w:val="22"/>
        </w:rPr>
        <w:t>become pregnant or think you may be pregnant after treatment with Kymriah, talk your doctor immediately.</w:t>
      </w:r>
    </w:p>
    <w:p w:rsidR="00CE3C79" w:rsidRPr="00D442F1" w:rsidP="00166894" w14:paraId="463BDCF5" w14:textId="77777777">
      <w:pPr>
        <w:widowControl w:val="0"/>
        <w:numPr>
          <w:ilvl w:val="0"/>
          <w:numId w:val="14"/>
        </w:numPr>
        <w:tabs>
          <w:tab w:val="clear" w:pos="567"/>
        </w:tabs>
        <w:spacing w:line="240" w:lineRule="auto"/>
        <w:ind w:left="567" w:hanging="567"/>
        <w:rPr>
          <w:noProof/>
          <w:szCs w:val="22"/>
        </w:rPr>
      </w:pPr>
      <w:r w:rsidRPr="00D442F1">
        <w:rPr>
          <w:noProof/>
          <w:szCs w:val="22"/>
        </w:rPr>
        <w:t xml:space="preserve">You will be given a pregnancy test before treatment starts. Kymriah should only be given if the result </w:t>
      </w:r>
      <w:r w:rsidRPr="00D442F1" w:rsidR="000F10FC">
        <w:rPr>
          <w:noProof/>
          <w:szCs w:val="22"/>
        </w:rPr>
        <w:t>shows you are not pregnant</w:t>
      </w:r>
      <w:r w:rsidRPr="00D442F1">
        <w:rPr>
          <w:noProof/>
          <w:szCs w:val="22"/>
        </w:rPr>
        <w:t>.</w:t>
      </w:r>
    </w:p>
    <w:p w:rsidR="00CE3C79" w:rsidRPr="00D442F1" w:rsidP="00166894" w14:paraId="019875F4" w14:textId="77777777">
      <w:pPr>
        <w:widowControl w:val="0"/>
        <w:tabs>
          <w:tab w:val="clear" w:pos="567"/>
        </w:tabs>
        <w:spacing w:line="240" w:lineRule="auto"/>
        <w:rPr>
          <w:noProof/>
          <w:szCs w:val="22"/>
        </w:rPr>
      </w:pPr>
    </w:p>
    <w:p w:rsidR="00CE3C79" w:rsidRPr="00D442F1" w:rsidP="00166894" w14:paraId="50F1C80A" w14:textId="77777777">
      <w:pPr>
        <w:keepNext/>
        <w:widowControl w:val="0"/>
        <w:numPr>
          <w:ilvl w:val="12"/>
          <w:numId w:val="0"/>
        </w:numPr>
        <w:tabs>
          <w:tab w:val="clear" w:pos="567"/>
        </w:tabs>
        <w:spacing w:line="240" w:lineRule="auto"/>
        <w:rPr>
          <w:b/>
          <w:noProof/>
          <w:szCs w:val="22"/>
        </w:rPr>
      </w:pPr>
      <w:r w:rsidRPr="00D442F1">
        <w:rPr>
          <w:b/>
          <w:noProof/>
          <w:szCs w:val="22"/>
        </w:rPr>
        <w:t xml:space="preserve">Contraception for </w:t>
      </w:r>
      <w:r w:rsidRPr="00D442F1" w:rsidR="003572FC">
        <w:rPr>
          <w:b/>
          <w:noProof/>
          <w:szCs w:val="22"/>
        </w:rPr>
        <w:t xml:space="preserve">women and </w:t>
      </w:r>
      <w:r w:rsidRPr="00D442F1">
        <w:rPr>
          <w:b/>
          <w:noProof/>
          <w:szCs w:val="22"/>
        </w:rPr>
        <w:t>men</w:t>
      </w:r>
    </w:p>
    <w:p w:rsidR="003150C7" w:rsidRPr="00D442F1" w:rsidP="00166894" w14:paraId="6693FC87" w14:textId="77777777">
      <w:pPr>
        <w:widowControl w:val="0"/>
        <w:tabs>
          <w:tab w:val="clear" w:pos="567"/>
        </w:tabs>
        <w:spacing w:line="240" w:lineRule="auto"/>
        <w:rPr>
          <w:noProof/>
          <w:szCs w:val="22"/>
        </w:rPr>
      </w:pPr>
      <w:r w:rsidRPr="00D442F1">
        <w:rPr>
          <w:noProof/>
          <w:szCs w:val="22"/>
        </w:rPr>
        <w:t xml:space="preserve">Discuss pregnancy with your </w:t>
      </w:r>
      <w:r w:rsidRPr="00D442F1" w:rsidR="007C72A2">
        <w:rPr>
          <w:noProof/>
          <w:szCs w:val="22"/>
        </w:rPr>
        <w:t>doctor</w:t>
      </w:r>
      <w:r w:rsidRPr="00D442F1">
        <w:rPr>
          <w:noProof/>
          <w:szCs w:val="22"/>
        </w:rPr>
        <w:t xml:space="preserve"> if you </w:t>
      </w:r>
      <w:r w:rsidRPr="00D442F1" w:rsidR="00252B35">
        <w:rPr>
          <w:noProof/>
          <w:szCs w:val="22"/>
        </w:rPr>
        <w:t xml:space="preserve">have </w:t>
      </w:r>
      <w:r w:rsidRPr="00D442F1">
        <w:rPr>
          <w:noProof/>
          <w:szCs w:val="22"/>
        </w:rPr>
        <w:t>received Kymriah.</w:t>
      </w:r>
    </w:p>
    <w:p w:rsidR="00950CF5" w:rsidRPr="00D442F1" w:rsidP="00166894" w14:paraId="564BA4A1" w14:textId="77777777">
      <w:pPr>
        <w:widowControl w:val="0"/>
        <w:tabs>
          <w:tab w:val="clear" w:pos="567"/>
        </w:tabs>
        <w:spacing w:line="240" w:lineRule="auto"/>
        <w:rPr>
          <w:noProof/>
          <w:szCs w:val="22"/>
        </w:rPr>
      </w:pPr>
    </w:p>
    <w:p w:rsidR="00CE3C79" w:rsidRPr="00D442F1" w:rsidP="00166894" w14:paraId="2EF7894F" w14:textId="77777777">
      <w:pPr>
        <w:keepNext/>
        <w:widowControl w:val="0"/>
        <w:numPr>
          <w:ilvl w:val="12"/>
          <w:numId w:val="0"/>
        </w:numPr>
        <w:tabs>
          <w:tab w:val="clear" w:pos="567"/>
        </w:tabs>
        <w:spacing w:line="240" w:lineRule="auto"/>
        <w:rPr>
          <w:noProof/>
          <w:szCs w:val="22"/>
        </w:rPr>
      </w:pPr>
      <w:r w:rsidRPr="00D442F1">
        <w:rPr>
          <w:b/>
          <w:noProof/>
          <w:szCs w:val="22"/>
        </w:rPr>
        <w:t>Driving and using machines</w:t>
      </w:r>
    </w:p>
    <w:p w:rsidR="00CE3C79" w:rsidRPr="00D442F1" w:rsidP="00166894" w14:paraId="695B66DA" w14:textId="77777777">
      <w:pPr>
        <w:widowControl w:val="0"/>
        <w:numPr>
          <w:ilvl w:val="12"/>
          <w:numId w:val="0"/>
        </w:numPr>
        <w:tabs>
          <w:tab w:val="clear" w:pos="567"/>
        </w:tabs>
        <w:spacing w:line="240" w:lineRule="auto"/>
        <w:ind w:right="-2"/>
        <w:rPr>
          <w:noProof/>
          <w:szCs w:val="22"/>
        </w:rPr>
      </w:pPr>
      <w:r w:rsidRPr="00D442F1">
        <w:rPr>
          <w:noProof/>
          <w:szCs w:val="22"/>
        </w:rPr>
        <w:t>Do not drive, use machines, or take part in activities that need you to be alert for. Kymriah can cause problems such as altered or decreased consciousness, confusion and seizures</w:t>
      </w:r>
      <w:r w:rsidRPr="00D442F1" w:rsidR="007C72A2">
        <w:rPr>
          <w:noProof/>
          <w:szCs w:val="22"/>
        </w:rPr>
        <w:t xml:space="preserve"> (fits)</w:t>
      </w:r>
      <w:r w:rsidRPr="00D442F1" w:rsidR="001B074C">
        <w:rPr>
          <w:noProof/>
          <w:szCs w:val="22"/>
        </w:rPr>
        <w:t xml:space="preserve"> </w:t>
      </w:r>
      <w:r w:rsidRPr="00D442F1" w:rsidR="007902DD">
        <w:rPr>
          <w:noProof/>
          <w:szCs w:val="22"/>
        </w:rPr>
        <w:t>in the 8</w:t>
      </w:r>
      <w:r w:rsidRPr="00D442F1" w:rsidR="00F32246">
        <w:rPr>
          <w:noProof/>
          <w:szCs w:val="22"/>
        </w:rPr>
        <w:t> </w:t>
      </w:r>
      <w:r w:rsidRPr="00D442F1" w:rsidR="007902DD">
        <w:rPr>
          <w:noProof/>
          <w:szCs w:val="22"/>
        </w:rPr>
        <w:t>weeks following infusion</w:t>
      </w:r>
      <w:r w:rsidRPr="00D442F1">
        <w:rPr>
          <w:noProof/>
          <w:szCs w:val="22"/>
        </w:rPr>
        <w:t>.</w:t>
      </w:r>
    </w:p>
    <w:p w:rsidR="00CE3C79" w:rsidRPr="00D442F1" w:rsidP="00166894" w14:paraId="72859A26" w14:textId="77777777">
      <w:pPr>
        <w:widowControl w:val="0"/>
        <w:numPr>
          <w:ilvl w:val="12"/>
          <w:numId w:val="0"/>
        </w:numPr>
        <w:tabs>
          <w:tab w:val="clear" w:pos="567"/>
        </w:tabs>
        <w:spacing w:line="240" w:lineRule="auto"/>
        <w:ind w:right="-2"/>
        <w:rPr>
          <w:noProof/>
          <w:szCs w:val="22"/>
        </w:rPr>
      </w:pPr>
    </w:p>
    <w:p w:rsidR="003150C7" w:rsidRPr="00D442F1" w:rsidP="00FE037E" w14:paraId="0A77A5A9" w14:textId="77777777">
      <w:pPr>
        <w:keepNext/>
        <w:widowControl w:val="0"/>
        <w:numPr>
          <w:ilvl w:val="12"/>
          <w:numId w:val="0"/>
        </w:numPr>
        <w:tabs>
          <w:tab w:val="clear" w:pos="567"/>
        </w:tabs>
        <w:spacing w:line="240" w:lineRule="auto"/>
        <w:rPr>
          <w:b/>
          <w:noProof/>
          <w:szCs w:val="22"/>
        </w:rPr>
      </w:pPr>
      <w:r w:rsidRPr="00D442F1">
        <w:rPr>
          <w:b/>
          <w:noProof/>
          <w:szCs w:val="22"/>
        </w:rPr>
        <w:t>Kymriah contains sodium, dimethylsulfoxide</w:t>
      </w:r>
      <w:r w:rsidRPr="00D442F1" w:rsidR="001B79C5">
        <w:rPr>
          <w:b/>
          <w:noProof/>
          <w:szCs w:val="22"/>
        </w:rPr>
        <w:t xml:space="preserve"> (DMSO)</w:t>
      </w:r>
      <w:r w:rsidRPr="00D442F1">
        <w:rPr>
          <w:b/>
          <w:noProof/>
          <w:szCs w:val="22"/>
        </w:rPr>
        <w:t xml:space="preserve"> and dextran 40.</w:t>
      </w:r>
    </w:p>
    <w:p w:rsidR="00E74E58" w:rsidRPr="00D442F1" w:rsidP="00166894" w14:paraId="2B1AEFA1" w14:textId="77777777">
      <w:pPr>
        <w:widowControl w:val="0"/>
        <w:numPr>
          <w:ilvl w:val="12"/>
          <w:numId w:val="0"/>
        </w:numPr>
        <w:tabs>
          <w:tab w:val="clear" w:pos="567"/>
        </w:tabs>
        <w:spacing w:line="240" w:lineRule="auto"/>
        <w:ind w:right="-2"/>
        <w:rPr>
          <w:noProof/>
          <w:szCs w:val="22"/>
        </w:rPr>
      </w:pPr>
      <w:r w:rsidRPr="00D442F1">
        <w:rPr>
          <w:noProof/>
          <w:szCs w:val="22"/>
        </w:rPr>
        <w:t xml:space="preserve">This </w:t>
      </w:r>
      <w:r w:rsidRPr="00D442F1" w:rsidR="001C68EF">
        <w:rPr>
          <w:noProof/>
          <w:szCs w:val="22"/>
        </w:rPr>
        <w:t xml:space="preserve">medicine contains </w:t>
      </w:r>
      <w:r w:rsidRPr="00D442F1">
        <w:rPr>
          <w:noProof/>
          <w:szCs w:val="22"/>
        </w:rPr>
        <w:t>24.3 to 121.5</w:t>
      </w:r>
      <w:r w:rsidRPr="00D442F1" w:rsidR="00BB79A3">
        <w:rPr>
          <w:noProof/>
          <w:szCs w:val="22"/>
        </w:rPr>
        <w:t> </w:t>
      </w:r>
      <w:r w:rsidRPr="00D442F1">
        <w:rPr>
          <w:noProof/>
          <w:szCs w:val="22"/>
        </w:rPr>
        <w:t xml:space="preserve">mg </w:t>
      </w:r>
      <w:r w:rsidRPr="00D442F1" w:rsidR="001C68EF">
        <w:rPr>
          <w:noProof/>
          <w:szCs w:val="22"/>
        </w:rPr>
        <w:t xml:space="preserve">sodium per dose. This is equivalent to </w:t>
      </w:r>
      <w:r w:rsidRPr="00D442F1">
        <w:rPr>
          <w:noProof/>
          <w:szCs w:val="22"/>
        </w:rPr>
        <w:t xml:space="preserve">1 to 6% of the recommended maximum daily </w:t>
      </w:r>
      <w:r w:rsidRPr="00D442F1" w:rsidR="001C68EF">
        <w:rPr>
          <w:noProof/>
          <w:szCs w:val="22"/>
        </w:rPr>
        <w:t xml:space="preserve">dietary </w:t>
      </w:r>
      <w:r w:rsidRPr="00D442F1">
        <w:rPr>
          <w:noProof/>
          <w:szCs w:val="22"/>
        </w:rPr>
        <w:t>intake of 2</w:t>
      </w:r>
      <w:r w:rsidRPr="00D442F1" w:rsidR="00BB79A3">
        <w:rPr>
          <w:noProof/>
          <w:szCs w:val="22"/>
        </w:rPr>
        <w:t> </w:t>
      </w:r>
      <w:r w:rsidRPr="00D442F1">
        <w:rPr>
          <w:noProof/>
          <w:szCs w:val="22"/>
        </w:rPr>
        <w:t>g sodium for an adult.</w:t>
      </w:r>
      <w:r w:rsidRPr="00D442F1" w:rsidR="00D83B4F">
        <w:rPr>
          <w:noProof/>
          <w:szCs w:val="22"/>
        </w:rPr>
        <w:t xml:space="preserve"> </w:t>
      </w:r>
      <w:r w:rsidRPr="00D442F1" w:rsidR="001B79C5">
        <w:rPr>
          <w:noProof/>
          <w:szCs w:val="22"/>
        </w:rPr>
        <w:t xml:space="preserve">If you have not been </w:t>
      </w:r>
      <w:r w:rsidRPr="00D442F1" w:rsidR="00D83B4F">
        <w:rPr>
          <w:noProof/>
          <w:szCs w:val="22"/>
        </w:rPr>
        <w:t>previously exposed to dextran</w:t>
      </w:r>
      <w:r w:rsidRPr="00D442F1" w:rsidR="001B79C5">
        <w:rPr>
          <w:noProof/>
          <w:szCs w:val="22"/>
        </w:rPr>
        <w:t xml:space="preserve"> or DMSO you </w:t>
      </w:r>
      <w:r w:rsidRPr="00D442F1" w:rsidR="00D83B4F">
        <w:rPr>
          <w:noProof/>
          <w:szCs w:val="22"/>
        </w:rPr>
        <w:t>should be observed closely during the first minutes of the infusion period.</w:t>
      </w:r>
    </w:p>
    <w:p w:rsidR="003150C7" w:rsidRPr="00D442F1" w:rsidP="00166894" w14:paraId="4367C5E9" w14:textId="77777777">
      <w:pPr>
        <w:widowControl w:val="0"/>
        <w:numPr>
          <w:ilvl w:val="12"/>
          <w:numId w:val="0"/>
        </w:numPr>
        <w:tabs>
          <w:tab w:val="clear" w:pos="567"/>
        </w:tabs>
        <w:spacing w:line="240" w:lineRule="auto"/>
        <w:ind w:right="-2"/>
        <w:rPr>
          <w:noProof/>
          <w:szCs w:val="22"/>
        </w:rPr>
      </w:pPr>
    </w:p>
    <w:p w:rsidR="00C31C91" w:rsidRPr="00D442F1" w:rsidP="00166894" w14:paraId="7F204DFD" w14:textId="77777777">
      <w:pPr>
        <w:widowControl w:val="0"/>
        <w:numPr>
          <w:ilvl w:val="12"/>
          <w:numId w:val="0"/>
        </w:numPr>
        <w:tabs>
          <w:tab w:val="clear" w:pos="567"/>
        </w:tabs>
        <w:spacing w:line="240" w:lineRule="auto"/>
        <w:ind w:right="-2"/>
        <w:rPr>
          <w:noProof/>
          <w:szCs w:val="22"/>
        </w:rPr>
      </w:pPr>
    </w:p>
    <w:p w:rsidR="00CE3C79" w:rsidRPr="00D442F1" w:rsidP="00166894" w14:paraId="155CD4A7" w14:textId="77777777">
      <w:pPr>
        <w:keepNext/>
        <w:widowControl w:val="0"/>
        <w:tabs>
          <w:tab w:val="clear" w:pos="567"/>
        </w:tabs>
        <w:spacing w:line="240" w:lineRule="auto"/>
        <w:ind w:left="567" w:right="-2" w:hanging="567"/>
        <w:rPr>
          <w:b/>
          <w:szCs w:val="22"/>
        </w:rPr>
      </w:pPr>
      <w:r w:rsidRPr="00D442F1">
        <w:rPr>
          <w:b/>
          <w:szCs w:val="22"/>
        </w:rPr>
        <w:t>3.</w:t>
      </w:r>
      <w:r w:rsidRPr="00D442F1">
        <w:rPr>
          <w:b/>
          <w:szCs w:val="22"/>
        </w:rPr>
        <w:tab/>
        <w:t>How Kymriah is given</w:t>
      </w:r>
    </w:p>
    <w:p w:rsidR="003175B5" w:rsidRPr="00D442F1" w:rsidP="00166894" w14:paraId="2556DA52" w14:textId="77777777">
      <w:pPr>
        <w:keepNext/>
        <w:widowControl w:val="0"/>
        <w:numPr>
          <w:ilvl w:val="12"/>
          <w:numId w:val="0"/>
        </w:numPr>
        <w:tabs>
          <w:tab w:val="clear" w:pos="567"/>
        </w:tabs>
        <w:spacing w:line="240" w:lineRule="auto"/>
        <w:ind w:right="-2"/>
        <w:rPr>
          <w:noProof/>
          <w:szCs w:val="22"/>
        </w:rPr>
      </w:pPr>
    </w:p>
    <w:p w:rsidR="00CE3C79" w:rsidRPr="00D442F1" w:rsidP="00166894" w14:paraId="1002327D" w14:textId="77777777">
      <w:pPr>
        <w:keepNext/>
        <w:widowControl w:val="0"/>
        <w:numPr>
          <w:ilvl w:val="12"/>
          <w:numId w:val="0"/>
        </w:numPr>
        <w:tabs>
          <w:tab w:val="clear" w:pos="567"/>
        </w:tabs>
        <w:spacing w:line="240" w:lineRule="auto"/>
        <w:ind w:right="-2"/>
        <w:rPr>
          <w:noProof/>
          <w:szCs w:val="22"/>
        </w:rPr>
      </w:pPr>
      <w:r w:rsidRPr="00D442F1">
        <w:rPr>
          <w:noProof/>
          <w:szCs w:val="22"/>
        </w:rPr>
        <w:t>Kymriah will always be given to you by a doctor</w:t>
      </w:r>
      <w:r w:rsidRPr="00D442F1" w:rsidR="0084624C">
        <w:rPr>
          <w:noProof/>
          <w:szCs w:val="22"/>
        </w:rPr>
        <w:t xml:space="preserve"> </w:t>
      </w:r>
      <w:r w:rsidRPr="00D442F1" w:rsidR="009C0CD4">
        <w:rPr>
          <w:noProof/>
          <w:szCs w:val="22"/>
        </w:rPr>
        <w:t>in a qualified treatment centre</w:t>
      </w:r>
      <w:r w:rsidRPr="00D442F1">
        <w:rPr>
          <w:noProof/>
          <w:szCs w:val="22"/>
        </w:rPr>
        <w:t>.</w:t>
      </w:r>
    </w:p>
    <w:p w:rsidR="009777D2" w:rsidRPr="00D442F1" w:rsidP="00166894" w14:paraId="3F57AFD0" w14:textId="77777777">
      <w:pPr>
        <w:keepNext/>
        <w:widowControl w:val="0"/>
        <w:tabs>
          <w:tab w:val="clear" w:pos="567"/>
        </w:tabs>
        <w:spacing w:line="240" w:lineRule="auto"/>
        <w:rPr>
          <w:szCs w:val="22"/>
        </w:rPr>
      </w:pPr>
    </w:p>
    <w:p w:rsidR="00424771" w:rsidRPr="00D442F1" w:rsidP="00166894" w14:paraId="2200A691" w14:textId="77777777">
      <w:pPr>
        <w:widowControl w:val="0"/>
        <w:tabs>
          <w:tab w:val="clear" w:pos="567"/>
        </w:tabs>
        <w:spacing w:line="240" w:lineRule="auto"/>
        <w:rPr>
          <w:szCs w:val="22"/>
        </w:rPr>
      </w:pPr>
      <w:r w:rsidRPr="00D442F1">
        <w:rPr>
          <w:szCs w:val="22"/>
        </w:rPr>
        <w:t>Kymriah contains human blood cells. Your doctor handling Kymriah will therefore take appropriate precautions (wearing gloves and glasses) to avoid potential transmission of infectious diseases.</w:t>
      </w:r>
    </w:p>
    <w:p w:rsidR="009777D2" w:rsidRPr="00D442F1" w:rsidP="00166894" w14:paraId="0E02C0A7" w14:textId="77777777">
      <w:pPr>
        <w:widowControl w:val="0"/>
        <w:tabs>
          <w:tab w:val="clear" w:pos="567"/>
        </w:tabs>
        <w:spacing w:line="240" w:lineRule="auto"/>
        <w:rPr>
          <w:szCs w:val="22"/>
        </w:rPr>
      </w:pPr>
    </w:p>
    <w:p w:rsidR="00CE3C79" w:rsidRPr="00D442F1" w:rsidP="00166894" w14:paraId="1AA56E15" w14:textId="77777777">
      <w:pPr>
        <w:keepNext/>
        <w:widowControl w:val="0"/>
        <w:numPr>
          <w:ilvl w:val="12"/>
          <w:numId w:val="0"/>
        </w:numPr>
        <w:tabs>
          <w:tab w:val="clear" w:pos="567"/>
        </w:tabs>
        <w:spacing w:line="240" w:lineRule="auto"/>
        <w:ind w:right="-2"/>
        <w:rPr>
          <w:b/>
          <w:noProof/>
          <w:szCs w:val="22"/>
        </w:rPr>
      </w:pPr>
      <w:r w:rsidRPr="00D442F1">
        <w:rPr>
          <w:b/>
          <w:noProof/>
          <w:szCs w:val="22"/>
        </w:rPr>
        <w:t>Giving blood to make Kymriah</w:t>
      </w:r>
    </w:p>
    <w:p w:rsidR="00CE3C79" w:rsidRPr="00D442F1" w:rsidP="00166894" w14:paraId="577CE3EF" w14:textId="77777777">
      <w:pPr>
        <w:keepNext/>
        <w:widowControl w:val="0"/>
        <w:numPr>
          <w:ilvl w:val="12"/>
          <w:numId w:val="0"/>
        </w:numPr>
        <w:tabs>
          <w:tab w:val="clear" w:pos="567"/>
        </w:tabs>
        <w:spacing w:line="240" w:lineRule="auto"/>
        <w:rPr>
          <w:noProof/>
          <w:szCs w:val="22"/>
        </w:rPr>
      </w:pPr>
      <w:r w:rsidRPr="00D442F1">
        <w:rPr>
          <w:noProof/>
          <w:szCs w:val="22"/>
        </w:rPr>
        <w:t>Kymriah is made from your own white blood cells.</w:t>
      </w:r>
    </w:p>
    <w:p w:rsidR="00784FA6" w:rsidRPr="00D442F1" w:rsidP="00166894" w14:paraId="6D412C87" w14:textId="77777777">
      <w:pPr>
        <w:widowControl w:val="0"/>
        <w:numPr>
          <w:ilvl w:val="0"/>
          <w:numId w:val="15"/>
        </w:numPr>
        <w:tabs>
          <w:tab w:val="clear" w:pos="567"/>
        </w:tabs>
        <w:spacing w:line="240" w:lineRule="auto"/>
        <w:ind w:left="567" w:hanging="567"/>
        <w:rPr>
          <w:noProof/>
          <w:szCs w:val="22"/>
        </w:rPr>
      </w:pPr>
      <w:r w:rsidRPr="00D442F1">
        <w:rPr>
          <w:noProof/>
          <w:szCs w:val="22"/>
        </w:rPr>
        <w:t xml:space="preserve">Your doctor will take some </w:t>
      </w:r>
      <w:r w:rsidRPr="00D442F1" w:rsidR="00BD14AC">
        <w:rPr>
          <w:noProof/>
          <w:szCs w:val="22"/>
        </w:rPr>
        <w:t xml:space="preserve">of your </w:t>
      </w:r>
      <w:r w:rsidRPr="00D442F1">
        <w:rPr>
          <w:noProof/>
          <w:szCs w:val="22"/>
        </w:rPr>
        <w:t>blood using a catheter placed in your vein (a procedure called leukapheresis).</w:t>
      </w:r>
      <w:r w:rsidRPr="00D442F1" w:rsidR="00BD14AC">
        <w:rPr>
          <w:noProof/>
          <w:szCs w:val="22"/>
        </w:rPr>
        <w:t xml:space="preserve"> Some of your white blood cells are separated from your blood and the rest of your blood is returned to your vein</w:t>
      </w:r>
      <w:r w:rsidRPr="00D442F1" w:rsidR="00933466">
        <w:rPr>
          <w:noProof/>
          <w:szCs w:val="22"/>
        </w:rPr>
        <w:t xml:space="preserve">. </w:t>
      </w:r>
      <w:r w:rsidRPr="00D442F1">
        <w:rPr>
          <w:noProof/>
          <w:szCs w:val="22"/>
        </w:rPr>
        <w:t>This can take 3 to 6 hours and may need to be repeated.</w:t>
      </w:r>
    </w:p>
    <w:p w:rsidR="009C0CD4" w:rsidRPr="00D442F1" w:rsidP="00880B5B" w14:paraId="785615AD" w14:textId="77777777">
      <w:pPr>
        <w:widowControl w:val="0"/>
        <w:numPr>
          <w:ilvl w:val="0"/>
          <w:numId w:val="15"/>
        </w:numPr>
        <w:tabs>
          <w:tab w:val="clear" w:pos="567"/>
        </w:tabs>
        <w:spacing w:line="240" w:lineRule="auto"/>
        <w:ind w:left="567" w:hanging="567"/>
        <w:rPr>
          <w:noProof/>
          <w:szCs w:val="22"/>
        </w:rPr>
      </w:pPr>
      <w:r w:rsidRPr="00D442F1">
        <w:rPr>
          <w:noProof/>
          <w:szCs w:val="22"/>
        </w:rPr>
        <w:t xml:space="preserve">Your </w:t>
      </w:r>
      <w:r w:rsidRPr="00D442F1" w:rsidR="005E3B95">
        <w:rPr>
          <w:noProof/>
          <w:szCs w:val="22"/>
        </w:rPr>
        <w:t xml:space="preserve">white </w:t>
      </w:r>
      <w:r w:rsidRPr="00D442F1">
        <w:rPr>
          <w:noProof/>
          <w:szCs w:val="22"/>
        </w:rPr>
        <w:t>blood cells are frozen and sent away to make Kymriah. It usually takes about 3 to 4 weeks to make Kymriah</w:t>
      </w:r>
      <w:r w:rsidRPr="00D442F1" w:rsidR="002E0A7B">
        <w:rPr>
          <w:noProof/>
          <w:szCs w:val="22"/>
        </w:rPr>
        <w:t xml:space="preserve"> but the time may vary</w:t>
      </w:r>
      <w:r w:rsidRPr="00D442F1">
        <w:rPr>
          <w:noProof/>
          <w:szCs w:val="22"/>
        </w:rPr>
        <w:t>.</w:t>
      </w:r>
    </w:p>
    <w:p w:rsidR="009C0CD4" w:rsidRPr="00D442F1" w:rsidP="001108EC" w14:paraId="198A7793" w14:textId="77777777">
      <w:pPr>
        <w:widowControl w:val="0"/>
        <w:numPr>
          <w:ilvl w:val="0"/>
          <w:numId w:val="15"/>
        </w:numPr>
        <w:tabs>
          <w:tab w:val="clear" w:pos="567"/>
        </w:tabs>
        <w:spacing w:line="240" w:lineRule="auto"/>
        <w:ind w:left="567" w:hanging="567"/>
        <w:rPr>
          <w:noProof/>
          <w:szCs w:val="22"/>
        </w:rPr>
      </w:pPr>
      <w:r w:rsidRPr="00D442F1">
        <w:rPr>
          <w:noProof/>
          <w:szCs w:val="22"/>
        </w:rPr>
        <w:t xml:space="preserve">Kymriah is a treatment </w:t>
      </w:r>
      <w:r w:rsidRPr="00D442F1" w:rsidR="001A601F">
        <w:rPr>
          <w:noProof/>
          <w:szCs w:val="22"/>
        </w:rPr>
        <w:t xml:space="preserve">that is </w:t>
      </w:r>
      <w:r w:rsidRPr="00D442F1">
        <w:rPr>
          <w:noProof/>
          <w:szCs w:val="22"/>
        </w:rPr>
        <w:t>manufactured specifically for you. There are situations where Kymriah cannot be successfully manufactured and be given to you. In some</w:t>
      </w:r>
      <w:r w:rsidRPr="00D442F1" w:rsidR="0084624C">
        <w:rPr>
          <w:noProof/>
          <w:szCs w:val="22"/>
        </w:rPr>
        <w:t xml:space="preserve"> cases</w:t>
      </w:r>
      <w:r w:rsidRPr="00D442F1">
        <w:rPr>
          <w:noProof/>
          <w:szCs w:val="22"/>
        </w:rPr>
        <w:t>, a second manufacturing of Kymriah may be attempted.</w:t>
      </w:r>
    </w:p>
    <w:p w:rsidR="00CE3C79" w:rsidRPr="00D442F1" w:rsidP="00176BAE" w14:paraId="701A0144" w14:textId="77777777">
      <w:pPr>
        <w:widowControl w:val="0"/>
        <w:tabs>
          <w:tab w:val="clear" w:pos="567"/>
        </w:tabs>
        <w:spacing w:line="240" w:lineRule="auto"/>
        <w:rPr>
          <w:noProof/>
          <w:szCs w:val="22"/>
        </w:rPr>
      </w:pPr>
      <w:r w:rsidRPr="00D442F1">
        <w:rPr>
          <w:noProof/>
          <w:szCs w:val="22"/>
        </w:rPr>
        <w:t xml:space="preserve">Before you are given Kymriah, your doctor may give you a type of </w:t>
      </w:r>
      <w:r w:rsidRPr="00D442F1" w:rsidR="007C72A2">
        <w:rPr>
          <w:noProof/>
          <w:szCs w:val="22"/>
        </w:rPr>
        <w:t xml:space="preserve">treatment </w:t>
      </w:r>
      <w:r w:rsidRPr="00D442F1">
        <w:rPr>
          <w:noProof/>
          <w:szCs w:val="22"/>
        </w:rPr>
        <w:t>called lymphodepleting chemotherapy for a few days to prepare your body.</w:t>
      </w:r>
    </w:p>
    <w:p w:rsidR="00CE3C79" w:rsidRPr="00D442F1" w:rsidP="00166894" w14:paraId="30AF76C1" w14:textId="77777777">
      <w:pPr>
        <w:widowControl w:val="0"/>
        <w:tabs>
          <w:tab w:val="clear" w:pos="567"/>
        </w:tabs>
        <w:spacing w:line="240" w:lineRule="auto"/>
        <w:ind w:right="-2"/>
        <w:rPr>
          <w:noProof/>
          <w:szCs w:val="22"/>
        </w:rPr>
      </w:pPr>
    </w:p>
    <w:p w:rsidR="009C0CD4" w:rsidRPr="00D442F1" w:rsidP="00023775" w14:paraId="566B9710" w14:textId="40B9EADA">
      <w:pPr>
        <w:pStyle w:val="Text"/>
        <w:keepNext/>
        <w:spacing w:before="0"/>
        <w:jc w:val="left"/>
        <w:rPr>
          <w:b/>
          <w:noProof/>
          <w:sz w:val="22"/>
          <w:szCs w:val="22"/>
        </w:rPr>
      </w:pPr>
      <w:r w:rsidRPr="00D442F1">
        <w:rPr>
          <w:b/>
          <w:noProof/>
          <w:sz w:val="22"/>
          <w:szCs w:val="22"/>
        </w:rPr>
        <w:t>Cancer treatment while Kymriah is being made</w:t>
      </w:r>
    </w:p>
    <w:p w:rsidR="00AE0744" w:rsidRPr="00D442F1" w:rsidP="00166894" w14:paraId="788F2F8E" w14:textId="69374165">
      <w:pPr>
        <w:widowControl w:val="0"/>
        <w:tabs>
          <w:tab w:val="clear" w:pos="567"/>
        </w:tabs>
        <w:spacing w:line="240" w:lineRule="auto"/>
        <w:ind w:right="-2"/>
        <w:rPr>
          <w:noProof/>
          <w:szCs w:val="22"/>
        </w:rPr>
      </w:pPr>
      <w:r w:rsidRPr="00D442F1">
        <w:t>During the period w</w:t>
      </w:r>
      <w:r w:rsidRPr="00D442F1">
        <w:t xml:space="preserve">hile Kymriah </w:t>
      </w:r>
      <w:r w:rsidRPr="00D442F1">
        <w:t xml:space="preserve">is being </w:t>
      </w:r>
      <w:r w:rsidRPr="00D442F1">
        <w:t xml:space="preserve">made, your </w:t>
      </w:r>
      <w:r w:rsidRPr="00D442F1">
        <w:rPr>
          <w:noProof/>
          <w:szCs w:val="22"/>
        </w:rPr>
        <w:t>lymphoma or leuk</w:t>
      </w:r>
      <w:r w:rsidRPr="00D442F1" w:rsidR="00A71FE3">
        <w:rPr>
          <w:noProof/>
          <w:szCs w:val="22"/>
        </w:rPr>
        <w:t>a</w:t>
      </w:r>
      <w:r w:rsidRPr="00D442F1">
        <w:rPr>
          <w:noProof/>
          <w:szCs w:val="22"/>
        </w:rPr>
        <w:t>emia may get worse and your doctor may decide to use an additional treatment (a type of chemotherapy known as “bridging therapy”) to stabilise your cancer</w:t>
      </w:r>
      <w:r w:rsidRPr="00D442F1" w:rsidR="00DA5699">
        <w:rPr>
          <w:noProof/>
          <w:szCs w:val="22"/>
        </w:rPr>
        <w:t xml:space="preserve"> </w:t>
      </w:r>
      <w:r w:rsidRPr="00D442F1" w:rsidR="00DA5699">
        <w:t>by stopping new cancer cells from developing</w:t>
      </w:r>
      <w:r w:rsidRPr="00D442F1">
        <w:rPr>
          <w:noProof/>
          <w:szCs w:val="22"/>
        </w:rPr>
        <w:t xml:space="preserve">. This </w:t>
      </w:r>
      <w:r w:rsidRPr="00D442F1" w:rsidR="00DA5699">
        <w:rPr>
          <w:noProof/>
          <w:szCs w:val="22"/>
        </w:rPr>
        <w:t>t</w:t>
      </w:r>
      <w:r w:rsidRPr="00D442F1" w:rsidR="00DA5699">
        <w:t xml:space="preserve">reatment </w:t>
      </w:r>
      <w:r w:rsidRPr="00D442F1">
        <w:rPr>
          <w:noProof/>
          <w:szCs w:val="22"/>
        </w:rPr>
        <w:t xml:space="preserve">may lead to side effects </w:t>
      </w:r>
      <w:r w:rsidRPr="00D442F1" w:rsidR="00DA5699">
        <w:rPr>
          <w:noProof/>
          <w:szCs w:val="22"/>
        </w:rPr>
        <w:t xml:space="preserve">and these may </w:t>
      </w:r>
      <w:r w:rsidRPr="00D442F1">
        <w:rPr>
          <w:noProof/>
          <w:szCs w:val="22"/>
        </w:rPr>
        <w:t>be severe or life-threatening. Your doctor will inform you of the potential side effects of this treatment.</w:t>
      </w:r>
    </w:p>
    <w:p w:rsidR="009C0CD4" w:rsidRPr="00D442F1" w:rsidP="00166894" w14:paraId="28204642" w14:textId="77777777">
      <w:pPr>
        <w:widowControl w:val="0"/>
        <w:tabs>
          <w:tab w:val="clear" w:pos="567"/>
        </w:tabs>
        <w:spacing w:line="240" w:lineRule="auto"/>
        <w:ind w:right="-2"/>
        <w:rPr>
          <w:noProof/>
          <w:szCs w:val="22"/>
        </w:rPr>
      </w:pPr>
    </w:p>
    <w:p w:rsidR="00CE3C79" w:rsidRPr="00D442F1" w:rsidP="00166894" w14:paraId="79342C90" w14:textId="0A2D16AF">
      <w:pPr>
        <w:keepNext/>
        <w:widowControl w:val="0"/>
        <w:numPr>
          <w:ilvl w:val="12"/>
          <w:numId w:val="0"/>
        </w:numPr>
        <w:tabs>
          <w:tab w:val="clear" w:pos="567"/>
        </w:tabs>
        <w:spacing w:line="240" w:lineRule="auto"/>
        <w:rPr>
          <w:b/>
          <w:noProof/>
          <w:szCs w:val="22"/>
        </w:rPr>
      </w:pPr>
      <w:r w:rsidRPr="00D442F1">
        <w:rPr>
          <w:b/>
          <w:noProof/>
          <w:szCs w:val="22"/>
        </w:rPr>
        <w:t xml:space="preserve">Medicines given </w:t>
      </w:r>
      <w:r w:rsidRPr="00D442F1" w:rsidR="00A71FE3">
        <w:rPr>
          <w:b/>
          <w:noProof/>
          <w:szCs w:val="22"/>
        </w:rPr>
        <w:t xml:space="preserve">immediately </w:t>
      </w:r>
      <w:r w:rsidRPr="00D442F1">
        <w:rPr>
          <w:b/>
          <w:noProof/>
          <w:szCs w:val="22"/>
        </w:rPr>
        <w:t>before Kymriah treatment</w:t>
      </w:r>
    </w:p>
    <w:p w:rsidR="00CE3C79" w:rsidRPr="00D442F1" w:rsidP="00FE037E" w14:paraId="619E814D" w14:textId="77777777">
      <w:pPr>
        <w:keepNext/>
        <w:keepLines/>
        <w:widowControl w:val="0"/>
        <w:numPr>
          <w:ilvl w:val="12"/>
          <w:numId w:val="0"/>
        </w:numPr>
        <w:tabs>
          <w:tab w:val="clear" w:pos="567"/>
        </w:tabs>
        <w:spacing w:line="240" w:lineRule="auto"/>
        <w:rPr>
          <w:noProof/>
          <w:szCs w:val="22"/>
        </w:rPr>
      </w:pPr>
      <w:r w:rsidRPr="00D442F1">
        <w:rPr>
          <w:noProof/>
          <w:szCs w:val="22"/>
        </w:rPr>
        <w:t xml:space="preserve">During the 30 to 60 minutes before you are given Kymriah you may be given other medicines. This is to help </w:t>
      </w:r>
      <w:r w:rsidRPr="00D442F1" w:rsidR="007C72A2">
        <w:rPr>
          <w:noProof/>
          <w:szCs w:val="22"/>
        </w:rPr>
        <w:t>prevent</w:t>
      </w:r>
      <w:r w:rsidRPr="00D442F1">
        <w:rPr>
          <w:noProof/>
          <w:szCs w:val="22"/>
        </w:rPr>
        <w:t xml:space="preserve"> infusion reactions and fever. These other medicines may include:</w:t>
      </w:r>
    </w:p>
    <w:p w:rsidR="00CE3C79" w:rsidRPr="00D442F1" w:rsidP="00166894" w14:paraId="18D363E1" w14:textId="77777777">
      <w:pPr>
        <w:widowControl w:val="0"/>
        <w:numPr>
          <w:ilvl w:val="0"/>
          <w:numId w:val="15"/>
        </w:numPr>
        <w:tabs>
          <w:tab w:val="clear" w:pos="567"/>
        </w:tabs>
        <w:spacing w:line="240" w:lineRule="auto"/>
        <w:ind w:left="567" w:hanging="567"/>
        <w:rPr>
          <w:noProof/>
          <w:szCs w:val="22"/>
        </w:rPr>
      </w:pPr>
      <w:r w:rsidRPr="00D442F1">
        <w:rPr>
          <w:noProof/>
          <w:szCs w:val="22"/>
        </w:rPr>
        <w:t>P</w:t>
      </w:r>
      <w:r w:rsidRPr="00D442F1">
        <w:rPr>
          <w:noProof/>
          <w:szCs w:val="22"/>
        </w:rPr>
        <w:t>aracetamol</w:t>
      </w:r>
    </w:p>
    <w:p w:rsidR="00CE3C79" w:rsidRPr="00D442F1" w:rsidP="00166894" w14:paraId="00AB80B7" w14:textId="77777777">
      <w:pPr>
        <w:widowControl w:val="0"/>
        <w:numPr>
          <w:ilvl w:val="0"/>
          <w:numId w:val="15"/>
        </w:numPr>
        <w:tabs>
          <w:tab w:val="clear" w:pos="567"/>
        </w:tabs>
        <w:spacing w:line="240" w:lineRule="auto"/>
        <w:ind w:left="567" w:hanging="567"/>
        <w:rPr>
          <w:noProof/>
          <w:szCs w:val="22"/>
        </w:rPr>
      </w:pPr>
      <w:r w:rsidRPr="00D442F1">
        <w:rPr>
          <w:noProof/>
          <w:szCs w:val="22"/>
        </w:rPr>
        <w:t>A</w:t>
      </w:r>
      <w:r w:rsidRPr="00D442F1" w:rsidR="007C72A2">
        <w:rPr>
          <w:noProof/>
          <w:szCs w:val="22"/>
        </w:rPr>
        <w:t>n</w:t>
      </w:r>
      <w:r w:rsidRPr="00D442F1">
        <w:rPr>
          <w:noProof/>
          <w:szCs w:val="22"/>
        </w:rPr>
        <w:t xml:space="preserve"> antihistamine such as diphenhydramine.</w:t>
      </w:r>
    </w:p>
    <w:p w:rsidR="00B8605F" w:rsidRPr="00D442F1" w:rsidP="00166894" w14:paraId="4E759504" w14:textId="77777777">
      <w:pPr>
        <w:widowControl w:val="0"/>
        <w:tabs>
          <w:tab w:val="clear" w:pos="567"/>
        </w:tabs>
        <w:spacing w:line="240" w:lineRule="auto"/>
        <w:ind w:right="-2"/>
        <w:rPr>
          <w:noProof/>
          <w:szCs w:val="22"/>
        </w:rPr>
      </w:pPr>
    </w:p>
    <w:p w:rsidR="00CE3C79" w:rsidRPr="00D442F1" w:rsidP="00166894" w14:paraId="0FE29E90" w14:textId="77777777">
      <w:pPr>
        <w:keepNext/>
        <w:widowControl w:val="0"/>
        <w:numPr>
          <w:ilvl w:val="12"/>
          <w:numId w:val="0"/>
        </w:numPr>
        <w:tabs>
          <w:tab w:val="clear" w:pos="567"/>
        </w:tabs>
        <w:spacing w:line="240" w:lineRule="auto"/>
        <w:rPr>
          <w:b/>
          <w:noProof/>
          <w:szCs w:val="22"/>
        </w:rPr>
      </w:pPr>
      <w:r w:rsidRPr="00D442F1">
        <w:rPr>
          <w:b/>
          <w:noProof/>
          <w:szCs w:val="22"/>
        </w:rPr>
        <w:t>How you are given Kymriah</w:t>
      </w:r>
    </w:p>
    <w:p w:rsidR="00CE3C79" w:rsidRPr="00D442F1" w:rsidP="00166894" w14:paraId="03E9ACAB" w14:textId="77777777">
      <w:pPr>
        <w:widowControl w:val="0"/>
        <w:numPr>
          <w:ilvl w:val="0"/>
          <w:numId w:val="15"/>
        </w:numPr>
        <w:tabs>
          <w:tab w:val="clear" w:pos="567"/>
        </w:tabs>
        <w:spacing w:line="240" w:lineRule="auto"/>
        <w:ind w:left="567" w:hanging="567"/>
        <w:rPr>
          <w:noProof/>
          <w:szCs w:val="22"/>
        </w:rPr>
      </w:pPr>
      <w:r w:rsidRPr="00D442F1">
        <w:rPr>
          <w:szCs w:val="22"/>
        </w:rPr>
        <w:t>Your doctor will check that the individual patient identifiers on the Kymriah infusion bag match up to you.</w:t>
      </w:r>
    </w:p>
    <w:p w:rsidR="00CE3C79" w:rsidRPr="00D442F1" w:rsidP="00166894" w14:paraId="3691D1FF" w14:textId="77777777">
      <w:pPr>
        <w:widowControl w:val="0"/>
        <w:numPr>
          <w:ilvl w:val="0"/>
          <w:numId w:val="15"/>
        </w:numPr>
        <w:tabs>
          <w:tab w:val="clear" w:pos="567"/>
        </w:tabs>
        <w:spacing w:line="240" w:lineRule="auto"/>
        <w:ind w:left="567" w:hanging="567"/>
        <w:rPr>
          <w:noProof/>
          <w:szCs w:val="22"/>
        </w:rPr>
      </w:pPr>
      <w:r w:rsidRPr="00D442F1">
        <w:rPr>
          <w:noProof/>
          <w:szCs w:val="22"/>
        </w:rPr>
        <w:t xml:space="preserve">Your doctor will give you Kymriah by infusion, which means it will be given </w:t>
      </w:r>
      <w:r w:rsidRPr="00D442F1" w:rsidR="00832809">
        <w:rPr>
          <w:noProof/>
          <w:szCs w:val="22"/>
        </w:rPr>
        <w:t xml:space="preserve">as a drip </w:t>
      </w:r>
      <w:r w:rsidRPr="00D442F1">
        <w:rPr>
          <w:noProof/>
          <w:szCs w:val="22"/>
        </w:rPr>
        <w:t>through a tube in your vein. This usually takes less than 1 hour.</w:t>
      </w:r>
    </w:p>
    <w:p w:rsidR="00CE3C79" w:rsidRPr="00D442F1" w:rsidP="00166894" w14:paraId="1331EE1E" w14:textId="5BD9B506">
      <w:pPr>
        <w:widowControl w:val="0"/>
        <w:numPr>
          <w:ilvl w:val="0"/>
          <w:numId w:val="15"/>
        </w:numPr>
        <w:tabs>
          <w:tab w:val="clear" w:pos="567"/>
        </w:tabs>
        <w:spacing w:line="240" w:lineRule="auto"/>
        <w:ind w:left="567" w:hanging="567"/>
        <w:rPr>
          <w:noProof/>
          <w:szCs w:val="22"/>
        </w:rPr>
      </w:pPr>
      <w:r w:rsidRPr="00D442F1">
        <w:rPr>
          <w:noProof/>
          <w:szCs w:val="22"/>
        </w:rPr>
        <w:t>Kymriah is a one</w:t>
      </w:r>
      <w:r w:rsidRPr="00D442F1">
        <w:rPr>
          <w:noProof/>
          <w:szCs w:val="22"/>
        </w:rPr>
        <w:noBreakHyphen/>
        <w:t>time treatment.</w:t>
      </w:r>
    </w:p>
    <w:p w:rsidR="00CE3C79" w:rsidRPr="00D442F1" w:rsidP="00166894" w14:paraId="7D88BD80" w14:textId="77777777">
      <w:pPr>
        <w:widowControl w:val="0"/>
        <w:tabs>
          <w:tab w:val="clear" w:pos="567"/>
        </w:tabs>
        <w:spacing w:line="240" w:lineRule="auto"/>
        <w:rPr>
          <w:noProof/>
          <w:szCs w:val="22"/>
        </w:rPr>
      </w:pPr>
    </w:p>
    <w:p w:rsidR="00CE3C79" w:rsidRPr="00D442F1" w:rsidP="00166894" w14:paraId="01DAD815" w14:textId="77777777">
      <w:pPr>
        <w:keepNext/>
        <w:widowControl w:val="0"/>
        <w:tabs>
          <w:tab w:val="clear" w:pos="567"/>
        </w:tabs>
        <w:spacing w:line="240" w:lineRule="auto"/>
        <w:rPr>
          <w:b/>
          <w:noProof/>
          <w:szCs w:val="22"/>
        </w:rPr>
      </w:pPr>
      <w:r w:rsidRPr="00D442F1">
        <w:rPr>
          <w:b/>
          <w:noProof/>
          <w:szCs w:val="22"/>
        </w:rPr>
        <w:t>After you are given Kymriah</w:t>
      </w:r>
    </w:p>
    <w:p w:rsidR="00CE3C79" w:rsidRPr="00D442F1" w:rsidP="00166894" w14:paraId="43A0456A" w14:textId="77777777">
      <w:pPr>
        <w:widowControl w:val="0"/>
        <w:numPr>
          <w:ilvl w:val="0"/>
          <w:numId w:val="15"/>
        </w:numPr>
        <w:tabs>
          <w:tab w:val="clear" w:pos="567"/>
        </w:tabs>
        <w:spacing w:line="240" w:lineRule="auto"/>
        <w:ind w:left="567" w:hanging="567"/>
        <w:rPr>
          <w:noProof/>
          <w:szCs w:val="22"/>
        </w:rPr>
      </w:pPr>
      <w:r w:rsidRPr="00D442F1">
        <w:rPr>
          <w:noProof/>
          <w:szCs w:val="22"/>
        </w:rPr>
        <w:t>Plan to stay within 2 hours</w:t>
      </w:r>
      <w:r w:rsidRPr="00D442F1" w:rsidR="003572FC">
        <w:rPr>
          <w:noProof/>
          <w:szCs w:val="22"/>
        </w:rPr>
        <w:t>’</w:t>
      </w:r>
      <w:r w:rsidRPr="00D442F1">
        <w:rPr>
          <w:noProof/>
          <w:szCs w:val="22"/>
        </w:rPr>
        <w:t xml:space="preserve"> </w:t>
      </w:r>
      <w:r w:rsidRPr="00D442F1" w:rsidR="00832809">
        <w:rPr>
          <w:noProof/>
          <w:szCs w:val="22"/>
        </w:rPr>
        <w:t>travel from</w:t>
      </w:r>
      <w:r w:rsidRPr="00D442F1">
        <w:rPr>
          <w:noProof/>
          <w:szCs w:val="22"/>
        </w:rPr>
        <w:t xml:space="preserve"> the hospital where you were </w:t>
      </w:r>
      <w:r w:rsidRPr="00D442F1" w:rsidR="00832809">
        <w:rPr>
          <w:noProof/>
          <w:szCs w:val="22"/>
        </w:rPr>
        <w:t xml:space="preserve">treated </w:t>
      </w:r>
      <w:r w:rsidRPr="00D442F1">
        <w:rPr>
          <w:noProof/>
          <w:szCs w:val="22"/>
        </w:rPr>
        <w:t xml:space="preserve">for </w:t>
      </w:r>
      <w:r w:rsidRPr="00D442F1" w:rsidR="003150C7">
        <w:rPr>
          <w:noProof/>
          <w:szCs w:val="22"/>
        </w:rPr>
        <w:t xml:space="preserve">at least </w:t>
      </w:r>
      <w:r w:rsidRPr="00D442F1">
        <w:rPr>
          <w:noProof/>
          <w:szCs w:val="22"/>
        </w:rPr>
        <w:t xml:space="preserve">4 weeks after you have been given Kymriah. </w:t>
      </w:r>
      <w:r w:rsidRPr="00D442F1" w:rsidR="00DD1A99">
        <w:rPr>
          <w:noProof/>
          <w:szCs w:val="22"/>
        </w:rPr>
        <w:t xml:space="preserve">Your </w:t>
      </w:r>
      <w:r w:rsidRPr="00D442F1" w:rsidR="006C0A1E">
        <w:rPr>
          <w:noProof/>
          <w:szCs w:val="22"/>
        </w:rPr>
        <w:t>doctor</w:t>
      </w:r>
      <w:r w:rsidRPr="00D442F1" w:rsidR="00DD1A99">
        <w:rPr>
          <w:noProof/>
          <w:szCs w:val="22"/>
        </w:rPr>
        <w:t xml:space="preserve"> will recommend that you return to the </w:t>
      </w:r>
      <w:r w:rsidRPr="00D442F1" w:rsidR="006C0A1E">
        <w:rPr>
          <w:noProof/>
          <w:szCs w:val="22"/>
        </w:rPr>
        <w:t xml:space="preserve">hospital </w:t>
      </w:r>
      <w:r w:rsidRPr="00D442F1" w:rsidR="00DD1A99">
        <w:rPr>
          <w:noProof/>
          <w:szCs w:val="22"/>
        </w:rPr>
        <w:t xml:space="preserve">daily for at least </w:t>
      </w:r>
      <w:r w:rsidRPr="00D442F1" w:rsidR="00317AB9">
        <w:rPr>
          <w:noProof/>
          <w:szCs w:val="22"/>
        </w:rPr>
        <w:t>10 </w:t>
      </w:r>
      <w:r w:rsidRPr="00D442F1" w:rsidR="00DD1A99">
        <w:rPr>
          <w:noProof/>
          <w:szCs w:val="22"/>
        </w:rPr>
        <w:t xml:space="preserve">days and will consider </w:t>
      </w:r>
      <w:r w:rsidRPr="00D442F1" w:rsidR="00BA75C4">
        <w:rPr>
          <w:noProof/>
          <w:szCs w:val="22"/>
        </w:rPr>
        <w:t xml:space="preserve">whether you need to </w:t>
      </w:r>
      <w:r w:rsidRPr="00D442F1" w:rsidR="00DD1A99">
        <w:rPr>
          <w:noProof/>
          <w:szCs w:val="22"/>
        </w:rPr>
        <w:t xml:space="preserve">stay </w:t>
      </w:r>
      <w:r w:rsidRPr="00D442F1" w:rsidR="00BA75C4">
        <w:rPr>
          <w:noProof/>
          <w:szCs w:val="22"/>
        </w:rPr>
        <w:t xml:space="preserve">at </w:t>
      </w:r>
      <w:r w:rsidRPr="00D442F1" w:rsidR="00DD1A99">
        <w:rPr>
          <w:noProof/>
          <w:szCs w:val="22"/>
        </w:rPr>
        <w:t xml:space="preserve">the </w:t>
      </w:r>
      <w:r w:rsidRPr="00D442F1" w:rsidR="00BA75C4">
        <w:rPr>
          <w:noProof/>
          <w:szCs w:val="22"/>
        </w:rPr>
        <w:t>hospital as an in</w:t>
      </w:r>
      <w:r w:rsidRPr="00D442F1" w:rsidR="00BA75C4">
        <w:rPr>
          <w:noProof/>
          <w:szCs w:val="22"/>
        </w:rPr>
        <w:noBreakHyphen/>
        <w:t>patient</w:t>
      </w:r>
      <w:r w:rsidRPr="00D442F1" w:rsidR="00DD1A99">
        <w:rPr>
          <w:noProof/>
          <w:szCs w:val="22"/>
        </w:rPr>
        <w:t xml:space="preserve"> for the first 10</w:t>
      </w:r>
      <w:r w:rsidRPr="00D442F1" w:rsidR="00BA75C4">
        <w:rPr>
          <w:noProof/>
          <w:szCs w:val="22"/>
        </w:rPr>
        <w:t> </w:t>
      </w:r>
      <w:r w:rsidRPr="00D442F1" w:rsidR="00DD1A99">
        <w:rPr>
          <w:noProof/>
          <w:szCs w:val="22"/>
        </w:rPr>
        <w:t xml:space="preserve">days after infusion. </w:t>
      </w:r>
      <w:r w:rsidRPr="00D442F1">
        <w:rPr>
          <w:noProof/>
          <w:szCs w:val="22"/>
        </w:rPr>
        <w:t>This is so your doctor can check if your treatment is working and help you if you have any side effects.</w:t>
      </w:r>
    </w:p>
    <w:p w:rsidR="00CE3C79" w:rsidRPr="00D442F1" w:rsidP="00166894" w14:paraId="7693DEA8" w14:textId="77777777">
      <w:pPr>
        <w:widowControl w:val="0"/>
        <w:tabs>
          <w:tab w:val="clear" w:pos="567"/>
        </w:tabs>
        <w:spacing w:line="240" w:lineRule="auto"/>
        <w:ind w:right="-2"/>
        <w:rPr>
          <w:noProof/>
          <w:szCs w:val="22"/>
        </w:rPr>
      </w:pPr>
    </w:p>
    <w:p w:rsidR="00D83B4F" w:rsidRPr="00D442F1" w:rsidP="00166894" w14:paraId="21D1BA22" w14:textId="77777777">
      <w:pPr>
        <w:widowControl w:val="0"/>
        <w:tabs>
          <w:tab w:val="clear" w:pos="567"/>
        </w:tabs>
        <w:spacing w:line="240" w:lineRule="auto"/>
        <w:ind w:right="-2"/>
        <w:rPr>
          <w:noProof/>
          <w:szCs w:val="22"/>
        </w:rPr>
      </w:pPr>
      <w:r w:rsidRPr="00D442F1">
        <w:rPr>
          <w:noProof/>
          <w:szCs w:val="22"/>
        </w:rPr>
        <w:t>If you miss an appointment, call your doctor or the hospital as soon as possible to reschedule.</w:t>
      </w:r>
    </w:p>
    <w:p w:rsidR="00D83B4F" w:rsidRPr="00D442F1" w:rsidP="00166894" w14:paraId="05DE81CC" w14:textId="77777777">
      <w:pPr>
        <w:widowControl w:val="0"/>
        <w:tabs>
          <w:tab w:val="clear" w:pos="567"/>
        </w:tabs>
        <w:spacing w:line="240" w:lineRule="auto"/>
        <w:ind w:right="-2"/>
        <w:rPr>
          <w:noProof/>
          <w:szCs w:val="22"/>
        </w:rPr>
      </w:pPr>
    </w:p>
    <w:p w:rsidR="00CE3C79" w:rsidRPr="00D442F1" w:rsidP="00166894" w14:paraId="4426219C" w14:textId="77777777">
      <w:pPr>
        <w:widowControl w:val="0"/>
        <w:numPr>
          <w:ilvl w:val="12"/>
          <w:numId w:val="0"/>
        </w:numPr>
        <w:tabs>
          <w:tab w:val="clear" w:pos="567"/>
        </w:tabs>
        <w:spacing w:line="240" w:lineRule="auto"/>
        <w:ind w:right="-2"/>
        <w:rPr>
          <w:noProof/>
          <w:szCs w:val="22"/>
        </w:rPr>
      </w:pPr>
    </w:p>
    <w:p w:rsidR="00CE3C79" w:rsidRPr="00D442F1" w:rsidP="00166894" w14:paraId="05E447D9" w14:textId="77777777">
      <w:pPr>
        <w:keepNext/>
        <w:widowControl w:val="0"/>
        <w:numPr>
          <w:ilvl w:val="12"/>
          <w:numId w:val="0"/>
        </w:numPr>
        <w:tabs>
          <w:tab w:val="clear" w:pos="567"/>
        </w:tabs>
        <w:spacing w:line="240" w:lineRule="auto"/>
        <w:ind w:left="567" w:right="-2" w:hanging="567"/>
        <w:rPr>
          <w:szCs w:val="22"/>
        </w:rPr>
      </w:pPr>
      <w:r w:rsidRPr="00D442F1">
        <w:rPr>
          <w:b/>
          <w:szCs w:val="22"/>
        </w:rPr>
        <w:t>4.</w:t>
      </w:r>
      <w:r w:rsidRPr="00D442F1">
        <w:rPr>
          <w:b/>
          <w:szCs w:val="22"/>
        </w:rPr>
        <w:tab/>
        <w:t>Possible side effects</w:t>
      </w:r>
    </w:p>
    <w:p w:rsidR="00CE3C79" w:rsidRPr="00D442F1" w:rsidP="00166894" w14:paraId="21A51212" w14:textId="77777777">
      <w:pPr>
        <w:keepNext/>
        <w:widowControl w:val="0"/>
        <w:numPr>
          <w:ilvl w:val="12"/>
          <w:numId w:val="0"/>
        </w:numPr>
        <w:tabs>
          <w:tab w:val="clear" w:pos="567"/>
        </w:tabs>
        <w:spacing w:line="240" w:lineRule="auto"/>
        <w:ind w:right="-29"/>
        <w:rPr>
          <w:noProof/>
          <w:szCs w:val="22"/>
        </w:rPr>
      </w:pPr>
    </w:p>
    <w:p w:rsidR="00CE3C79" w:rsidRPr="00D442F1" w:rsidP="00166894" w14:paraId="54B305E5" w14:textId="77777777">
      <w:pPr>
        <w:keepNext/>
        <w:widowControl w:val="0"/>
        <w:numPr>
          <w:ilvl w:val="12"/>
          <w:numId w:val="0"/>
        </w:numPr>
        <w:tabs>
          <w:tab w:val="clear" w:pos="567"/>
        </w:tabs>
        <w:spacing w:line="240" w:lineRule="auto"/>
        <w:ind w:right="-29"/>
        <w:rPr>
          <w:noProof/>
          <w:szCs w:val="22"/>
        </w:rPr>
      </w:pPr>
      <w:r w:rsidRPr="00D442F1">
        <w:rPr>
          <w:noProof/>
          <w:szCs w:val="22"/>
        </w:rPr>
        <w:t>Like all medicines, this medicine can cause side effects, although not everybody gets them.</w:t>
      </w:r>
    </w:p>
    <w:p w:rsidR="007D1BEE" w:rsidRPr="00D442F1" w:rsidP="00166894" w14:paraId="72F5F55C" w14:textId="77777777">
      <w:pPr>
        <w:keepNext/>
        <w:widowControl w:val="0"/>
        <w:tabs>
          <w:tab w:val="clear" w:pos="567"/>
        </w:tabs>
        <w:spacing w:line="240" w:lineRule="auto"/>
        <w:rPr>
          <w:szCs w:val="22"/>
        </w:rPr>
      </w:pPr>
    </w:p>
    <w:p w:rsidR="007D1BEE" w:rsidRPr="00D442F1" w:rsidP="00166894" w14:paraId="60D2BC16" w14:textId="77777777">
      <w:pPr>
        <w:keepNext/>
        <w:widowControl w:val="0"/>
        <w:tabs>
          <w:tab w:val="clear" w:pos="567"/>
        </w:tabs>
        <w:spacing w:line="240" w:lineRule="auto"/>
        <w:rPr>
          <w:noProof/>
          <w:szCs w:val="22"/>
        </w:rPr>
      </w:pPr>
      <w:r w:rsidRPr="00D442F1">
        <w:rPr>
          <w:b/>
          <w:szCs w:val="22"/>
        </w:rPr>
        <w:t xml:space="preserve">Tell your doctor </w:t>
      </w:r>
      <w:r w:rsidRPr="00D442F1">
        <w:rPr>
          <w:b/>
          <w:noProof/>
          <w:szCs w:val="22"/>
        </w:rPr>
        <w:t>immediately</w:t>
      </w:r>
      <w:r w:rsidRPr="00D442F1">
        <w:rPr>
          <w:szCs w:val="22"/>
        </w:rPr>
        <w:t xml:space="preserve"> if you get any of </w:t>
      </w:r>
      <w:r w:rsidRPr="00D442F1">
        <w:rPr>
          <w:noProof/>
          <w:szCs w:val="22"/>
        </w:rPr>
        <w:t xml:space="preserve">the following side effects </w:t>
      </w:r>
      <w:r w:rsidRPr="00D442F1">
        <w:rPr>
          <w:szCs w:val="22"/>
        </w:rPr>
        <w:t>after the Kymriah infusion</w:t>
      </w:r>
      <w:r w:rsidRPr="00D442F1" w:rsidR="00D6426A">
        <w:rPr>
          <w:szCs w:val="22"/>
        </w:rPr>
        <w:t>. They usually happen in the first 8 weeks after the infusion, but can also develop later</w:t>
      </w:r>
      <w:r w:rsidRPr="00D442F1">
        <w:rPr>
          <w:noProof/>
          <w:szCs w:val="22"/>
        </w:rPr>
        <w:t>:</w:t>
      </w:r>
    </w:p>
    <w:p w:rsidR="00832809" w:rsidRPr="00D442F1" w:rsidP="00166894" w14:paraId="0F8686F7" w14:textId="77777777">
      <w:pPr>
        <w:keepNext/>
        <w:widowControl w:val="0"/>
        <w:tabs>
          <w:tab w:val="clear" w:pos="567"/>
        </w:tabs>
        <w:spacing w:line="240" w:lineRule="auto"/>
        <w:rPr>
          <w:noProof/>
          <w:szCs w:val="22"/>
        </w:rPr>
      </w:pPr>
    </w:p>
    <w:p w:rsidR="00832809" w:rsidRPr="00D442F1" w:rsidP="00166894" w14:paraId="36F46595" w14:textId="77777777">
      <w:pPr>
        <w:keepNext/>
        <w:widowControl w:val="0"/>
        <w:tabs>
          <w:tab w:val="clear" w:pos="567"/>
        </w:tabs>
        <w:spacing w:line="240" w:lineRule="auto"/>
        <w:rPr>
          <w:noProof/>
          <w:szCs w:val="22"/>
        </w:rPr>
      </w:pPr>
      <w:r w:rsidRPr="00D442F1">
        <w:rPr>
          <w:b/>
          <w:noProof/>
          <w:szCs w:val="22"/>
        </w:rPr>
        <w:t>Very common: may affect more than 1 in 10</w:t>
      </w:r>
      <w:r w:rsidRPr="00D442F1" w:rsidR="009777D2">
        <w:rPr>
          <w:b/>
          <w:noProof/>
          <w:szCs w:val="22"/>
        </w:rPr>
        <w:t> </w:t>
      </w:r>
      <w:r w:rsidRPr="00D442F1">
        <w:rPr>
          <w:b/>
          <w:noProof/>
          <w:szCs w:val="22"/>
        </w:rPr>
        <w:t>people</w:t>
      </w:r>
    </w:p>
    <w:p w:rsidR="007D1BEE" w:rsidRPr="00D442F1" w:rsidP="00166894" w14:paraId="58E9D347" w14:textId="60A02602">
      <w:pPr>
        <w:widowControl w:val="0"/>
        <w:numPr>
          <w:ilvl w:val="0"/>
          <w:numId w:val="11"/>
        </w:numPr>
        <w:tabs>
          <w:tab w:val="clear" w:pos="567"/>
        </w:tabs>
        <w:spacing w:line="240" w:lineRule="auto"/>
        <w:ind w:left="567" w:hanging="567"/>
        <w:rPr>
          <w:noProof/>
          <w:szCs w:val="22"/>
        </w:rPr>
      </w:pPr>
      <w:r w:rsidRPr="00D442F1">
        <w:rPr>
          <w:noProof/>
          <w:szCs w:val="22"/>
        </w:rPr>
        <w:t>h</w:t>
      </w:r>
      <w:r w:rsidRPr="00D442F1">
        <w:rPr>
          <w:noProof/>
          <w:szCs w:val="22"/>
        </w:rPr>
        <w:t>igh fever and chills. These may be symptoms of a serious condition called cytokine release syndrome</w:t>
      </w:r>
      <w:r w:rsidRPr="00D442F1" w:rsidR="00B83F21">
        <w:rPr>
          <w:noProof/>
          <w:szCs w:val="22"/>
        </w:rPr>
        <w:t xml:space="preserve"> which </w:t>
      </w:r>
      <w:r w:rsidRPr="00D442F1" w:rsidR="00B83F21">
        <w:t>may be life-threatening or fatal</w:t>
      </w:r>
      <w:r w:rsidRPr="00D442F1">
        <w:rPr>
          <w:noProof/>
          <w:szCs w:val="22"/>
        </w:rPr>
        <w:t>. Other</w:t>
      </w:r>
      <w:r w:rsidRPr="00D442F1" w:rsidR="002E0A7B">
        <w:rPr>
          <w:noProof/>
          <w:szCs w:val="22"/>
        </w:rPr>
        <w:t xml:space="preserve"> symptoms</w:t>
      </w:r>
      <w:r w:rsidRPr="00D442F1">
        <w:rPr>
          <w:noProof/>
          <w:szCs w:val="22"/>
        </w:rPr>
        <w:t xml:space="preserve"> of </w:t>
      </w:r>
      <w:r w:rsidRPr="00D442F1">
        <w:rPr>
          <w:noProof/>
          <w:szCs w:val="22"/>
        </w:rPr>
        <w:t>cytokine release syndrome</w:t>
      </w:r>
      <w:r w:rsidRPr="00D442F1">
        <w:rPr>
          <w:noProof/>
          <w:szCs w:val="22"/>
        </w:rPr>
        <w:t xml:space="preserve"> are difficulty breathing, nausea, vomiting, diarrhoea, </w:t>
      </w:r>
      <w:r w:rsidRPr="00D442F1" w:rsidR="00DF790F">
        <w:rPr>
          <w:noProof/>
          <w:szCs w:val="22"/>
        </w:rPr>
        <w:t xml:space="preserve">loss of appetite, fatigue, </w:t>
      </w:r>
      <w:r w:rsidRPr="00D442F1">
        <w:rPr>
          <w:noProof/>
          <w:szCs w:val="22"/>
        </w:rPr>
        <w:t xml:space="preserve">muscle pain, joint pain, </w:t>
      </w:r>
      <w:r w:rsidRPr="00D442F1" w:rsidR="00780789">
        <w:rPr>
          <w:noProof/>
          <w:szCs w:val="22"/>
        </w:rPr>
        <w:t xml:space="preserve">swelling, </w:t>
      </w:r>
      <w:r w:rsidRPr="00D442F1">
        <w:rPr>
          <w:noProof/>
          <w:szCs w:val="22"/>
        </w:rPr>
        <w:t xml:space="preserve">low blood pressure, </w:t>
      </w:r>
      <w:r w:rsidRPr="00D442F1" w:rsidR="00DF790F">
        <w:rPr>
          <w:noProof/>
          <w:szCs w:val="22"/>
        </w:rPr>
        <w:t xml:space="preserve">headache, </w:t>
      </w:r>
      <w:r w:rsidRPr="00D442F1" w:rsidR="00780789">
        <w:rPr>
          <w:noProof/>
          <w:szCs w:val="22"/>
        </w:rPr>
        <w:t>heart, lung and kidney failure and liver injury</w:t>
      </w:r>
      <w:r w:rsidRPr="00D442F1">
        <w:rPr>
          <w:noProof/>
          <w:szCs w:val="22"/>
        </w:rPr>
        <w:t xml:space="preserve">. </w:t>
      </w:r>
      <w:r w:rsidRPr="00D442F1">
        <w:rPr>
          <w:noProof/>
          <w:szCs w:val="22"/>
        </w:rPr>
        <w:t>T</w:t>
      </w:r>
      <w:r w:rsidRPr="00D442F1">
        <w:rPr>
          <w:noProof/>
          <w:szCs w:val="22"/>
        </w:rPr>
        <w:t xml:space="preserve">hese symptoms almost always </w:t>
      </w:r>
      <w:r w:rsidRPr="00D442F1">
        <w:rPr>
          <w:noProof/>
          <w:szCs w:val="22"/>
        </w:rPr>
        <w:t xml:space="preserve">occur </w:t>
      </w:r>
      <w:r w:rsidRPr="00D442F1">
        <w:rPr>
          <w:szCs w:val="22"/>
        </w:rPr>
        <w:t>within the first 10 </w:t>
      </w:r>
      <w:r w:rsidRPr="00D442F1">
        <w:rPr>
          <w:noProof/>
          <w:szCs w:val="22"/>
        </w:rPr>
        <w:t>days after infusion.</w:t>
      </w:r>
    </w:p>
    <w:p w:rsidR="007D1BEE" w:rsidRPr="00D442F1" w:rsidP="00166894" w14:paraId="1D5B35F1" w14:textId="5872B82A">
      <w:pPr>
        <w:widowControl w:val="0"/>
        <w:numPr>
          <w:ilvl w:val="0"/>
          <w:numId w:val="11"/>
        </w:numPr>
        <w:tabs>
          <w:tab w:val="clear" w:pos="567"/>
        </w:tabs>
        <w:spacing w:line="240" w:lineRule="auto"/>
        <w:ind w:left="567" w:hanging="567"/>
        <w:rPr>
          <w:noProof/>
          <w:szCs w:val="22"/>
        </w:rPr>
      </w:pPr>
      <w:r w:rsidRPr="00D442F1">
        <w:rPr>
          <w:noProof/>
          <w:szCs w:val="22"/>
        </w:rPr>
        <w:t xml:space="preserve">problems such as altered </w:t>
      </w:r>
      <w:r w:rsidRPr="00D442F1" w:rsidR="00780789">
        <w:rPr>
          <w:noProof/>
          <w:szCs w:val="22"/>
        </w:rPr>
        <w:t xml:space="preserve">thinking </w:t>
      </w:r>
      <w:r w:rsidRPr="00D442F1">
        <w:rPr>
          <w:noProof/>
          <w:szCs w:val="22"/>
        </w:rPr>
        <w:t xml:space="preserve">or decreased consciousness, </w:t>
      </w:r>
      <w:r w:rsidRPr="00D442F1" w:rsidR="005811E8">
        <w:rPr>
          <w:noProof/>
          <w:szCs w:val="22"/>
        </w:rPr>
        <w:t xml:space="preserve">loss of contact with reality, </w:t>
      </w:r>
      <w:r w:rsidRPr="00D442F1">
        <w:rPr>
          <w:noProof/>
          <w:szCs w:val="22"/>
        </w:rPr>
        <w:t>confusion, agitation, seizures, difficulty speaking and understanding speech</w:t>
      </w:r>
      <w:r w:rsidRPr="00D442F1" w:rsidR="005811E8">
        <w:rPr>
          <w:noProof/>
          <w:szCs w:val="22"/>
        </w:rPr>
        <w:t>, difficulty walking</w:t>
      </w:r>
      <w:r w:rsidRPr="00D442F1">
        <w:rPr>
          <w:noProof/>
          <w:szCs w:val="22"/>
        </w:rPr>
        <w:t>.</w:t>
      </w:r>
    </w:p>
    <w:p w:rsidR="00DF790F" w:rsidRPr="00D442F1" w:rsidP="00E84CFD" w14:paraId="4F312EA6" w14:textId="2C0A1F1C">
      <w:pPr>
        <w:widowControl w:val="0"/>
        <w:numPr>
          <w:ilvl w:val="0"/>
          <w:numId w:val="11"/>
        </w:numPr>
        <w:tabs>
          <w:tab w:val="clear" w:pos="567"/>
        </w:tabs>
        <w:spacing w:line="240" w:lineRule="auto"/>
        <w:ind w:left="567" w:hanging="567"/>
        <w:rPr>
          <w:noProof/>
          <w:szCs w:val="22"/>
        </w:rPr>
      </w:pPr>
      <w:r w:rsidRPr="00D442F1">
        <w:rPr>
          <w:noProof/>
          <w:szCs w:val="22"/>
        </w:rPr>
        <w:t>f</w:t>
      </w:r>
      <w:r w:rsidRPr="00D442F1" w:rsidR="007D1BEE">
        <w:rPr>
          <w:noProof/>
          <w:szCs w:val="22"/>
        </w:rPr>
        <w:t>eeling warm, fever, chills or shivering</w:t>
      </w:r>
      <w:r w:rsidRPr="00D442F1">
        <w:rPr>
          <w:noProof/>
          <w:szCs w:val="22"/>
        </w:rPr>
        <w:t>, sore throat or mouth ulcers</w:t>
      </w:r>
      <w:r w:rsidRPr="00D442F1" w:rsidR="007D1BEE">
        <w:rPr>
          <w:noProof/>
          <w:szCs w:val="22"/>
        </w:rPr>
        <w:t xml:space="preserve"> may be signs of an infection.</w:t>
      </w:r>
      <w:r w:rsidRPr="00D442F1" w:rsidR="008E41CE">
        <w:rPr>
          <w:noProof/>
          <w:szCs w:val="22"/>
        </w:rPr>
        <w:t xml:space="preserve"> </w:t>
      </w:r>
      <w:r w:rsidRPr="00D442F1" w:rsidR="008E41CE">
        <w:t>Some infections may be life-threatening or fatal</w:t>
      </w:r>
      <w:r w:rsidRPr="00D442F1" w:rsidR="00B65EC9">
        <w:t>.</w:t>
      </w:r>
    </w:p>
    <w:p w:rsidR="00832809" w:rsidRPr="00D442F1" w:rsidP="00166894" w14:paraId="2CD776D0" w14:textId="77777777">
      <w:pPr>
        <w:widowControl w:val="0"/>
        <w:tabs>
          <w:tab w:val="clear" w:pos="567"/>
        </w:tabs>
        <w:spacing w:line="240" w:lineRule="auto"/>
        <w:rPr>
          <w:noProof/>
          <w:szCs w:val="22"/>
        </w:rPr>
      </w:pPr>
    </w:p>
    <w:p w:rsidR="00832809" w:rsidRPr="00D442F1" w:rsidP="00166894" w14:paraId="60F5E19A" w14:textId="440FF95A">
      <w:pPr>
        <w:keepNext/>
        <w:widowControl w:val="0"/>
        <w:tabs>
          <w:tab w:val="clear" w:pos="567"/>
        </w:tabs>
        <w:spacing w:line="240" w:lineRule="auto"/>
        <w:rPr>
          <w:b/>
          <w:noProof/>
          <w:szCs w:val="22"/>
        </w:rPr>
      </w:pPr>
      <w:r w:rsidRPr="00D442F1">
        <w:rPr>
          <w:b/>
          <w:noProof/>
          <w:szCs w:val="22"/>
        </w:rPr>
        <w:t>Common: may affect up to 1 in 10</w:t>
      </w:r>
      <w:r w:rsidRPr="00D442F1" w:rsidR="009777D2">
        <w:rPr>
          <w:b/>
          <w:noProof/>
          <w:szCs w:val="22"/>
        </w:rPr>
        <w:t> </w:t>
      </w:r>
      <w:r w:rsidRPr="00D442F1">
        <w:rPr>
          <w:b/>
          <w:noProof/>
          <w:szCs w:val="22"/>
        </w:rPr>
        <w:t>people</w:t>
      </w:r>
    </w:p>
    <w:p w:rsidR="007D1BEE" w:rsidRPr="00D442F1" w:rsidP="00FE037E" w14:paraId="53DCBB31" w14:textId="77777777">
      <w:pPr>
        <w:widowControl w:val="0"/>
        <w:numPr>
          <w:ilvl w:val="0"/>
          <w:numId w:val="11"/>
        </w:numPr>
        <w:tabs>
          <w:tab w:val="clear" w:pos="567"/>
        </w:tabs>
        <w:spacing w:line="240" w:lineRule="auto"/>
        <w:ind w:left="567" w:hanging="567"/>
        <w:rPr>
          <w:noProof/>
          <w:szCs w:val="22"/>
        </w:rPr>
      </w:pPr>
      <w:r w:rsidRPr="00D442F1">
        <w:rPr>
          <w:noProof/>
          <w:szCs w:val="22"/>
        </w:rPr>
        <w:t>Rapid breakdown of tumour cells causing release of their contents into the bloodstream. This can interfere with the workings of various body organs</w:t>
      </w:r>
      <w:r w:rsidRPr="00D442F1" w:rsidR="009777D2">
        <w:rPr>
          <w:noProof/>
          <w:szCs w:val="22"/>
        </w:rPr>
        <w:t>,</w:t>
      </w:r>
      <w:r w:rsidRPr="00D442F1">
        <w:rPr>
          <w:noProof/>
          <w:szCs w:val="22"/>
        </w:rPr>
        <w:t xml:space="preserve"> especially the kidneys, heart and nervous system</w:t>
      </w:r>
      <w:r w:rsidRPr="00D442F1">
        <w:rPr>
          <w:rFonts w:eastAsia="SimSun"/>
          <w:szCs w:val="22"/>
        </w:rPr>
        <w:t xml:space="preserve"> </w:t>
      </w:r>
      <w:r w:rsidRPr="00D442F1">
        <w:rPr>
          <w:rFonts w:eastAsia="SimSun"/>
          <w:szCs w:val="22"/>
          <w:lang w:val="en-US"/>
        </w:rPr>
        <w:t>(tumour lysis syndrome).</w:t>
      </w:r>
    </w:p>
    <w:p w:rsidR="007D1BEE" w:rsidRPr="00D442F1" w:rsidP="00166894" w14:paraId="5606365E" w14:textId="77777777">
      <w:pPr>
        <w:widowControl w:val="0"/>
        <w:numPr>
          <w:ilvl w:val="12"/>
          <w:numId w:val="0"/>
        </w:numPr>
        <w:tabs>
          <w:tab w:val="clear" w:pos="567"/>
        </w:tabs>
        <w:spacing w:line="240" w:lineRule="auto"/>
        <w:ind w:right="-28"/>
        <w:rPr>
          <w:noProof/>
          <w:szCs w:val="22"/>
        </w:rPr>
      </w:pPr>
    </w:p>
    <w:p w:rsidR="007D1BEE" w:rsidRPr="00D442F1" w:rsidP="00166894" w14:paraId="47609FBF" w14:textId="77777777">
      <w:pPr>
        <w:keepNext/>
        <w:widowControl w:val="0"/>
        <w:numPr>
          <w:ilvl w:val="12"/>
          <w:numId w:val="0"/>
        </w:numPr>
        <w:tabs>
          <w:tab w:val="clear" w:pos="567"/>
        </w:tabs>
        <w:spacing w:line="240" w:lineRule="auto"/>
        <w:ind w:right="-29"/>
        <w:rPr>
          <w:b/>
          <w:noProof/>
          <w:szCs w:val="22"/>
        </w:rPr>
      </w:pPr>
      <w:r w:rsidRPr="00D442F1">
        <w:rPr>
          <w:b/>
          <w:noProof/>
          <w:szCs w:val="22"/>
        </w:rPr>
        <w:t>Other possible side effects</w:t>
      </w:r>
    </w:p>
    <w:p w:rsidR="007D1BEE" w:rsidRPr="00D442F1" w:rsidP="00166894" w14:paraId="60DD35EE" w14:textId="77777777">
      <w:pPr>
        <w:keepNext/>
        <w:widowControl w:val="0"/>
        <w:numPr>
          <w:ilvl w:val="12"/>
          <w:numId w:val="0"/>
        </w:numPr>
        <w:tabs>
          <w:tab w:val="clear" w:pos="567"/>
        </w:tabs>
        <w:spacing w:line="240" w:lineRule="auto"/>
        <w:ind w:right="-29"/>
        <w:rPr>
          <w:noProof/>
          <w:szCs w:val="22"/>
        </w:rPr>
      </w:pPr>
      <w:r w:rsidRPr="00D442F1">
        <w:rPr>
          <w:noProof/>
          <w:szCs w:val="22"/>
        </w:rPr>
        <w:t xml:space="preserve">Other side effects </w:t>
      </w:r>
      <w:r w:rsidRPr="00D442F1" w:rsidR="00832809">
        <w:rPr>
          <w:noProof/>
          <w:szCs w:val="22"/>
        </w:rPr>
        <w:t>are</w:t>
      </w:r>
      <w:r w:rsidRPr="00D442F1">
        <w:rPr>
          <w:noProof/>
          <w:szCs w:val="22"/>
        </w:rPr>
        <w:t xml:space="preserve"> listed below. If these side effects become severe or serious, tell your doctor immediately.</w:t>
      </w:r>
    </w:p>
    <w:p w:rsidR="007D1BEE" w:rsidRPr="00D442F1" w:rsidP="00166894" w14:paraId="216AD99C" w14:textId="77777777">
      <w:pPr>
        <w:keepNext/>
        <w:widowControl w:val="0"/>
        <w:numPr>
          <w:ilvl w:val="12"/>
          <w:numId w:val="0"/>
        </w:numPr>
        <w:tabs>
          <w:tab w:val="clear" w:pos="567"/>
        </w:tabs>
        <w:spacing w:line="240" w:lineRule="auto"/>
        <w:ind w:right="-29"/>
        <w:rPr>
          <w:noProof/>
          <w:szCs w:val="22"/>
        </w:rPr>
      </w:pPr>
    </w:p>
    <w:p w:rsidR="0039080A" w:rsidRPr="00D442F1" w:rsidP="00166894" w14:paraId="1B2AE99A" w14:textId="77777777">
      <w:pPr>
        <w:keepNext/>
        <w:widowControl w:val="0"/>
        <w:tabs>
          <w:tab w:val="clear" w:pos="567"/>
          <w:tab w:val="left" w:pos="720"/>
        </w:tabs>
        <w:spacing w:line="240" w:lineRule="auto"/>
        <w:rPr>
          <w:rFonts w:eastAsia="MS Mincho"/>
          <w:i/>
          <w:szCs w:val="22"/>
          <w:lang w:eastAsia="zh-CN"/>
        </w:rPr>
      </w:pPr>
      <w:r w:rsidRPr="00D442F1">
        <w:rPr>
          <w:rFonts w:eastAsia="MS Mincho"/>
          <w:b/>
          <w:szCs w:val="22"/>
          <w:lang w:eastAsia="zh-CN"/>
        </w:rPr>
        <w:t>Very common:</w:t>
      </w:r>
      <w:r w:rsidRPr="00D442F1">
        <w:rPr>
          <w:rFonts w:eastAsia="MS Mincho"/>
          <w:szCs w:val="22"/>
          <w:lang w:eastAsia="zh-CN"/>
        </w:rPr>
        <w:t xml:space="preserve"> </w:t>
      </w:r>
      <w:r w:rsidRPr="00D442F1">
        <w:rPr>
          <w:rFonts w:eastAsia="MS Mincho"/>
          <w:i/>
          <w:szCs w:val="22"/>
          <w:lang w:eastAsia="zh-CN"/>
        </w:rPr>
        <w:t>may affect more than 1 in 10 people</w:t>
      </w:r>
    </w:p>
    <w:p w:rsidR="0039080A" w:rsidRPr="00D442F1" w:rsidP="00166894" w14:paraId="585067B3" w14:textId="77777777">
      <w:pPr>
        <w:widowControl w:val="0"/>
        <w:numPr>
          <w:ilvl w:val="0"/>
          <w:numId w:val="16"/>
        </w:numPr>
        <w:tabs>
          <w:tab w:val="clear" w:pos="567"/>
        </w:tabs>
        <w:spacing w:line="240" w:lineRule="auto"/>
        <w:ind w:left="567" w:hanging="567"/>
        <w:rPr>
          <w:rFonts w:eastAsia="MS Mincho"/>
          <w:szCs w:val="22"/>
          <w:lang w:eastAsia="zh-CN"/>
        </w:rPr>
      </w:pPr>
      <w:r w:rsidRPr="00D442F1">
        <w:rPr>
          <w:rFonts w:eastAsia="MS Mincho"/>
          <w:szCs w:val="22"/>
          <w:lang w:eastAsia="zh-CN"/>
        </w:rPr>
        <w:t>Pale skin, weakness, breathlessness</w:t>
      </w:r>
      <w:r w:rsidRPr="00D442F1" w:rsidR="005811E8">
        <w:rPr>
          <w:rFonts w:eastAsia="MS Mincho"/>
          <w:szCs w:val="22"/>
          <w:lang w:eastAsia="zh-CN"/>
        </w:rPr>
        <w:t xml:space="preserve"> due to low number of red blood cells or low haemoglobin</w:t>
      </w:r>
    </w:p>
    <w:p w:rsidR="0039080A" w:rsidRPr="00D442F1" w:rsidP="00166894" w14:paraId="1FA7250E" w14:textId="77777777">
      <w:pPr>
        <w:widowControl w:val="0"/>
        <w:numPr>
          <w:ilvl w:val="0"/>
          <w:numId w:val="16"/>
        </w:numPr>
        <w:tabs>
          <w:tab w:val="clear" w:pos="567"/>
        </w:tabs>
        <w:spacing w:line="240" w:lineRule="auto"/>
        <w:ind w:left="567" w:hanging="567"/>
        <w:rPr>
          <w:rFonts w:eastAsia="MS Mincho"/>
          <w:szCs w:val="22"/>
          <w:lang w:eastAsia="zh-CN"/>
        </w:rPr>
      </w:pPr>
      <w:r w:rsidRPr="00D442F1">
        <w:rPr>
          <w:rFonts w:eastAsia="MS Mincho"/>
          <w:szCs w:val="22"/>
          <w:lang w:eastAsia="zh-CN"/>
        </w:rPr>
        <w:t xml:space="preserve">Excessive or prolonged </w:t>
      </w:r>
      <w:r w:rsidRPr="00D442F1">
        <w:rPr>
          <w:rFonts w:eastAsia="MS Mincho"/>
          <w:szCs w:val="22"/>
          <w:lang w:eastAsia="zh-CN"/>
        </w:rPr>
        <w:t>bleeding or bruising</w:t>
      </w:r>
      <w:r w:rsidRPr="00D442F1" w:rsidR="005811E8">
        <w:rPr>
          <w:rFonts w:eastAsia="MS Mincho"/>
          <w:szCs w:val="22"/>
          <w:lang w:eastAsia="zh-CN"/>
        </w:rPr>
        <w:t xml:space="preserve"> due to l</w:t>
      </w:r>
      <w:r w:rsidRPr="00D442F1" w:rsidR="005811E8">
        <w:rPr>
          <w:szCs w:val="22"/>
          <w:shd w:val="clear" w:color="auto" w:fill="FFFFFF"/>
        </w:rPr>
        <w:t>ow number of platelets</w:t>
      </w:r>
    </w:p>
    <w:p w:rsidR="005811E8" w:rsidRPr="00D442F1" w:rsidP="005811E8" w14:paraId="6A455A8F" w14:textId="77777777">
      <w:pPr>
        <w:widowControl w:val="0"/>
        <w:numPr>
          <w:ilvl w:val="0"/>
          <w:numId w:val="16"/>
        </w:numPr>
        <w:tabs>
          <w:tab w:val="clear" w:pos="567"/>
        </w:tabs>
        <w:spacing w:line="240" w:lineRule="auto"/>
        <w:ind w:left="567" w:hanging="567"/>
        <w:rPr>
          <w:rFonts w:eastAsia="MS Mincho"/>
          <w:szCs w:val="22"/>
          <w:lang w:eastAsia="zh-CN"/>
        </w:rPr>
      </w:pPr>
      <w:r w:rsidRPr="00D442F1">
        <w:rPr>
          <w:szCs w:val="22"/>
          <w:shd w:val="clear" w:color="auto" w:fill="FFFFFF"/>
        </w:rPr>
        <w:t>Fever with dangerously low white blood cell count</w:t>
      </w:r>
    </w:p>
    <w:p w:rsidR="005811E8" w:rsidRPr="00D442F1" w:rsidP="005811E8" w14:paraId="5787469F" w14:textId="77777777">
      <w:pPr>
        <w:widowControl w:val="0"/>
        <w:numPr>
          <w:ilvl w:val="0"/>
          <w:numId w:val="16"/>
        </w:numPr>
        <w:tabs>
          <w:tab w:val="clear" w:pos="567"/>
        </w:tabs>
        <w:spacing w:line="240" w:lineRule="auto"/>
        <w:ind w:left="567" w:right="-29" w:hanging="567"/>
        <w:rPr>
          <w:noProof/>
          <w:szCs w:val="22"/>
        </w:rPr>
      </w:pPr>
      <w:r w:rsidRPr="00D442F1">
        <w:rPr>
          <w:szCs w:val="22"/>
          <w:shd w:val="clear" w:color="auto" w:fill="FFFFFF"/>
        </w:rPr>
        <w:t>Increased risk of infection due to abnormally low number of white blood cells</w:t>
      </w:r>
    </w:p>
    <w:p w:rsidR="005811E8" w:rsidRPr="00D442F1" w:rsidP="005811E8" w14:paraId="7BAD2DE2" w14:textId="77777777">
      <w:pPr>
        <w:widowControl w:val="0"/>
        <w:numPr>
          <w:ilvl w:val="0"/>
          <w:numId w:val="16"/>
        </w:numPr>
        <w:tabs>
          <w:tab w:val="clear" w:pos="567"/>
        </w:tabs>
        <w:spacing w:line="240" w:lineRule="auto"/>
        <w:ind w:left="567" w:right="-29" w:hanging="567"/>
        <w:rPr>
          <w:noProof/>
          <w:szCs w:val="22"/>
        </w:rPr>
      </w:pPr>
      <w:r w:rsidRPr="00D442F1">
        <w:rPr>
          <w:spacing w:val="-1"/>
          <w:szCs w:val="22"/>
        </w:rPr>
        <w:t>Frequent</w:t>
      </w:r>
      <w:r w:rsidRPr="00D442F1">
        <w:rPr>
          <w:spacing w:val="6"/>
          <w:szCs w:val="22"/>
        </w:rPr>
        <w:t xml:space="preserve"> </w:t>
      </w:r>
      <w:r w:rsidRPr="00D442F1">
        <w:rPr>
          <w:szCs w:val="22"/>
        </w:rPr>
        <w:t>and</w:t>
      </w:r>
      <w:r w:rsidRPr="00D442F1">
        <w:rPr>
          <w:spacing w:val="27"/>
          <w:szCs w:val="22"/>
        </w:rPr>
        <w:t xml:space="preserve"> </w:t>
      </w:r>
      <w:r w:rsidRPr="00D442F1">
        <w:rPr>
          <w:spacing w:val="-1"/>
          <w:szCs w:val="22"/>
        </w:rPr>
        <w:t>persistent infections due to decreased</w:t>
      </w:r>
      <w:r w:rsidRPr="00D442F1">
        <w:rPr>
          <w:spacing w:val="6"/>
          <w:szCs w:val="22"/>
        </w:rPr>
        <w:t xml:space="preserve"> </w:t>
      </w:r>
      <w:r w:rsidRPr="00D442F1">
        <w:rPr>
          <w:szCs w:val="22"/>
        </w:rPr>
        <w:t>antibodies in</w:t>
      </w:r>
      <w:r w:rsidRPr="00D442F1">
        <w:rPr>
          <w:spacing w:val="9"/>
          <w:szCs w:val="22"/>
        </w:rPr>
        <w:t xml:space="preserve"> </w:t>
      </w:r>
      <w:r w:rsidRPr="00D442F1">
        <w:rPr>
          <w:spacing w:val="-2"/>
          <w:szCs w:val="22"/>
        </w:rPr>
        <w:t>your</w:t>
      </w:r>
      <w:r w:rsidRPr="00D442F1">
        <w:rPr>
          <w:spacing w:val="8"/>
          <w:szCs w:val="22"/>
        </w:rPr>
        <w:t xml:space="preserve"> </w:t>
      </w:r>
      <w:r w:rsidRPr="00D442F1">
        <w:rPr>
          <w:szCs w:val="22"/>
        </w:rPr>
        <w:t>blood</w:t>
      </w:r>
    </w:p>
    <w:p w:rsidR="00D2623D" w:rsidRPr="00D442F1" w:rsidP="0082713C" w14:paraId="7695507B" w14:textId="42CAE14D">
      <w:pPr>
        <w:widowControl w:val="0"/>
        <w:numPr>
          <w:ilvl w:val="0"/>
          <w:numId w:val="16"/>
        </w:numPr>
        <w:tabs>
          <w:tab w:val="clear" w:pos="567"/>
        </w:tabs>
        <w:spacing w:line="240" w:lineRule="auto"/>
        <w:ind w:left="567" w:right="-29" w:hanging="567"/>
        <w:rPr>
          <w:noProof/>
          <w:szCs w:val="22"/>
        </w:rPr>
      </w:pPr>
      <w:r w:rsidRPr="00D442F1">
        <w:rPr>
          <w:noProof/>
          <w:szCs w:val="22"/>
        </w:rPr>
        <w:t xml:space="preserve">Weakness, abnormal heart rhythms, muscle spasms/cramping due to abnormal </w:t>
      </w:r>
      <w:r w:rsidRPr="00D442F1" w:rsidR="00656AD8">
        <w:rPr>
          <w:noProof/>
          <w:szCs w:val="22"/>
        </w:rPr>
        <w:t>l</w:t>
      </w:r>
      <w:r w:rsidRPr="00D442F1">
        <w:rPr>
          <w:noProof/>
          <w:szCs w:val="22"/>
        </w:rPr>
        <w:t>ow level of</w:t>
      </w:r>
      <w:r w:rsidRPr="00D442F1">
        <w:rPr>
          <w:noProof/>
          <w:szCs w:val="22"/>
        </w:rPr>
        <w:t xml:space="preserve"> blood salts including</w:t>
      </w:r>
      <w:r w:rsidRPr="00D442F1">
        <w:rPr>
          <w:noProof/>
          <w:szCs w:val="22"/>
        </w:rPr>
        <w:t xml:space="preserve"> </w:t>
      </w:r>
      <w:r w:rsidRPr="00D442F1">
        <w:rPr>
          <w:rFonts w:eastAsia="MS Mincho"/>
          <w:szCs w:val="22"/>
          <w:lang w:eastAsia="zh-CN"/>
        </w:rPr>
        <w:t>phosphorus</w:t>
      </w:r>
      <w:r w:rsidRPr="00D442F1">
        <w:rPr>
          <w:noProof/>
          <w:szCs w:val="22"/>
        </w:rPr>
        <w:t>, calcium, potassium</w:t>
      </w:r>
      <w:r w:rsidRPr="00D442F1" w:rsidR="00656AD8">
        <w:rPr>
          <w:noProof/>
          <w:szCs w:val="22"/>
        </w:rPr>
        <w:t xml:space="preserve">, </w:t>
      </w:r>
      <w:r w:rsidRPr="00D442F1">
        <w:rPr>
          <w:noProof/>
          <w:szCs w:val="22"/>
        </w:rPr>
        <w:t>magnesium</w:t>
      </w:r>
    </w:p>
    <w:p w:rsidR="00D54DD5" w:rsidRPr="00D442F1" w:rsidP="00166894" w14:paraId="593D6363" w14:textId="179D4F44">
      <w:pPr>
        <w:widowControl w:val="0"/>
        <w:numPr>
          <w:ilvl w:val="0"/>
          <w:numId w:val="16"/>
        </w:numPr>
        <w:tabs>
          <w:tab w:val="clear" w:pos="567"/>
        </w:tabs>
        <w:spacing w:line="240" w:lineRule="auto"/>
        <w:ind w:left="567" w:right="-29" w:hanging="567"/>
        <w:rPr>
          <w:noProof/>
          <w:szCs w:val="22"/>
        </w:rPr>
      </w:pPr>
      <w:r w:rsidRPr="00D442F1">
        <w:rPr>
          <w:noProof/>
          <w:szCs w:val="22"/>
        </w:rPr>
        <w:t>H</w:t>
      </w:r>
      <w:r w:rsidRPr="00D442F1">
        <w:rPr>
          <w:noProof/>
          <w:szCs w:val="22"/>
        </w:rPr>
        <w:t xml:space="preserve">igh levels of liver enzymes </w:t>
      </w:r>
      <w:r w:rsidRPr="00D442F1" w:rsidR="00646E76">
        <w:rPr>
          <w:noProof/>
          <w:szCs w:val="22"/>
        </w:rPr>
        <w:t xml:space="preserve">or </w:t>
      </w:r>
      <w:r w:rsidRPr="00D442F1">
        <w:rPr>
          <w:noProof/>
          <w:szCs w:val="22"/>
        </w:rPr>
        <w:t>creatinine</w:t>
      </w:r>
      <w:r w:rsidRPr="00D442F1" w:rsidR="00646E76">
        <w:rPr>
          <w:noProof/>
          <w:szCs w:val="22"/>
        </w:rPr>
        <w:t xml:space="preserve"> in the blood </w:t>
      </w:r>
      <w:r w:rsidRPr="00D442F1" w:rsidR="009B4D7D">
        <w:rPr>
          <w:noProof/>
          <w:szCs w:val="22"/>
        </w:rPr>
        <w:t>that show that your liver or kidneys are not working normally</w:t>
      </w:r>
    </w:p>
    <w:p w:rsidR="00D2623D" w:rsidRPr="00D442F1" w:rsidP="001B1E5A" w14:paraId="5135F63B" w14:textId="77777777">
      <w:pPr>
        <w:widowControl w:val="0"/>
        <w:numPr>
          <w:ilvl w:val="0"/>
          <w:numId w:val="16"/>
        </w:numPr>
        <w:tabs>
          <w:tab w:val="clear" w:pos="567"/>
        </w:tabs>
        <w:spacing w:line="240" w:lineRule="auto"/>
        <w:ind w:left="567" w:right="-29" w:hanging="567"/>
        <w:rPr>
          <w:noProof/>
          <w:szCs w:val="22"/>
        </w:rPr>
      </w:pPr>
      <w:r w:rsidRPr="00D442F1">
        <w:rPr>
          <w:noProof/>
          <w:szCs w:val="22"/>
        </w:rPr>
        <w:t>Anxiety, irritability</w:t>
      </w:r>
    </w:p>
    <w:p w:rsidR="00D2623D" w:rsidRPr="00D442F1" w:rsidP="001B1E5A" w14:paraId="371C63BB" w14:textId="77777777">
      <w:pPr>
        <w:widowControl w:val="0"/>
        <w:numPr>
          <w:ilvl w:val="0"/>
          <w:numId w:val="16"/>
        </w:numPr>
        <w:tabs>
          <w:tab w:val="clear" w:pos="567"/>
        </w:tabs>
        <w:spacing w:line="240" w:lineRule="auto"/>
        <w:ind w:left="567" w:right="-29" w:hanging="567"/>
        <w:rPr>
          <w:noProof/>
          <w:szCs w:val="22"/>
        </w:rPr>
      </w:pPr>
      <w:r w:rsidRPr="00D442F1">
        <w:rPr>
          <w:noProof/>
          <w:szCs w:val="22"/>
        </w:rPr>
        <w:t xml:space="preserve">Fast </w:t>
      </w:r>
      <w:r w:rsidRPr="00D442F1" w:rsidR="00646E76">
        <w:rPr>
          <w:noProof/>
          <w:szCs w:val="22"/>
        </w:rPr>
        <w:t xml:space="preserve">or irregular </w:t>
      </w:r>
      <w:r w:rsidRPr="00D442F1">
        <w:rPr>
          <w:noProof/>
          <w:szCs w:val="22"/>
        </w:rPr>
        <w:t>heart beat</w:t>
      </w:r>
    </w:p>
    <w:p w:rsidR="00D2623D" w:rsidRPr="00D442F1" w:rsidP="00166894" w14:paraId="572ABC3F" w14:textId="3C862598">
      <w:pPr>
        <w:widowControl w:val="0"/>
        <w:numPr>
          <w:ilvl w:val="0"/>
          <w:numId w:val="16"/>
        </w:numPr>
        <w:tabs>
          <w:tab w:val="clear" w:pos="567"/>
        </w:tabs>
        <w:spacing w:line="240" w:lineRule="auto"/>
        <w:ind w:left="567" w:right="-29" w:hanging="567"/>
        <w:rPr>
          <w:noProof/>
          <w:szCs w:val="22"/>
        </w:rPr>
      </w:pPr>
      <w:r w:rsidRPr="00D442F1">
        <w:rPr>
          <w:rFonts w:eastAsia="MS Mincho"/>
          <w:szCs w:val="22"/>
          <w:lang w:eastAsia="zh-CN"/>
        </w:rPr>
        <w:t>R</w:t>
      </w:r>
      <w:r w:rsidRPr="00D442F1">
        <w:rPr>
          <w:rFonts w:eastAsia="MS Mincho"/>
          <w:szCs w:val="22"/>
          <w:lang w:eastAsia="zh-CN"/>
        </w:rPr>
        <w:t>aised blood pressure</w:t>
      </w:r>
    </w:p>
    <w:p w:rsidR="007028A5" w:rsidRPr="00D442F1" w:rsidP="00166894" w14:paraId="2F51012C" w14:textId="737DB31D">
      <w:pPr>
        <w:widowControl w:val="0"/>
        <w:numPr>
          <w:ilvl w:val="0"/>
          <w:numId w:val="16"/>
        </w:numPr>
        <w:tabs>
          <w:tab w:val="clear" w:pos="567"/>
        </w:tabs>
        <w:spacing w:line="240" w:lineRule="auto"/>
        <w:ind w:left="567" w:right="-29" w:hanging="567"/>
        <w:rPr>
          <w:noProof/>
          <w:szCs w:val="22"/>
        </w:rPr>
      </w:pPr>
      <w:r w:rsidRPr="00D442F1">
        <w:rPr>
          <w:noProof/>
          <w:szCs w:val="22"/>
        </w:rPr>
        <w:t>Shortness of breath, laboured breathing, rapid breathing</w:t>
      </w:r>
      <w:r w:rsidRPr="00D442F1" w:rsidR="00D83B4F">
        <w:rPr>
          <w:noProof/>
          <w:szCs w:val="22"/>
        </w:rPr>
        <w:t>, fluid in the lungs</w:t>
      </w:r>
    </w:p>
    <w:p w:rsidR="00D2623D" w:rsidRPr="00D442F1" w:rsidP="00166894" w14:paraId="3F7935B0" w14:textId="77777777">
      <w:pPr>
        <w:widowControl w:val="0"/>
        <w:numPr>
          <w:ilvl w:val="0"/>
          <w:numId w:val="16"/>
        </w:numPr>
        <w:tabs>
          <w:tab w:val="clear" w:pos="567"/>
        </w:tabs>
        <w:spacing w:line="240" w:lineRule="auto"/>
        <w:ind w:left="567" w:right="-29" w:hanging="567"/>
        <w:rPr>
          <w:noProof/>
          <w:szCs w:val="22"/>
        </w:rPr>
      </w:pPr>
      <w:r w:rsidRPr="00D442F1">
        <w:rPr>
          <w:noProof/>
          <w:szCs w:val="22"/>
        </w:rPr>
        <w:t>Cough</w:t>
      </w:r>
    </w:p>
    <w:p w:rsidR="005157B8" w:rsidRPr="00D442F1" w:rsidP="00166894" w14:paraId="28E9AD6E" w14:textId="77D60EC8">
      <w:pPr>
        <w:widowControl w:val="0"/>
        <w:numPr>
          <w:ilvl w:val="0"/>
          <w:numId w:val="16"/>
        </w:numPr>
        <w:tabs>
          <w:tab w:val="clear" w:pos="567"/>
        </w:tabs>
        <w:spacing w:line="240" w:lineRule="auto"/>
        <w:ind w:left="567" w:right="-29" w:hanging="567"/>
        <w:rPr>
          <w:noProof/>
          <w:szCs w:val="22"/>
        </w:rPr>
      </w:pPr>
      <w:r w:rsidRPr="00D442F1">
        <w:rPr>
          <w:rFonts w:eastAsia="MS Mincho"/>
          <w:szCs w:val="22"/>
          <w:lang w:eastAsia="zh-CN"/>
        </w:rPr>
        <w:t>Abdominal pain, constipation</w:t>
      </w:r>
    </w:p>
    <w:p w:rsidR="00D2623D" w:rsidRPr="00D442F1" w:rsidP="00166894" w14:paraId="27AF2AE8" w14:textId="77777777">
      <w:pPr>
        <w:widowControl w:val="0"/>
        <w:numPr>
          <w:ilvl w:val="0"/>
          <w:numId w:val="16"/>
        </w:numPr>
        <w:tabs>
          <w:tab w:val="clear" w:pos="567"/>
        </w:tabs>
        <w:spacing w:line="240" w:lineRule="auto"/>
        <w:ind w:left="567" w:right="-29" w:hanging="567"/>
        <w:rPr>
          <w:noProof/>
          <w:szCs w:val="22"/>
        </w:rPr>
      </w:pPr>
      <w:r w:rsidRPr="00D442F1">
        <w:rPr>
          <w:noProof/>
          <w:szCs w:val="22"/>
        </w:rPr>
        <w:t>Skin rash</w:t>
      </w:r>
    </w:p>
    <w:p w:rsidR="00D2623D" w:rsidRPr="00D442F1" w:rsidP="00166894" w14:paraId="21A23FE0" w14:textId="77777777">
      <w:pPr>
        <w:widowControl w:val="0"/>
        <w:numPr>
          <w:ilvl w:val="0"/>
          <w:numId w:val="16"/>
        </w:numPr>
        <w:tabs>
          <w:tab w:val="clear" w:pos="567"/>
        </w:tabs>
        <w:spacing w:line="240" w:lineRule="auto"/>
        <w:ind w:left="567" w:right="-29" w:hanging="567"/>
        <w:rPr>
          <w:noProof/>
          <w:szCs w:val="22"/>
        </w:rPr>
      </w:pPr>
      <w:r w:rsidRPr="00D442F1">
        <w:rPr>
          <w:noProof/>
          <w:szCs w:val="22"/>
        </w:rPr>
        <w:t>Difficulty sleeping</w:t>
      </w:r>
    </w:p>
    <w:p w:rsidR="0091779E" w:rsidRPr="00D442F1" w:rsidP="00166894" w14:paraId="68793DBA" w14:textId="77777777">
      <w:pPr>
        <w:widowControl w:val="0"/>
        <w:numPr>
          <w:ilvl w:val="0"/>
          <w:numId w:val="16"/>
        </w:numPr>
        <w:tabs>
          <w:tab w:val="clear" w:pos="567"/>
        </w:tabs>
        <w:spacing w:line="240" w:lineRule="auto"/>
        <w:ind w:left="567" w:right="-29" w:hanging="567"/>
        <w:rPr>
          <w:noProof/>
          <w:szCs w:val="22"/>
        </w:rPr>
      </w:pPr>
      <w:r w:rsidRPr="00D442F1">
        <w:rPr>
          <w:rFonts w:eastAsia="MS Mincho"/>
          <w:szCs w:val="22"/>
          <w:lang w:eastAsia="zh-CN"/>
        </w:rPr>
        <w:t>Swollen ankles, limbs and face</w:t>
      </w:r>
    </w:p>
    <w:p w:rsidR="0039080A" w:rsidRPr="00D442F1" w:rsidP="00166894" w14:paraId="0E42021B" w14:textId="77777777">
      <w:pPr>
        <w:widowControl w:val="0"/>
        <w:tabs>
          <w:tab w:val="clear" w:pos="567"/>
          <w:tab w:val="left" w:pos="720"/>
        </w:tabs>
        <w:spacing w:line="240" w:lineRule="auto"/>
        <w:ind w:right="-29"/>
        <w:rPr>
          <w:noProof/>
          <w:szCs w:val="22"/>
        </w:rPr>
      </w:pPr>
    </w:p>
    <w:p w:rsidR="0039080A" w:rsidRPr="00D442F1" w:rsidP="00166894" w14:paraId="1557911D" w14:textId="5768585A">
      <w:pPr>
        <w:keepNext/>
        <w:widowControl w:val="0"/>
        <w:tabs>
          <w:tab w:val="clear" w:pos="567"/>
          <w:tab w:val="left" w:pos="720"/>
        </w:tabs>
        <w:spacing w:line="240" w:lineRule="auto"/>
        <w:rPr>
          <w:rFonts w:eastAsia="MS Mincho"/>
          <w:i/>
          <w:szCs w:val="22"/>
          <w:lang w:eastAsia="zh-CN"/>
        </w:rPr>
      </w:pPr>
      <w:r w:rsidRPr="00D442F1">
        <w:rPr>
          <w:rFonts w:eastAsia="MS Mincho"/>
          <w:b/>
          <w:szCs w:val="22"/>
          <w:lang w:eastAsia="zh-CN"/>
        </w:rPr>
        <w:t>Common:</w:t>
      </w:r>
      <w:r w:rsidRPr="00D442F1">
        <w:rPr>
          <w:rFonts w:eastAsia="MS Mincho"/>
          <w:szCs w:val="22"/>
          <w:lang w:eastAsia="zh-CN"/>
        </w:rPr>
        <w:t xml:space="preserve"> </w:t>
      </w:r>
      <w:r w:rsidRPr="00D442F1">
        <w:rPr>
          <w:rFonts w:eastAsia="MS Mincho"/>
          <w:i/>
          <w:szCs w:val="22"/>
          <w:lang w:eastAsia="zh-CN"/>
        </w:rPr>
        <w:t>may affect up to 1 in 10 people</w:t>
      </w:r>
    </w:p>
    <w:p w:rsidR="008421E7" w:rsidRPr="00D442F1" w:rsidP="00E91DF3" w14:paraId="5B66CE10" w14:textId="77777777">
      <w:pPr>
        <w:widowControl w:val="0"/>
        <w:numPr>
          <w:ilvl w:val="0"/>
          <w:numId w:val="31"/>
        </w:numPr>
        <w:tabs>
          <w:tab w:val="clear" w:pos="567"/>
        </w:tabs>
        <w:spacing w:line="240" w:lineRule="auto"/>
        <w:ind w:left="567" w:hanging="567"/>
        <w:rPr>
          <w:rFonts w:eastAsia="MS Mincho"/>
          <w:szCs w:val="22"/>
          <w:lang w:eastAsia="zh-CN"/>
        </w:rPr>
      </w:pPr>
      <w:r w:rsidRPr="00D442F1">
        <w:rPr>
          <w:rFonts w:eastAsia="MS Mincho"/>
          <w:szCs w:val="22"/>
          <w:lang w:eastAsia="zh-CN"/>
        </w:rPr>
        <w:t>F</w:t>
      </w:r>
      <w:r w:rsidRPr="00D442F1">
        <w:rPr>
          <w:szCs w:val="22"/>
        </w:rPr>
        <w:t>ever, malaise, enlarged liver, yellow colo</w:t>
      </w:r>
      <w:r w:rsidRPr="00D442F1" w:rsidR="00E91DF3">
        <w:rPr>
          <w:szCs w:val="22"/>
        </w:rPr>
        <w:t>u</w:t>
      </w:r>
      <w:r w:rsidRPr="00D442F1">
        <w:rPr>
          <w:szCs w:val="22"/>
        </w:rPr>
        <w:t>r of your skin and eyes, low blood cell counts due to severe immune activation</w:t>
      </w:r>
    </w:p>
    <w:p w:rsidR="00646E76" w:rsidRPr="00D442F1" w:rsidP="00646E76" w14:paraId="11FC356D" w14:textId="77777777">
      <w:pPr>
        <w:widowControl w:val="0"/>
        <w:numPr>
          <w:ilvl w:val="0"/>
          <w:numId w:val="31"/>
        </w:numPr>
        <w:tabs>
          <w:tab w:val="clear" w:pos="567"/>
        </w:tabs>
        <w:spacing w:line="240" w:lineRule="auto"/>
        <w:ind w:left="567" w:hanging="567"/>
        <w:rPr>
          <w:rFonts w:eastAsia="MS Mincho"/>
          <w:szCs w:val="22"/>
          <w:lang w:eastAsia="zh-CN"/>
        </w:rPr>
      </w:pPr>
      <w:r w:rsidRPr="00D442F1">
        <w:rPr>
          <w:szCs w:val="22"/>
        </w:rPr>
        <w:t>Dizziness or fainting, flushing, rash,</w:t>
      </w:r>
      <w:r w:rsidRPr="00D442F1" w:rsidR="008421E7">
        <w:rPr>
          <w:szCs w:val="22"/>
        </w:rPr>
        <w:t xml:space="preserve"> itching,</w:t>
      </w:r>
      <w:r w:rsidRPr="00D442F1">
        <w:rPr>
          <w:szCs w:val="22"/>
        </w:rPr>
        <w:t xml:space="preserve"> fever, shortness of breath or </w:t>
      </w:r>
      <w:r w:rsidRPr="00D442F1" w:rsidR="008421E7">
        <w:rPr>
          <w:szCs w:val="22"/>
        </w:rPr>
        <w:t>vomiting, abdominal pain, diarrhoea</w:t>
      </w:r>
      <w:r w:rsidRPr="00D442F1">
        <w:rPr>
          <w:szCs w:val="22"/>
        </w:rPr>
        <w:t xml:space="preserve"> due to infusion related reaction</w:t>
      </w:r>
    </w:p>
    <w:p w:rsidR="008421E7" w:rsidRPr="00D442F1" w:rsidP="00166894" w14:paraId="669CE17D" w14:textId="77777777">
      <w:pPr>
        <w:widowControl w:val="0"/>
        <w:numPr>
          <w:ilvl w:val="0"/>
          <w:numId w:val="31"/>
        </w:numPr>
        <w:tabs>
          <w:tab w:val="clear" w:pos="567"/>
        </w:tabs>
        <w:spacing w:line="240" w:lineRule="auto"/>
        <w:ind w:left="567" w:hanging="567"/>
        <w:rPr>
          <w:rFonts w:eastAsia="MS Mincho"/>
          <w:szCs w:val="22"/>
          <w:lang w:eastAsia="zh-CN"/>
        </w:rPr>
      </w:pPr>
      <w:r w:rsidRPr="00D442F1">
        <w:t>Rash, nausea, vomiting, diarrhoea including bloody stools (possible symptoms of graft-versus-host disease which is when transplanted cells attack your cells)</w:t>
      </w:r>
    </w:p>
    <w:p w:rsidR="008421E7" w:rsidRPr="00D442F1" w:rsidP="00166894" w14:paraId="6D2A170B" w14:textId="590C5C2D">
      <w:pPr>
        <w:widowControl w:val="0"/>
        <w:numPr>
          <w:ilvl w:val="0"/>
          <w:numId w:val="31"/>
        </w:numPr>
        <w:tabs>
          <w:tab w:val="clear" w:pos="567"/>
        </w:tabs>
        <w:spacing w:line="240" w:lineRule="auto"/>
        <w:ind w:left="567" w:hanging="567"/>
        <w:rPr>
          <w:rFonts w:eastAsia="MS Mincho"/>
          <w:szCs w:val="22"/>
          <w:lang w:eastAsia="zh-CN"/>
        </w:rPr>
      </w:pPr>
      <w:r w:rsidRPr="00D442F1">
        <w:rPr>
          <w:szCs w:val="22"/>
          <w:shd w:val="clear" w:color="auto" w:fill="FFFFFF"/>
        </w:rPr>
        <w:t>Pain in the joints</w:t>
      </w:r>
      <w:r w:rsidRPr="00D442F1">
        <w:rPr>
          <w:noProof/>
          <w:szCs w:val="22"/>
        </w:rPr>
        <w:t xml:space="preserve"> due to high level of uric acid</w:t>
      </w:r>
    </w:p>
    <w:p w:rsidR="0053315A" w:rsidRPr="00D442F1" w:rsidP="00166894" w14:paraId="02C2E481" w14:textId="77777777">
      <w:pPr>
        <w:widowControl w:val="0"/>
        <w:numPr>
          <w:ilvl w:val="0"/>
          <w:numId w:val="31"/>
        </w:numPr>
        <w:tabs>
          <w:tab w:val="clear" w:pos="567"/>
        </w:tabs>
        <w:spacing w:line="240" w:lineRule="auto"/>
        <w:ind w:left="567" w:hanging="567"/>
        <w:rPr>
          <w:rFonts w:eastAsia="MS Mincho"/>
          <w:szCs w:val="22"/>
          <w:lang w:eastAsia="zh-CN"/>
        </w:rPr>
      </w:pPr>
      <w:r w:rsidRPr="00D442F1">
        <w:rPr>
          <w:rFonts w:eastAsia="MS Mincho"/>
          <w:szCs w:val="22"/>
          <w:lang w:eastAsia="zh-CN"/>
        </w:rPr>
        <w:t xml:space="preserve">Abnormal blood test results (high </w:t>
      </w:r>
      <w:r w:rsidRPr="00D442F1" w:rsidR="00FA2ED1">
        <w:rPr>
          <w:rFonts w:eastAsia="MS Mincho"/>
          <w:szCs w:val="22"/>
          <w:lang w:eastAsia="zh-CN"/>
        </w:rPr>
        <w:t xml:space="preserve">level </w:t>
      </w:r>
      <w:r w:rsidRPr="00D442F1">
        <w:rPr>
          <w:rFonts w:eastAsia="MS Mincho"/>
          <w:szCs w:val="22"/>
          <w:lang w:eastAsia="zh-CN"/>
        </w:rPr>
        <w:t>of</w:t>
      </w:r>
      <w:r w:rsidRPr="00D442F1" w:rsidR="00FA2ED1">
        <w:rPr>
          <w:rFonts w:eastAsia="MS Mincho"/>
          <w:szCs w:val="22"/>
          <w:lang w:eastAsia="zh-CN"/>
        </w:rPr>
        <w:t>:</w:t>
      </w:r>
      <w:r w:rsidRPr="00D442F1">
        <w:rPr>
          <w:rFonts w:eastAsia="MS Mincho"/>
          <w:szCs w:val="22"/>
          <w:lang w:eastAsia="zh-CN"/>
        </w:rPr>
        <w:t xml:space="preserve"> phosph</w:t>
      </w:r>
      <w:r w:rsidRPr="00D442F1" w:rsidR="00FA2ED1">
        <w:rPr>
          <w:rFonts w:eastAsia="MS Mincho"/>
          <w:szCs w:val="22"/>
          <w:lang w:eastAsia="zh-CN"/>
        </w:rPr>
        <w:t xml:space="preserve">orus, </w:t>
      </w:r>
      <w:r w:rsidRPr="00D442F1" w:rsidR="00646E76">
        <w:rPr>
          <w:rFonts w:eastAsia="MS Mincho"/>
          <w:szCs w:val="22"/>
          <w:lang w:eastAsia="zh-CN"/>
        </w:rPr>
        <w:t xml:space="preserve">potassium, calcium, </w:t>
      </w:r>
      <w:r w:rsidRPr="00D442F1" w:rsidR="00A111C2">
        <w:rPr>
          <w:rFonts w:eastAsia="MS Mincho"/>
          <w:szCs w:val="22"/>
          <w:lang w:eastAsia="zh-CN"/>
        </w:rPr>
        <w:t>magnesium</w:t>
      </w:r>
      <w:r w:rsidRPr="00D442F1" w:rsidR="003B26D5">
        <w:rPr>
          <w:rFonts w:eastAsia="MS Mincho"/>
          <w:szCs w:val="22"/>
          <w:lang w:eastAsia="zh-CN"/>
        </w:rPr>
        <w:t xml:space="preserve"> and sodium</w:t>
      </w:r>
      <w:r w:rsidRPr="00D442F1" w:rsidR="00A111C2">
        <w:rPr>
          <w:rFonts w:eastAsia="MS Mincho"/>
          <w:szCs w:val="22"/>
          <w:lang w:eastAsia="zh-CN"/>
        </w:rPr>
        <w:t>,</w:t>
      </w:r>
      <w:r w:rsidRPr="00D442F1" w:rsidR="00FA2ED1">
        <w:rPr>
          <w:rFonts w:eastAsia="MS Mincho"/>
          <w:szCs w:val="22"/>
          <w:lang w:eastAsia="zh-CN"/>
        </w:rPr>
        <w:t xml:space="preserve"> </w:t>
      </w:r>
      <w:r w:rsidRPr="00D442F1" w:rsidR="00D54DD5">
        <w:rPr>
          <w:rFonts w:eastAsia="MS Mincho"/>
          <w:szCs w:val="22"/>
          <w:lang w:eastAsia="zh-CN"/>
        </w:rPr>
        <w:t xml:space="preserve">an </w:t>
      </w:r>
      <w:r w:rsidRPr="00D442F1" w:rsidR="00FA2ED1">
        <w:rPr>
          <w:rFonts w:eastAsia="MS Mincho"/>
          <w:szCs w:val="22"/>
          <w:lang w:eastAsia="zh-CN"/>
        </w:rPr>
        <w:t>enzyme called alkaline phosphatase</w:t>
      </w:r>
      <w:r w:rsidRPr="00D442F1" w:rsidR="00D54DD5">
        <w:rPr>
          <w:rFonts w:eastAsia="MS Mincho"/>
          <w:szCs w:val="22"/>
          <w:lang w:eastAsia="zh-CN"/>
        </w:rPr>
        <w:t xml:space="preserve"> to help detect liver disease</w:t>
      </w:r>
      <w:r w:rsidRPr="00D442F1" w:rsidR="00FA2ED1">
        <w:rPr>
          <w:rFonts w:eastAsia="MS Mincho"/>
          <w:szCs w:val="22"/>
          <w:lang w:eastAsia="zh-CN"/>
        </w:rPr>
        <w:t xml:space="preserve">, fibrin d-dimer, serum ferritin; low level of: </w:t>
      </w:r>
      <w:r w:rsidRPr="00D442F1" w:rsidR="00646E76">
        <w:rPr>
          <w:rFonts w:eastAsia="MS Mincho"/>
          <w:szCs w:val="22"/>
          <w:lang w:eastAsia="zh-CN"/>
        </w:rPr>
        <w:t xml:space="preserve">blood protein called albumin, </w:t>
      </w:r>
      <w:r w:rsidRPr="00D442F1" w:rsidR="00FA2ED1">
        <w:rPr>
          <w:rFonts w:eastAsia="MS Mincho"/>
          <w:szCs w:val="22"/>
          <w:lang w:eastAsia="zh-CN"/>
        </w:rPr>
        <w:t>sodium</w:t>
      </w:r>
      <w:r w:rsidRPr="00D442F1">
        <w:rPr>
          <w:rFonts w:eastAsia="MS Mincho"/>
          <w:szCs w:val="22"/>
          <w:lang w:eastAsia="zh-CN"/>
        </w:rPr>
        <w:t>)</w:t>
      </w:r>
    </w:p>
    <w:p w:rsidR="0039080A" w:rsidRPr="00D442F1" w:rsidP="00166894" w14:paraId="09C4E4BC" w14:textId="77777777">
      <w:pPr>
        <w:widowControl w:val="0"/>
        <w:numPr>
          <w:ilvl w:val="0"/>
          <w:numId w:val="31"/>
        </w:numPr>
        <w:tabs>
          <w:tab w:val="clear" w:pos="567"/>
        </w:tabs>
        <w:spacing w:line="240" w:lineRule="auto"/>
        <w:ind w:left="567" w:hanging="567"/>
        <w:rPr>
          <w:rFonts w:eastAsia="MS Mincho"/>
          <w:szCs w:val="22"/>
          <w:lang w:eastAsia="zh-CN"/>
        </w:rPr>
      </w:pPr>
      <w:r w:rsidRPr="00D442F1">
        <w:rPr>
          <w:rFonts w:eastAsia="MS Mincho"/>
          <w:szCs w:val="22"/>
          <w:lang w:eastAsia="zh-CN"/>
        </w:rPr>
        <w:t>Convulsion, fits (seizures)</w:t>
      </w:r>
    </w:p>
    <w:p w:rsidR="00D57EDC" w:rsidRPr="00D442F1" w:rsidP="00166894" w14:paraId="6187B8CB" w14:textId="0D217E57">
      <w:pPr>
        <w:widowControl w:val="0"/>
        <w:numPr>
          <w:ilvl w:val="0"/>
          <w:numId w:val="31"/>
        </w:numPr>
        <w:tabs>
          <w:tab w:val="clear" w:pos="567"/>
        </w:tabs>
        <w:spacing w:line="240" w:lineRule="auto"/>
        <w:ind w:left="567" w:hanging="567"/>
        <w:rPr>
          <w:rFonts w:eastAsia="MS Mincho"/>
          <w:szCs w:val="22"/>
          <w:lang w:eastAsia="zh-CN"/>
        </w:rPr>
      </w:pPr>
      <w:r w:rsidRPr="00D442F1">
        <w:rPr>
          <w:rFonts w:eastAsia="MS Mincho"/>
          <w:szCs w:val="22"/>
          <w:lang w:eastAsia="zh-CN"/>
        </w:rPr>
        <w:t xml:space="preserve">Involuntary </w:t>
      </w:r>
      <w:r w:rsidRPr="00D442F1" w:rsidR="00646E76">
        <w:rPr>
          <w:rFonts w:eastAsia="MS Mincho"/>
          <w:szCs w:val="22"/>
          <w:lang w:eastAsia="zh-CN"/>
        </w:rPr>
        <w:t>or uncontrollable movements</w:t>
      </w:r>
    </w:p>
    <w:p w:rsidR="00646E76" w:rsidRPr="00D442F1" w:rsidP="00646E76" w14:paraId="2EC932EF" w14:textId="510BAB53">
      <w:pPr>
        <w:widowControl w:val="0"/>
        <w:numPr>
          <w:ilvl w:val="0"/>
          <w:numId w:val="31"/>
        </w:numPr>
        <w:tabs>
          <w:tab w:val="clear" w:pos="567"/>
        </w:tabs>
        <w:spacing w:line="240" w:lineRule="auto"/>
        <w:ind w:left="567" w:hanging="567"/>
        <w:rPr>
          <w:rFonts w:eastAsia="MS Mincho"/>
          <w:szCs w:val="22"/>
          <w:lang w:eastAsia="zh-CN"/>
        </w:rPr>
      </w:pPr>
      <w:r w:rsidRPr="00D442F1">
        <w:rPr>
          <w:rFonts w:eastAsia="MS Mincho"/>
          <w:szCs w:val="22"/>
          <w:lang w:eastAsia="zh-CN"/>
        </w:rPr>
        <w:t>Tingling or numbness</w:t>
      </w:r>
      <w:r w:rsidRPr="00D442F1">
        <w:rPr>
          <w:rFonts w:eastAsia="MS Mincho"/>
          <w:szCs w:val="22"/>
          <w:lang w:eastAsia="zh-CN"/>
        </w:rPr>
        <w:t xml:space="preserve">, </w:t>
      </w:r>
      <w:r w:rsidRPr="00D442F1" w:rsidR="008421E7">
        <w:rPr>
          <w:noProof/>
          <w:szCs w:val="22"/>
        </w:rPr>
        <w:t>difficulty moving because of</w:t>
      </w:r>
      <w:r w:rsidRPr="00D442F1">
        <w:rPr>
          <w:noProof/>
          <w:szCs w:val="22"/>
        </w:rPr>
        <w:t xml:space="preserve"> nerve damage</w:t>
      </w:r>
    </w:p>
    <w:p w:rsidR="00646E76" w:rsidRPr="00D442F1" w:rsidP="00646E76" w14:paraId="77B3B44B" w14:textId="77777777">
      <w:pPr>
        <w:widowControl w:val="0"/>
        <w:numPr>
          <w:ilvl w:val="0"/>
          <w:numId w:val="31"/>
        </w:numPr>
        <w:tabs>
          <w:tab w:val="clear" w:pos="567"/>
        </w:tabs>
        <w:spacing w:line="240" w:lineRule="auto"/>
        <w:ind w:left="567" w:right="-29" w:hanging="567"/>
        <w:rPr>
          <w:noProof/>
          <w:szCs w:val="22"/>
        </w:rPr>
      </w:pPr>
      <w:r w:rsidRPr="00D442F1">
        <w:rPr>
          <w:noProof/>
          <w:szCs w:val="22"/>
        </w:rPr>
        <w:t>Decreased vision</w:t>
      </w:r>
    </w:p>
    <w:p w:rsidR="00646E76" w:rsidRPr="00D442F1" w:rsidP="00646E76" w14:paraId="4418874C" w14:textId="77777777">
      <w:pPr>
        <w:widowControl w:val="0"/>
        <w:numPr>
          <w:ilvl w:val="0"/>
          <w:numId w:val="31"/>
        </w:numPr>
        <w:tabs>
          <w:tab w:val="clear" w:pos="567"/>
        </w:tabs>
        <w:spacing w:line="240" w:lineRule="auto"/>
        <w:ind w:left="567" w:right="-29" w:hanging="567"/>
        <w:rPr>
          <w:rFonts w:eastAsia="MS Mincho"/>
          <w:szCs w:val="22"/>
          <w:lang w:eastAsia="zh-CN"/>
        </w:rPr>
      </w:pPr>
      <w:r w:rsidRPr="00D442F1">
        <w:rPr>
          <w:noProof/>
          <w:szCs w:val="22"/>
        </w:rPr>
        <w:t>Thirst</w:t>
      </w:r>
    </w:p>
    <w:p w:rsidR="003B26D5" w:rsidRPr="00D442F1" w:rsidP="00646E76" w14:paraId="7C0B57BB" w14:textId="77777777">
      <w:pPr>
        <w:widowControl w:val="0"/>
        <w:numPr>
          <w:ilvl w:val="0"/>
          <w:numId w:val="31"/>
        </w:numPr>
        <w:tabs>
          <w:tab w:val="clear" w:pos="567"/>
        </w:tabs>
        <w:spacing w:line="240" w:lineRule="auto"/>
        <w:ind w:left="567" w:right="-29" w:hanging="567"/>
        <w:rPr>
          <w:rFonts w:eastAsia="MS Mincho"/>
          <w:szCs w:val="22"/>
          <w:lang w:eastAsia="zh-CN"/>
        </w:rPr>
      </w:pPr>
      <w:r w:rsidRPr="00D442F1">
        <w:rPr>
          <w:noProof/>
          <w:szCs w:val="22"/>
        </w:rPr>
        <w:t>W</w:t>
      </w:r>
      <w:r w:rsidRPr="00D442F1">
        <w:rPr>
          <w:rFonts w:eastAsia="MS Mincho"/>
          <w:szCs w:val="22"/>
          <w:lang w:eastAsia="zh-CN"/>
        </w:rPr>
        <w:t>eight loss</w:t>
      </w:r>
    </w:p>
    <w:p w:rsidR="00D57EDC" w:rsidRPr="00D442F1" w:rsidP="00166894" w14:paraId="3C16B803" w14:textId="77777777">
      <w:pPr>
        <w:widowControl w:val="0"/>
        <w:numPr>
          <w:ilvl w:val="0"/>
          <w:numId w:val="31"/>
        </w:numPr>
        <w:tabs>
          <w:tab w:val="clear" w:pos="567"/>
        </w:tabs>
        <w:spacing w:line="240" w:lineRule="auto"/>
        <w:ind w:left="567" w:hanging="567"/>
        <w:rPr>
          <w:rFonts w:eastAsia="MS Mincho"/>
          <w:szCs w:val="22"/>
          <w:lang w:eastAsia="zh-CN"/>
        </w:rPr>
      </w:pPr>
      <w:r w:rsidRPr="00D442F1">
        <w:rPr>
          <w:rFonts w:eastAsia="MS Mincho"/>
          <w:szCs w:val="22"/>
          <w:lang w:eastAsia="zh-CN"/>
        </w:rPr>
        <w:t>N</w:t>
      </w:r>
      <w:r w:rsidRPr="00D442F1">
        <w:rPr>
          <w:rFonts w:eastAsia="MS Mincho"/>
          <w:szCs w:val="22"/>
          <w:lang w:eastAsia="zh-CN"/>
        </w:rPr>
        <w:t>erve pain</w:t>
      </w:r>
    </w:p>
    <w:p w:rsidR="0039080A" w:rsidRPr="00D442F1" w:rsidP="00166894" w14:paraId="4E9E26F4" w14:textId="47B87CD9">
      <w:pPr>
        <w:widowControl w:val="0"/>
        <w:numPr>
          <w:ilvl w:val="0"/>
          <w:numId w:val="31"/>
        </w:numPr>
        <w:tabs>
          <w:tab w:val="clear" w:pos="567"/>
        </w:tabs>
        <w:spacing w:line="240" w:lineRule="auto"/>
        <w:ind w:left="567" w:hanging="567"/>
        <w:rPr>
          <w:rFonts w:eastAsia="MS Mincho"/>
          <w:szCs w:val="22"/>
          <w:lang w:eastAsia="zh-CN"/>
        </w:rPr>
      </w:pPr>
      <w:r w:rsidRPr="00D442F1">
        <w:rPr>
          <w:noProof/>
          <w:szCs w:val="22"/>
        </w:rPr>
        <w:t>Breathlessness, difficulty breathing when lying down, swelling of the feet or legs (possible symptoms of h</w:t>
      </w:r>
      <w:r w:rsidRPr="00D442F1" w:rsidR="00A111C2">
        <w:rPr>
          <w:rFonts w:eastAsia="MS Mincho"/>
          <w:szCs w:val="22"/>
          <w:lang w:eastAsia="zh-CN"/>
        </w:rPr>
        <w:t>eart failure</w:t>
      </w:r>
      <w:r w:rsidRPr="00D442F1">
        <w:rPr>
          <w:rFonts w:eastAsia="MS Mincho"/>
          <w:szCs w:val="22"/>
          <w:lang w:eastAsia="zh-CN"/>
        </w:rPr>
        <w:t>)</w:t>
      </w:r>
      <w:r w:rsidRPr="00D442F1" w:rsidR="00A111C2">
        <w:rPr>
          <w:rFonts w:eastAsia="MS Mincho"/>
          <w:szCs w:val="22"/>
          <w:lang w:eastAsia="zh-CN"/>
        </w:rPr>
        <w:t>, s</w:t>
      </w:r>
      <w:r w:rsidRPr="00D442F1">
        <w:rPr>
          <w:rFonts w:eastAsia="MS Mincho"/>
          <w:szCs w:val="22"/>
          <w:lang w:eastAsia="zh-CN"/>
        </w:rPr>
        <w:t>topped heart beat</w:t>
      </w:r>
    </w:p>
    <w:p w:rsidR="00646E76" w:rsidRPr="00D442F1" w:rsidP="001B1E5A" w14:paraId="26426CCA" w14:textId="77777777">
      <w:pPr>
        <w:widowControl w:val="0"/>
        <w:numPr>
          <w:ilvl w:val="0"/>
          <w:numId w:val="31"/>
        </w:numPr>
        <w:tabs>
          <w:tab w:val="clear" w:pos="567"/>
        </w:tabs>
        <w:spacing w:line="240" w:lineRule="auto"/>
        <w:ind w:left="567" w:hanging="567"/>
        <w:rPr>
          <w:noProof/>
          <w:szCs w:val="22"/>
        </w:rPr>
      </w:pPr>
      <w:r w:rsidRPr="00D442F1">
        <w:rPr>
          <w:noProof/>
          <w:szCs w:val="22"/>
        </w:rPr>
        <w:t>Swelling and pain due to blood clots</w:t>
      </w:r>
    </w:p>
    <w:p w:rsidR="00B20E46" w:rsidRPr="00D442F1" w:rsidP="00166894" w14:paraId="74110142" w14:textId="58E61183">
      <w:pPr>
        <w:widowControl w:val="0"/>
        <w:numPr>
          <w:ilvl w:val="0"/>
          <w:numId w:val="25"/>
        </w:numPr>
        <w:tabs>
          <w:tab w:val="clear" w:pos="567"/>
        </w:tabs>
        <w:spacing w:line="240" w:lineRule="auto"/>
        <w:ind w:left="567" w:hanging="567"/>
        <w:rPr>
          <w:noProof/>
          <w:szCs w:val="22"/>
        </w:rPr>
      </w:pPr>
      <w:r w:rsidRPr="00D442F1">
        <w:rPr>
          <w:noProof/>
          <w:szCs w:val="22"/>
        </w:rPr>
        <w:t xml:space="preserve">Swelling due to </w:t>
      </w:r>
      <w:r w:rsidRPr="00D442F1" w:rsidR="009B4D7D">
        <w:rPr>
          <w:noProof/>
          <w:szCs w:val="22"/>
        </w:rPr>
        <w:t xml:space="preserve">fluids </w:t>
      </w:r>
      <w:r w:rsidRPr="00D442F1">
        <w:rPr>
          <w:noProof/>
          <w:szCs w:val="22"/>
        </w:rPr>
        <w:t>leak</w:t>
      </w:r>
      <w:r w:rsidRPr="00D442F1" w:rsidR="009B4D7D">
        <w:rPr>
          <w:noProof/>
          <w:szCs w:val="22"/>
        </w:rPr>
        <w:t>ing</w:t>
      </w:r>
      <w:r w:rsidRPr="00D442F1">
        <w:rPr>
          <w:noProof/>
          <w:szCs w:val="22"/>
        </w:rPr>
        <w:t xml:space="preserve"> from blood vessels into </w:t>
      </w:r>
      <w:r w:rsidRPr="00D442F1" w:rsidR="009B4D7D">
        <w:rPr>
          <w:noProof/>
          <w:szCs w:val="22"/>
        </w:rPr>
        <w:t xml:space="preserve">the </w:t>
      </w:r>
      <w:r w:rsidRPr="00D442F1">
        <w:rPr>
          <w:noProof/>
          <w:szCs w:val="22"/>
        </w:rPr>
        <w:t>surrounding tissue</w:t>
      </w:r>
    </w:p>
    <w:p w:rsidR="00D57EDC" w:rsidRPr="00D442F1" w:rsidP="00166894" w14:paraId="2A1C47A9" w14:textId="77777777">
      <w:pPr>
        <w:widowControl w:val="0"/>
        <w:numPr>
          <w:ilvl w:val="0"/>
          <w:numId w:val="25"/>
        </w:numPr>
        <w:tabs>
          <w:tab w:val="clear" w:pos="567"/>
        </w:tabs>
        <w:spacing w:line="240" w:lineRule="auto"/>
        <w:ind w:left="567" w:hanging="567"/>
        <w:rPr>
          <w:rFonts w:eastAsia="MS Mincho"/>
          <w:szCs w:val="22"/>
          <w:lang w:eastAsia="zh-CN"/>
        </w:rPr>
      </w:pPr>
      <w:r w:rsidRPr="00D442F1">
        <w:rPr>
          <w:rFonts w:eastAsia="MS Mincho"/>
          <w:szCs w:val="22"/>
          <w:lang w:eastAsia="zh-CN"/>
        </w:rPr>
        <w:t xml:space="preserve">Bloating </w:t>
      </w:r>
      <w:r w:rsidRPr="00D442F1" w:rsidR="00646E76">
        <w:rPr>
          <w:rFonts w:eastAsia="MS Mincho"/>
          <w:szCs w:val="22"/>
          <w:lang w:eastAsia="zh-CN"/>
        </w:rPr>
        <w:t>and discomfort</w:t>
      </w:r>
      <w:r w:rsidRPr="00D442F1" w:rsidR="00B17FA8">
        <w:rPr>
          <w:rFonts w:eastAsia="MS Mincho"/>
          <w:szCs w:val="22"/>
          <w:lang w:eastAsia="zh-CN"/>
        </w:rPr>
        <w:t xml:space="preserve"> </w:t>
      </w:r>
      <w:r w:rsidRPr="00D442F1">
        <w:rPr>
          <w:rFonts w:eastAsia="MS Mincho"/>
          <w:szCs w:val="22"/>
          <w:lang w:eastAsia="zh-CN"/>
        </w:rPr>
        <w:t>(abdominal distension)</w:t>
      </w:r>
      <w:r w:rsidRPr="00D442F1" w:rsidR="00103DA8">
        <w:rPr>
          <w:rFonts w:eastAsia="MS Mincho"/>
          <w:szCs w:val="22"/>
          <w:lang w:eastAsia="zh-CN"/>
        </w:rPr>
        <w:t>,</w:t>
      </w:r>
      <w:r w:rsidRPr="00D442F1" w:rsidR="00646E76">
        <w:rPr>
          <w:rFonts w:eastAsia="MS Mincho"/>
          <w:szCs w:val="22"/>
          <w:lang w:eastAsia="zh-CN"/>
        </w:rPr>
        <w:t>due to</w:t>
      </w:r>
      <w:r w:rsidRPr="00D442F1" w:rsidR="003B6ABF">
        <w:rPr>
          <w:rFonts w:eastAsia="MS Mincho"/>
          <w:szCs w:val="22"/>
          <w:lang w:eastAsia="zh-CN"/>
        </w:rPr>
        <w:t xml:space="preserve"> an</w:t>
      </w:r>
      <w:r w:rsidRPr="00D442F1" w:rsidR="00103DA8">
        <w:rPr>
          <w:rFonts w:eastAsia="MS Mincho"/>
          <w:szCs w:val="22"/>
          <w:lang w:eastAsia="zh-CN"/>
        </w:rPr>
        <w:t xml:space="preserve"> accumulation of fluid in the abdomen</w:t>
      </w:r>
    </w:p>
    <w:p w:rsidR="00D57EDC" w:rsidRPr="00D442F1" w:rsidP="00166894" w14:paraId="19F5E3DB" w14:textId="77777777">
      <w:pPr>
        <w:widowControl w:val="0"/>
        <w:numPr>
          <w:ilvl w:val="0"/>
          <w:numId w:val="25"/>
        </w:numPr>
        <w:tabs>
          <w:tab w:val="clear" w:pos="567"/>
        </w:tabs>
        <w:spacing w:line="240" w:lineRule="auto"/>
        <w:ind w:left="567" w:hanging="567"/>
        <w:rPr>
          <w:rFonts w:eastAsia="MS Mincho"/>
          <w:szCs w:val="22"/>
          <w:lang w:eastAsia="zh-CN"/>
        </w:rPr>
      </w:pPr>
      <w:r w:rsidRPr="00D442F1">
        <w:rPr>
          <w:rFonts w:eastAsia="MS Mincho"/>
          <w:szCs w:val="22"/>
          <w:lang w:eastAsia="zh-CN"/>
        </w:rPr>
        <w:t>Dry mouth</w:t>
      </w:r>
      <w:r w:rsidRPr="00D442F1" w:rsidR="001C55AC">
        <w:rPr>
          <w:rFonts w:eastAsia="MS Mincho"/>
          <w:szCs w:val="22"/>
          <w:lang w:eastAsia="zh-CN"/>
        </w:rPr>
        <w:t>, sore mouth</w:t>
      </w:r>
      <w:r w:rsidRPr="00D442F1" w:rsidR="00D83B4F">
        <w:rPr>
          <w:rFonts w:eastAsia="MS Mincho"/>
          <w:szCs w:val="22"/>
          <w:lang w:eastAsia="zh-CN"/>
        </w:rPr>
        <w:t xml:space="preserve">, bleeding in the mouth, inflammation </w:t>
      </w:r>
      <w:r w:rsidRPr="00D442F1" w:rsidR="001B79C5">
        <w:rPr>
          <w:rFonts w:eastAsia="MS Mincho"/>
          <w:szCs w:val="22"/>
          <w:lang w:eastAsia="zh-CN"/>
        </w:rPr>
        <w:t>in</w:t>
      </w:r>
      <w:r w:rsidRPr="00D442F1" w:rsidR="00D83B4F">
        <w:rPr>
          <w:rFonts w:eastAsia="MS Mincho"/>
          <w:szCs w:val="22"/>
          <w:lang w:eastAsia="zh-CN"/>
        </w:rPr>
        <w:t xml:space="preserve"> the gums</w:t>
      </w:r>
    </w:p>
    <w:p w:rsidR="00D57EDC" w:rsidRPr="00D442F1" w:rsidP="001B1E5A" w14:paraId="09330AA6" w14:textId="04B12D05">
      <w:pPr>
        <w:widowControl w:val="0"/>
        <w:numPr>
          <w:ilvl w:val="0"/>
          <w:numId w:val="25"/>
        </w:numPr>
        <w:tabs>
          <w:tab w:val="clear" w:pos="567"/>
        </w:tabs>
        <w:spacing w:line="240" w:lineRule="auto"/>
        <w:ind w:left="567" w:hanging="567"/>
        <w:rPr>
          <w:noProof/>
          <w:szCs w:val="22"/>
        </w:rPr>
      </w:pPr>
      <w:r w:rsidRPr="00D442F1">
        <w:rPr>
          <w:noProof/>
          <w:szCs w:val="22"/>
        </w:rPr>
        <w:t>Yellow skin and eyes due to abnormal</w:t>
      </w:r>
      <w:r w:rsidRPr="00D442F1" w:rsidR="003B6ABF">
        <w:rPr>
          <w:noProof/>
          <w:szCs w:val="22"/>
        </w:rPr>
        <w:t>ly</w:t>
      </w:r>
      <w:r w:rsidRPr="00D442F1">
        <w:rPr>
          <w:noProof/>
          <w:szCs w:val="22"/>
        </w:rPr>
        <w:t xml:space="preserve"> high levels of bilirubin in the blood</w:t>
      </w:r>
    </w:p>
    <w:p w:rsidR="00D57EDC" w:rsidRPr="00D442F1" w:rsidP="00166894" w14:paraId="062C3DBA" w14:textId="1C18BC56">
      <w:pPr>
        <w:widowControl w:val="0"/>
        <w:numPr>
          <w:ilvl w:val="0"/>
          <w:numId w:val="25"/>
        </w:numPr>
        <w:tabs>
          <w:tab w:val="clear" w:pos="567"/>
        </w:tabs>
        <w:spacing w:line="240" w:lineRule="auto"/>
        <w:ind w:left="567" w:hanging="567"/>
        <w:rPr>
          <w:noProof/>
          <w:szCs w:val="22"/>
        </w:rPr>
      </w:pPr>
      <w:r w:rsidRPr="00D442F1">
        <w:rPr>
          <w:noProof/>
          <w:szCs w:val="22"/>
        </w:rPr>
        <w:t>Itching</w:t>
      </w:r>
    </w:p>
    <w:p w:rsidR="00D57EDC" w:rsidRPr="00D442F1" w:rsidP="00166894" w14:paraId="6A48BD9E" w14:textId="77777777">
      <w:pPr>
        <w:widowControl w:val="0"/>
        <w:numPr>
          <w:ilvl w:val="0"/>
          <w:numId w:val="17"/>
        </w:numPr>
        <w:tabs>
          <w:tab w:val="clear" w:pos="567"/>
        </w:tabs>
        <w:spacing w:line="240" w:lineRule="auto"/>
        <w:ind w:left="567" w:hanging="567"/>
        <w:rPr>
          <w:rFonts w:eastAsia="MS Mincho"/>
          <w:szCs w:val="22"/>
          <w:lang w:eastAsia="zh-CN"/>
        </w:rPr>
      </w:pPr>
      <w:r w:rsidRPr="00D442F1">
        <w:rPr>
          <w:noProof/>
          <w:szCs w:val="22"/>
        </w:rPr>
        <w:t>Excessive sweating, n</w:t>
      </w:r>
      <w:r w:rsidRPr="00D442F1">
        <w:rPr>
          <w:rFonts w:eastAsia="MS Mincho"/>
          <w:szCs w:val="22"/>
          <w:lang w:eastAsia="zh-CN"/>
        </w:rPr>
        <w:t>ight sweats</w:t>
      </w:r>
    </w:p>
    <w:p w:rsidR="00646E76" w:rsidRPr="00D442F1" w:rsidP="00646E76" w14:paraId="039F4752" w14:textId="7552904D">
      <w:pPr>
        <w:widowControl w:val="0"/>
        <w:numPr>
          <w:ilvl w:val="0"/>
          <w:numId w:val="17"/>
        </w:numPr>
        <w:tabs>
          <w:tab w:val="clear" w:pos="567"/>
        </w:tabs>
        <w:spacing w:line="240" w:lineRule="auto"/>
        <w:ind w:left="567" w:hanging="567"/>
        <w:rPr>
          <w:rFonts w:eastAsia="MS Mincho"/>
          <w:szCs w:val="22"/>
          <w:lang w:eastAsia="zh-CN"/>
        </w:rPr>
      </w:pPr>
      <w:r w:rsidRPr="00D442F1">
        <w:rPr>
          <w:noProof/>
          <w:szCs w:val="22"/>
        </w:rPr>
        <w:t xml:space="preserve">Bone </w:t>
      </w:r>
      <w:r w:rsidRPr="00D442F1">
        <w:rPr>
          <w:noProof/>
          <w:szCs w:val="22"/>
        </w:rPr>
        <w:t>and back pain</w:t>
      </w:r>
    </w:p>
    <w:p w:rsidR="006D1EED" w:rsidRPr="00D442F1" w:rsidP="00166894" w14:paraId="0FA8DC19" w14:textId="77777777">
      <w:pPr>
        <w:widowControl w:val="0"/>
        <w:numPr>
          <w:ilvl w:val="0"/>
          <w:numId w:val="17"/>
        </w:numPr>
        <w:tabs>
          <w:tab w:val="clear" w:pos="567"/>
        </w:tabs>
        <w:spacing w:line="240" w:lineRule="auto"/>
        <w:ind w:left="567" w:hanging="567"/>
        <w:rPr>
          <w:noProof/>
          <w:szCs w:val="22"/>
        </w:rPr>
      </w:pPr>
      <w:r w:rsidRPr="00D442F1">
        <w:rPr>
          <w:noProof/>
          <w:szCs w:val="22"/>
        </w:rPr>
        <w:t>Flu</w:t>
      </w:r>
      <w:r w:rsidRPr="00D442F1" w:rsidR="009777D2">
        <w:rPr>
          <w:noProof/>
          <w:szCs w:val="22"/>
        </w:rPr>
        <w:noBreakHyphen/>
      </w:r>
      <w:r w:rsidRPr="00D442F1">
        <w:rPr>
          <w:noProof/>
          <w:szCs w:val="22"/>
        </w:rPr>
        <w:t>like illness</w:t>
      </w:r>
    </w:p>
    <w:p w:rsidR="006D1EED" w:rsidRPr="00D442F1" w:rsidP="00E27187" w14:paraId="5C10533E" w14:textId="77777777">
      <w:pPr>
        <w:widowControl w:val="0"/>
        <w:numPr>
          <w:ilvl w:val="0"/>
          <w:numId w:val="31"/>
        </w:numPr>
        <w:tabs>
          <w:tab w:val="clear" w:pos="567"/>
        </w:tabs>
        <w:spacing w:line="240" w:lineRule="auto"/>
        <w:ind w:left="567" w:hanging="567"/>
        <w:rPr>
          <w:noProof/>
          <w:szCs w:val="22"/>
        </w:rPr>
      </w:pPr>
      <w:r w:rsidRPr="00D442F1">
        <w:rPr>
          <w:szCs w:val="22"/>
        </w:rPr>
        <w:t>Failure of multiple organs</w:t>
      </w:r>
    </w:p>
    <w:p w:rsidR="00E27187" w:rsidRPr="00D442F1" w:rsidP="00166894" w14:paraId="00A6E8AA" w14:textId="77777777">
      <w:pPr>
        <w:widowControl w:val="0"/>
        <w:tabs>
          <w:tab w:val="clear" w:pos="567"/>
          <w:tab w:val="left" w:pos="720"/>
        </w:tabs>
        <w:spacing w:line="240" w:lineRule="auto"/>
        <w:ind w:right="-29"/>
        <w:rPr>
          <w:noProof/>
          <w:szCs w:val="22"/>
          <w:lang w:val="en-US"/>
        </w:rPr>
      </w:pPr>
    </w:p>
    <w:p w:rsidR="00646E76" w:rsidRPr="00D442F1" w:rsidP="00646E76" w14:paraId="1E387DED" w14:textId="77777777">
      <w:pPr>
        <w:keepNext/>
        <w:widowControl w:val="0"/>
        <w:numPr>
          <w:ilvl w:val="12"/>
          <w:numId w:val="0"/>
        </w:numPr>
        <w:tabs>
          <w:tab w:val="clear" w:pos="567"/>
        </w:tabs>
        <w:spacing w:line="240" w:lineRule="auto"/>
        <w:outlineLvl w:val="0"/>
        <w:rPr>
          <w:b/>
          <w:noProof/>
          <w:szCs w:val="22"/>
        </w:rPr>
      </w:pPr>
      <w:r w:rsidRPr="00D442F1">
        <w:rPr>
          <w:b/>
          <w:noProof/>
          <w:szCs w:val="22"/>
        </w:rPr>
        <w:t xml:space="preserve">Uncommon: </w:t>
      </w:r>
      <w:r w:rsidRPr="00D442F1" w:rsidR="001B1E5A">
        <w:rPr>
          <w:rFonts w:eastAsia="MS Mincho"/>
          <w:i/>
          <w:szCs w:val="22"/>
          <w:lang w:eastAsia="zh-CN"/>
        </w:rPr>
        <w:t>may affect up to 1 in 100 people</w:t>
      </w:r>
    </w:p>
    <w:p w:rsidR="00646E76" w:rsidRPr="00D442F1" w:rsidP="00646E76" w14:paraId="7843C177" w14:textId="77777777">
      <w:pPr>
        <w:widowControl w:val="0"/>
        <w:numPr>
          <w:ilvl w:val="0"/>
          <w:numId w:val="31"/>
        </w:numPr>
        <w:tabs>
          <w:tab w:val="clear" w:pos="567"/>
        </w:tabs>
        <w:spacing w:line="240" w:lineRule="auto"/>
        <w:ind w:left="567" w:hanging="567"/>
        <w:rPr>
          <w:szCs w:val="22"/>
        </w:rPr>
      </w:pPr>
      <w:r w:rsidRPr="00D442F1">
        <w:rPr>
          <w:szCs w:val="22"/>
        </w:rPr>
        <w:t>W</w:t>
      </w:r>
      <w:r w:rsidRPr="00D442F1">
        <w:rPr>
          <w:szCs w:val="22"/>
        </w:rPr>
        <w:t>eakness or paralysis of limbs or face, difficulty speaking</w:t>
      </w:r>
      <w:r w:rsidRPr="00D442F1">
        <w:rPr>
          <w:szCs w:val="22"/>
        </w:rPr>
        <w:t xml:space="preserve"> (possible symptoms of stroke as a result of reduced blood supply)</w:t>
      </w:r>
    </w:p>
    <w:p w:rsidR="00646E76" w:rsidRPr="00D442F1" w:rsidP="00646E76" w14:paraId="5A61EBCD" w14:textId="77777777">
      <w:pPr>
        <w:widowControl w:val="0"/>
        <w:numPr>
          <w:ilvl w:val="0"/>
          <w:numId w:val="31"/>
        </w:numPr>
        <w:tabs>
          <w:tab w:val="clear" w:pos="567"/>
        </w:tabs>
        <w:spacing w:line="240" w:lineRule="auto"/>
        <w:ind w:left="567" w:hanging="567"/>
        <w:rPr>
          <w:szCs w:val="22"/>
        </w:rPr>
      </w:pPr>
      <w:r w:rsidRPr="00D442F1">
        <w:rPr>
          <w:szCs w:val="22"/>
        </w:rPr>
        <w:t>Warm</w:t>
      </w:r>
      <w:r w:rsidRPr="00D442F1">
        <w:rPr>
          <w:szCs w:val="22"/>
        </w:rPr>
        <w:t xml:space="preserve"> or rapid</w:t>
      </w:r>
      <w:r w:rsidRPr="00D442F1">
        <w:rPr>
          <w:szCs w:val="22"/>
        </w:rPr>
        <w:t>ly</w:t>
      </w:r>
      <w:r w:rsidRPr="00D442F1">
        <w:rPr>
          <w:szCs w:val="22"/>
        </w:rPr>
        <w:t xml:space="preserve"> reddening skin</w:t>
      </w:r>
    </w:p>
    <w:p w:rsidR="00646E76" w:rsidRPr="00D442F1" w:rsidP="00646E76" w14:paraId="799FF98D" w14:textId="77777777">
      <w:pPr>
        <w:widowControl w:val="0"/>
        <w:numPr>
          <w:ilvl w:val="0"/>
          <w:numId w:val="31"/>
        </w:numPr>
        <w:tabs>
          <w:tab w:val="clear" w:pos="567"/>
        </w:tabs>
        <w:spacing w:line="240" w:lineRule="auto"/>
        <w:ind w:left="567" w:hanging="567"/>
        <w:rPr>
          <w:szCs w:val="22"/>
        </w:rPr>
      </w:pPr>
      <w:r w:rsidRPr="00D442F1">
        <w:rPr>
          <w:szCs w:val="22"/>
        </w:rPr>
        <w:t>Cough that produces phlegm or sometimes blood, fever, shortness of breath or difficulty breathing</w:t>
      </w:r>
    </w:p>
    <w:p w:rsidR="00646E76" w:rsidRPr="00D442F1" w:rsidP="00166894" w14:paraId="09358D83" w14:textId="77777777">
      <w:pPr>
        <w:widowControl w:val="0"/>
        <w:tabs>
          <w:tab w:val="clear" w:pos="567"/>
          <w:tab w:val="left" w:pos="720"/>
        </w:tabs>
        <w:spacing w:line="240" w:lineRule="auto"/>
        <w:ind w:right="-29"/>
        <w:rPr>
          <w:noProof/>
          <w:szCs w:val="22"/>
          <w:lang w:val="en-US"/>
        </w:rPr>
      </w:pPr>
    </w:p>
    <w:p w:rsidR="00CE3C79" w:rsidRPr="00D442F1" w:rsidP="00166894" w14:paraId="01FD2A0D" w14:textId="77777777">
      <w:pPr>
        <w:keepNext/>
        <w:widowControl w:val="0"/>
        <w:numPr>
          <w:ilvl w:val="12"/>
          <w:numId w:val="0"/>
        </w:numPr>
        <w:tabs>
          <w:tab w:val="clear" w:pos="567"/>
        </w:tabs>
        <w:spacing w:line="240" w:lineRule="auto"/>
        <w:outlineLvl w:val="0"/>
        <w:rPr>
          <w:b/>
          <w:noProof/>
          <w:szCs w:val="22"/>
        </w:rPr>
      </w:pPr>
      <w:r w:rsidRPr="00D442F1">
        <w:rPr>
          <w:b/>
          <w:noProof/>
          <w:szCs w:val="22"/>
        </w:rPr>
        <w:t>Reporting of side effects</w:t>
      </w:r>
    </w:p>
    <w:p w:rsidR="00CE3C79" w:rsidRPr="00D442F1" w:rsidP="00166894" w14:paraId="6842F682" w14:textId="77777777">
      <w:pPr>
        <w:widowControl w:val="0"/>
        <w:tabs>
          <w:tab w:val="clear" w:pos="567"/>
        </w:tabs>
        <w:spacing w:line="240" w:lineRule="auto"/>
        <w:rPr>
          <w:rFonts w:eastAsia="Verdana" w:cs="Verdana"/>
          <w:szCs w:val="22"/>
          <w:lang w:eastAsia="en-GB"/>
        </w:rPr>
      </w:pPr>
      <w:r w:rsidRPr="00D442F1">
        <w:rPr>
          <w:rFonts w:eastAsia="Verdana"/>
          <w:noProof/>
          <w:szCs w:val="22"/>
          <w:lang w:eastAsia="en-GB"/>
        </w:rPr>
        <w:t>If you get any side effects, talk to your doctor.</w:t>
      </w:r>
      <w:r w:rsidRPr="00D442F1">
        <w:rPr>
          <w:rFonts w:eastAsia="Verdana"/>
          <w:color w:val="FF0000"/>
          <w:szCs w:val="22"/>
          <w:lang w:eastAsia="en-GB"/>
        </w:rPr>
        <w:t xml:space="preserve"> </w:t>
      </w:r>
      <w:r w:rsidRPr="00D442F1">
        <w:rPr>
          <w:rFonts w:eastAsia="Verdana"/>
          <w:szCs w:val="22"/>
          <w:lang w:eastAsia="en-GB"/>
        </w:rPr>
        <w:t xml:space="preserve">This includes any possible </w:t>
      </w:r>
      <w:r w:rsidRPr="00D442F1">
        <w:rPr>
          <w:rFonts w:eastAsia="Verdana"/>
          <w:noProof/>
          <w:szCs w:val="22"/>
          <w:lang w:eastAsia="en-GB"/>
        </w:rPr>
        <w:t>side effects not listed in this leaflet.</w:t>
      </w:r>
      <w:r w:rsidRPr="00D442F1">
        <w:rPr>
          <w:rFonts w:ascii="Verdana" w:eastAsia="Verdana" w:hAnsi="Verdana" w:cs="Verdana"/>
          <w:szCs w:val="22"/>
          <w:lang w:eastAsia="en-GB"/>
        </w:rPr>
        <w:t xml:space="preserve"> </w:t>
      </w:r>
      <w:r w:rsidRPr="00D442F1">
        <w:rPr>
          <w:rFonts w:eastAsia="Verdana"/>
          <w:szCs w:val="22"/>
          <w:lang w:eastAsia="en-GB"/>
        </w:rPr>
        <w:t xml:space="preserve">You can also report side effects directly via </w:t>
      </w:r>
      <w:r w:rsidRPr="00D442F1">
        <w:rPr>
          <w:rFonts w:eastAsia="Verdana"/>
          <w:szCs w:val="22"/>
          <w:shd w:val="pct15" w:color="auto" w:fill="auto"/>
          <w:lang w:eastAsia="en-GB"/>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D442F1">
        <w:rPr>
          <w:rStyle w:val="Hyperlink"/>
          <w:rFonts w:eastAsia="Verdana"/>
          <w:szCs w:val="22"/>
          <w:shd w:val="pct15" w:color="auto" w:fill="auto"/>
          <w:lang w:eastAsia="en-GB"/>
        </w:rPr>
        <w:t>Appendix V</w:t>
      </w:r>
      <w:r>
        <w:fldChar w:fldCharType="end"/>
      </w:r>
      <w:r w:rsidRPr="00D442F1">
        <w:rPr>
          <w:rFonts w:eastAsia="Verdana"/>
          <w:szCs w:val="22"/>
          <w:lang w:eastAsia="en-GB"/>
        </w:rPr>
        <w:t>.</w:t>
      </w:r>
      <w:r w:rsidRPr="00D442F1">
        <w:rPr>
          <w:rFonts w:eastAsia="Verdana" w:cs="Verdana"/>
          <w:szCs w:val="22"/>
          <w:lang w:eastAsia="en-GB"/>
        </w:rPr>
        <w:t xml:space="preserve"> By reporting side effects</w:t>
      </w:r>
      <w:r w:rsidRPr="00D442F1" w:rsidR="00D54DD5">
        <w:rPr>
          <w:rFonts w:eastAsia="Verdana" w:cs="Verdana"/>
          <w:szCs w:val="22"/>
          <w:lang w:eastAsia="en-GB"/>
        </w:rPr>
        <w:t>,</w:t>
      </w:r>
      <w:r w:rsidRPr="00D442F1">
        <w:rPr>
          <w:rFonts w:eastAsia="Verdana" w:cs="Verdana"/>
          <w:szCs w:val="22"/>
          <w:lang w:eastAsia="en-GB"/>
        </w:rPr>
        <w:t xml:space="preserve"> you can help provide more information on the safety of this medicine.</w:t>
      </w:r>
    </w:p>
    <w:p w:rsidR="00CE3C79" w:rsidRPr="00D442F1" w:rsidP="00166894" w14:paraId="6BF7C57F" w14:textId="77777777">
      <w:pPr>
        <w:widowControl w:val="0"/>
        <w:tabs>
          <w:tab w:val="clear" w:pos="567"/>
        </w:tabs>
        <w:spacing w:line="240" w:lineRule="auto"/>
        <w:rPr>
          <w:rFonts w:eastAsia="Verdana"/>
          <w:szCs w:val="22"/>
          <w:lang w:eastAsia="en-GB"/>
        </w:rPr>
      </w:pPr>
    </w:p>
    <w:p w:rsidR="00CE3C79" w:rsidRPr="00D442F1" w:rsidP="00166894" w14:paraId="1B609C0A" w14:textId="77777777">
      <w:pPr>
        <w:widowControl w:val="0"/>
        <w:tabs>
          <w:tab w:val="clear" w:pos="567"/>
        </w:tabs>
        <w:spacing w:line="240" w:lineRule="auto"/>
        <w:rPr>
          <w:rFonts w:eastAsia="Verdana"/>
          <w:szCs w:val="22"/>
          <w:lang w:eastAsia="en-GB"/>
        </w:rPr>
      </w:pPr>
    </w:p>
    <w:p w:rsidR="00CE3C79" w:rsidRPr="00D442F1" w:rsidP="00166894" w14:paraId="644EEBB2" w14:textId="77777777">
      <w:pPr>
        <w:keepNext/>
        <w:widowControl w:val="0"/>
        <w:numPr>
          <w:ilvl w:val="12"/>
          <w:numId w:val="0"/>
        </w:numPr>
        <w:tabs>
          <w:tab w:val="clear" w:pos="567"/>
        </w:tabs>
        <w:spacing w:line="240" w:lineRule="auto"/>
        <w:ind w:left="567" w:hanging="567"/>
        <w:rPr>
          <w:b/>
          <w:szCs w:val="22"/>
        </w:rPr>
      </w:pPr>
      <w:r w:rsidRPr="00D442F1">
        <w:rPr>
          <w:b/>
          <w:szCs w:val="22"/>
        </w:rPr>
        <w:t>5.</w:t>
      </w:r>
      <w:r w:rsidRPr="00D442F1">
        <w:rPr>
          <w:b/>
          <w:szCs w:val="22"/>
        </w:rPr>
        <w:tab/>
        <w:t>How to store Kymriah</w:t>
      </w:r>
    </w:p>
    <w:p w:rsidR="00CE3C79" w:rsidRPr="00D442F1" w:rsidP="00166894" w14:paraId="42B4F11E" w14:textId="77777777">
      <w:pPr>
        <w:keepNext/>
        <w:widowControl w:val="0"/>
        <w:numPr>
          <w:ilvl w:val="12"/>
          <w:numId w:val="0"/>
        </w:numPr>
        <w:tabs>
          <w:tab w:val="clear" w:pos="567"/>
        </w:tabs>
        <w:spacing w:line="240" w:lineRule="auto"/>
        <w:rPr>
          <w:noProof/>
          <w:szCs w:val="22"/>
        </w:rPr>
      </w:pPr>
    </w:p>
    <w:p w:rsidR="00CE3C79" w:rsidRPr="00D442F1" w:rsidP="00166894" w14:paraId="3292E37E" w14:textId="77777777">
      <w:pPr>
        <w:keepNext/>
        <w:widowControl w:val="0"/>
        <w:numPr>
          <w:ilvl w:val="12"/>
          <w:numId w:val="0"/>
        </w:numPr>
        <w:tabs>
          <w:tab w:val="clear" w:pos="567"/>
        </w:tabs>
        <w:spacing w:line="240" w:lineRule="auto"/>
        <w:rPr>
          <w:noProof/>
          <w:szCs w:val="22"/>
        </w:rPr>
      </w:pPr>
      <w:r w:rsidRPr="00D442F1">
        <w:rPr>
          <w:b/>
          <w:noProof/>
          <w:szCs w:val="22"/>
        </w:rPr>
        <w:t>The following information is intended for doctors only</w:t>
      </w:r>
      <w:r w:rsidRPr="00D442F1" w:rsidR="001B79C5">
        <w:rPr>
          <w:b/>
          <w:noProof/>
          <w:szCs w:val="22"/>
        </w:rPr>
        <w:t>.</w:t>
      </w:r>
    </w:p>
    <w:p w:rsidR="00CE3C79" w:rsidRPr="00D442F1" w:rsidP="00166894" w14:paraId="482E1936" w14:textId="77777777">
      <w:pPr>
        <w:keepNext/>
        <w:widowControl w:val="0"/>
        <w:tabs>
          <w:tab w:val="clear" w:pos="567"/>
        </w:tabs>
        <w:spacing w:line="240" w:lineRule="auto"/>
        <w:rPr>
          <w:noProof/>
          <w:szCs w:val="22"/>
        </w:rPr>
      </w:pPr>
    </w:p>
    <w:p w:rsidR="00CE3C79" w:rsidRPr="00D442F1" w:rsidP="00166894" w14:paraId="2B8A0E8D" w14:textId="77777777">
      <w:pPr>
        <w:widowControl w:val="0"/>
        <w:tabs>
          <w:tab w:val="clear" w:pos="567"/>
        </w:tabs>
        <w:spacing w:line="240" w:lineRule="auto"/>
        <w:ind w:right="-2"/>
        <w:rPr>
          <w:noProof/>
          <w:szCs w:val="22"/>
        </w:rPr>
      </w:pPr>
      <w:r w:rsidRPr="00D442F1">
        <w:rPr>
          <w:noProof/>
          <w:szCs w:val="22"/>
        </w:rPr>
        <w:t>Keep this medicine out of the sight and reach of children.</w:t>
      </w:r>
    </w:p>
    <w:p w:rsidR="00CE3C79" w:rsidRPr="00D442F1" w:rsidP="00166894" w14:paraId="6A5CFA35" w14:textId="77777777">
      <w:pPr>
        <w:widowControl w:val="0"/>
        <w:tabs>
          <w:tab w:val="clear" w:pos="567"/>
        </w:tabs>
        <w:spacing w:line="240" w:lineRule="auto"/>
        <w:ind w:right="-2"/>
        <w:rPr>
          <w:noProof/>
          <w:szCs w:val="22"/>
        </w:rPr>
      </w:pPr>
    </w:p>
    <w:p w:rsidR="007964C1" w:rsidRPr="00D442F1" w:rsidP="00166894" w14:paraId="0BF7ABEF" w14:textId="3F5578F1">
      <w:pPr>
        <w:widowControl w:val="0"/>
        <w:numPr>
          <w:ilvl w:val="12"/>
          <w:numId w:val="0"/>
        </w:numPr>
        <w:tabs>
          <w:tab w:val="clear" w:pos="567"/>
          <w:tab w:val="left" w:pos="720"/>
        </w:tabs>
        <w:spacing w:line="240" w:lineRule="auto"/>
        <w:ind w:right="-2"/>
        <w:rPr>
          <w:noProof/>
          <w:szCs w:val="22"/>
        </w:rPr>
      </w:pPr>
      <w:r w:rsidRPr="00D442F1">
        <w:rPr>
          <w:noProof/>
          <w:szCs w:val="22"/>
        </w:rPr>
        <w:t>Do not use this medicine after the expiry date which is stated on the infusion bag label after EXP. The expiry date refers to the last day of that month.</w:t>
      </w:r>
    </w:p>
    <w:p w:rsidR="007964C1" w:rsidRPr="00D442F1" w:rsidP="00166894" w14:paraId="378B99C9" w14:textId="77777777">
      <w:pPr>
        <w:widowControl w:val="0"/>
        <w:tabs>
          <w:tab w:val="clear" w:pos="567"/>
        </w:tabs>
        <w:spacing w:line="240" w:lineRule="auto"/>
        <w:ind w:right="-2"/>
        <w:rPr>
          <w:noProof/>
          <w:szCs w:val="22"/>
        </w:rPr>
      </w:pPr>
    </w:p>
    <w:p w:rsidR="00CE3C79" w:rsidRPr="00D442F1" w:rsidP="00166894" w14:paraId="01978313" w14:textId="77777777">
      <w:pPr>
        <w:widowControl w:val="0"/>
        <w:tabs>
          <w:tab w:val="clear" w:pos="567"/>
        </w:tabs>
        <w:spacing w:line="240" w:lineRule="auto"/>
        <w:ind w:right="-2"/>
        <w:rPr>
          <w:noProof/>
          <w:szCs w:val="22"/>
        </w:rPr>
      </w:pPr>
      <w:r w:rsidRPr="00D442F1">
        <w:rPr>
          <w:noProof/>
          <w:szCs w:val="22"/>
        </w:rPr>
        <w:t>S</w:t>
      </w:r>
      <w:r w:rsidRPr="00D442F1">
        <w:rPr>
          <w:noProof/>
          <w:szCs w:val="22"/>
        </w:rPr>
        <w:t>tore</w:t>
      </w:r>
      <w:r w:rsidRPr="00D442F1">
        <w:rPr>
          <w:noProof/>
          <w:szCs w:val="22"/>
        </w:rPr>
        <w:t xml:space="preserve"> and transport</w:t>
      </w:r>
      <w:r w:rsidRPr="00D442F1">
        <w:rPr>
          <w:noProof/>
          <w:szCs w:val="22"/>
        </w:rPr>
        <w:t xml:space="preserve"> </w:t>
      </w:r>
      <w:r w:rsidRPr="00D442F1" w:rsidR="007964C1">
        <w:rPr>
          <w:noProof/>
          <w:szCs w:val="22"/>
        </w:rPr>
        <w:t>below</w:t>
      </w:r>
      <w:r w:rsidRPr="00D442F1">
        <w:rPr>
          <w:noProof/>
          <w:szCs w:val="22"/>
        </w:rPr>
        <w:t xml:space="preserve"> </w:t>
      </w:r>
      <w:r w:rsidRPr="00D442F1">
        <w:rPr>
          <w:noProof/>
          <w:szCs w:val="22"/>
        </w:rPr>
        <w:noBreakHyphen/>
        <w:t>120°C. Do not thaw the product until it is ready to be used.</w:t>
      </w:r>
    </w:p>
    <w:p w:rsidR="00CE3C79" w:rsidRPr="00D442F1" w:rsidP="00166894" w14:paraId="2C8C1538" w14:textId="77777777">
      <w:pPr>
        <w:widowControl w:val="0"/>
        <w:tabs>
          <w:tab w:val="clear" w:pos="567"/>
        </w:tabs>
        <w:spacing w:line="240" w:lineRule="auto"/>
        <w:ind w:right="-2"/>
        <w:rPr>
          <w:noProof/>
          <w:szCs w:val="22"/>
        </w:rPr>
      </w:pPr>
    </w:p>
    <w:p w:rsidR="00777A59" w:rsidRPr="00385FB9" w:rsidP="00166894" w14:paraId="1516CA5B" w14:textId="77777777">
      <w:pPr>
        <w:widowControl w:val="0"/>
        <w:tabs>
          <w:tab w:val="clear" w:pos="567"/>
        </w:tabs>
        <w:spacing w:line="240" w:lineRule="auto"/>
        <w:rPr>
          <w:rFonts w:eastAsia="MS Mincho"/>
          <w:szCs w:val="22"/>
          <w:lang w:eastAsia="zh-CN"/>
        </w:rPr>
      </w:pPr>
      <w:r w:rsidRPr="00D442F1">
        <w:rPr>
          <w:rFonts w:eastAsia="MS Mincho"/>
          <w:szCs w:val="22"/>
          <w:lang w:eastAsia="zh-CN"/>
        </w:rPr>
        <w:t xml:space="preserve">Do not use this medicine if the infusion bag is </w:t>
      </w:r>
      <w:r w:rsidRPr="00385FB9">
        <w:rPr>
          <w:rFonts w:eastAsia="MS Mincho"/>
          <w:szCs w:val="22"/>
          <w:lang w:eastAsia="zh-CN"/>
        </w:rPr>
        <w:t>damaged or leaking.</w:t>
      </w:r>
    </w:p>
    <w:p w:rsidR="00777A59" w:rsidRPr="00385FB9" w:rsidP="00166894" w14:paraId="265DCF34" w14:textId="77777777">
      <w:pPr>
        <w:widowControl w:val="0"/>
        <w:tabs>
          <w:tab w:val="clear" w:pos="567"/>
        </w:tabs>
        <w:spacing w:line="240" w:lineRule="auto"/>
        <w:rPr>
          <w:rFonts w:eastAsia="MS Mincho"/>
          <w:szCs w:val="22"/>
          <w:lang w:eastAsia="zh-CN"/>
        </w:rPr>
      </w:pPr>
    </w:p>
    <w:p w:rsidR="009777D2" w:rsidRPr="00D442F1" w:rsidP="00166894" w14:paraId="77E2BA51" w14:textId="567F380C">
      <w:pPr>
        <w:widowControl w:val="0"/>
        <w:tabs>
          <w:tab w:val="clear" w:pos="567"/>
        </w:tabs>
        <w:spacing w:line="240" w:lineRule="auto"/>
        <w:rPr>
          <w:rFonts w:eastAsia="MS Mincho"/>
          <w:szCs w:val="22"/>
          <w:lang w:eastAsia="zh-CN"/>
        </w:rPr>
      </w:pPr>
      <w:r w:rsidRPr="00385FB9">
        <w:rPr>
          <w:rFonts w:eastAsia="MS Mincho"/>
          <w:szCs w:val="22"/>
          <w:lang w:eastAsia="zh-CN"/>
        </w:rPr>
        <w:t>This medicin</w:t>
      </w:r>
      <w:r w:rsidRPr="00385FB9" w:rsidR="00FF5EFB">
        <w:rPr>
          <w:rFonts w:eastAsia="MS Mincho"/>
          <w:szCs w:val="22"/>
          <w:lang w:eastAsia="zh-CN"/>
        </w:rPr>
        <w:t>e</w:t>
      </w:r>
      <w:r w:rsidRPr="00385FB9">
        <w:rPr>
          <w:rFonts w:eastAsia="MS Mincho"/>
          <w:szCs w:val="22"/>
          <w:lang w:eastAsia="zh-CN"/>
        </w:rPr>
        <w:t xml:space="preserve"> contains genetically</w:t>
      </w:r>
      <w:r w:rsidRPr="00385FB9" w:rsidR="004421D8">
        <w:rPr>
          <w:rFonts w:eastAsia="MS Mincho"/>
          <w:szCs w:val="22"/>
          <w:lang w:eastAsia="zh-CN"/>
        </w:rPr>
        <w:noBreakHyphen/>
      </w:r>
      <w:r w:rsidRPr="00385FB9">
        <w:rPr>
          <w:rFonts w:eastAsia="MS Mincho"/>
          <w:szCs w:val="22"/>
          <w:lang w:eastAsia="zh-CN"/>
        </w:rPr>
        <w:t>modified</w:t>
      </w:r>
      <w:r w:rsidRPr="00385FB9" w:rsidR="005C441F">
        <w:rPr>
          <w:rFonts w:eastAsia="MS Mincho"/>
          <w:szCs w:val="22"/>
          <w:lang w:eastAsia="zh-CN"/>
        </w:rPr>
        <w:t xml:space="preserve"> blood</w:t>
      </w:r>
      <w:r w:rsidRPr="00385FB9">
        <w:rPr>
          <w:rFonts w:eastAsia="MS Mincho"/>
          <w:szCs w:val="22"/>
          <w:lang w:eastAsia="zh-CN"/>
        </w:rPr>
        <w:t xml:space="preserve"> cells. Local guidelines </w:t>
      </w:r>
      <w:r w:rsidRPr="00385FB9" w:rsidR="002B47DB">
        <w:rPr>
          <w:rFonts w:eastAsia="MS Mincho"/>
          <w:szCs w:val="22"/>
          <w:lang w:eastAsia="zh-CN"/>
        </w:rPr>
        <w:t xml:space="preserve">on handling of biological waste </w:t>
      </w:r>
      <w:r w:rsidRPr="00385FB9">
        <w:rPr>
          <w:rFonts w:eastAsia="MS Mincho"/>
          <w:szCs w:val="22"/>
          <w:lang w:eastAsia="zh-CN"/>
        </w:rPr>
        <w:t>should be followed for unused medicin</w:t>
      </w:r>
      <w:r w:rsidRPr="00385FB9" w:rsidR="00FF5EFB">
        <w:rPr>
          <w:rFonts w:eastAsia="MS Mincho"/>
          <w:szCs w:val="22"/>
          <w:lang w:eastAsia="zh-CN"/>
        </w:rPr>
        <w:t>e</w:t>
      </w:r>
      <w:r w:rsidRPr="00385FB9">
        <w:rPr>
          <w:rFonts w:eastAsia="MS Mincho"/>
          <w:szCs w:val="22"/>
          <w:lang w:eastAsia="zh-CN"/>
        </w:rPr>
        <w:t xml:space="preserve"> or waste material.</w:t>
      </w:r>
    </w:p>
    <w:p w:rsidR="00D83B4F" w:rsidRPr="00D442F1" w:rsidP="00166894" w14:paraId="5012B55D" w14:textId="77777777">
      <w:pPr>
        <w:widowControl w:val="0"/>
        <w:tabs>
          <w:tab w:val="clear" w:pos="567"/>
        </w:tabs>
        <w:spacing w:line="240" w:lineRule="auto"/>
        <w:rPr>
          <w:rFonts w:eastAsia="MS Mincho"/>
          <w:szCs w:val="22"/>
          <w:lang w:eastAsia="zh-CN"/>
        </w:rPr>
      </w:pPr>
    </w:p>
    <w:p w:rsidR="00CE3C79" w:rsidRPr="00D442F1" w:rsidP="00166894" w14:paraId="78C4A3A6" w14:textId="77777777">
      <w:pPr>
        <w:widowControl w:val="0"/>
        <w:numPr>
          <w:ilvl w:val="12"/>
          <w:numId w:val="0"/>
        </w:numPr>
        <w:tabs>
          <w:tab w:val="clear" w:pos="567"/>
        </w:tabs>
        <w:spacing w:line="240" w:lineRule="auto"/>
        <w:ind w:right="-2"/>
        <w:rPr>
          <w:noProof/>
          <w:szCs w:val="22"/>
        </w:rPr>
      </w:pPr>
    </w:p>
    <w:p w:rsidR="00CE3C79" w:rsidRPr="00D442F1" w:rsidP="00166894" w14:paraId="2AC7029B" w14:textId="77777777">
      <w:pPr>
        <w:keepNext/>
        <w:widowControl w:val="0"/>
        <w:numPr>
          <w:ilvl w:val="12"/>
          <w:numId w:val="0"/>
        </w:numPr>
        <w:tabs>
          <w:tab w:val="clear" w:pos="567"/>
        </w:tabs>
        <w:spacing w:line="240" w:lineRule="auto"/>
        <w:ind w:left="567" w:hanging="567"/>
        <w:rPr>
          <w:b/>
          <w:szCs w:val="22"/>
        </w:rPr>
      </w:pPr>
      <w:r w:rsidRPr="00D442F1">
        <w:rPr>
          <w:b/>
          <w:szCs w:val="22"/>
        </w:rPr>
        <w:t>6.</w:t>
      </w:r>
      <w:r w:rsidRPr="00D442F1">
        <w:rPr>
          <w:b/>
          <w:szCs w:val="22"/>
        </w:rPr>
        <w:tab/>
        <w:t>Contents of the pack and other information</w:t>
      </w:r>
    </w:p>
    <w:p w:rsidR="00CE3C79" w:rsidRPr="00D442F1" w:rsidP="00166894" w14:paraId="2FBBABFB" w14:textId="77777777">
      <w:pPr>
        <w:keepNext/>
        <w:widowControl w:val="0"/>
        <w:numPr>
          <w:ilvl w:val="12"/>
          <w:numId w:val="0"/>
        </w:numPr>
        <w:tabs>
          <w:tab w:val="clear" w:pos="567"/>
        </w:tabs>
        <w:spacing w:line="240" w:lineRule="auto"/>
        <w:rPr>
          <w:szCs w:val="22"/>
        </w:rPr>
      </w:pPr>
    </w:p>
    <w:p w:rsidR="00CE3C79" w:rsidRPr="00D442F1" w:rsidP="00166894" w14:paraId="4DC19473" w14:textId="77777777">
      <w:pPr>
        <w:keepNext/>
        <w:widowControl w:val="0"/>
        <w:numPr>
          <w:ilvl w:val="12"/>
          <w:numId w:val="0"/>
        </w:numPr>
        <w:tabs>
          <w:tab w:val="clear" w:pos="567"/>
        </w:tabs>
        <w:spacing w:line="240" w:lineRule="auto"/>
        <w:rPr>
          <w:b/>
          <w:szCs w:val="22"/>
        </w:rPr>
      </w:pPr>
      <w:r w:rsidRPr="00D442F1">
        <w:rPr>
          <w:b/>
          <w:szCs w:val="22"/>
        </w:rPr>
        <w:t>What Kymriah contains</w:t>
      </w:r>
    </w:p>
    <w:p w:rsidR="00CE3C79" w:rsidRPr="00D442F1" w:rsidP="00166894" w14:paraId="1668D892" w14:textId="699615E0">
      <w:pPr>
        <w:widowControl w:val="0"/>
        <w:numPr>
          <w:ilvl w:val="0"/>
          <w:numId w:val="22"/>
        </w:numPr>
        <w:tabs>
          <w:tab w:val="clear" w:pos="357"/>
          <w:tab w:val="clear" w:pos="567"/>
        </w:tabs>
        <w:spacing w:line="240" w:lineRule="auto"/>
        <w:ind w:left="567" w:hanging="567"/>
        <w:rPr>
          <w:noProof/>
          <w:szCs w:val="22"/>
        </w:rPr>
      </w:pPr>
      <w:r w:rsidRPr="00D442F1">
        <w:rPr>
          <w:noProof/>
          <w:szCs w:val="22"/>
        </w:rPr>
        <w:t>The active substance of Kymriah is called tisagenlecleucel</w:t>
      </w:r>
      <w:r w:rsidRPr="00D442F1" w:rsidR="003572FC">
        <w:rPr>
          <w:noProof/>
          <w:szCs w:val="22"/>
        </w:rPr>
        <w:t>.</w:t>
      </w:r>
      <w:r w:rsidRPr="00D442F1" w:rsidR="00DC34B3">
        <w:rPr>
          <w:noProof/>
          <w:szCs w:val="22"/>
        </w:rPr>
        <w:t xml:space="preserve"> Each </w:t>
      </w:r>
      <w:r w:rsidRPr="00D442F1" w:rsidR="001A19D0">
        <w:rPr>
          <w:noProof/>
          <w:szCs w:val="22"/>
        </w:rPr>
        <w:t xml:space="preserve">infusion </w:t>
      </w:r>
      <w:r w:rsidRPr="00D442F1" w:rsidR="00DC34B3">
        <w:rPr>
          <w:noProof/>
          <w:szCs w:val="22"/>
        </w:rPr>
        <w:t xml:space="preserve">bag of Kmyriah contains </w:t>
      </w:r>
      <w:r w:rsidRPr="00D442F1" w:rsidR="00DC34B3">
        <w:t xml:space="preserve">tisagenlecleucel </w:t>
      </w:r>
      <w:r w:rsidRPr="00D442F1" w:rsidR="00C31321">
        <w:t xml:space="preserve">cell </w:t>
      </w:r>
      <w:r w:rsidRPr="00D442F1" w:rsidR="00DC34B3">
        <w:t>dispersion at a batch</w:t>
      </w:r>
      <w:r w:rsidRPr="00D442F1" w:rsidR="00DC34B3">
        <w:noBreakHyphen/>
        <w:t xml:space="preserve">dependent concentration of </w:t>
      </w:r>
      <w:r w:rsidRPr="00D442F1" w:rsidR="00DC34B3">
        <w:rPr>
          <w:noProof/>
          <w:szCs w:val="22"/>
        </w:rPr>
        <w:t xml:space="preserve">autologous T cells genetically modified to express an </w:t>
      </w:r>
      <w:r w:rsidRPr="00D442F1" w:rsidR="00DC34B3">
        <w:t>anti</w:t>
      </w:r>
      <w:r w:rsidRPr="00D442F1" w:rsidR="00DC34B3">
        <w:noBreakHyphen/>
        <w:t>CD19 chimeric antigen receptor</w:t>
      </w:r>
      <w:r w:rsidRPr="00D442F1" w:rsidR="00DC34B3">
        <w:rPr>
          <w:noProof/>
          <w:szCs w:val="22"/>
        </w:rPr>
        <w:t xml:space="preserve"> (CAR</w:t>
      </w:r>
      <w:r w:rsidRPr="00D442F1" w:rsidR="00DC34B3">
        <w:rPr>
          <w:noProof/>
          <w:szCs w:val="22"/>
        </w:rPr>
        <w:noBreakHyphen/>
        <w:t>positive viable T cells).</w:t>
      </w:r>
      <w:r w:rsidRPr="00D442F1" w:rsidR="00507780">
        <w:rPr>
          <w:noProof/>
          <w:szCs w:val="22"/>
        </w:rPr>
        <w:t xml:space="preserve"> 1</w:t>
      </w:r>
      <w:r w:rsidRPr="00D442F1" w:rsidR="00327FE4">
        <w:rPr>
          <w:noProof/>
          <w:szCs w:val="22"/>
        </w:rPr>
        <w:t xml:space="preserve"> or more </w:t>
      </w:r>
      <w:r w:rsidRPr="00D442F1" w:rsidR="00507780">
        <w:rPr>
          <w:noProof/>
          <w:szCs w:val="22"/>
        </w:rPr>
        <w:t xml:space="preserve">bags contain a total of </w:t>
      </w:r>
      <w:r w:rsidRPr="00D442F1" w:rsidR="00507780">
        <w:rPr>
          <w:noProof/>
          <w:szCs w:val="22"/>
          <w:lang w:val="en-US"/>
        </w:rPr>
        <w:t>1.2 x 10</w:t>
      </w:r>
      <w:r w:rsidRPr="00D442F1" w:rsidR="00507780">
        <w:rPr>
          <w:noProof/>
          <w:szCs w:val="22"/>
          <w:vertAlign w:val="superscript"/>
          <w:lang w:val="en-US"/>
        </w:rPr>
        <w:t>6</w:t>
      </w:r>
      <w:r w:rsidRPr="00D442F1" w:rsidR="00507780">
        <w:rPr>
          <w:noProof/>
          <w:szCs w:val="22"/>
          <w:lang w:val="en-US"/>
        </w:rPr>
        <w:t> – 6 x 10</w:t>
      </w:r>
      <w:r w:rsidRPr="00D442F1" w:rsidR="00507780">
        <w:rPr>
          <w:noProof/>
          <w:szCs w:val="22"/>
          <w:vertAlign w:val="superscript"/>
          <w:lang w:val="en-US"/>
        </w:rPr>
        <w:t xml:space="preserve">8 </w:t>
      </w:r>
      <w:r w:rsidRPr="00D442F1" w:rsidR="00507780">
        <w:rPr>
          <w:noProof/>
          <w:szCs w:val="22"/>
          <w:lang w:val="en-US"/>
        </w:rPr>
        <w:t>CAR+ viable T cells.</w:t>
      </w:r>
    </w:p>
    <w:p w:rsidR="00CE3C79" w:rsidRPr="00D442F1" w:rsidP="00166894" w14:paraId="4F4915E1" w14:textId="77777777">
      <w:pPr>
        <w:widowControl w:val="0"/>
        <w:numPr>
          <w:ilvl w:val="0"/>
          <w:numId w:val="22"/>
        </w:numPr>
        <w:tabs>
          <w:tab w:val="clear" w:pos="357"/>
          <w:tab w:val="clear" w:pos="567"/>
        </w:tabs>
        <w:spacing w:line="240" w:lineRule="auto"/>
        <w:ind w:left="567" w:hanging="567"/>
        <w:rPr>
          <w:noProof/>
          <w:szCs w:val="22"/>
        </w:rPr>
      </w:pPr>
      <w:r w:rsidRPr="00D442F1">
        <w:rPr>
          <w:noProof/>
          <w:szCs w:val="22"/>
        </w:rPr>
        <w:t xml:space="preserve">The </w:t>
      </w:r>
      <w:r w:rsidRPr="00D442F1">
        <w:rPr>
          <w:szCs w:val="22"/>
        </w:rPr>
        <w:t xml:space="preserve">other </w:t>
      </w:r>
      <w:r w:rsidRPr="00D442F1" w:rsidR="00DC34B3">
        <w:rPr>
          <w:szCs w:val="22"/>
        </w:rPr>
        <w:t>ingredients</w:t>
      </w:r>
      <w:r w:rsidRPr="00D442F1" w:rsidR="00DC34B3">
        <w:rPr>
          <w:noProof/>
          <w:szCs w:val="22"/>
        </w:rPr>
        <w:t xml:space="preserve"> </w:t>
      </w:r>
      <w:r w:rsidRPr="00D442F1">
        <w:rPr>
          <w:noProof/>
          <w:szCs w:val="22"/>
        </w:rPr>
        <w:t>are</w:t>
      </w:r>
      <w:r w:rsidRPr="00D442F1" w:rsidR="007964C1">
        <w:rPr>
          <w:noProof/>
          <w:szCs w:val="22"/>
        </w:rPr>
        <w:t xml:space="preserve"> glucose, sodium chloride, </w:t>
      </w:r>
      <w:r w:rsidRPr="00D442F1" w:rsidR="00DC34B3">
        <w:rPr>
          <w:noProof/>
          <w:szCs w:val="22"/>
        </w:rPr>
        <w:t xml:space="preserve">human </w:t>
      </w:r>
      <w:r w:rsidRPr="00D442F1" w:rsidR="007964C1">
        <w:rPr>
          <w:noProof/>
          <w:szCs w:val="22"/>
        </w:rPr>
        <w:t>albumin solution, dextran 40 for injection, dimethylsulfoxide, sodium gluconate, sodium acetate, potassium chloride, magnesium chloride, sodium</w:t>
      </w:r>
      <w:r w:rsidRPr="00D442F1" w:rsidR="007964C1">
        <w:rPr>
          <w:noProof/>
          <w:szCs w:val="22"/>
        </w:rPr>
        <w:noBreakHyphen/>
        <w:t>N</w:t>
      </w:r>
      <w:r w:rsidRPr="00D442F1" w:rsidR="007964C1">
        <w:rPr>
          <w:noProof/>
          <w:szCs w:val="22"/>
        </w:rPr>
        <w:noBreakHyphen/>
        <w:t>acetyltryptophanate, sodium caprylate, aluminium, and water for injections</w:t>
      </w:r>
      <w:r w:rsidRPr="00D442F1">
        <w:rPr>
          <w:noProof/>
          <w:szCs w:val="22"/>
        </w:rPr>
        <w:t>.</w:t>
      </w:r>
      <w:r w:rsidRPr="00D442F1" w:rsidR="00DC34B3">
        <w:rPr>
          <w:noProof/>
          <w:szCs w:val="22"/>
        </w:rPr>
        <w:t xml:space="preserve"> See section</w:t>
      </w:r>
      <w:r w:rsidRPr="00D442F1" w:rsidR="009777D2">
        <w:rPr>
          <w:noProof/>
          <w:szCs w:val="22"/>
        </w:rPr>
        <w:t> </w:t>
      </w:r>
      <w:r w:rsidRPr="00D442F1" w:rsidR="00DC34B3">
        <w:rPr>
          <w:noProof/>
          <w:szCs w:val="22"/>
        </w:rPr>
        <w:t>2</w:t>
      </w:r>
      <w:r w:rsidRPr="00D442F1" w:rsidR="00656AD8">
        <w:rPr>
          <w:noProof/>
          <w:szCs w:val="22"/>
        </w:rPr>
        <w:t xml:space="preserve">, “Kymriah contains sodium, dimethylsulfoxide </w:t>
      </w:r>
      <w:r w:rsidRPr="00D442F1" w:rsidR="001B79C5">
        <w:rPr>
          <w:noProof/>
          <w:szCs w:val="22"/>
        </w:rPr>
        <w:t xml:space="preserve">(DMSO) </w:t>
      </w:r>
      <w:r w:rsidRPr="00D442F1" w:rsidR="00656AD8">
        <w:rPr>
          <w:noProof/>
          <w:szCs w:val="22"/>
        </w:rPr>
        <w:t>and dextran 40”</w:t>
      </w:r>
      <w:r w:rsidRPr="00D442F1" w:rsidR="00837D5A">
        <w:rPr>
          <w:noProof/>
          <w:szCs w:val="22"/>
        </w:rPr>
        <w:t>.</w:t>
      </w:r>
    </w:p>
    <w:p w:rsidR="00CE3C79" w:rsidRPr="00D442F1" w:rsidP="00166894" w14:paraId="41D94576" w14:textId="77777777">
      <w:pPr>
        <w:widowControl w:val="0"/>
        <w:tabs>
          <w:tab w:val="clear" w:pos="567"/>
        </w:tabs>
        <w:spacing w:line="240" w:lineRule="auto"/>
        <w:ind w:right="-2"/>
        <w:rPr>
          <w:noProof/>
          <w:szCs w:val="22"/>
        </w:rPr>
      </w:pPr>
    </w:p>
    <w:p w:rsidR="00CE3C79" w:rsidRPr="00D442F1" w:rsidP="00166894" w14:paraId="474A88D9" w14:textId="77777777">
      <w:pPr>
        <w:keepNext/>
        <w:widowControl w:val="0"/>
        <w:numPr>
          <w:ilvl w:val="12"/>
          <w:numId w:val="0"/>
        </w:numPr>
        <w:tabs>
          <w:tab w:val="clear" w:pos="567"/>
        </w:tabs>
        <w:spacing w:line="240" w:lineRule="auto"/>
        <w:rPr>
          <w:szCs w:val="22"/>
        </w:rPr>
      </w:pPr>
      <w:r w:rsidRPr="00D442F1">
        <w:rPr>
          <w:b/>
          <w:szCs w:val="22"/>
        </w:rPr>
        <w:t>What Kymriah looks like and contents of the pack</w:t>
      </w:r>
    </w:p>
    <w:p w:rsidR="00CE3C79" w:rsidRPr="00D442F1" w:rsidP="00166894" w14:paraId="1170C387" w14:textId="77777777">
      <w:pPr>
        <w:widowControl w:val="0"/>
        <w:numPr>
          <w:ilvl w:val="12"/>
          <w:numId w:val="0"/>
        </w:numPr>
        <w:tabs>
          <w:tab w:val="clear" w:pos="567"/>
        </w:tabs>
        <w:spacing w:line="240" w:lineRule="auto"/>
        <w:rPr>
          <w:szCs w:val="22"/>
        </w:rPr>
      </w:pPr>
      <w:r w:rsidRPr="00D442F1">
        <w:rPr>
          <w:szCs w:val="22"/>
        </w:rPr>
        <w:t xml:space="preserve">Kymriah </w:t>
      </w:r>
      <w:r w:rsidRPr="00D442F1" w:rsidR="00DC34B3">
        <w:rPr>
          <w:szCs w:val="22"/>
        </w:rPr>
        <w:t xml:space="preserve">is a </w:t>
      </w:r>
      <w:r w:rsidRPr="00D442F1" w:rsidR="00786B61">
        <w:rPr>
          <w:szCs w:val="22"/>
        </w:rPr>
        <w:t xml:space="preserve">cell </w:t>
      </w:r>
      <w:r w:rsidRPr="00D442F1" w:rsidR="00DC34B3">
        <w:rPr>
          <w:szCs w:val="22"/>
        </w:rPr>
        <w:t xml:space="preserve">dispersion for infusion. It </w:t>
      </w:r>
      <w:r w:rsidRPr="00D442F1">
        <w:rPr>
          <w:szCs w:val="22"/>
        </w:rPr>
        <w:t>is supplied as an infusion bag containing a cloudy to clear, colourless to slightly yellow dispersion of cells.</w:t>
      </w:r>
      <w:r w:rsidRPr="00D442F1" w:rsidR="00507780">
        <w:rPr>
          <w:szCs w:val="22"/>
        </w:rPr>
        <w:t xml:space="preserve"> Each bag contains 10 mL to 50 mL of dispersion.</w:t>
      </w:r>
    </w:p>
    <w:p w:rsidR="00CE3C79" w:rsidRPr="00D442F1" w:rsidP="00166894" w14:paraId="2E09CB97" w14:textId="77777777">
      <w:pPr>
        <w:widowControl w:val="0"/>
        <w:numPr>
          <w:ilvl w:val="12"/>
          <w:numId w:val="0"/>
        </w:numPr>
        <w:tabs>
          <w:tab w:val="clear" w:pos="567"/>
        </w:tabs>
        <w:spacing w:line="240" w:lineRule="auto"/>
        <w:rPr>
          <w:szCs w:val="22"/>
        </w:rPr>
      </w:pPr>
    </w:p>
    <w:p w:rsidR="00CE3C79" w:rsidRPr="00D442F1" w:rsidP="00166894" w14:paraId="48D42683" w14:textId="77777777">
      <w:pPr>
        <w:keepNext/>
        <w:widowControl w:val="0"/>
        <w:numPr>
          <w:ilvl w:val="12"/>
          <w:numId w:val="0"/>
        </w:numPr>
        <w:tabs>
          <w:tab w:val="clear" w:pos="567"/>
        </w:tabs>
        <w:spacing w:line="240" w:lineRule="auto"/>
        <w:rPr>
          <w:b/>
          <w:szCs w:val="22"/>
        </w:rPr>
      </w:pPr>
      <w:r w:rsidRPr="00D442F1">
        <w:rPr>
          <w:b/>
          <w:szCs w:val="22"/>
        </w:rPr>
        <w:t>Marketing Authorisation Holder</w:t>
      </w:r>
    </w:p>
    <w:p w:rsidR="00CE3C79" w:rsidRPr="00D442F1" w:rsidP="00166894" w14:paraId="0DD65472" w14:textId="77777777">
      <w:pPr>
        <w:keepNext/>
        <w:widowControl w:val="0"/>
        <w:tabs>
          <w:tab w:val="clear" w:pos="567"/>
        </w:tabs>
        <w:spacing w:line="240" w:lineRule="auto"/>
        <w:rPr>
          <w:color w:val="000000"/>
          <w:szCs w:val="22"/>
        </w:rPr>
      </w:pPr>
      <w:r w:rsidRPr="00D442F1">
        <w:rPr>
          <w:color w:val="000000"/>
          <w:szCs w:val="22"/>
        </w:rPr>
        <w:t>Novartis Europharm Limited</w:t>
      </w:r>
    </w:p>
    <w:p w:rsidR="007964C1" w:rsidRPr="00D442F1" w:rsidP="00166894" w14:paraId="72725F9E" w14:textId="77777777">
      <w:pPr>
        <w:keepNext/>
        <w:widowControl w:val="0"/>
        <w:tabs>
          <w:tab w:val="clear" w:pos="567"/>
        </w:tabs>
        <w:spacing w:line="240" w:lineRule="auto"/>
        <w:ind w:right="96"/>
        <w:rPr>
          <w:color w:val="000000"/>
          <w:szCs w:val="22"/>
        </w:rPr>
      </w:pPr>
      <w:r w:rsidRPr="00D442F1">
        <w:rPr>
          <w:color w:val="000000"/>
          <w:szCs w:val="22"/>
        </w:rPr>
        <w:t>Vista Building</w:t>
      </w:r>
    </w:p>
    <w:p w:rsidR="007964C1" w:rsidRPr="00D442F1" w:rsidP="00166894" w14:paraId="28CB382C" w14:textId="77777777">
      <w:pPr>
        <w:keepNext/>
        <w:widowControl w:val="0"/>
        <w:tabs>
          <w:tab w:val="clear" w:pos="567"/>
        </w:tabs>
        <w:spacing w:line="240" w:lineRule="auto"/>
        <w:ind w:right="96"/>
        <w:rPr>
          <w:color w:val="000000"/>
          <w:szCs w:val="22"/>
        </w:rPr>
      </w:pPr>
      <w:r w:rsidRPr="00D442F1">
        <w:rPr>
          <w:color w:val="000000"/>
          <w:szCs w:val="22"/>
        </w:rPr>
        <w:t>Elm Park, Merrion Road</w:t>
      </w:r>
    </w:p>
    <w:p w:rsidR="007964C1" w:rsidRPr="00D442F1" w:rsidP="00166894" w14:paraId="1736A88F" w14:textId="77777777">
      <w:pPr>
        <w:keepNext/>
        <w:widowControl w:val="0"/>
        <w:tabs>
          <w:tab w:val="clear" w:pos="567"/>
        </w:tabs>
        <w:spacing w:line="240" w:lineRule="auto"/>
        <w:ind w:right="96"/>
        <w:rPr>
          <w:color w:val="000000"/>
          <w:szCs w:val="22"/>
        </w:rPr>
      </w:pPr>
      <w:r w:rsidRPr="00D442F1">
        <w:rPr>
          <w:color w:val="000000"/>
          <w:szCs w:val="22"/>
        </w:rPr>
        <w:t>Dublin 4</w:t>
      </w:r>
    </w:p>
    <w:p w:rsidR="007964C1" w:rsidRPr="00D442F1" w:rsidP="00166894" w14:paraId="26ED2EBF" w14:textId="77777777">
      <w:pPr>
        <w:widowControl w:val="0"/>
        <w:numPr>
          <w:ilvl w:val="12"/>
          <w:numId w:val="0"/>
        </w:numPr>
        <w:tabs>
          <w:tab w:val="clear" w:pos="567"/>
        </w:tabs>
        <w:spacing w:line="240" w:lineRule="auto"/>
        <w:ind w:right="-2"/>
        <w:rPr>
          <w:color w:val="000000"/>
          <w:szCs w:val="22"/>
        </w:rPr>
      </w:pPr>
      <w:r w:rsidRPr="00D442F1">
        <w:rPr>
          <w:color w:val="000000"/>
          <w:szCs w:val="22"/>
        </w:rPr>
        <w:t>Ireland</w:t>
      </w:r>
    </w:p>
    <w:p w:rsidR="00CE3C79" w:rsidRPr="00D442F1" w:rsidP="00166894" w14:paraId="74272316" w14:textId="77777777">
      <w:pPr>
        <w:widowControl w:val="0"/>
        <w:numPr>
          <w:ilvl w:val="12"/>
          <w:numId w:val="0"/>
        </w:numPr>
        <w:tabs>
          <w:tab w:val="clear" w:pos="567"/>
        </w:tabs>
        <w:spacing w:line="240" w:lineRule="auto"/>
        <w:ind w:right="-2"/>
        <w:rPr>
          <w:noProof/>
          <w:szCs w:val="22"/>
        </w:rPr>
      </w:pPr>
    </w:p>
    <w:p w:rsidR="00CE3C79" w:rsidRPr="00D442F1" w:rsidP="00166894" w14:paraId="1C79EAB2" w14:textId="77777777">
      <w:pPr>
        <w:keepNext/>
        <w:widowControl w:val="0"/>
        <w:numPr>
          <w:ilvl w:val="12"/>
          <w:numId w:val="0"/>
        </w:numPr>
        <w:tabs>
          <w:tab w:val="clear" w:pos="567"/>
        </w:tabs>
        <w:spacing w:line="240" w:lineRule="auto"/>
        <w:rPr>
          <w:b/>
          <w:noProof/>
          <w:szCs w:val="22"/>
        </w:rPr>
      </w:pPr>
      <w:r w:rsidRPr="00D442F1">
        <w:rPr>
          <w:b/>
          <w:noProof/>
          <w:szCs w:val="22"/>
        </w:rPr>
        <w:t>Manufacturer</w:t>
      </w:r>
    </w:p>
    <w:p w:rsidR="00E13F94" w:rsidRPr="00D442F1" w:rsidP="00166894" w14:paraId="0C2D7121" w14:textId="77777777">
      <w:pPr>
        <w:keepNext/>
        <w:widowControl w:val="0"/>
        <w:tabs>
          <w:tab w:val="clear" w:pos="567"/>
        </w:tabs>
        <w:autoSpaceDE w:val="0"/>
        <w:autoSpaceDN w:val="0"/>
        <w:adjustRightInd w:val="0"/>
        <w:spacing w:line="240" w:lineRule="auto"/>
        <w:rPr>
          <w:rFonts w:eastAsia="SimSun"/>
          <w:color w:val="000000"/>
          <w:szCs w:val="22"/>
        </w:rPr>
      </w:pPr>
      <w:r w:rsidRPr="00D442F1">
        <w:rPr>
          <w:rFonts w:eastAsia="SimSun"/>
          <w:color w:val="000000"/>
          <w:szCs w:val="22"/>
        </w:rPr>
        <w:t>Novartis Pharma GmbH</w:t>
      </w:r>
    </w:p>
    <w:p w:rsidR="00E13F94" w:rsidRPr="00D442F1" w:rsidP="00166894" w14:paraId="4659B6E2" w14:textId="77777777">
      <w:pPr>
        <w:keepNext/>
        <w:widowControl w:val="0"/>
        <w:tabs>
          <w:tab w:val="clear" w:pos="567"/>
        </w:tabs>
        <w:autoSpaceDE w:val="0"/>
        <w:autoSpaceDN w:val="0"/>
        <w:adjustRightInd w:val="0"/>
        <w:spacing w:line="240" w:lineRule="auto"/>
        <w:rPr>
          <w:rFonts w:eastAsia="SimSun"/>
          <w:color w:val="000000"/>
          <w:szCs w:val="22"/>
        </w:rPr>
      </w:pPr>
      <w:r w:rsidRPr="00D442F1">
        <w:rPr>
          <w:rFonts w:eastAsia="SimSun"/>
          <w:color w:val="000000"/>
          <w:szCs w:val="22"/>
        </w:rPr>
        <w:t>Roonstrasse 25</w:t>
      </w:r>
    </w:p>
    <w:p w:rsidR="00E13F94" w:rsidRPr="00D442F1" w:rsidP="00166894" w14:paraId="7AC9E945" w14:textId="77777777">
      <w:pPr>
        <w:keepNext/>
        <w:widowControl w:val="0"/>
        <w:tabs>
          <w:tab w:val="clear" w:pos="567"/>
        </w:tabs>
        <w:autoSpaceDE w:val="0"/>
        <w:autoSpaceDN w:val="0"/>
        <w:adjustRightInd w:val="0"/>
        <w:spacing w:line="240" w:lineRule="auto"/>
        <w:rPr>
          <w:rFonts w:eastAsia="SimSun"/>
          <w:color w:val="000000"/>
          <w:szCs w:val="22"/>
        </w:rPr>
      </w:pPr>
      <w:r w:rsidRPr="00D442F1">
        <w:rPr>
          <w:rFonts w:eastAsia="SimSun"/>
          <w:color w:val="000000"/>
          <w:szCs w:val="22"/>
        </w:rPr>
        <w:t>90429 Nuremberg</w:t>
      </w:r>
    </w:p>
    <w:p w:rsidR="00CE3C79" w:rsidP="00166894" w14:paraId="2F06EEDC" w14:textId="7720AF77">
      <w:pPr>
        <w:widowControl w:val="0"/>
        <w:numPr>
          <w:ilvl w:val="12"/>
          <w:numId w:val="0"/>
        </w:numPr>
        <w:tabs>
          <w:tab w:val="clear" w:pos="567"/>
        </w:tabs>
        <w:spacing w:line="240" w:lineRule="auto"/>
        <w:ind w:right="-2"/>
        <w:rPr>
          <w:szCs w:val="22"/>
        </w:rPr>
      </w:pPr>
      <w:r w:rsidRPr="00D442F1">
        <w:rPr>
          <w:szCs w:val="22"/>
        </w:rPr>
        <w:t>Germany</w:t>
      </w:r>
    </w:p>
    <w:p w:rsidR="00D23CC9" w:rsidP="00166894" w14:paraId="3BF86643" w14:textId="77777777">
      <w:pPr>
        <w:widowControl w:val="0"/>
        <w:numPr>
          <w:ilvl w:val="12"/>
          <w:numId w:val="0"/>
        </w:numPr>
        <w:tabs>
          <w:tab w:val="clear" w:pos="567"/>
        </w:tabs>
        <w:spacing w:line="240" w:lineRule="auto"/>
        <w:ind w:right="-2"/>
        <w:rPr>
          <w:szCs w:val="22"/>
        </w:rPr>
      </w:pPr>
    </w:p>
    <w:p w:rsidR="00D23CC9" w:rsidRPr="00365D8F" w:rsidP="005034CD" w14:paraId="5E82289C" w14:textId="77777777">
      <w:pPr>
        <w:keepNext/>
        <w:widowControl w:val="0"/>
        <w:numPr>
          <w:ilvl w:val="12"/>
          <w:numId w:val="0"/>
        </w:numPr>
        <w:tabs>
          <w:tab w:val="clear" w:pos="567"/>
        </w:tabs>
        <w:spacing w:line="240" w:lineRule="auto"/>
        <w:rPr>
          <w:noProof/>
          <w:szCs w:val="22"/>
          <w:shd w:val="pct15" w:color="auto" w:fill="auto"/>
          <w:lang w:val="en-US"/>
        </w:rPr>
      </w:pPr>
      <w:r w:rsidRPr="009A722C">
        <w:rPr>
          <w:noProof/>
          <w:szCs w:val="22"/>
          <w:shd w:val="pct15" w:color="auto" w:fill="auto"/>
          <w:lang w:val="en-US"/>
        </w:rPr>
        <w:t>CELLFORCURE</w:t>
      </w:r>
    </w:p>
    <w:p w:rsidR="00D23CC9" w:rsidRPr="005034CD" w:rsidP="005034CD" w14:paraId="425CDB2A" w14:textId="1D2F5CBD">
      <w:pPr>
        <w:keepNext/>
        <w:widowControl w:val="0"/>
        <w:numPr>
          <w:ilvl w:val="12"/>
          <w:numId w:val="0"/>
        </w:numPr>
        <w:tabs>
          <w:tab w:val="clear" w:pos="567"/>
        </w:tabs>
        <w:spacing w:line="240" w:lineRule="auto"/>
        <w:rPr>
          <w:noProof/>
          <w:szCs w:val="22"/>
          <w:shd w:val="pct15" w:color="auto" w:fill="auto"/>
          <w:lang w:val="fr-CH"/>
        </w:rPr>
      </w:pPr>
      <w:r w:rsidRPr="005034CD">
        <w:rPr>
          <w:noProof/>
          <w:szCs w:val="22"/>
          <w:shd w:val="pct15" w:color="auto" w:fill="auto"/>
          <w:lang w:val="fr-CH"/>
        </w:rPr>
        <w:t>ZA de Courtabœuf</w:t>
      </w:r>
    </w:p>
    <w:p w:rsidR="00D23CC9" w:rsidRPr="005034CD" w:rsidP="005034CD" w14:paraId="7F50A2B6" w14:textId="77777777">
      <w:pPr>
        <w:keepNext/>
        <w:widowControl w:val="0"/>
        <w:numPr>
          <w:ilvl w:val="12"/>
          <w:numId w:val="0"/>
        </w:numPr>
        <w:tabs>
          <w:tab w:val="clear" w:pos="567"/>
        </w:tabs>
        <w:spacing w:line="240" w:lineRule="auto"/>
        <w:rPr>
          <w:noProof/>
          <w:szCs w:val="22"/>
          <w:shd w:val="pct15" w:color="auto" w:fill="auto"/>
          <w:lang w:val="fr-CH"/>
        </w:rPr>
      </w:pPr>
      <w:r w:rsidRPr="005034CD">
        <w:rPr>
          <w:noProof/>
          <w:szCs w:val="22"/>
          <w:shd w:val="pct15" w:color="auto" w:fill="auto"/>
          <w:lang w:val="fr-CH"/>
        </w:rPr>
        <w:t>11 avenue des Tropiques</w:t>
      </w:r>
    </w:p>
    <w:p w:rsidR="00D23CC9" w:rsidRPr="005034CD" w:rsidP="005034CD" w14:paraId="537F12C2" w14:textId="200E0344">
      <w:pPr>
        <w:keepNext/>
        <w:widowControl w:val="0"/>
        <w:numPr>
          <w:ilvl w:val="12"/>
          <w:numId w:val="0"/>
        </w:numPr>
        <w:tabs>
          <w:tab w:val="clear" w:pos="567"/>
        </w:tabs>
        <w:spacing w:line="240" w:lineRule="auto"/>
        <w:rPr>
          <w:noProof/>
          <w:szCs w:val="22"/>
          <w:shd w:val="pct15" w:color="auto" w:fill="auto"/>
        </w:rPr>
      </w:pPr>
      <w:r w:rsidRPr="005034CD">
        <w:rPr>
          <w:noProof/>
          <w:szCs w:val="22"/>
          <w:shd w:val="pct15" w:color="auto" w:fill="auto"/>
        </w:rPr>
        <w:t>91940 Les Ulis</w:t>
      </w:r>
    </w:p>
    <w:p w:rsidR="00D23CC9" w:rsidRPr="005034CD" w:rsidP="00D23CC9" w14:paraId="4C9EBBDC" w14:textId="4CFF7305">
      <w:pPr>
        <w:widowControl w:val="0"/>
        <w:numPr>
          <w:ilvl w:val="12"/>
          <w:numId w:val="0"/>
        </w:numPr>
        <w:tabs>
          <w:tab w:val="clear" w:pos="567"/>
        </w:tabs>
        <w:spacing w:line="240" w:lineRule="auto"/>
        <w:ind w:right="-2"/>
        <w:rPr>
          <w:noProof/>
          <w:szCs w:val="22"/>
          <w:shd w:val="pct15" w:color="auto" w:fill="auto"/>
        </w:rPr>
      </w:pPr>
      <w:r w:rsidRPr="005034CD">
        <w:rPr>
          <w:noProof/>
          <w:szCs w:val="22"/>
          <w:shd w:val="pct15" w:color="auto" w:fill="auto"/>
        </w:rPr>
        <w:t>France</w:t>
      </w:r>
    </w:p>
    <w:p w:rsidR="00CE3C79" w:rsidRPr="00D442F1" w:rsidP="00166894" w14:paraId="38062BE3" w14:textId="77777777">
      <w:pPr>
        <w:widowControl w:val="0"/>
        <w:numPr>
          <w:ilvl w:val="12"/>
          <w:numId w:val="0"/>
        </w:numPr>
        <w:tabs>
          <w:tab w:val="clear" w:pos="567"/>
        </w:tabs>
        <w:spacing w:line="240" w:lineRule="auto"/>
        <w:ind w:right="-2"/>
        <w:rPr>
          <w:noProof/>
          <w:szCs w:val="22"/>
        </w:rPr>
      </w:pPr>
    </w:p>
    <w:p w:rsidR="00CE3C79" w:rsidRPr="00D442F1" w:rsidP="00166894" w14:paraId="5FCE859F" w14:textId="77777777">
      <w:pPr>
        <w:keepNext/>
        <w:widowControl w:val="0"/>
        <w:numPr>
          <w:ilvl w:val="12"/>
          <w:numId w:val="0"/>
        </w:numPr>
        <w:tabs>
          <w:tab w:val="clear" w:pos="567"/>
        </w:tabs>
        <w:spacing w:line="240" w:lineRule="auto"/>
        <w:ind w:right="-2"/>
        <w:rPr>
          <w:noProof/>
          <w:szCs w:val="22"/>
        </w:rPr>
      </w:pPr>
      <w:r w:rsidRPr="00D442F1">
        <w:rPr>
          <w:noProof/>
          <w:szCs w:val="22"/>
        </w:rPr>
        <w:t>For any information about this medicine, please contact the local representative of the Marketing Authorisation Holder:</w:t>
      </w:r>
    </w:p>
    <w:p w:rsidR="00CE3C79" w:rsidRPr="00D442F1" w:rsidP="00166894" w14:paraId="10E8FCA8" w14:textId="77777777">
      <w:pPr>
        <w:keepNext/>
        <w:widowControl w:val="0"/>
        <w:tabs>
          <w:tab w:val="clear" w:pos="567"/>
        </w:tabs>
        <w:spacing w:line="240" w:lineRule="auto"/>
        <w:rPr>
          <w:noProof/>
          <w:szCs w:val="22"/>
        </w:rPr>
      </w:pPr>
    </w:p>
    <w:tbl>
      <w:tblPr>
        <w:tblW w:w="9360" w:type="dxa"/>
        <w:tblInd w:w="-34" w:type="dxa"/>
        <w:tblLayout w:type="fixed"/>
        <w:tblLook w:val="04A0"/>
      </w:tblPr>
      <w:tblGrid>
        <w:gridCol w:w="4680"/>
        <w:gridCol w:w="4680"/>
      </w:tblGrid>
      <w:tr w14:paraId="577A28E1" w14:textId="77777777" w:rsidTr="00CE3C79">
        <w:tblPrEx>
          <w:tblW w:w="9360" w:type="dxa"/>
          <w:tblInd w:w="-34" w:type="dxa"/>
          <w:tblLayout w:type="fixed"/>
          <w:tblLook w:val="04A0"/>
        </w:tblPrEx>
        <w:trPr>
          <w:cantSplit/>
        </w:trPr>
        <w:tc>
          <w:tcPr>
            <w:tcW w:w="4678" w:type="dxa"/>
          </w:tcPr>
          <w:p w:rsidR="00CE3C79" w:rsidRPr="00D442F1" w:rsidP="00166894" w14:paraId="55316EFB" w14:textId="77777777">
            <w:pPr>
              <w:widowControl w:val="0"/>
              <w:spacing w:line="240" w:lineRule="auto"/>
              <w:rPr>
                <w:b/>
                <w:noProof/>
                <w:szCs w:val="22"/>
                <w:lang w:val="fr-CH"/>
              </w:rPr>
            </w:pPr>
            <w:r w:rsidRPr="00D442F1">
              <w:rPr>
                <w:b/>
                <w:noProof/>
                <w:szCs w:val="22"/>
                <w:lang w:val="fr-CH"/>
              </w:rPr>
              <w:t>België/Belgique/Belgien</w:t>
            </w:r>
          </w:p>
          <w:p w:rsidR="00CE3C79" w:rsidRPr="00D442F1" w:rsidP="00166894" w14:paraId="647B64A1" w14:textId="77777777">
            <w:pPr>
              <w:widowControl w:val="0"/>
              <w:spacing w:line="240" w:lineRule="auto"/>
              <w:rPr>
                <w:noProof/>
                <w:szCs w:val="22"/>
                <w:lang w:val="fr-CH"/>
              </w:rPr>
            </w:pPr>
            <w:r w:rsidRPr="00D442F1">
              <w:rPr>
                <w:noProof/>
                <w:szCs w:val="22"/>
                <w:lang w:val="fr-CH"/>
              </w:rPr>
              <w:t>Novartis Pharma N.V.</w:t>
            </w:r>
          </w:p>
          <w:p w:rsidR="00CE3C79" w:rsidRPr="00D442F1" w:rsidP="00166894" w14:paraId="6CD05F55" w14:textId="77777777">
            <w:pPr>
              <w:widowControl w:val="0"/>
              <w:spacing w:line="240" w:lineRule="auto"/>
              <w:rPr>
                <w:noProof/>
                <w:szCs w:val="22"/>
              </w:rPr>
            </w:pPr>
            <w:r w:rsidRPr="00D442F1">
              <w:rPr>
                <w:noProof/>
                <w:szCs w:val="22"/>
              </w:rPr>
              <w:t>Tél/Tel: +32 2 246 16 11</w:t>
            </w:r>
          </w:p>
          <w:p w:rsidR="00CE3C79" w:rsidRPr="00D442F1" w:rsidP="00166894" w14:paraId="10E640D5" w14:textId="77777777">
            <w:pPr>
              <w:widowControl w:val="0"/>
              <w:spacing w:line="240" w:lineRule="auto"/>
              <w:rPr>
                <w:noProof/>
                <w:szCs w:val="22"/>
              </w:rPr>
            </w:pPr>
          </w:p>
        </w:tc>
        <w:tc>
          <w:tcPr>
            <w:tcW w:w="4678" w:type="dxa"/>
          </w:tcPr>
          <w:p w:rsidR="00CE3C79" w:rsidRPr="00D442F1" w:rsidP="00166894" w14:paraId="6C51F614" w14:textId="77777777">
            <w:pPr>
              <w:widowControl w:val="0"/>
              <w:spacing w:line="240" w:lineRule="auto"/>
              <w:rPr>
                <w:b/>
                <w:noProof/>
                <w:szCs w:val="22"/>
                <w:lang w:val="es-ES"/>
              </w:rPr>
            </w:pPr>
            <w:r w:rsidRPr="00D442F1">
              <w:rPr>
                <w:b/>
                <w:noProof/>
                <w:szCs w:val="22"/>
                <w:lang w:val="es-ES"/>
              </w:rPr>
              <w:t>Lietuva</w:t>
            </w:r>
          </w:p>
          <w:p w:rsidR="00CE3C79" w:rsidRPr="00D442F1" w:rsidP="00166894" w14:paraId="1F5A6124" w14:textId="3F3C7F5E">
            <w:pPr>
              <w:widowControl w:val="0"/>
              <w:spacing w:line="240" w:lineRule="auto"/>
              <w:rPr>
                <w:noProof/>
                <w:szCs w:val="22"/>
                <w:lang w:val="es-ES"/>
              </w:rPr>
            </w:pPr>
            <w:r w:rsidRPr="00D442F1">
              <w:rPr>
                <w:szCs w:val="22"/>
                <w:lang w:val="es-ES"/>
              </w:rPr>
              <w:t>SIA Novartis Baltics Lietuvos filialas</w:t>
            </w:r>
          </w:p>
          <w:p w:rsidR="00CE3C79" w:rsidRPr="00D442F1" w:rsidP="00166894" w14:paraId="694D6FED" w14:textId="77777777">
            <w:pPr>
              <w:widowControl w:val="0"/>
              <w:spacing w:line="240" w:lineRule="auto"/>
              <w:rPr>
                <w:noProof/>
                <w:szCs w:val="22"/>
                <w:lang w:val="es-ES"/>
              </w:rPr>
            </w:pPr>
            <w:r w:rsidRPr="00D442F1">
              <w:rPr>
                <w:noProof/>
                <w:szCs w:val="22"/>
                <w:lang w:val="es-ES"/>
              </w:rPr>
              <w:t>Tel: +370 5 269 16 50</w:t>
            </w:r>
          </w:p>
          <w:p w:rsidR="00CE3C79" w:rsidRPr="00D442F1" w:rsidP="00166894" w14:paraId="5ACBCCBC" w14:textId="77777777">
            <w:pPr>
              <w:widowControl w:val="0"/>
              <w:spacing w:line="240" w:lineRule="auto"/>
              <w:rPr>
                <w:noProof/>
                <w:szCs w:val="22"/>
                <w:lang w:val="es-ES"/>
              </w:rPr>
            </w:pPr>
          </w:p>
        </w:tc>
      </w:tr>
      <w:tr w14:paraId="610CAA8D" w14:textId="77777777" w:rsidTr="00CE3C79">
        <w:tblPrEx>
          <w:tblW w:w="9360" w:type="dxa"/>
          <w:tblInd w:w="-34" w:type="dxa"/>
          <w:tblLayout w:type="fixed"/>
          <w:tblLook w:val="04A0"/>
        </w:tblPrEx>
        <w:trPr>
          <w:cantSplit/>
        </w:trPr>
        <w:tc>
          <w:tcPr>
            <w:tcW w:w="4678" w:type="dxa"/>
          </w:tcPr>
          <w:p w:rsidR="00CE3C79" w:rsidRPr="00D442F1" w:rsidP="00166894" w14:paraId="047F1EC0" w14:textId="77777777">
            <w:pPr>
              <w:widowControl w:val="0"/>
              <w:spacing w:line="240" w:lineRule="auto"/>
              <w:rPr>
                <w:b/>
                <w:noProof/>
                <w:szCs w:val="22"/>
                <w:lang w:val="es-ES"/>
              </w:rPr>
            </w:pPr>
            <w:r w:rsidRPr="00D442F1">
              <w:rPr>
                <w:b/>
                <w:noProof/>
                <w:szCs w:val="22"/>
              </w:rPr>
              <w:t>България</w:t>
            </w:r>
          </w:p>
          <w:p w:rsidR="00CE3C79" w:rsidRPr="00D442F1" w:rsidP="00166894" w14:paraId="1BCB6B84" w14:textId="77777777">
            <w:pPr>
              <w:widowControl w:val="0"/>
              <w:spacing w:line="240" w:lineRule="auto"/>
              <w:rPr>
                <w:noProof/>
                <w:szCs w:val="22"/>
                <w:lang w:val="es-ES"/>
              </w:rPr>
            </w:pPr>
            <w:r w:rsidRPr="00D442F1">
              <w:rPr>
                <w:noProof/>
                <w:szCs w:val="22"/>
                <w:lang w:val="es-ES"/>
              </w:rPr>
              <w:t>Novartis Bulgaria EOOD</w:t>
            </w:r>
          </w:p>
          <w:p w:rsidR="00CE3C79" w:rsidRPr="00D442F1" w:rsidP="00166894" w14:paraId="65E87088" w14:textId="77777777">
            <w:pPr>
              <w:widowControl w:val="0"/>
              <w:spacing w:line="240" w:lineRule="auto"/>
              <w:rPr>
                <w:noProof/>
                <w:szCs w:val="22"/>
                <w:lang w:val="es-ES"/>
              </w:rPr>
            </w:pPr>
            <w:r w:rsidRPr="00D442F1">
              <w:rPr>
                <w:noProof/>
                <w:szCs w:val="22"/>
              </w:rPr>
              <w:t>Тел</w:t>
            </w:r>
            <w:r w:rsidRPr="00D442F1">
              <w:rPr>
                <w:noProof/>
                <w:szCs w:val="22"/>
                <w:lang w:val="es-ES"/>
              </w:rPr>
              <w:t>: +359 2 489 98 28</w:t>
            </w:r>
          </w:p>
          <w:p w:rsidR="00CE3C79" w:rsidRPr="00D442F1" w:rsidP="00166894" w14:paraId="2131F97C" w14:textId="77777777">
            <w:pPr>
              <w:widowControl w:val="0"/>
              <w:spacing w:line="240" w:lineRule="auto"/>
              <w:rPr>
                <w:noProof/>
                <w:szCs w:val="22"/>
                <w:lang w:val="es-ES"/>
              </w:rPr>
            </w:pPr>
          </w:p>
        </w:tc>
        <w:tc>
          <w:tcPr>
            <w:tcW w:w="4678" w:type="dxa"/>
          </w:tcPr>
          <w:p w:rsidR="00CE3C79" w:rsidRPr="00D442F1" w:rsidP="00166894" w14:paraId="153CC8FD" w14:textId="77777777">
            <w:pPr>
              <w:widowControl w:val="0"/>
              <w:spacing w:line="240" w:lineRule="auto"/>
              <w:rPr>
                <w:b/>
                <w:noProof/>
                <w:szCs w:val="22"/>
                <w:lang w:val="de-CH"/>
              </w:rPr>
            </w:pPr>
            <w:r w:rsidRPr="00D442F1">
              <w:rPr>
                <w:b/>
                <w:noProof/>
                <w:szCs w:val="22"/>
                <w:lang w:val="de-CH"/>
              </w:rPr>
              <w:t>Luxembourg/Luxemburg</w:t>
            </w:r>
          </w:p>
          <w:p w:rsidR="00CE3C79" w:rsidRPr="00D442F1" w:rsidP="00166894" w14:paraId="57F75B90" w14:textId="77777777">
            <w:pPr>
              <w:widowControl w:val="0"/>
              <w:spacing w:line="240" w:lineRule="auto"/>
              <w:rPr>
                <w:noProof/>
                <w:szCs w:val="22"/>
                <w:lang w:val="de-CH"/>
              </w:rPr>
            </w:pPr>
            <w:r w:rsidRPr="00D442F1">
              <w:rPr>
                <w:noProof/>
                <w:szCs w:val="22"/>
                <w:lang w:val="de-CH"/>
              </w:rPr>
              <w:t>Novartis Pharma N.V.</w:t>
            </w:r>
          </w:p>
          <w:p w:rsidR="00CE3C79" w:rsidRPr="007B1596" w:rsidP="00166894" w14:paraId="4780925B" w14:textId="77777777">
            <w:pPr>
              <w:widowControl w:val="0"/>
              <w:spacing w:line="240" w:lineRule="auto"/>
              <w:rPr>
                <w:noProof/>
                <w:szCs w:val="22"/>
                <w:lang w:val="es-ES"/>
              </w:rPr>
            </w:pPr>
            <w:r w:rsidRPr="007B1596">
              <w:rPr>
                <w:noProof/>
                <w:szCs w:val="22"/>
                <w:lang w:val="es-ES"/>
              </w:rPr>
              <w:t>Tél/Tel: +32 2 246 16 11</w:t>
            </w:r>
          </w:p>
          <w:p w:rsidR="00CE3C79" w:rsidRPr="007B1596" w:rsidP="00166894" w14:paraId="2A7B8E3E" w14:textId="77777777">
            <w:pPr>
              <w:widowControl w:val="0"/>
              <w:spacing w:line="240" w:lineRule="auto"/>
              <w:rPr>
                <w:noProof/>
                <w:szCs w:val="22"/>
                <w:lang w:val="es-ES"/>
              </w:rPr>
            </w:pPr>
          </w:p>
        </w:tc>
      </w:tr>
      <w:tr w14:paraId="2D0E09A6" w14:textId="77777777" w:rsidTr="00CE3C79">
        <w:tblPrEx>
          <w:tblW w:w="9360" w:type="dxa"/>
          <w:tblInd w:w="-34" w:type="dxa"/>
          <w:tblLayout w:type="fixed"/>
          <w:tblLook w:val="04A0"/>
        </w:tblPrEx>
        <w:trPr>
          <w:cantSplit/>
        </w:trPr>
        <w:tc>
          <w:tcPr>
            <w:tcW w:w="4678" w:type="dxa"/>
          </w:tcPr>
          <w:p w:rsidR="00CE3C79" w:rsidRPr="00D442F1" w:rsidP="00166894" w14:paraId="3DF7CEBF" w14:textId="77777777">
            <w:pPr>
              <w:widowControl w:val="0"/>
              <w:spacing w:line="240" w:lineRule="auto"/>
              <w:rPr>
                <w:b/>
                <w:noProof/>
                <w:szCs w:val="22"/>
                <w:lang w:val="de-CH"/>
              </w:rPr>
            </w:pPr>
            <w:r w:rsidRPr="00D442F1">
              <w:rPr>
                <w:b/>
                <w:noProof/>
                <w:szCs w:val="22"/>
                <w:lang w:val="de-CH"/>
              </w:rPr>
              <w:t>Česká republika</w:t>
            </w:r>
          </w:p>
          <w:p w:rsidR="00CE3C79" w:rsidRPr="00D442F1" w:rsidP="00166894" w14:paraId="66C341F6" w14:textId="77777777">
            <w:pPr>
              <w:widowControl w:val="0"/>
              <w:spacing w:line="240" w:lineRule="auto"/>
              <w:rPr>
                <w:noProof/>
                <w:szCs w:val="22"/>
                <w:lang w:val="de-CH"/>
              </w:rPr>
            </w:pPr>
            <w:r w:rsidRPr="00D442F1">
              <w:rPr>
                <w:noProof/>
                <w:szCs w:val="22"/>
                <w:lang w:val="de-CH"/>
              </w:rPr>
              <w:t>Novartis s.r.o.</w:t>
            </w:r>
          </w:p>
          <w:p w:rsidR="00CE3C79" w:rsidRPr="00D442F1" w:rsidP="00166894" w14:paraId="6BC66CA1" w14:textId="77777777">
            <w:pPr>
              <w:widowControl w:val="0"/>
              <w:spacing w:line="240" w:lineRule="auto"/>
              <w:rPr>
                <w:noProof/>
                <w:szCs w:val="22"/>
              </w:rPr>
            </w:pPr>
            <w:r w:rsidRPr="00D442F1">
              <w:rPr>
                <w:noProof/>
                <w:szCs w:val="22"/>
              </w:rPr>
              <w:t>Tel: +420 225 775 111</w:t>
            </w:r>
          </w:p>
          <w:p w:rsidR="00CE3C79" w:rsidRPr="00D442F1" w:rsidP="00166894" w14:paraId="36425CC4" w14:textId="77777777">
            <w:pPr>
              <w:widowControl w:val="0"/>
              <w:spacing w:line="240" w:lineRule="auto"/>
              <w:rPr>
                <w:noProof/>
                <w:szCs w:val="22"/>
              </w:rPr>
            </w:pPr>
          </w:p>
        </w:tc>
        <w:tc>
          <w:tcPr>
            <w:tcW w:w="4678" w:type="dxa"/>
            <w:hideMark/>
          </w:tcPr>
          <w:p w:rsidR="00CE3C79" w:rsidRPr="00D442F1" w:rsidP="00166894" w14:paraId="2AEDA3D8" w14:textId="77777777">
            <w:pPr>
              <w:widowControl w:val="0"/>
              <w:spacing w:line="240" w:lineRule="auto"/>
              <w:rPr>
                <w:b/>
                <w:noProof/>
                <w:szCs w:val="22"/>
              </w:rPr>
            </w:pPr>
            <w:r w:rsidRPr="00D442F1">
              <w:rPr>
                <w:b/>
                <w:noProof/>
                <w:szCs w:val="22"/>
              </w:rPr>
              <w:t>Magyarország</w:t>
            </w:r>
          </w:p>
          <w:p w:rsidR="00CE3C79" w:rsidRPr="00D442F1" w:rsidP="00166894" w14:paraId="79B36ABC" w14:textId="77777777">
            <w:pPr>
              <w:widowControl w:val="0"/>
              <w:spacing w:line="240" w:lineRule="auto"/>
              <w:rPr>
                <w:noProof/>
                <w:szCs w:val="22"/>
              </w:rPr>
            </w:pPr>
            <w:r w:rsidRPr="00D442F1">
              <w:rPr>
                <w:noProof/>
                <w:szCs w:val="22"/>
              </w:rPr>
              <w:t>Novartis Hungária Kft.</w:t>
            </w:r>
          </w:p>
          <w:p w:rsidR="00CE3C79" w:rsidRPr="00D442F1" w:rsidP="00166894" w14:paraId="7312A342" w14:textId="77777777">
            <w:pPr>
              <w:widowControl w:val="0"/>
              <w:spacing w:line="240" w:lineRule="auto"/>
              <w:rPr>
                <w:noProof/>
                <w:szCs w:val="22"/>
              </w:rPr>
            </w:pPr>
            <w:r w:rsidRPr="00D442F1">
              <w:rPr>
                <w:noProof/>
                <w:szCs w:val="22"/>
              </w:rPr>
              <w:t>Tel.: +36 1 457 65 00</w:t>
            </w:r>
          </w:p>
        </w:tc>
      </w:tr>
      <w:tr w14:paraId="2E9B1B7B" w14:textId="77777777" w:rsidTr="00CE3C79">
        <w:tblPrEx>
          <w:tblW w:w="9360" w:type="dxa"/>
          <w:tblInd w:w="-34" w:type="dxa"/>
          <w:tblLayout w:type="fixed"/>
          <w:tblLook w:val="04A0"/>
        </w:tblPrEx>
        <w:trPr>
          <w:cantSplit/>
        </w:trPr>
        <w:tc>
          <w:tcPr>
            <w:tcW w:w="4678" w:type="dxa"/>
          </w:tcPr>
          <w:p w:rsidR="00CE3C79" w:rsidRPr="00D442F1" w:rsidP="00166894" w14:paraId="0E94E3B9" w14:textId="77777777">
            <w:pPr>
              <w:widowControl w:val="0"/>
              <w:spacing w:line="240" w:lineRule="auto"/>
              <w:rPr>
                <w:b/>
                <w:noProof/>
                <w:szCs w:val="22"/>
              </w:rPr>
            </w:pPr>
            <w:r w:rsidRPr="00D442F1">
              <w:rPr>
                <w:b/>
                <w:noProof/>
                <w:szCs w:val="22"/>
              </w:rPr>
              <w:t>Danmark</w:t>
            </w:r>
          </w:p>
          <w:p w:rsidR="00CE3C79" w:rsidRPr="00D442F1" w:rsidP="00166894" w14:paraId="00F0EF73" w14:textId="77777777">
            <w:pPr>
              <w:widowControl w:val="0"/>
              <w:spacing w:line="240" w:lineRule="auto"/>
              <w:rPr>
                <w:noProof/>
                <w:szCs w:val="22"/>
              </w:rPr>
            </w:pPr>
            <w:r w:rsidRPr="00D442F1">
              <w:rPr>
                <w:noProof/>
                <w:szCs w:val="22"/>
              </w:rPr>
              <w:t>Novartis Healthcare A/S</w:t>
            </w:r>
          </w:p>
          <w:p w:rsidR="00CE3C79" w:rsidRPr="00D442F1" w:rsidP="00166894" w14:paraId="361ECDF1" w14:textId="77777777">
            <w:pPr>
              <w:widowControl w:val="0"/>
              <w:spacing w:line="240" w:lineRule="auto"/>
              <w:rPr>
                <w:noProof/>
                <w:szCs w:val="22"/>
              </w:rPr>
            </w:pPr>
            <w:r w:rsidRPr="00D442F1">
              <w:rPr>
                <w:noProof/>
                <w:szCs w:val="22"/>
              </w:rPr>
              <w:t>Tlf: +45 39 16 84 00</w:t>
            </w:r>
          </w:p>
          <w:p w:rsidR="00CE3C79" w:rsidRPr="00D442F1" w:rsidP="00166894" w14:paraId="56CF751C" w14:textId="77777777">
            <w:pPr>
              <w:widowControl w:val="0"/>
              <w:spacing w:line="240" w:lineRule="auto"/>
              <w:rPr>
                <w:noProof/>
                <w:szCs w:val="22"/>
              </w:rPr>
            </w:pPr>
          </w:p>
        </w:tc>
        <w:tc>
          <w:tcPr>
            <w:tcW w:w="4678" w:type="dxa"/>
            <w:hideMark/>
          </w:tcPr>
          <w:p w:rsidR="00CE3C79" w:rsidRPr="00D442F1" w:rsidP="00166894" w14:paraId="6FCCA150" w14:textId="77777777">
            <w:pPr>
              <w:widowControl w:val="0"/>
              <w:spacing w:line="240" w:lineRule="auto"/>
              <w:rPr>
                <w:b/>
                <w:noProof/>
                <w:szCs w:val="22"/>
                <w:lang w:val="fr-CH"/>
              </w:rPr>
            </w:pPr>
            <w:r w:rsidRPr="00D442F1">
              <w:rPr>
                <w:b/>
                <w:noProof/>
                <w:szCs w:val="22"/>
                <w:lang w:val="fr-CH"/>
              </w:rPr>
              <w:t>Malta</w:t>
            </w:r>
          </w:p>
          <w:p w:rsidR="00CE3C79" w:rsidRPr="00D442F1" w:rsidP="00166894" w14:paraId="18557AB8" w14:textId="77777777">
            <w:pPr>
              <w:widowControl w:val="0"/>
              <w:spacing w:line="240" w:lineRule="auto"/>
              <w:rPr>
                <w:noProof/>
                <w:szCs w:val="22"/>
                <w:lang w:val="fr-CH"/>
              </w:rPr>
            </w:pPr>
            <w:r w:rsidRPr="00D442F1">
              <w:rPr>
                <w:noProof/>
                <w:szCs w:val="22"/>
                <w:lang w:val="fr-CH"/>
              </w:rPr>
              <w:t>Novartis Pharma Services Inc.</w:t>
            </w:r>
          </w:p>
          <w:p w:rsidR="00CE3C79" w:rsidRPr="00D442F1" w:rsidP="00166894" w14:paraId="225193AD" w14:textId="77777777">
            <w:pPr>
              <w:widowControl w:val="0"/>
              <w:spacing w:line="240" w:lineRule="auto"/>
              <w:rPr>
                <w:noProof/>
                <w:szCs w:val="22"/>
              </w:rPr>
            </w:pPr>
            <w:r w:rsidRPr="00D442F1">
              <w:rPr>
                <w:noProof/>
                <w:szCs w:val="22"/>
              </w:rPr>
              <w:t>Tel: +356 2122 2872</w:t>
            </w:r>
          </w:p>
        </w:tc>
      </w:tr>
      <w:tr w14:paraId="3E369F0E" w14:textId="77777777" w:rsidTr="00CE3C79">
        <w:tblPrEx>
          <w:tblW w:w="9360" w:type="dxa"/>
          <w:tblInd w:w="-34" w:type="dxa"/>
          <w:tblLayout w:type="fixed"/>
          <w:tblLook w:val="04A0"/>
        </w:tblPrEx>
        <w:trPr>
          <w:cantSplit/>
        </w:trPr>
        <w:tc>
          <w:tcPr>
            <w:tcW w:w="4678" w:type="dxa"/>
          </w:tcPr>
          <w:p w:rsidR="00CE3C79" w:rsidRPr="00D442F1" w:rsidP="00166894" w14:paraId="0F7A0A0A" w14:textId="77777777">
            <w:pPr>
              <w:widowControl w:val="0"/>
              <w:spacing w:line="240" w:lineRule="auto"/>
              <w:rPr>
                <w:b/>
                <w:noProof/>
                <w:szCs w:val="22"/>
                <w:lang w:val="de-CH"/>
              </w:rPr>
            </w:pPr>
            <w:r w:rsidRPr="00D442F1">
              <w:rPr>
                <w:b/>
                <w:noProof/>
                <w:szCs w:val="22"/>
                <w:lang w:val="de-CH"/>
              </w:rPr>
              <w:t>Deutschland</w:t>
            </w:r>
          </w:p>
          <w:p w:rsidR="00CE3C79" w:rsidRPr="00D442F1" w:rsidP="00166894" w14:paraId="57DFD8A1" w14:textId="77777777">
            <w:pPr>
              <w:widowControl w:val="0"/>
              <w:spacing w:line="240" w:lineRule="auto"/>
              <w:rPr>
                <w:noProof/>
                <w:szCs w:val="22"/>
                <w:lang w:val="de-CH"/>
              </w:rPr>
            </w:pPr>
            <w:r w:rsidRPr="00D442F1">
              <w:rPr>
                <w:noProof/>
                <w:szCs w:val="22"/>
                <w:lang w:val="de-CH"/>
              </w:rPr>
              <w:t>Novartis Pharma GmbH</w:t>
            </w:r>
          </w:p>
          <w:p w:rsidR="00CE3C79" w:rsidRPr="00D442F1" w:rsidP="00166894" w14:paraId="41867EC4" w14:textId="77777777">
            <w:pPr>
              <w:widowControl w:val="0"/>
              <w:spacing w:line="240" w:lineRule="auto"/>
              <w:rPr>
                <w:noProof/>
                <w:szCs w:val="22"/>
                <w:lang w:val="de-CH"/>
              </w:rPr>
            </w:pPr>
            <w:r w:rsidRPr="00D442F1">
              <w:rPr>
                <w:noProof/>
                <w:szCs w:val="22"/>
                <w:lang w:val="de-CH"/>
              </w:rPr>
              <w:t>Tel: +49 911 273 0</w:t>
            </w:r>
          </w:p>
          <w:p w:rsidR="00CE3C79" w:rsidRPr="00D442F1" w:rsidP="00166894" w14:paraId="5FB9FCB8" w14:textId="77777777">
            <w:pPr>
              <w:widowControl w:val="0"/>
              <w:spacing w:line="240" w:lineRule="auto"/>
              <w:rPr>
                <w:noProof/>
                <w:szCs w:val="22"/>
                <w:lang w:val="de-CH"/>
              </w:rPr>
            </w:pPr>
          </w:p>
        </w:tc>
        <w:tc>
          <w:tcPr>
            <w:tcW w:w="4678" w:type="dxa"/>
            <w:hideMark/>
          </w:tcPr>
          <w:p w:rsidR="00CE3C79" w:rsidRPr="00D442F1" w:rsidP="00166894" w14:paraId="7D20FEAC" w14:textId="77777777">
            <w:pPr>
              <w:widowControl w:val="0"/>
              <w:spacing w:line="240" w:lineRule="auto"/>
              <w:rPr>
                <w:b/>
                <w:noProof/>
                <w:szCs w:val="22"/>
                <w:lang w:val="de-CH"/>
              </w:rPr>
            </w:pPr>
            <w:r w:rsidRPr="00D442F1">
              <w:rPr>
                <w:b/>
                <w:noProof/>
                <w:szCs w:val="22"/>
                <w:lang w:val="de-CH"/>
              </w:rPr>
              <w:t>Nederland</w:t>
            </w:r>
          </w:p>
          <w:p w:rsidR="00CE3C79" w:rsidRPr="00D442F1" w:rsidP="00166894" w14:paraId="75D718E6" w14:textId="77777777">
            <w:pPr>
              <w:widowControl w:val="0"/>
              <w:spacing w:line="240" w:lineRule="auto"/>
              <w:rPr>
                <w:noProof/>
                <w:szCs w:val="22"/>
                <w:lang w:val="de-CH"/>
              </w:rPr>
            </w:pPr>
            <w:r w:rsidRPr="00D442F1">
              <w:rPr>
                <w:noProof/>
                <w:szCs w:val="22"/>
                <w:lang w:val="de-CH"/>
              </w:rPr>
              <w:t>Novartis Pharma B.V.</w:t>
            </w:r>
          </w:p>
          <w:p w:rsidR="00CE3C79" w:rsidRPr="00D442F1" w:rsidP="00620EC6" w14:paraId="57E318AE" w14:textId="0EEF0AAC">
            <w:pPr>
              <w:widowControl w:val="0"/>
              <w:spacing w:line="240" w:lineRule="auto"/>
              <w:rPr>
                <w:noProof/>
                <w:szCs w:val="22"/>
                <w:lang w:val="de-CH"/>
              </w:rPr>
            </w:pPr>
            <w:r w:rsidRPr="00D442F1">
              <w:rPr>
                <w:noProof/>
                <w:szCs w:val="22"/>
                <w:lang w:val="de-CH"/>
              </w:rPr>
              <w:t xml:space="preserve">Tel: +31 </w:t>
            </w:r>
            <w:r w:rsidRPr="00176BAE" w:rsidR="00620EC6">
              <w:rPr>
                <w:color w:val="000000"/>
                <w:szCs w:val="22"/>
                <w:lang w:val="de-CH"/>
              </w:rPr>
              <w:t>88 04 52</w:t>
            </w:r>
            <w:r w:rsidRPr="00D442F1" w:rsidR="00620EC6">
              <w:rPr>
                <w:color w:val="000000"/>
                <w:szCs w:val="22"/>
                <w:lang w:val="de-CH"/>
              </w:rPr>
              <w:t xml:space="preserve"> </w:t>
            </w:r>
            <w:r w:rsidRPr="00D442F1">
              <w:rPr>
                <w:noProof/>
                <w:szCs w:val="22"/>
                <w:lang w:val="de-CH"/>
              </w:rPr>
              <w:t>555</w:t>
            </w:r>
          </w:p>
        </w:tc>
      </w:tr>
      <w:tr w14:paraId="012B99A6" w14:textId="77777777" w:rsidTr="00CE3C79">
        <w:tblPrEx>
          <w:tblW w:w="9360" w:type="dxa"/>
          <w:tblInd w:w="-34" w:type="dxa"/>
          <w:tblLayout w:type="fixed"/>
          <w:tblLook w:val="04A0"/>
        </w:tblPrEx>
        <w:trPr>
          <w:cantSplit/>
        </w:trPr>
        <w:tc>
          <w:tcPr>
            <w:tcW w:w="4678" w:type="dxa"/>
          </w:tcPr>
          <w:p w:rsidR="00CE3C79" w:rsidRPr="00D442F1" w:rsidP="00166894" w14:paraId="5080BFBD" w14:textId="77777777">
            <w:pPr>
              <w:widowControl w:val="0"/>
              <w:spacing w:line="240" w:lineRule="auto"/>
              <w:rPr>
                <w:b/>
                <w:noProof/>
                <w:szCs w:val="22"/>
                <w:lang w:val="it-IT"/>
              </w:rPr>
            </w:pPr>
            <w:r w:rsidRPr="00D442F1">
              <w:rPr>
                <w:b/>
                <w:noProof/>
                <w:szCs w:val="22"/>
                <w:lang w:val="it-IT"/>
              </w:rPr>
              <w:t>Eesti</w:t>
            </w:r>
          </w:p>
          <w:p w:rsidR="00CE3C79" w:rsidRPr="00D442F1" w:rsidP="00166894" w14:paraId="7648A5D3" w14:textId="77777777">
            <w:pPr>
              <w:widowControl w:val="0"/>
              <w:spacing w:line="240" w:lineRule="auto"/>
              <w:rPr>
                <w:noProof/>
                <w:szCs w:val="22"/>
                <w:lang w:val="it-IT"/>
              </w:rPr>
            </w:pPr>
            <w:r w:rsidRPr="00D442F1">
              <w:rPr>
                <w:szCs w:val="22"/>
                <w:lang w:val="it-IT"/>
              </w:rPr>
              <w:t>SIA Novartis Baltics Eesti filiaal</w:t>
            </w:r>
          </w:p>
          <w:p w:rsidR="00CE3C79" w:rsidRPr="00D442F1" w:rsidP="00166894" w14:paraId="5C0E8CA2" w14:textId="77777777">
            <w:pPr>
              <w:widowControl w:val="0"/>
              <w:spacing w:line="240" w:lineRule="auto"/>
              <w:rPr>
                <w:noProof/>
                <w:szCs w:val="22"/>
              </w:rPr>
            </w:pPr>
            <w:r w:rsidRPr="00D442F1">
              <w:rPr>
                <w:noProof/>
                <w:szCs w:val="22"/>
              </w:rPr>
              <w:t>Tel: +372 66 30 810</w:t>
            </w:r>
          </w:p>
          <w:p w:rsidR="00CE3C79" w:rsidRPr="00D442F1" w:rsidP="00166894" w14:paraId="3535FBCB" w14:textId="77777777">
            <w:pPr>
              <w:widowControl w:val="0"/>
              <w:spacing w:line="240" w:lineRule="auto"/>
              <w:rPr>
                <w:noProof/>
                <w:szCs w:val="22"/>
              </w:rPr>
            </w:pPr>
          </w:p>
        </w:tc>
        <w:tc>
          <w:tcPr>
            <w:tcW w:w="4678" w:type="dxa"/>
            <w:hideMark/>
          </w:tcPr>
          <w:p w:rsidR="00CE3C79" w:rsidRPr="007B1596" w:rsidP="00166894" w14:paraId="73096586" w14:textId="77777777">
            <w:pPr>
              <w:widowControl w:val="0"/>
              <w:spacing w:line="240" w:lineRule="auto"/>
              <w:rPr>
                <w:b/>
                <w:noProof/>
                <w:szCs w:val="22"/>
                <w:lang w:val="nb-NO"/>
              </w:rPr>
            </w:pPr>
            <w:r w:rsidRPr="007B1596">
              <w:rPr>
                <w:b/>
                <w:noProof/>
                <w:szCs w:val="22"/>
                <w:lang w:val="nb-NO"/>
              </w:rPr>
              <w:t>Norge</w:t>
            </w:r>
          </w:p>
          <w:p w:rsidR="00CE3C79" w:rsidRPr="007B1596" w:rsidP="00166894" w14:paraId="4A88AA29" w14:textId="77777777">
            <w:pPr>
              <w:widowControl w:val="0"/>
              <w:spacing w:line="240" w:lineRule="auto"/>
              <w:rPr>
                <w:noProof/>
                <w:szCs w:val="22"/>
                <w:lang w:val="nb-NO"/>
              </w:rPr>
            </w:pPr>
            <w:r w:rsidRPr="007B1596">
              <w:rPr>
                <w:noProof/>
                <w:szCs w:val="22"/>
                <w:lang w:val="nb-NO"/>
              </w:rPr>
              <w:t>Novartis Norge AS</w:t>
            </w:r>
          </w:p>
          <w:p w:rsidR="00CE3C79" w:rsidRPr="007B1596" w:rsidP="00166894" w14:paraId="77F4B0B2" w14:textId="77777777">
            <w:pPr>
              <w:widowControl w:val="0"/>
              <w:spacing w:line="240" w:lineRule="auto"/>
              <w:rPr>
                <w:noProof/>
                <w:szCs w:val="22"/>
                <w:lang w:val="nb-NO"/>
              </w:rPr>
            </w:pPr>
            <w:r w:rsidRPr="007B1596">
              <w:rPr>
                <w:noProof/>
                <w:szCs w:val="22"/>
                <w:lang w:val="nb-NO"/>
              </w:rPr>
              <w:t>Tlf: +47 23 05 20 00</w:t>
            </w:r>
          </w:p>
        </w:tc>
      </w:tr>
      <w:tr w14:paraId="44266647" w14:textId="77777777" w:rsidTr="00CE3C79">
        <w:tblPrEx>
          <w:tblW w:w="9360" w:type="dxa"/>
          <w:tblInd w:w="-34" w:type="dxa"/>
          <w:tblLayout w:type="fixed"/>
          <w:tblLook w:val="04A0"/>
        </w:tblPrEx>
        <w:trPr>
          <w:cantSplit/>
        </w:trPr>
        <w:tc>
          <w:tcPr>
            <w:tcW w:w="4678" w:type="dxa"/>
          </w:tcPr>
          <w:p w:rsidR="00CE3C79" w:rsidRPr="00D442F1" w:rsidP="00166894" w14:paraId="00B227E3" w14:textId="77777777">
            <w:pPr>
              <w:widowControl w:val="0"/>
              <w:spacing w:line="240" w:lineRule="auto"/>
              <w:rPr>
                <w:b/>
                <w:noProof/>
                <w:szCs w:val="22"/>
                <w:lang w:val="es-ES"/>
              </w:rPr>
            </w:pPr>
            <w:r w:rsidRPr="00D442F1">
              <w:rPr>
                <w:b/>
                <w:noProof/>
                <w:szCs w:val="22"/>
              </w:rPr>
              <w:t>Ελλάδα</w:t>
            </w:r>
          </w:p>
          <w:p w:rsidR="00CE3C79" w:rsidRPr="00D442F1" w:rsidP="00166894" w14:paraId="4DB0D3E1" w14:textId="77777777">
            <w:pPr>
              <w:widowControl w:val="0"/>
              <w:spacing w:line="240" w:lineRule="auto"/>
              <w:rPr>
                <w:noProof/>
                <w:szCs w:val="22"/>
                <w:lang w:val="es-ES"/>
              </w:rPr>
            </w:pPr>
            <w:r w:rsidRPr="00D442F1">
              <w:rPr>
                <w:noProof/>
                <w:szCs w:val="22"/>
                <w:lang w:val="es-ES"/>
              </w:rPr>
              <w:t>Novartis (Hellas) A.E.B.E.</w:t>
            </w:r>
          </w:p>
          <w:p w:rsidR="00CE3C79" w:rsidRPr="00D442F1" w:rsidP="00166894" w14:paraId="13BD4EB8" w14:textId="77777777">
            <w:pPr>
              <w:widowControl w:val="0"/>
              <w:spacing w:line="240" w:lineRule="auto"/>
              <w:rPr>
                <w:noProof/>
                <w:szCs w:val="22"/>
              </w:rPr>
            </w:pPr>
            <w:r w:rsidRPr="00D442F1">
              <w:rPr>
                <w:noProof/>
                <w:szCs w:val="22"/>
              </w:rPr>
              <w:t>Τηλ: +30 210 281 17 12</w:t>
            </w:r>
          </w:p>
          <w:p w:rsidR="00CE3C79" w:rsidRPr="00D442F1" w:rsidP="00166894" w14:paraId="6081AA41" w14:textId="77777777">
            <w:pPr>
              <w:widowControl w:val="0"/>
              <w:spacing w:line="240" w:lineRule="auto"/>
              <w:rPr>
                <w:noProof/>
                <w:szCs w:val="22"/>
              </w:rPr>
            </w:pPr>
          </w:p>
        </w:tc>
        <w:tc>
          <w:tcPr>
            <w:tcW w:w="4678" w:type="dxa"/>
            <w:hideMark/>
          </w:tcPr>
          <w:p w:rsidR="00CE3C79" w:rsidRPr="00D442F1" w:rsidP="00166894" w14:paraId="696D6F67" w14:textId="77777777">
            <w:pPr>
              <w:widowControl w:val="0"/>
              <w:spacing w:line="240" w:lineRule="auto"/>
              <w:rPr>
                <w:noProof/>
                <w:szCs w:val="22"/>
                <w:lang w:val="de-CH"/>
              </w:rPr>
            </w:pPr>
            <w:r w:rsidRPr="00D442F1">
              <w:rPr>
                <w:b/>
                <w:noProof/>
                <w:szCs w:val="22"/>
                <w:lang w:val="de-CH"/>
              </w:rPr>
              <w:t>Österreich</w:t>
            </w:r>
          </w:p>
          <w:p w:rsidR="00CE3C79" w:rsidRPr="00D442F1" w:rsidP="00166894" w14:paraId="2657C2EC" w14:textId="77777777">
            <w:pPr>
              <w:widowControl w:val="0"/>
              <w:spacing w:line="240" w:lineRule="auto"/>
              <w:rPr>
                <w:noProof/>
                <w:szCs w:val="22"/>
                <w:lang w:val="de-CH"/>
              </w:rPr>
            </w:pPr>
            <w:r w:rsidRPr="00D442F1">
              <w:rPr>
                <w:noProof/>
                <w:szCs w:val="22"/>
                <w:lang w:val="de-CH"/>
              </w:rPr>
              <w:t>Novartis Pharma GmbH</w:t>
            </w:r>
          </w:p>
          <w:p w:rsidR="00CE3C79" w:rsidRPr="00D442F1" w:rsidP="00166894" w14:paraId="0FDD9EEB" w14:textId="77777777">
            <w:pPr>
              <w:widowControl w:val="0"/>
              <w:spacing w:line="240" w:lineRule="auto"/>
              <w:rPr>
                <w:b/>
                <w:noProof/>
                <w:szCs w:val="22"/>
                <w:lang w:val="de-CH"/>
              </w:rPr>
            </w:pPr>
            <w:r w:rsidRPr="00D442F1">
              <w:rPr>
                <w:noProof/>
                <w:szCs w:val="22"/>
                <w:lang w:val="de-CH"/>
              </w:rPr>
              <w:t>Tel: +43 1 86 6570</w:t>
            </w:r>
          </w:p>
        </w:tc>
      </w:tr>
      <w:tr w14:paraId="38946F14" w14:textId="77777777" w:rsidTr="00CE3C79">
        <w:tblPrEx>
          <w:tblW w:w="9360" w:type="dxa"/>
          <w:tblInd w:w="-34" w:type="dxa"/>
          <w:tblLayout w:type="fixed"/>
          <w:tblLook w:val="04A0"/>
        </w:tblPrEx>
        <w:trPr>
          <w:cantSplit/>
        </w:trPr>
        <w:tc>
          <w:tcPr>
            <w:tcW w:w="4678" w:type="dxa"/>
          </w:tcPr>
          <w:p w:rsidR="00CE3C79" w:rsidRPr="00D442F1" w:rsidP="00166894" w14:paraId="102E8185" w14:textId="77777777">
            <w:pPr>
              <w:widowControl w:val="0"/>
              <w:spacing w:line="240" w:lineRule="auto"/>
              <w:rPr>
                <w:b/>
                <w:noProof/>
                <w:szCs w:val="22"/>
                <w:lang w:val="es-ES"/>
              </w:rPr>
            </w:pPr>
            <w:r w:rsidRPr="00D442F1">
              <w:rPr>
                <w:b/>
                <w:noProof/>
                <w:szCs w:val="22"/>
                <w:lang w:val="es-ES"/>
              </w:rPr>
              <w:t>España</w:t>
            </w:r>
          </w:p>
          <w:p w:rsidR="00CE3C79" w:rsidRPr="00D442F1" w:rsidP="00166894" w14:paraId="632B88FB" w14:textId="77777777">
            <w:pPr>
              <w:widowControl w:val="0"/>
              <w:spacing w:line="240" w:lineRule="auto"/>
              <w:rPr>
                <w:noProof/>
                <w:szCs w:val="22"/>
                <w:lang w:val="es-ES"/>
              </w:rPr>
            </w:pPr>
            <w:r w:rsidRPr="00D442F1">
              <w:rPr>
                <w:noProof/>
                <w:szCs w:val="22"/>
                <w:lang w:val="es-ES"/>
              </w:rPr>
              <w:t>Novartis Farmacéutica, S.A.</w:t>
            </w:r>
          </w:p>
          <w:p w:rsidR="00CE3C79" w:rsidRPr="00D442F1" w:rsidP="00166894" w14:paraId="1832F1D5" w14:textId="77777777">
            <w:pPr>
              <w:widowControl w:val="0"/>
              <w:spacing w:line="240" w:lineRule="auto"/>
              <w:rPr>
                <w:noProof/>
                <w:szCs w:val="22"/>
              </w:rPr>
            </w:pPr>
            <w:r w:rsidRPr="00D442F1">
              <w:rPr>
                <w:noProof/>
                <w:szCs w:val="22"/>
              </w:rPr>
              <w:t>Tel: +34 93 306 42 00</w:t>
            </w:r>
          </w:p>
          <w:p w:rsidR="00CE3C79" w:rsidRPr="00D442F1" w:rsidP="00166894" w14:paraId="75743A63" w14:textId="77777777">
            <w:pPr>
              <w:widowControl w:val="0"/>
              <w:spacing w:line="240" w:lineRule="auto"/>
              <w:rPr>
                <w:noProof/>
                <w:szCs w:val="22"/>
              </w:rPr>
            </w:pPr>
          </w:p>
        </w:tc>
        <w:tc>
          <w:tcPr>
            <w:tcW w:w="4678" w:type="dxa"/>
            <w:hideMark/>
          </w:tcPr>
          <w:p w:rsidR="00CE3C79" w:rsidRPr="00176BAE" w:rsidP="00166894" w14:paraId="06F0E925" w14:textId="77777777">
            <w:pPr>
              <w:widowControl w:val="0"/>
              <w:spacing w:line="240" w:lineRule="auto"/>
              <w:rPr>
                <w:noProof/>
                <w:szCs w:val="22"/>
                <w:lang w:val="fr-CH"/>
              </w:rPr>
            </w:pPr>
            <w:r w:rsidRPr="00176BAE">
              <w:rPr>
                <w:b/>
                <w:noProof/>
                <w:szCs w:val="22"/>
                <w:lang w:val="fr-CH"/>
              </w:rPr>
              <w:t>Polska</w:t>
            </w:r>
          </w:p>
          <w:p w:rsidR="00CE3C79" w:rsidRPr="00176BAE" w:rsidP="00166894" w14:paraId="632CE99C" w14:textId="77777777">
            <w:pPr>
              <w:widowControl w:val="0"/>
              <w:spacing w:line="240" w:lineRule="auto"/>
              <w:rPr>
                <w:noProof/>
                <w:szCs w:val="22"/>
                <w:lang w:val="fr-CH"/>
              </w:rPr>
            </w:pPr>
            <w:r w:rsidRPr="00176BAE">
              <w:rPr>
                <w:noProof/>
                <w:szCs w:val="22"/>
                <w:lang w:val="fr-CH"/>
              </w:rPr>
              <w:t>Novartis Poland Sp. z o.o.</w:t>
            </w:r>
          </w:p>
          <w:p w:rsidR="00CE3C79" w:rsidRPr="00176BAE" w:rsidP="00166894" w14:paraId="4D0AF637" w14:textId="77777777">
            <w:pPr>
              <w:widowControl w:val="0"/>
              <w:spacing w:line="240" w:lineRule="auto"/>
              <w:rPr>
                <w:noProof/>
                <w:szCs w:val="22"/>
                <w:lang w:val="fr-CH"/>
              </w:rPr>
            </w:pPr>
            <w:r w:rsidRPr="00176BAE">
              <w:rPr>
                <w:noProof/>
                <w:szCs w:val="22"/>
                <w:lang w:val="fr-CH"/>
              </w:rPr>
              <w:t>Tel.: +48 22 375 4888</w:t>
            </w:r>
          </w:p>
        </w:tc>
      </w:tr>
      <w:tr w14:paraId="1A2B43B1" w14:textId="77777777" w:rsidTr="00CE3C79">
        <w:tblPrEx>
          <w:tblW w:w="9360" w:type="dxa"/>
          <w:tblInd w:w="-34" w:type="dxa"/>
          <w:tblLayout w:type="fixed"/>
          <w:tblLook w:val="04A0"/>
        </w:tblPrEx>
        <w:trPr>
          <w:cantSplit/>
        </w:trPr>
        <w:tc>
          <w:tcPr>
            <w:tcW w:w="4678" w:type="dxa"/>
          </w:tcPr>
          <w:p w:rsidR="00CE3C79" w:rsidRPr="00D442F1" w:rsidP="00166894" w14:paraId="3176169A" w14:textId="77777777">
            <w:pPr>
              <w:widowControl w:val="0"/>
              <w:spacing w:line="240" w:lineRule="auto"/>
              <w:rPr>
                <w:b/>
                <w:noProof/>
                <w:szCs w:val="22"/>
                <w:lang w:val="fr-CH"/>
              </w:rPr>
            </w:pPr>
            <w:r w:rsidRPr="00D442F1">
              <w:rPr>
                <w:b/>
                <w:noProof/>
                <w:szCs w:val="22"/>
                <w:lang w:val="fr-CH"/>
              </w:rPr>
              <w:t>France</w:t>
            </w:r>
          </w:p>
          <w:p w:rsidR="00CE3C79" w:rsidRPr="00D442F1" w:rsidP="00166894" w14:paraId="1A4DDE99" w14:textId="77777777">
            <w:pPr>
              <w:widowControl w:val="0"/>
              <w:spacing w:line="240" w:lineRule="auto"/>
              <w:rPr>
                <w:noProof/>
                <w:szCs w:val="22"/>
                <w:lang w:val="fr-CH"/>
              </w:rPr>
            </w:pPr>
            <w:r w:rsidRPr="00D442F1">
              <w:rPr>
                <w:noProof/>
                <w:szCs w:val="22"/>
                <w:lang w:val="fr-CH"/>
              </w:rPr>
              <w:t>Novartis Pharma S.A.S.</w:t>
            </w:r>
          </w:p>
          <w:p w:rsidR="00CE3C79" w:rsidRPr="00D442F1" w:rsidP="00166894" w14:paraId="38616674" w14:textId="77777777">
            <w:pPr>
              <w:widowControl w:val="0"/>
              <w:spacing w:line="240" w:lineRule="auto"/>
              <w:rPr>
                <w:noProof/>
                <w:szCs w:val="22"/>
                <w:lang w:val="fr-CH"/>
              </w:rPr>
            </w:pPr>
            <w:r w:rsidRPr="00D442F1">
              <w:rPr>
                <w:noProof/>
                <w:szCs w:val="22"/>
                <w:lang w:val="fr-CH"/>
              </w:rPr>
              <w:t>Tél: +33 1 55 47 66 00</w:t>
            </w:r>
          </w:p>
          <w:p w:rsidR="00CE3C79" w:rsidRPr="00D442F1" w:rsidP="00166894" w14:paraId="0BA445F0" w14:textId="77777777">
            <w:pPr>
              <w:widowControl w:val="0"/>
              <w:spacing w:line="240" w:lineRule="auto"/>
              <w:rPr>
                <w:noProof/>
                <w:szCs w:val="22"/>
                <w:lang w:val="fr-CH"/>
              </w:rPr>
            </w:pPr>
          </w:p>
        </w:tc>
        <w:tc>
          <w:tcPr>
            <w:tcW w:w="4678" w:type="dxa"/>
            <w:hideMark/>
          </w:tcPr>
          <w:p w:rsidR="00CE3C79" w:rsidRPr="00D442F1" w:rsidP="00166894" w14:paraId="381BBAD7" w14:textId="77777777">
            <w:pPr>
              <w:widowControl w:val="0"/>
              <w:spacing w:line="240" w:lineRule="auto"/>
              <w:rPr>
                <w:b/>
                <w:noProof/>
                <w:szCs w:val="22"/>
                <w:lang w:val="es-ES"/>
              </w:rPr>
            </w:pPr>
            <w:r w:rsidRPr="00D442F1">
              <w:rPr>
                <w:b/>
                <w:noProof/>
                <w:szCs w:val="22"/>
                <w:lang w:val="es-ES"/>
              </w:rPr>
              <w:t>Portugal</w:t>
            </w:r>
          </w:p>
          <w:p w:rsidR="00CE3C79" w:rsidRPr="00D442F1" w:rsidP="00166894" w14:paraId="1ADB9BDB" w14:textId="77777777">
            <w:pPr>
              <w:widowControl w:val="0"/>
              <w:spacing w:line="240" w:lineRule="auto"/>
              <w:rPr>
                <w:noProof/>
                <w:szCs w:val="22"/>
                <w:lang w:val="es-ES"/>
              </w:rPr>
            </w:pPr>
            <w:r w:rsidRPr="00D442F1">
              <w:rPr>
                <w:noProof/>
                <w:szCs w:val="22"/>
                <w:lang w:val="es-ES"/>
              </w:rPr>
              <w:t xml:space="preserve">Novartis Farma </w:t>
            </w:r>
            <w:r w:rsidRPr="00D442F1">
              <w:rPr>
                <w:noProof/>
                <w:szCs w:val="22"/>
                <w:lang w:val="es-ES"/>
              </w:rPr>
              <w:noBreakHyphen/>
              <w:t xml:space="preserve"> Produtos Farmacêuticos, S.A.</w:t>
            </w:r>
          </w:p>
          <w:p w:rsidR="00CE3C79" w:rsidRPr="00D442F1" w:rsidP="00166894" w14:paraId="75F6DA8D" w14:textId="77777777">
            <w:pPr>
              <w:widowControl w:val="0"/>
              <w:spacing w:line="240" w:lineRule="auto"/>
              <w:rPr>
                <w:noProof/>
                <w:szCs w:val="22"/>
              </w:rPr>
            </w:pPr>
            <w:r w:rsidRPr="00D442F1">
              <w:rPr>
                <w:noProof/>
                <w:szCs w:val="22"/>
              </w:rPr>
              <w:t>Tel: +351 21 000 8600</w:t>
            </w:r>
          </w:p>
        </w:tc>
      </w:tr>
      <w:tr w14:paraId="746E5F6D" w14:textId="77777777" w:rsidTr="00CE3C79">
        <w:tblPrEx>
          <w:tblW w:w="9360" w:type="dxa"/>
          <w:tblInd w:w="-34" w:type="dxa"/>
          <w:tblLayout w:type="fixed"/>
          <w:tblLook w:val="04A0"/>
        </w:tblPrEx>
        <w:trPr>
          <w:cantSplit/>
        </w:trPr>
        <w:tc>
          <w:tcPr>
            <w:tcW w:w="4678" w:type="dxa"/>
          </w:tcPr>
          <w:p w:rsidR="00CE3C79" w:rsidRPr="00E13772" w:rsidP="00166894" w14:paraId="08D0A982" w14:textId="77777777">
            <w:pPr>
              <w:widowControl w:val="0"/>
              <w:spacing w:line="240" w:lineRule="auto"/>
              <w:rPr>
                <w:b/>
                <w:noProof/>
                <w:szCs w:val="22"/>
                <w:lang w:val="de-CH"/>
              </w:rPr>
            </w:pPr>
            <w:r w:rsidRPr="00E13772">
              <w:rPr>
                <w:b/>
                <w:noProof/>
                <w:szCs w:val="22"/>
                <w:lang w:val="de-CH"/>
              </w:rPr>
              <w:t>Hrvatska</w:t>
            </w:r>
          </w:p>
          <w:p w:rsidR="00CE3C79" w:rsidRPr="00E13772" w:rsidP="00166894" w14:paraId="48038949" w14:textId="77777777">
            <w:pPr>
              <w:widowControl w:val="0"/>
              <w:spacing w:line="240" w:lineRule="auto"/>
              <w:rPr>
                <w:noProof/>
                <w:szCs w:val="22"/>
                <w:lang w:val="de-CH"/>
              </w:rPr>
            </w:pPr>
            <w:r w:rsidRPr="00E13772">
              <w:rPr>
                <w:noProof/>
                <w:szCs w:val="22"/>
                <w:lang w:val="de-CH"/>
              </w:rPr>
              <w:t>Novartis Hrvatska d.o.o.</w:t>
            </w:r>
          </w:p>
          <w:p w:rsidR="00CE3C79" w:rsidRPr="00D442F1" w:rsidP="00166894" w14:paraId="4AB6A40A" w14:textId="77777777">
            <w:pPr>
              <w:widowControl w:val="0"/>
              <w:spacing w:line="240" w:lineRule="auto"/>
              <w:rPr>
                <w:noProof/>
                <w:szCs w:val="22"/>
              </w:rPr>
            </w:pPr>
            <w:r w:rsidRPr="00D442F1">
              <w:rPr>
                <w:noProof/>
                <w:szCs w:val="22"/>
              </w:rPr>
              <w:t>Tel. +385 1 6274 220</w:t>
            </w:r>
          </w:p>
          <w:p w:rsidR="00CE3C79" w:rsidRPr="00D442F1" w:rsidP="00166894" w14:paraId="5BBFEA66" w14:textId="77777777">
            <w:pPr>
              <w:widowControl w:val="0"/>
              <w:spacing w:line="240" w:lineRule="auto"/>
              <w:rPr>
                <w:noProof/>
                <w:szCs w:val="22"/>
              </w:rPr>
            </w:pPr>
          </w:p>
        </w:tc>
        <w:tc>
          <w:tcPr>
            <w:tcW w:w="4678" w:type="dxa"/>
            <w:hideMark/>
          </w:tcPr>
          <w:p w:rsidR="00CE3C79" w:rsidRPr="00D442F1" w:rsidP="00166894" w14:paraId="6C9031EE" w14:textId="77777777">
            <w:pPr>
              <w:widowControl w:val="0"/>
              <w:spacing w:line="240" w:lineRule="auto"/>
              <w:rPr>
                <w:b/>
                <w:noProof/>
                <w:szCs w:val="22"/>
                <w:lang w:val="fr-CH"/>
              </w:rPr>
            </w:pPr>
            <w:r w:rsidRPr="00D442F1">
              <w:rPr>
                <w:b/>
                <w:noProof/>
                <w:szCs w:val="22"/>
                <w:lang w:val="fr-CH"/>
              </w:rPr>
              <w:t>România</w:t>
            </w:r>
          </w:p>
          <w:p w:rsidR="00CE3C79" w:rsidRPr="00D442F1" w:rsidP="00166894" w14:paraId="72D8605C" w14:textId="77777777">
            <w:pPr>
              <w:widowControl w:val="0"/>
              <w:spacing w:line="240" w:lineRule="auto"/>
              <w:rPr>
                <w:noProof/>
                <w:szCs w:val="22"/>
                <w:lang w:val="fr-CH"/>
              </w:rPr>
            </w:pPr>
            <w:r w:rsidRPr="00D442F1">
              <w:rPr>
                <w:noProof/>
                <w:szCs w:val="22"/>
                <w:lang w:val="fr-CH"/>
              </w:rPr>
              <w:t>Novartis Pharma Services Romania SRL</w:t>
            </w:r>
          </w:p>
          <w:p w:rsidR="00CE3C79" w:rsidRPr="00D442F1" w:rsidP="00166894" w14:paraId="71F58EA6" w14:textId="77777777">
            <w:pPr>
              <w:widowControl w:val="0"/>
              <w:spacing w:line="240" w:lineRule="auto"/>
              <w:rPr>
                <w:noProof/>
                <w:szCs w:val="22"/>
              </w:rPr>
            </w:pPr>
            <w:r w:rsidRPr="00D442F1">
              <w:rPr>
                <w:noProof/>
                <w:szCs w:val="22"/>
              </w:rPr>
              <w:t>Tel: +40 21 31299 01</w:t>
            </w:r>
          </w:p>
        </w:tc>
      </w:tr>
      <w:tr w14:paraId="4312EF87" w14:textId="77777777" w:rsidTr="00CE3C79">
        <w:tblPrEx>
          <w:tblW w:w="9360" w:type="dxa"/>
          <w:tblInd w:w="-34" w:type="dxa"/>
          <w:tblLayout w:type="fixed"/>
          <w:tblLook w:val="04A0"/>
        </w:tblPrEx>
        <w:trPr>
          <w:cantSplit/>
        </w:trPr>
        <w:tc>
          <w:tcPr>
            <w:tcW w:w="4678" w:type="dxa"/>
          </w:tcPr>
          <w:p w:rsidR="00CE3C79" w:rsidRPr="00D442F1" w:rsidP="00166894" w14:paraId="494FD2CE" w14:textId="77777777">
            <w:pPr>
              <w:widowControl w:val="0"/>
              <w:spacing w:line="240" w:lineRule="auto"/>
              <w:rPr>
                <w:b/>
                <w:noProof/>
                <w:szCs w:val="22"/>
              </w:rPr>
            </w:pPr>
            <w:r w:rsidRPr="00D442F1">
              <w:rPr>
                <w:b/>
                <w:noProof/>
                <w:szCs w:val="22"/>
              </w:rPr>
              <w:t>Ireland</w:t>
            </w:r>
          </w:p>
          <w:p w:rsidR="00CE3C79" w:rsidRPr="00D442F1" w:rsidP="00166894" w14:paraId="16570C92" w14:textId="77777777">
            <w:pPr>
              <w:widowControl w:val="0"/>
              <w:spacing w:line="240" w:lineRule="auto"/>
              <w:rPr>
                <w:noProof/>
                <w:szCs w:val="22"/>
              </w:rPr>
            </w:pPr>
            <w:r w:rsidRPr="00D442F1">
              <w:rPr>
                <w:noProof/>
                <w:szCs w:val="22"/>
              </w:rPr>
              <w:t>Novartis Ireland Limited</w:t>
            </w:r>
          </w:p>
          <w:p w:rsidR="00CE3C79" w:rsidRPr="00D442F1" w:rsidP="00166894" w14:paraId="2489E773" w14:textId="77777777">
            <w:pPr>
              <w:widowControl w:val="0"/>
              <w:spacing w:line="240" w:lineRule="auto"/>
              <w:rPr>
                <w:noProof/>
                <w:szCs w:val="22"/>
              </w:rPr>
            </w:pPr>
            <w:r w:rsidRPr="00D442F1">
              <w:rPr>
                <w:noProof/>
                <w:szCs w:val="22"/>
              </w:rPr>
              <w:t>Tel: +353 1 260 12 55</w:t>
            </w:r>
          </w:p>
          <w:p w:rsidR="00CE3C79" w:rsidRPr="00D442F1" w:rsidP="00166894" w14:paraId="5980F946" w14:textId="77777777">
            <w:pPr>
              <w:widowControl w:val="0"/>
              <w:spacing w:line="240" w:lineRule="auto"/>
              <w:rPr>
                <w:noProof/>
                <w:szCs w:val="22"/>
              </w:rPr>
            </w:pPr>
          </w:p>
        </w:tc>
        <w:tc>
          <w:tcPr>
            <w:tcW w:w="4678" w:type="dxa"/>
            <w:hideMark/>
          </w:tcPr>
          <w:p w:rsidR="00CE3C79" w:rsidRPr="00D442F1" w:rsidP="00166894" w14:paraId="43E7CBBF" w14:textId="77777777">
            <w:pPr>
              <w:widowControl w:val="0"/>
              <w:spacing w:line="240" w:lineRule="auto"/>
              <w:rPr>
                <w:noProof/>
                <w:szCs w:val="22"/>
                <w:lang w:val="fr-CH"/>
              </w:rPr>
            </w:pPr>
            <w:r w:rsidRPr="00D442F1">
              <w:rPr>
                <w:b/>
                <w:noProof/>
                <w:szCs w:val="22"/>
                <w:lang w:val="fr-CH"/>
              </w:rPr>
              <w:t>Slovenija</w:t>
            </w:r>
          </w:p>
          <w:p w:rsidR="00CE3C79" w:rsidRPr="00D442F1" w:rsidP="00166894" w14:paraId="2E8025A5" w14:textId="77777777">
            <w:pPr>
              <w:widowControl w:val="0"/>
              <w:spacing w:line="240" w:lineRule="auto"/>
              <w:rPr>
                <w:noProof/>
                <w:szCs w:val="22"/>
                <w:lang w:val="fr-CH"/>
              </w:rPr>
            </w:pPr>
            <w:r w:rsidRPr="00D442F1">
              <w:rPr>
                <w:noProof/>
                <w:szCs w:val="22"/>
                <w:lang w:val="fr-CH"/>
              </w:rPr>
              <w:t>Novartis Pharma Services Inc.</w:t>
            </w:r>
          </w:p>
          <w:p w:rsidR="00CE3C79" w:rsidRPr="00D442F1" w:rsidP="00166894" w14:paraId="0530FAD2" w14:textId="77777777">
            <w:pPr>
              <w:widowControl w:val="0"/>
              <w:spacing w:line="240" w:lineRule="auto"/>
              <w:rPr>
                <w:noProof/>
                <w:szCs w:val="22"/>
              </w:rPr>
            </w:pPr>
            <w:r w:rsidRPr="00D442F1">
              <w:rPr>
                <w:noProof/>
                <w:szCs w:val="22"/>
              </w:rPr>
              <w:t>Tel: +386 1 300 75 50</w:t>
            </w:r>
          </w:p>
        </w:tc>
      </w:tr>
      <w:tr w14:paraId="64A144F1" w14:textId="77777777" w:rsidTr="00CE3C79">
        <w:tblPrEx>
          <w:tblW w:w="9360" w:type="dxa"/>
          <w:tblInd w:w="-34" w:type="dxa"/>
          <w:tblLayout w:type="fixed"/>
          <w:tblLook w:val="04A0"/>
        </w:tblPrEx>
        <w:trPr>
          <w:cantSplit/>
        </w:trPr>
        <w:tc>
          <w:tcPr>
            <w:tcW w:w="4678" w:type="dxa"/>
          </w:tcPr>
          <w:p w:rsidR="00CE3C79" w:rsidRPr="00D442F1" w:rsidP="00166894" w14:paraId="487BF272" w14:textId="77777777">
            <w:pPr>
              <w:widowControl w:val="0"/>
              <w:spacing w:line="240" w:lineRule="auto"/>
              <w:rPr>
                <w:b/>
                <w:noProof/>
                <w:szCs w:val="22"/>
              </w:rPr>
            </w:pPr>
            <w:r w:rsidRPr="00D442F1">
              <w:rPr>
                <w:b/>
                <w:noProof/>
                <w:szCs w:val="22"/>
              </w:rPr>
              <w:t>Ísland</w:t>
            </w:r>
          </w:p>
          <w:p w:rsidR="00CE3C79" w:rsidRPr="00D442F1" w:rsidP="00166894" w14:paraId="5610E88A" w14:textId="77777777">
            <w:pPr>
              <w:widowControl w:val="0"/>
              <w:spacing w:line="240" w:lineRule="auto"/>
              <w:rPr>
                <w:noProof/>
                <w:szCs w:val="22"/>
              </w:rPr>
            </w:pPr>
            <w:r w:rsidRPr="00D442F1">
              <w:rPr>
                <w:noProof/>
                <w:szCs w:val="22"/>
              </w:rPr>
              <w:t>Vistor hf.</w:t>
            </w:r>
          </w:p>
          <w:p w:rsidR="00CE3C79" w:rsidRPr="00D442F1" w:rsidP="00166894" w14:paraId="61B5C9E7" w14:textId="77777777">
            <w:pPr>
              <w:widowControl w:val="0"/>
              <w:spacing w:line="240" w:lineRule="auto"/>
              <w:rPr>
                <w:noProof/>
                <w:szCs w:val="22"/>
              </w:rPr>
            </w:pPr>
            <w:r w:rsidRPr="00D442F1">
              <w:rPr>
                <w:noProof/>
                <w:szCs w:val="22"/>
              </w:rPr>
              <w:t>Sími: +354 535 7000</w:t>
            </w:r>
          </w:p>
          <w:p w:rsidR="00CE3C79" w:rsidRPr="00D442F1" w:rsidP="00166894" w14:paraId="160F7F9B" w14:textId="77777777">
            <w:pPr>
              <w:widowControl w:val="0"/>
              <w:spacing w:line="240" w:lineRule="auto"/>
              <w:rPr>
                <w:noProof/>
                <w:szCs w:val="22"/>
              </w:rPr>
            </w:pPr>
          </w:p>
        </w:tc>
        <w:tc>
          <w:tcPr>
            <w:tcW w:w="4678" w:type="dxa"/>
          </w:tcPr>
          <w:p w:rsidR="00CE3C79" w:rsidRPr="00D442F1" w:rsidP="00166894" w14:paraId="6B9F2B3B" w14:textId="77777777">
            <w:pPr>
              <w:widowControl w:val="0"/>
              <w:spacing w:line="240" w:lineRule="auto"/>
              <w:rPr>
                <w:b/>
                <w:noProof/>
                <w:szCs w:val="22"/>
                <w:lang w:val="it-IT"/>
              </w:rPr>
            </w:pPr>
            <w:r w:rsidRPr="00D442F1">
              <w:rPr>
                <w:b/>
                <w:noProof/>
                <w:szCs w:val="22"/>
                <w:lang w:val="it-IT"/>
              </w:rPr>
              <w:t>Slovenská republika</w:t>
            </w:r>
          </w:p>
          <w:p w:rsidR="00CE3C79" w:rsidRPr="00D442F1" w:rsidP="00166894" w14:paraId="544A730A" w14:textId="77777777">
            <w:pPr>
              <w:widowControl w:val="0"/>
              <w:spacing w:line="240" w:lineRule="auto"/>
              <w:rPr>
                <w:noProof/>
                <w:szCs w:val="22"/>
                <w:lang w:val="it-IT"/>
              </w:rPr>
            </w:pPr>
            <w:r w:rsidRPr="00D442F1">
              <w:rPr>
                <w:noProof/>
                <w:szCs w:val="22"/>
                <w:lang w:val="it-IT"/>
              </w:rPr>
              <w:t>Novartis Slovakia s.r.o.</w:t>
            </w:r>
          </w:p>
          <w:p w:rsidR="00CE3C79" w:rsidRPr="00D442F1" w:rsidP="00166894" w14:paraId="472C232B" w14:textId="77777777">
            <w:pPr>
              <w:widowControl w:val="0"/>
              <w:spacing w:line="240" w:lineRule="auto"/>
              <w:rPr>
                <w:noProof/>
                <w:szCs w:val="22"/>
              </w:rPr>
            </w:pPr>
            <w:r w:rsidRPr="00D442F1">
              <w:rPr>
                <w:noProof/>
                <w:szCs w:val="22"/>
              </w:rPr>
              <w:t>Tel: +421 2 5542 5439</w:t>
            </w:r>
          </w:p>
          <w:p w:rsidR="00CE3C79" w:rsidRPr="00D442F1" w:rsidP="00166894" w14:paraId="034E0EFA" w14:textId="77777777">
            <w:pPr>
              <w:widowControl w:val="0"/>
              <w:spacing w:line="240" w:lineRule="auto"/>
              <w:rPr>
                <w:noProof/>
                <w:szCs w:val="22"/>
              </w:rPr>
            </w:pPr>
          </w:p>
        </w:tc>
      </w:tr>
      <w:tr w14:paraId="54882AD8" w14:textId="77777777" w:rsidTr="00CE3C79">
        <w:tblPrEx>
          <w:tblW w:w="9360" w:type="dxa"/>
          <w:tblInd w:w="-34" w:type="dxa"/>
          <w:tblLayout w:type="fixed"/>
          <w:tblLook w:val="04A0"/>
        </w:tblPrEx>
        <w:trPr>
          <w:cantSplit/>
        </w:trPr>
        <w:tc>
          <w:tcPr>
            <w:tcW w:w="4678" w:type="dxa"/>
            <w:hideMark/>
          </w:tcPr>
          <w:p w:rsidR="00CE3C79" w:rsidRPr="00176BAE" w:rsidP="00166894" w14:paraId="19DEAD45" w14:textId="77777777">
            <w:pPr>
              <w:widowControl w:val="0"/>
              <w:spacing w:line="240" w:lineRule="auto"/>
              <w:rPr>
                <w:b/>
                <w:noProof/>
                <w:szCs w:val="22"/>
                <w:lang w:val="es-ES"/>
              </w:rPr>
            </w:pPr>
            <w:r w:rsidRPr="00176BAE">
              <w:rPr>
                <w:b/>
                <w:noProof/>
                <w:szCs w:val="22"/>
                <w:lang w:val="es-ES"/>
              </w:rPr>
              <w:t>Italia</w:t>
            </w:r>
          </w:p>
          <w:p w:rsidR="00CE3C79" w:rsidRPr="00176BAE" w:rsidP="00166894" w14:paraId="0EA9E0C6" w14:textId="77777777">
            <w:pPr>
              <w:widowControl w:val="0"/>
              <w:spacing w:line="240" w:lineRule="auto"/>
              <w:rPr>
                <w:noProof/>
                <w:szCs w:val="22"/>
                <w:lang w:val="es-ES"/>
              </w:rPr>
            </w:pPr>
            <w:r w:rsidRPr="00176BAE">
              <w:rPr>
                <w:noProof/>
                <w:szCs w:val="22"/>
                <w:lang w:val="es-ES"/>
              </w:rPr>
              <w:t>Novartis Farma S.p.A.</w:t>
            </w:r>
          </w:p>
          <w:p w:rsidR="00CE3C79" w:rsidRPr="00D442F1" w:rsidP="00166894" w14:paraId="2620C1F4" w14:textId="77777777">
            <w:pPr>
              <w:widowControl w:val="0"/>
              <w:spacing w:line="240" w:lineRule="auto"/>
              <w:rPr>
                <w:noProof/>
                <w:szCs w:val="22"/>
              </w:rPr>
            </w:pPr>
            <w:r w:rsidRPr="00D442F1">
              <w:rPr>
                <w:noProof/>
                <w:szCs w:val="22"/>
              </w:rPr>
              <w:t>Tel: +39 02 96 54 1</w:t>
            </w:r>
          </w:p>
        </w:tc>
        <w:tc>
          <w:tcPr>
            <w:tcW w:w="4678" w:type="dxa"/>
          </w:tcPr>
          <w:p w:rsidR="00CE3C79" w:rsidRPr="00176BAE" w:rsidP="00166894" w14:paraId="51BD860E" w14:textId="77777777">
            <w:pPr>
              <w:widowControl w:val="0"/>
              <w:spacing w:line="240" w:lineRule="auto"/>
              <w:rPr>
                <w:noProof/>
                <w:szCs w:val="22"/>
                <w:lang w:val="de-CH"/>
              </w:rPr>
            </w:pPr>
            <w:r w:rsidRPr="00176BAE">
              <w:rPr>
                <w:b/>
                <w:noProof/>
                <w:szCs w:val="22"/>
                <w:lang w:val="de-CH"/>
              </w:rPr>
              <w:t>Suomi/Finland</w:t>
            </w:r>
          </w:p>
          <w:p w:rsidR="00CE3C79" w:rsidRPr="00176BAE" w:rsidP="00166894" w14:paraId="6ECCADCF" w14:textId="77777777">
            <w:pPr>
              <w:widowControl w:val="0"/>
              <w:spacing w:line="240" w:lineRule="auto"/>
              <w:rPr>
                <w:noProof/>
                <w:szCs w:val="22"/>
                <w:lang w:val="de-CH"/>
              </w:rPr>
            </w:pPr>
            <w:r w:rsidRPr="00176BAE">
              <w:rPr>
                <w:noProof/>
                <w:szCs w:val="22"/>
                <w:lang w:val="de-CH"/>
              </w:rPr>
              <w:t>Novartis Finland Oy</w:t>
            </w:r>
          </w:p>
          <w:p w:rsidR="00CE3C79" w:rsidRPr="00176BAE" w:rsidP="00166894" w14:paraId="3D34DF87" w14:textId="77777777">
            <w:pPr>
              <w:widowControl w:val="0"/>
              <w:spacing w:line="240" w:lineRule="auto"/>
              <w:rPr>
                <w:noProof/>
                <w:szCs w:val="22"/>
                <w:lang w:val="de-CH"/>
              </w:rPr>
            </w:pPr>
            <w:r w:rsidRPr="00176BAE">
              <w:rPr>
                <w:noProof/>
                <w:szCs w:val="22"/>
                <w:lang w:val="de-CH"/>
              </w:rPr>
              <w:t>Puh/Tel: +358 (0)10 6133 200</w:t>
            </w:r>
          </w:p>
          <w:p w:rsidR="00CE3C79" w:rsidRPr="00176BAE" w:rsidP="00166894" w14:paraId="3070054D" w14:textId="77777777">
            <w:pPr>
              <w:widowControl w:val="0"/>
              <w:spacing w:line="240" w:lineRule="auto"/>
              <w:rPr>
                <w:noProof/>
                <w:szCs w:val="22"/>
                <w:lang w:val="de-CH"/>
              </w:rPr>
            </w:pPr>
          </w:p>
        </w:tc>
      </w:tr>
      <w:tr w14:paraId="1AD6C6A2" w14:textId="77777777" w:rsidTr="00CE3C79">
        <w:tblPrEx>
          <w:tblW w:w="9360" w:type="dxa"/>
          <w:tblInd w:w="-34" w:type="dxa"/>
          <w:tblLayout w:type="fixed"/>
          <w:tblLook w:val="04A0"/>
        </w:tblPrEx>
        <w:trPr>
          <w:cantSplit/>
        </w:trPr>
        <w:tc>
          <w:tcPr>
            <w:tcW w:w="4678" w:type="dxa"/>
          </w:tcPr>
          <w:p w:rsidR="00CE3C79" w:rsidRPr="00D442F1" w:rsidP="00166894" w14:paraId="06E09270" w14:textId="77777777">
            <w:pPr>
              <w:widowControl w:val="0"/>
              <w:spacing w:line="240" w:lineRule="auto"/>
              <w:rPr>
                <w:b/>
                <w:noProof/>
                <w:szCs w:val="22"/>
                <w:lang w:val="fr-CH"/>
              </w:rPr>
            </w:pPr>
            <w:r w:rsidRPr="00D442F1">
              <w:rPr>
                <w:b/>
                <w:noProof/>
                <w:szCs w:val="22"/>
              </w:rPr>
              <w:t>Κύπρος</w:t>
            </w:r>
          </w:p>
          <w:p w:rsidR="00CE3C79" w:rsidRPr="00D442F1" w:rsidP="00166894" w14:paraId="705E90BA" w14:textId="77777777">
            <w:pPr>
              <w:widowControl w:val="0"/>
              <w:spacing w:line="240" w:lineRule="auto"/>
              <w:rPr>
                <w:noProof/>
                <w:szCs w:val="22"/>
                <w:lang w:val="fr-CH"/>
              </w:rPr>
            </w:pPr>
            <w:r w:rsidRPr="00D442F1">
              <w:rPr>
                <w:noProof/>
                <w:szCs w:val="22"/>
                <w:lang w:val="fr-CH"/>
              </w:rPr>
              <w:t>Novartis Pharma Services Inc.</w:t>
            </w:r>
          </w:p>
          <w:p w:rsidR="00CE3C79" w:rsidRPr="00D442F1" w:rsidP="00166894" w14:paraId="76E318B1" w14:textId="77777777">
            <w:pPr>
              <w:widowControl w:val="0"/>
              <w:spacing w:line="240" w:lineRule="auto"/>
              <w:rPr>
                <w:noProof/>
                <w:szCs w:val="22"/>
              </w:rPr>
            </w:pPr>
            <w:r w:rsidRPr="00D442F1">
              <w:rPr>
                <w:noProof/>
                <w:szCs w:val="22"/>
              </w:rPr>
              <w:t>Τηλ: +357 22 690 690</w:t>
            </w:r>
          </w:p>
          <w:p w:rsidR="00CE3C79" w:rsidRPr="00D442F1" w:rsidP="00166894" w14:paraId="01373883" w14:textId="77777777">
            <w:pPr>
              <w:widowControl w:val="0"/>
              <w:spacing w:line="240" w:lineRule="auto"/>
              <w:rPr>
                <w:noProof/>
                <w:szCs w:val="22"/>
              </w:rPr>
            </w:pPr>
          </w:p>
        </w:tc>
        <w:tc>
          <w:tcPr>
            <w:tcW w:w="4678" w:type="dxa"/>
          </w:tcPr>
          <w:p w:rsidR="00CE3C79" w:rsidRPr="00D442F1" w:rsidP="00166894" w14:paraId="3E7FB6F5" w14:textId="77777777">
            <w:pPr>
              <w:widowControl w:val="0"/>
              <w:spacing w:line="240" w:lineRule="auto"/>
              <w:rPr>
                <w:b/>
                <w:noProof/>
                <w:szCs w:val="22"/>
                <w:lang w:val="de-CH"/>
              </w:rPr>
            </w:pPr>
            <w:r w:rsidRPr="00D442F1">
              <w:rPr>
                <w:b/>
                <w:noProof/>
                <w:szCs w:val="22"/>
                <w:lang w:val="de-CH"/>
              </w:rPr>
              <w:t>Sverige</w:t>
            </w:r>
          </w:p>
          <w:p w:rsidR="00CE3C79" w:rsidRPr="00D442F1" w:rsidP="00166894" w14:paraId="449AA5C7" w14:textId="77777777">
            <w:pPr>
              <w:widowControl w:val="0"/>
              <w:spacing w:line="240" w:lineRule="auto"/>
              <w:rPr>
                <w:noProof/>
                <w:szCs w:val="22"/>
                <w:lang w:val="de-CH"/>
              </w:rPr>
            </w:pPr>
            <w:r w:rsidRPr="00D442F1">
              <w:rPr>
                <w:noProof/>
                <w:szCs w:val="22"/>
                <w:lang w:val="de-CH"/>
              </w:rPr>
              <w:t>Novartis Sverige AB</w:t>
            </w:r>
          </w:p>
          <w:p w:rsidR="00CE3C79" w:rsidRPr="00D442F1" w:rsidP="00166894" w14:paraId="7BD6A140" w14:textId="77777777">
            <w:pPr>
              <w:widowControl w:val="0"/>
              <w:spacing w:line="240" w:lineRule="auto"/>
              <w:rPr>
                <w:noProof/>
                <w:szCs w:val="22"/>
                <w:lang w:val="de-CH"/>
              </w:rPr>
            </w:pPr>
            <w:r w:rsidRPr="00D442F1">
              <w:rPr>
                <w:noProof/>
                <w:szCs w:val="22"/>
                <w:lang w:val="de-CH"/>
              </w:rPr>
              <w:t>Tel: +46 8 732 32 00</w:t>
            </w:r>
          </w:p>
          <w:p w:rsidR="00CE3C79" w:rsidRPr="00D442F1" w:rsidP="00166894" w14:paraId="73F50BE8" w14:textId="77777777">
            <w:pPr>
              <w:widowControl w:val="0"/>
              <w:spacing w:line="240" w:lineRule="auto"/>
              <w:rPr>
                <w:noProof/>
                <w:szCs w:val="22"/>
                <w:lang w:val="de-CH"/>
              </w:rPr>
            </w:pPr>
          </w:p>
        </w:tc>
      </w:tr>
      <w:tr w14:paraId="66CDD9FC" w14:textId="77777777" w:rsidTr="00CE3C79">
        <w:tblPrEx>
          <w:tblW w:w="9360" w:type="dxa"/>
          <w:tblInd w:w="-34" w:type="dxa"/>
          <w:tblLayout w:type="fixed"/>
          <w:tblLook w:val="04A0"/>
        </w:tblPrEx>
        <w:trPr>
          <w:cantSplit/>
        </w:trPr>
        <w:tc>
          <w:tcPr>
            <w:tcW w:w="4678" w:type="dxa"/>
          </w:tcPr>
          <w:p w:rsidR="00CE3C79" w:rsidRPr="00D442F1" w:rsidP="00166894" w14:paraId="3C8EF85D" w14:textId="77777777">
            <w:pPr>
              <w:widowControl w:val="0"/>
              <w:spacing w:line="240" w:lineRule="auto"/>
              <w:rPr>
                <w:b/>
                <w:noProof/>
                <w:szCs w:val="22"/>
                <w:lang w:val="it-IT"/>
              </w:rPr>
            </w:pPr>
            <w:r w:rsidRPr="00D442F1">
              <w:rPr>
                <w:b/>
                <w:noProof/>
                <w:szCs w:val="22"/>
                <w:lang w:val="it-IT"/>
              </w:rPr>
              <w:t>Latvija</w:t>
            </w:r>
          </w:p>
          <w:p w:rsidR="00CE3C79" w:rsidRPr="00D442F1" w:rsidP="00166894" w14:paraId="53DAD483" w14:textId="5BCA54A7">
            <w:pPr>
              <w:widowControl w:val="0"/>
              <w:spacing w:line="240" w:lineRule="auto"/>
              <w:rPr>
                <w:noProof/>
                <w:szCs w:val="22"/>
                <w:lang w:val="it-IT"/>
              </w:rPr>
            </w:pPr>
            <w:r w:rsidRPr="00D442F1">
              <w:rPr>
                <w:noProof/>
                <w:szCs w:val="22"/>
                <w:lang w:val="it-IT"/>
              </w:rPr>
              <w:t>SIA Novartis Baltics</w:t>
            </w:r>
          </w:p>
          <w:p w:rsidR="00CE3C79" w:rsidRPr="00D442F1" w:rsidP="00166894" w14:paraId="0D177F6F" w14:textId="77777777">
            <w:pPr>
              <w:widowControl w:val="0"/>
              <w:spacing w:line="240" w:lineRule="auto"/>
              <w:rPr>
                <w:noProof/>
                <w:szCs w:val="22"/>
                <w:lang w:val="it-IT"/>
              </w:rPr>
            </w:pPr>
            <w:r w:rsidRPr="00D442F1">
              <w:rPr>
                <w:noProof/>
                <w:szCs w:val="22"/>
                <w:lang w:val="it-IT"/>
              </w:rPr>
              <w:t>Tel: +371 67 887 070</w:t>
            </w:r>
          </w:p>
          <w:p w:rsidR="00CE3C79" w:rsidRPr="00D442F1" w:rsidP="00166894" w14:paraId="598070A2" w14:textId="77777777">
            <w:pPr>
              <w:widowControl w:val="0"/>
              <w:spacing w:line="240" w:lineRule="auto"/>
              <w:rPr>
                <w:noProof/>
                <w:szCs w:val="22"/>
                <w:lang w:val="it-IT"/>
              </w:rPr>
            </w:pPr>
          </w:p>
        </w:tc>
        <w:tc>
          <w:tcPr>
            <w:tcW w:w="4678" w:type="dxa"/>
          </w:tcPr>
          <w:p w:rsidR="00CE3C79" w:rsidRPr="00D442F1" w:rsidP="00166894" w14:paraId="2F6DD03E" w14:textId="77777777">
            <w:pPr>
              <w:widowControl w:val="0"/>
              <w:spacing w:line="240" w:lineRule="auto"/>
              <w:rPr>
                <w:b/>
                <w:noProof/>
                <w:szCs w:val="22"/>
              </w:rPr>
            </w:pPr>
            <w:r w:rsidRPr="00D442F1">
              <w:rPr>
                <w:b/>
                <w:noProof/>
                <w:szCs w:val="22"/>
              </w:rPr>
              <w:t>United Kingdom</w:t>
            </w:r>
          </w:p>
          <w:p w:rsidR="00CE3C79" w:rsidRPr="00D442F1" w:rsidP="00166894" w14:paraId="22DAA8C0" w14:textId="77777777">
            <w:pPr>
              <w:widowControl w:val="0"/>
              <w:spacing w:line="240" w:lineRule="auto"/>
              <w:rPr>
                <w:noProof/>
                <w:szCs w:val="22"/>
              </w:rPr>
            </w:pPr>
            <w:r w:rsidRPr="00D442F1">
              <w:rPr>
                <w:noProof/>
                <w:szCs w:val="22"/>
              </w:rPr>
              <w:t>Novartis Pharmaceuticals UK Ltd.</w:t>
            </w:r>
          </w:p>
          <w:p w:rsidR="00CE3C79" w:rsidRPr="00D442F1" w:rsidP="00166894" w14:paraId="39889981" w14:textId="77777777">
            <w:pPr>
              <w:widowControl w:val="0"/>
              <w:spacing w:line="240" w:lineRule="auto"/>
              <w:rPr>
                <w:noProof/>
                <w:szCs w:val="22"/>
              </w:rPr>
            </w:pPr>
            <w:r w:rsidRPr="00D442F1">
              <w:rPr>
                <w:noProof/>
                <w:szCs w:val="22"/>
              </w:rPr>
              <w:t>Tel: +44 1276 698370</w:t>
            </w:r>
          </w:p>
          <w:p w:rsidR="00CE3C79" w:rsidRPr="00D442F1" w:rsidP="00166894" w14:paraId="4875B5D7" w14:textId="77777777">
            <w:pPr>
              <w:widowControl w:val="0"/>
              <w:spacing w:line="240" w:lineRule="auto"/>
              <w:rPr>
                <w:noProof/>
                <w:szCs w:val="22"/>
              </w:rPr>
            </w:pPr>
          </w:p>
        </w:tc>
      </w:tr>
    </w:tbl>
    <w:p w:rsidR="00CE3C79" w:rsidRPr="00D442F1" w:rsidP="00166894" w14:paraId="0230936F" w14:textId="77777777">
      <w:pPr>
        <w:widowControl w:val="0"/>
        <w:tabs>
          <w:tab w:val="clear" w:pos="567"/>
        </w:tabs>
        <w:rPr>
          <w:szCs w:val="22"/>
        </w:rPr>
      </w:pPr>
    </w:p>
    <w:p w:rsidR="00CE3C79" w:rsidRPr="00D442F1" w:rsidP="00166894" w14:paraId="1C94B89B" w14:textId="77777777">
      <w:pPr>
        <w:widowControl w:val="0"/>
        <w:numPr>
          <w:ilvl w:val="12"/>
          <w:numId w:val="0"/>
        </w:numPr>
        <w:tabs>
          <w:tab w:val="clear" w:pos="567"/>
        </w:tabs>
        <w:spacing w:line="240" w:lineRule="auto"/>
        <w:ind w:right="-2"/>
        <w:outlineLvl w:val="0"/>
        <w:rPr>
          <w:noProof/>
          <w:szCs w:val="22"/>
        </w:rPr>
      </w:pPr>
      <w:r w:rsidRPr="00D442F1">
        <w:rPr>
          <w:b/>
          <w:noProof/>
          <w:szCs w:val="22"/>
        </w:rPr>
        <w:t>This leaflet was last revised in</w:t>
      </w:r>
    </w:p>
    <w:p w:rsidR="00CE3C79" w:rsidRPr="00D442F1" w:rsidP="00166894" w14:paraId="107ADD64" w14:textId="77777777">
      <w:pPr>
        <w:widowControl w:val="0"/>
        <w:numPr>
          <w:ilvl w:val="12"/>
          <w:numId w:val="0"/>
        </w:numPr>
        <w:tabs>
          <w:tab w:val="clear" w:pos="567"/>
        </w:tabs>
        <w:spacing w:line="240" w:lineRule="auto"/>
        <w:ind w:right="-2"/>
        <w:rPr>
          <w:noProof/>
          <w:szCs w:val="22"/>
        </w:rPr>
      </w:pPr>
    </w:p>
    <w:p w:rsidR="00CE3C79" w:rsidRPr="00D442F1" w:rsidP="00166894" w14:paraId="548C0FF5" w14:textId="77777777">
      <w:pPr>
        <w:keepNext/>
        <w:widowControl w:val="0"/>
        <w:numPr>
          <w:ilvl w:val="12"/>
          <w:numId w:val="0"/>
        </w:numPr>
        <w:tabs>
          <w:tab w:val="clear" w:pos="567"/>
        </w:tabs>
        <w:spacing w:line="240" w:lineRule="auto"/>
        <w:rPr>
          <w:b/>
          <w:noProof/>
          <w:szCs w:val="22"/>
        </w:rPr>
      </w:pPr>
      <w:r w:rsidRPr="00D442F1">
        <w:rPr>
          <w:b/>
          <w:noProof/>
          <w:szCs w:val="22"/>
        </w:rPr>
        <w:t>Other sources of information</w:t>
      </w:r>
    </w:p>
    <w:p w:rsidR="00CE3C79" w:rsidRPr="00D442F1" w:rsidP="00166894" w14:paraId="1C4D008C" w14:textId="77777777">
      <w:pPr>
        <w:keepNext/>
        <w:widowControl w:val="0"/>
        <w:numPr>
          <w:ilvl w:val="12"/>
          <w:numId w:val="0"/>
        </w:numPr>
        <w:tabs>
          <w:tab w:val="clear" w:pos="567"/>
        </w:tabs>
        <w:spacing w:line="240" w:lineRule="auto"/>
        <w:rPr>
          <w:szCs w:val="22"/>
        </w:rPr>
      </w:pPr>
    </w:p>
    <w:p w:rsidR="00CE3C79" w:rsidRPr="00D442F1" w:rsidP="00166894" w14:paraId="511ACCD5" w14:textId="77777777">
      <w:pPr>
        <w:widowControl w:val="0"/>
        <w:numPr>
          <w:ilvl w:val="12"/>
          <w:numId w:val="0"/>
        </w:numPr>
        <w:tabs>
          <w:tab w:val="clear" w:pos="567"/>
        </w:tabs>
        <w:spacing w:line="240" w:lineRule="auto"/>
        <w:ind w:right="-2"/>
        <w:rPr>
          <w:noProof/>
          <w:szCs w:val="22"/>
        </w:rPr>
      </w:pPr>
      <w:r w:rsidRPr="00D442F1">
        <w:rPr>
          <w:szCs w:val="22"/>
        </w:rPr>
        <w:t xml:space="preserve">Detailed information on this medicine is available on the European Medicines Agency web site: </w:t>
      </w:r>
      <w:r>
        <w:fldChar w:fldCharType="begin"/>
      </w:r>
      <w:r>
        <w:instrText xml:space="preserve"> HYPERLINK </w:instrText>
      </w:r>
      <w:r>
        <w:fldChar w:fldCharType="separate"/>
      </w:r>
      <w:r w:rsidRPr="00D442F1">
        <w:rPr>
          <w:rStyle w:val="Hyperlink"/>
          <w:noProof/>
          <w:szCs w:val="22"/>
        </w:rPr>
        <w:t>http://www.ema.europa.eu</w:t>
      </w:r>
      <w:r>
        <w:fldChar w:fldCharType="end"/>
      </w:r>
    </w:p>
    <w:p w:rsidR="00CE3C79" w:rsidRPr="00D442F1" w:rsidP="00166894" w14:paraId="0C30D648" w14:textId="77777777">
      <w:pPr>
        <w:widowControl w:val="0"/>
        <w:numPr>
          <w:ilvl w:val="12"/>
          <w:numId w:val="0"/>
        </w:numPr>
        <w:tabs>
          <w:tab w:val="clear" w:pos="567"/>
        </w:tabs>
        <w:spacing w:line="240" w:lineRule="auto"/>
        <w:ind w:left="-37" w:right="-28"/>
        <w:rPr>
          <w:b/>
          <w:bCs/>
          <w:color w:val="000000"/>
          <w:szCs w:val="22"/>
        </w:rPr>
      </w:pPr>
      <w:r w:rsidRPr="00D442F1">
        <w:rPr>
          <w:b/>
          <w:bCs/>
          <w:color w:val="000000"/>
          <w:szCs w:val="22"/>
        </w:rPr>
        <w:br w:type="page"/>
        <w:t>The following information is intended for healthcare professionals only:</w:t>
      </w:r>
    </w:p>
    <w:p w:rsidR="00CE3C79" w:rsidRPr="00D442F1" w:rsidP="00166894" w14:paraId="489945E6" w14:textId="77777777">
      <w:pPr>
        <w:widowControl w:val="0"/>
        <w:numPr>
          <w:ilvl w:val="12"/>
          <w:numId w:val="0"/>
        </w:numPr>
        <w:tabs>
          <w:tab w:val="clear" w:pos="567"/>
        </w:tabs>
        <w:spacing w:line="240" w:lineRule="auto"/>
        <w:ind w:left="-37" w:right="-28"/>
        <w:rPr>
          <w:bCs/>
          <w:color w:val="000000"/>
          <w:szCs w:val="22"/>
        </w:rPr>
      </w:pPr>
    </w:p>
    <w:p w:rsidR="00CE3C79" w:rsidRPr="00D442F1" w:rsidP="00166894" w14:paraId="3B1B55CE" w14:textId="77777777">
      <w:pPr>
        <w:keepNext/>
        <w:widowControl w:val="0"/>
        <w:tabs>
          <w:tab w:val="clear" w:pos="567"/>
        </w:tabs>
        <w:spacing w:line="240" w:lineRule="auto"/>
        <w:rPr>
          <w:noProof/>
          <w:szCs w:val="22"/>
          <w:u w:val="single"/>
        </w:rPr>
      </w:pPr>
      <w:r w:rsidRPr="00D442F1">
        <w:rPr>
          <w:noProof/>
          <w:szCs w:val="22"/>
          <w:u w:val="single"/>
        </w:rPr>
        <w:t>Preparation of t</w:t>
      </w:r>
      <w:r w:rsidRPr="00D442F1">
        <w:rPr>
          <w:noProof/>
          <w:szCs w:val="22"/>
          <w:u w:val="single"/>
        </w:rPr>
        <w:t>he infusion bag</w:t>
      </w:r>
    </w:p>
    <w:p w:rsidR="00CE3C79" w:rsidRPr="00385FB9" w:rsidP="00166894" w14:paraId="22B7A418" w14:textId="7C1E7C08">
      <w:pPr>
        <w:widowControl w:val="0"/>
        <w:tabs>
          <w:tab w:val="clear" w:pos="567"/>
        </w:tabs>
        <w:spacing w:line="240" w:lineRule="auto"/>
        <w:ind w:right="-2"/>
        <w:rPr>
          <w:noProof/>
          <w:szCs w:val="22"/>
        </w:rPr>
      </w:pPr>
      <w:r w:rsidRPr="00D442F1">
        <w:rPr>
          <w:szCs w:val="22"/>
        </w:rPr>
        <w:t xml:space="preserve">The timing of thaw of Kymriah and of infusion should be coordinated. Confirm the infusion time in advance and adjust the start time for thaw so that Kymriah is available for infusion when the recipient is ready. Once Kymriah has been thawed </w:t>
      </w:r>
      <w:r w:rsidRPr="00385FB9">
        <w:rPr>
          <w:szCs w:val="22"/>
        </w:rPr>
        <w:t>and is at room temperature</w:t>
      </w:r>
      <w:r w:rsidRPr="00385FB9" w:rsidR="004B0108">
        <w:rPr>
          <w:szCs w:val="22"/>
        </w:rPr>
        <w:t xml:space="preserve"> (20</w:t>
      </w:r>
      <w:r w:rsidRPr="00385FB9" w:rsidR="00166894">
        <w:rPr>
          <w:szCs w:val="22"/>
        </w:rPr>
        <w:t>°C</w:t>
      </w:r>
      <w:r w:rsidRPr="00385FB9" w:rsidR="004B0108">
        <w:rPr>
          <w:szCs w:val="22"/>
        </w:rPr>
        <w:noBreakHyphen/>
        <w:t>25°C)</w:t>
      </w:r>
      <w:r w:rsidRPr="00385FB9">
        <w:rPr>
          <w:szCs w:val="22"/>
        </w:rPr>
        <w:t>, it should be infused within 30 minutes to maintain maximum product viability, including any interruption during the infusion.</w:t>
      </w:r>
    </w:p>
    <w:p w:rsidR="00CE3C79" w:rsidRPr="00385FB9" w:rsidP="00166894" w14:paraId="7A1EE18A" w14:textId="77777777">
      <w:pPr>
        <w:widowControl w:val="0"/>
        <w:tabs>
          <w:tab w:val="clear" w:pos="567"/>
        </w:tabs>
        <w:spacing w:line="240" w:lineRule="auto"/>
        <w:ind w:right="-2"/>
        <w:rPr>
          <w:noProof/>
          <w:szCs w:val="22"/>
        </w:rPr>
      </w:pPr>
    </w:p>
    <w:p w:rsidR="00CE3C79" w:rsidRPr="00385FB9" w:rsidP="00166894" w14:paraId="0DBF6D83" w14:textId="36E75B7B">
      <w:pPr>
        <w:widowControl w:val="0"/>
        <w:tabs>
          <w:tab w:val="clear" w:pos="567"/>
        </w:tabs>
        <w:spacing w:line="240" w:lineRule="auto"/>
        <w:ind w:right="-2"/>
        <w:rPr>
          <w:noProof/>
          <w:szCs w:val="22"/>
        </w:rPr>
      </w:pPr>
      <w:r w:rsidRPr="00385FB9">
        <w:rPr>
          <w:szCs w:val="22"/>
        </w:rPr>
        <w:t>The infusion bag should be placed inside a second, sterile bag</w:t>
      </w:r>
      <w:r w:rsidRPr="00385FB9" w:rsidR="002E0A7B">
        <w:rPr>
          <w:szCs w:val="22"/>
        </w:rPr>
        <w:t xml:space="preserve"> during thawing</w:t>
      </w:r>
      <w:r w:rsidRPr="00385FB9">
        <w:rPr>
          <w:szCs w:val="22"/>
        </w:rPr>
        <w:t xml:space="preserve"> to protect ports from contamination</w:t>
      </w:r>
      <w:r w:rsidRPr="00385FB9" w:rsidR="002E0A7B">
        <w:rPr>
          <w:szCs w:val="22"/>
        </w:rPr>
        <w:t xml:space="preserve"> and avoid spills in the unlikely event of the bag leaking</w:t>
      </w:r>
      <w:r w:rsidRPr="00385FB9">
        <w:rPr>
          <w:szCs w:val="22"/>
        </w:rPr>
        <w:t xml:space="preserve">. </w:t>
      </w:r>
      <w:r w:rsidRPr="00385FB9">
        <w:rPr>
          <w:noProof/>
          <w:szCs w:val="22"/>
        </w:rPr>
        <w:t>Kymriah should be thawed at 37°C using either a water bath or dry thaw method until there is no visible ice in the infusion bag. The bag should be removed immediately from the thawing device and</w:t>
      </w:r>
      <w:r w:rsidRPr="00385FB9" w:rsidR="00912442">
        <w:rPr>
          <w:noProof/>
          <w:szCs w:val="22"/>
        </w:rPr>
        <w:t xml:space="preserve"> kept at room temperature </w:t>
      </w:r>
      <w:r w:rsidRPr="00385FB9" w:rsidR="004B0108">
        <w:rPr>
          <w:szCs w:val="22"/>
        </w:rPr>
        <w:t>(20</w:t>
      </w:r>
      <w:r w:rsidRPr="00385FB9" w:rsidR="00507780">
        <w:rPr>
          <w:szCs w:val="22"/>
        </w:rPr>
        <w:t>°C</w:t>
      </w:r>
      <w:r w:rsidRPr="00385FB9" w:rsidR="004B0108">
        <w:rPr>
          <w:szCs w:val="22"/>
        </w:rPr>
        <w:noBreakHyphen/>
        <w:t xml:space="preserve">25°C) </w:t>
      </w:r>
      <w:r w:rsidRPr="00385FB9" w:rsidR="00912442">
        <w:rPr>
          <w:noProof/>
          <w:szCs w:val="22"/>
        </w:rPr>
        <w:t>until infusion</w:t>
      </w:r>
      <w:r w:rsidRPr="00385FB9">
        <w:rPr>
          <w:noProof/>
          <w:szCs w:val="22"/>
        </w:rPr>
        <w:t xml:space="preserve">. If more than one </w:t>
      </w:r>
      <w:r w:rsidRPr="00385FB9" w:rsidR="003A7AC5">
        <w:rPr>
          <w:noProof/>
          <w:szCs w:val="22"/>
        </w:rPr>
        <w:t xml:space="preserve">infusion </w:t>
      </w:r>
      <w:r w:rsidRPr="00385FB9">
        <w:rPr>
          <w:noProof/>
          <w:szCs w:val="22"/>
        </w:rPr>
        <w:t>bag has been received for the treatment dose</w:t>
      </w:r>
      <w:r w:rsidRPr="00385FB9" w:rsidR="00327FE4">
        <w:rPr>
          <w:noProof/>
          <w:szCs w:val="22"/>
        </w:rPr>
        <w:t xml:space="preserve"> (refer to the batch certificate for number of bags constituting one dose)</w:t>
      </w:r>
      <w:r w:rsidRPr="00385FB9">
        <w:rPr>
          <w:noProof/>
          <w:szCs w:val="22"/>
        </w:rPr>
        <w:t xml:space="preserve">, the </w:t>
      </w:r>
      <w:r w:rsidRPr="00385FB9" w:rsidR="00912442">
        <w:rPr>
          <w:noProof/>
          <w:szCs w:val="22"/>
        </w:rPr>
        <w:t xml:space="preserve">next </w:t>
      </w:r>
      <w:r w:rsidRPr="00385FB9">
        <w:rPr>
          <w:noProof/>
          <w:szCs w:val="22"/>
        </w:rPr>
        <w:t xml:space="preserve">bag should </w:t>
      </w:r>
      <w:r w:rsidRPr="00385FB9" w:rsidR="00EB751B">
        <w:rPr>
          <w:noProof/>
          <w:szCs w:val="22"/>
        </w:rPr>
        <w:t xml:space="preserve">only be </w:t>
      </w:r>
      <w:r w:rsidRPr="00385FB9">
        <w:rPr>
          <w:noProof/>
          <w:szCs w:val="22"/>
        </w:rPr>
        <w:t xml:space="preserve">thawed after the contents of the </w:t>
      </w:r>
      <w:r w:rsidRPr="00385FB9" w:rsidR="00C91908">
        <w:rPr>
          <w:noProof/>
          <w:szCs w:val="22"/>
        </w:rPr>
        <w:t xml:space="preserve">preceding </w:t>
      </w:r>
      <w:r w:rsidRPr="00385FB9">
        <w:rPr>
          <w:noProof/>
          <w:szCs w:val="22"/>
        </w:rPr>
        <w:t>bag have been infused.</w:t>
      </w:r>
    </w:p>
    <w:p w:rsidR="00CE3C79" w:rsidRPr="00385FB9" w:rsidP="00166894" w14:paraId="03D8F02B" w14:textId="77777777">
      <w:pPr>
        <w:widowControl w:val="0"/>
        <w:tabs>
          <w:tab w:val="clear" w:pos="567"/>
        </w:tabs>
        <w:spacing w:line="240" w:lineRule="auto"/>
        <w:ind w:right="-2"/>
        <w:rPr>
          <w:noProof/>
          <w:szCs w:val="22"/>
        </w:rPr>
      </w:pPr>
    </w:p>
    <w:p w:rsidR="00EB751B" w:rsidRPr="00385FB9" w:rsidP="00166894" w14:paraId="3482503A" w14:textId="77777777">
      <w:pPr>
        <w:widowControl w:val="0"/>
        <w:tabs>
          <w:tab w:val="clear" w:pos="567"/>
        </w:tabs>
        <w:spacing w:line="240" w:lineRule="auto"/>
        <w:ind w:right="-2"/>
        <w:rPr>
          <w:noProof/>
          <w:szCs w:val="22"/>
        </w:rPr>
      </w:pPr>
      <w:r w:rsidRPr="00385FB9">
        <w:rPr>
          <w:noProof/>
          <w:szCs w:val="22"/>
        </w:rPr>
        <w:t>Kymriah should not be manipulated. For example, Kymriah should not be washed (spun down and resuspended in new media) prior to infusion</w:t>
      </w:r>
      <w:r w:rsidRPr="00385FB9" w:rsidR="00507780">
        <w:rPr>
          <w:noProof/>
          <w:szCs w:val="22"/>
        </w:rPr>
        <w:t>.</w:t>
      </w:r>
    </w:p>
    <w:p w:rsidR="00835F8C" w:rsidRPr="00385FB9" w:rsidP="00166894" w14:paraId="064C9A2A" w14:textId="77777777">
      <w:pPr>
        <w:widowControl w:val="0"/>
        <w:tabs>
          <w:tab w:val="clear" w:pos="567"/>
        </w:tabs>
        <w:spacing w:line="240" w:lineRule="auto"/>
        <w:ind w:right="-2"/>
        <w:rPr>
          <w:noProof/>
          <w:szCs w:val="22"/>
        </w:rPr>
      </w:pPr>
    </w:p>
    <w:p w:rsidR="00CE3C79" w:rsidRPr="00385FB9" w:rsidP="00166894" w14:paraId="43C2EF9C" w14:textId="3889384A">
      <w:pPr>
        <w:widowControl w:val="0"/>
        <w:tabs>
          <w:tab w:val="clear" w:pos="567"/>
        </w:tabs>
        <w:spacing w:line="240" w:lineRule="auto"/>
        <w:ind w:right="-2"/>
        <w:rPr>
          <w:noProof/>
          <w:szCs w:val="22"/>
        </w:rPr>
      </w:pPr>
      <w:r w:rsidRPr="00385FB9">
        <w:rPr>
          <w:noProof/>
          <w:szCs w:val="22"/>
        </w:rPr>
        <w:t xml:space="preserve">The </w:t>
      </w:r>
      <w:r w:rsidRPr="00385FB9" w:rsidR="003A7AC5">
        <w:rPr>
          <w:noProof/>
          <w:szCs w:val="22"/>
        </w:rPr>
        <w:t>infusion bag</w:t>
      </w:r>
      <w:r w:rsidRPr="00385FB9">
        <w:rPr>
          <w:noProof/>
          <w:szCs w:val="22"/>
        </w:rPr>
        <w:t xml:space="preserve">(s) should be examined for any breaks or cracks prior to thawing. </w:t>
      </w:r>
      <w:r w:rsidRPr="00385FB9">
        <w:rPr>
          <w:noProof/>
          <w:szCs w:val="22"/>
        </w:rPr>
        <w:t xml:space="preserve">If the </w:t>
      </w:r>
      <w:r w:rsidRPr="00385FB9" w:rsidR="003A7AC5">
        <w:rPr>
          <w:noProof/>
          <w:szCs w:val="22"/>
        </w:rPr>
        <w:t xml:space="preserve">infusion </w:t>
      </w:r>
      <w:r w:rsidRPr="00385FB9">
        <w:rPr>
          <w:noProof/>
          <w:szCs w:val="22"/>
        </w:rPr>
        <w:t xml:space="preserve">bag appears to </w:t>
      </w:r>
      <w:r w:rsidRPr="00385FB9">
        <w:rPr>
          <w:noProof/>
          <w:szCs w:val="22"/>
        </w:rPr>
        <w:t xml:space="preserve">have </w:t>
      </w:r>
      <w:r w:rsidRPr="00385FB9">
        <w:rPr>
          <w:noProof/>
          <w:szCs w:val="22"/>
        </w:rPr>
        <w:t>be</w:t>
      </w:r>
      <w:r w:rsidRPr="00385FB9">
        <w:rPr>
          <w:noProof/>
          <w:szCs w:val="22"/>
        </w:rPr>
        <w:t>en</w:t>
      </w:r>
      <w:r w:rsidRPr="00385FB9">
        <w:rPr>
          <w:noProof/>
          <w:szCs w:val="22"/>
        </w:rPr>
        <w:t xml:space="preserve"> damaged or </w:t>
      </w:r>
      <w:r w:rsidRPr="00385FB9">
        <w:rPr>
          <w:noProof/>
          <w:szCs w:val="22"/>
        </w:rPr>
        <w:t xml:space="preserve">to be </w:t>
      </w:r>
      <w:r w:rsidRPr="00385FB9">
        <w:rPr>
          <w:noProof/>
          <w:szCs w:val="22"/>
        </w:rPr>
        <w:t xml:space="preserve">leaking, it should not be infused and should be disposed of according to local </w:t>
      </w:r>
      <w:r w:rsidRPr="00385FB9" w:rsidR="002B47DB">
        <w:rPr>
          <w:noProof/>
          <w:szCs w:val="22"/>
        </w:rPr>
        <w:t>guidelines on handling of biological waste</w:t>
      </w:r>
      <w:r w:rsidRPr="00385FB9">
        <w:rPr>
          <w:noProof/>
          <w:szCs w:val="22"/>
        </w:rPr>
        <w:t>.</w:t>
      </w:r>
    </w:p>
    <w:p w:rsidR="00CE3C79" w:rsidRPr="00385FB9" w:rsidP="00166894" w14:paraId="286F0FE9" w14:textId="77777777">
      <w:pPr>
        <w:widowControl w:val="0"/>
        <w:tabs>
          <w:tab w:val="clear" w:pos="567"/>
        </w:tabs>
        <w:spacing w:line="240" w:lineRule="auto"/>
        <w:ind w:right="-2"/>
        <w:rPr>
          <w:noProof/>
          <w:szCs w:val="22"/>
        </w:rPr>
      </w:pPr>
    </w:p>
    <w:p w:rsidR="00CE3C79" w:rsidRPr="00385FB9" w:rsidP="00166894" w14:paraId="47C22820" w14:textId="77777777">
      <w:pPr>
        <w:keepNext/>
        <w:widowControl w:val="0"/>
        <w:tabs>
          <w:tab w:val="clear" w:pos="567"/>
        </w:tabs>
        <w:spacing w:line="240" w:lineRule="auto"/>
        <w:rPr>
          <w:noProof/>
          <w:szCs w:val="22"/>
          <w:u w:val="single"/>
        </w:rPr>
      </w:pPr>
      <w:r w:rsidRPr="00385FB9">
        <w:rPr>
          <w:noProof/>
          <w:szCs w:val="22"/>
          <w:u w:val="single"/>
        </w:rPr>
        <w:t>Administration</w:t>
      </w:r>
    </w:p>
    <w:p w:rsidR="00CE3C79" w:rsidRPr="00385FB9" w:rsidP="00166894" w14:paraId="7E8A1C3A" w14:textId="7C0B21CE">
      <w:pPr>
        <w:widowControl w:val="0"/>
        <w:tabs>
          <w:tab w:val="clear" w:pos="567"/>
        </w:tabs>
        <w:spacing w:line="240" w:lineRule="auto"/>
        <w:ind w:right="-2"/>
        <w:rPr>
          <w:noProof/>
          <w:szCs w:val="22"/>
          <w:lang w:val="en-US"/>
        </w:rPr>
      </w:pPr>
      <w:r w:rsidRPr="00385FB9">
        <w:rPr>
          <w:noProof/>
          <w:szCs w:val="22"/>
        </w:rPr>
        <w:t xml:space="preserve">Kymriah intravenous infusion should be administered by a </w:t>
      </w:r>
      <w:r w:rsidRPr="00385FB9" w:rsidR="00252B35">
        <w:rPr>
          <w:noProof/>
          <w:szCs w:val="22"/>
        </w:rPr>
        <w:t>healthcare professional</w:t>
      </w:r>
      <w:r w:rsidRPr="00385FB9" w:rsidR="007964C1">
        <w:rPr>
          <w:noProof/>
          <w:szCs w:val="22"/>
        </w:rPr>
        <w:t xml:space="preserve"> </w:t>
      </w:r>
      <w:r w:rsidRPr="00385FB9">
        <w:rPr>
          <w:noProof/>
          <w:szCs w:val="22"/>
        </w:rPr>
        <w:t xml:space="preserve">experienced with immunosuppressed patients and prepared to manage anaphylaxis. </w:t>
      </w:r>
      <w:r w:rsidRPr="00385FB9">
        <w:rPr>
          <w:szCs w:val="22"/>
        </w:rPr>
        <w:t xml:space="preserve">Ensure </w:t>
      </w:r>
      <w:r w:rsidRPr="00385FB9" w:rsidR="005C441F">
        <w:rPr>
          <w:szCs w:val="22"/>
        </w:rPr>
        <w:t xml:space="preserve">that </w:t>
      </w:r>
      <w:r w:rsidRPr="00385FB9" w:rsidR="002B47DB">
        <w:rPr>
          <w:szCs w:val="22"/>
        </w:rPr>
        <w:t>one</w:t>
      </w:r>
      <w:r w:rsidRPr="00385FB9" w:rsidR="005C441F">
        <w:rPr>
          <w:szCs w:val="22"/>
        </w:rPr>
        <w:t xml:space="preserve"> dose of </w:t>
      </w:r>
      <w:r w:rsidRPr="00385FB9">
        <w:rPr>
          <w:szCs w:val="22"/>
        </w:rPr>
        <w:t xml:space="preserve">tocilizumab </w:t>
      </w:r>
      <w:r w:rsidRPr="00385FB9" w:rsidR="002B47DB">
        <w:rPr>
          <w:szCs w:val="22"/>
        </w:rPr>
        <w:t xml:space="preserve">per patient </w:t>
      </w:r>
      <w:r w:rsidRPr="00385FB9">
        <w:rPr>
          <w:szCs w:val="22"/>
        </w:rPr>
        <w:t>and emergency equipment are available prior to infusion and during the recovery period.</w:t>
      </w:r>
      <w:r w:rsidRPr="00385FB9" w:rsidR="00C75608">
        <w:rPr>
          <w:szCs w:val="22"/>
        </w:rPr>
        <w:t xml:space="preserve"> </w:t>
      </w:r>
      <w:r w:rsidRPr="00385FB9" w:rsidR="00C75608">
        <w:t>Hospitals should have access to additional doses of tocilizumab</w:t>
      </w:r>
      <w:r w:rsidRPr="00385FB9" w:rsidR="0039352F">
        <w:t xml:space="preserve"> </w:t>
      </w:r>
      <w:r w:rsidRPr="00385FB9" w:rsidR="0039352F">
        <w:rPr>
          <w:noProof/>
          <w:szCs w:val="22"/>
        </w:rPr>
        <w:t>within 8</w:t>
      </w:r>
      <w:r w:rsidRPr="00385FB9" w:rsidR="00A85E17">
        <w:rPr>
          <w:noProof/>
          <w:szCs w:val="22"/>
        </w:rPr>
        <w:t> </w:t>
      </w:r>
      <w:r w:rsidRPr="00385FB9" w:rsidR="0039352F">
        <w:rPr>
          <w:noProof/>
          <w:szCs w:val="22"/>
        </w:rPr>
        <w:t>hours</w:t>
      </w:r>
      <w:r w:rsidRPr="00385FB9" w:rsidR="00C75608">
        <w:t>.</w:t>
      </w:r>
    </w:p>
    <w:p w:rsidR="00CE3C79" w:rsidRPr="00385FB9" w:rsidP="00166894" w14:paraId="1369DDA6" w14:textId="77777777">
      <w:pPr>
        <w:widowControl w:val="0"/>
        <w:tabs>
          <w:tab w:val="clear" w:pos="567"/>
        </w:tabs>
        <w:spacing w:line="240" w:lineRule="auto"/>
        <w:ind w:right="-2"/>
        <w:rPr>
          <w:noProof/>
          <w:szCs w:val="22"/>
        </w:rPr>
      </w:pPr>
    </w:p>
    <w:p w:rsidR="00CE3C79" w:rsidRPr="00385FB9" w:rsidP="00166894" w14:paraId="5F68F774" w14:textId="77777777">
      <w:pPr>
        <w:widowControl w:val="0"/>
        <w:tabs>
          <w:tab w:val="clear" w:pos="567"/>
        </w:tabs>
        <w:spacing w:line="240" w:lineRule="auto"/>
        <w:ind w:right="-2"/>
        <w:rPr>
          <w:noProof/>
          <w:szCs w:val="22"/>
        </w:rPr>
      </w:pPr>
      <w:r w:rsidRPr="00385FB9">
        <w:rPr>
          <w:noProof/>
          <w:szCs w:val="22"/>
        </w:rPr>
        <w:t>The p</w:t>
      </w:r>
      <w:r w:rsidRPr="00385FB9">
        <w:rPr>
          <w:noProof/>
          <w:szCs w:val="22"/>
        </w:rPr>
        <w:t xml:space="preserve">atient’s identity should be matched with the patient identifiers on the infusion bag. </w:t>
      </w:r>
      <w:r w:rsidRPr="00385FB9">
        <w:rPr>
          <w:szCs w:val="22"/>
        </w:rPr>
        <w:t xml:space="preserve">Kymriah is for autologous use only. </w:t>
      </w:r>
      <w:r w:rsidRPr="00385FB9">
        <w:rPr>
          <w:noProof/>
          <w:szCs w:val="22"/>
        </w:rPr>
        <w:t>Kymriah should be administered as an</w:t>
      </w:r>
      <w:r w:rsidRPr="00385FB9" w:rsidR="003C56FD">
        <w:rPr>
          <w:noProof/>
          <w:szCs w:val="22"/>
        </w:rPr>
        <w:t xml:space="preserve"> intravenous</w:t>
      </w:r>
      <w:r w:rsidRPr="00385FB9">
        <w:rPr>
          <w:noProof/>
          <w:szCs w:val="22"/>
        </w:rPr>
        <w:t xml:space="preserve"> infusion using latex</w:t>
      </w:r>
      <w:r w:rsidRPr="00385FB9">
        <w:rPr>
          <w:noProof/>
          <w:szCs w:val="22"/>
        </w:rPr>
        <w:noBreakHyphen/>
        <w:t xml:space="preserve">free </w:t>
      </w:r>
      <w:r w:rsidRPr="00385FB9" w:rsidR="003C56FD">
        <w:rPr>
          <w:noProof/>
          <w:szCs w:val="22"/>
        </w:rPr>
        <w:t>intravenous</w:t>
      </w:r>
      <w:r w:rsidRPr="00385FB9">
        <w:rPr>
          <w:noProof/>
          <w:szCs w:val="22"/>
        </w:rPr>
        <w:t xml:space="preserve"> tubing without a leukocyte depleting filter, </w:t>
      </w:r>
      <w:r w:rsidRPr="00385FB9" w:rsidR="003C56FD">
        <w:rPr>
          <w:noProof/>
          <w:szCs w:val="22"/>
        </w:rPr>
        <w:t xml:space="preserve">at </w:t>
      </w:r>
      <w:r w:rsidRPr="00385FB9">
        <w:rPr>
          <w:noProof/>
          <w:szCs w:val="22"/>
        </w:rPr>
        <w:t>approximately 10 to 20 mL per minute by gravity flow.</w:t>
      </w:r>
      <w:r w:rsidRPr="00385FB9" w:rsidR="003C56FD">
        <w:rPr>
          <w:noProof/>
          <w:szCs w:val="22"/>
        </w:rPr>
        <w:t xml:space="preserve"> All contents of the infusion bags should be infused.</w:t>
      </w:r>
      <w:r w:rsidRPr="00385FB9">
        <w:rPr>
          <w:noProof/>
          <w:szCs w:val="22"/>
        </w:rPr>
        <w:t xml:space="preserve"> Sterile </w:t>
      </w:r>
      <w:r w:rsidRPr="00385FB9" w:rsidR="007964C1">
        <w:rPr>
          <w:noProof/>
          <w:szCs w:val="22"/>
        </w:rPr>
        <w:t xml:space="preserve">sodium chloride </w:t>
      </w:r>
      <w:r w:rsidRPr="00385FB9" w:rsidR="004B0108">
        <w:rPr>
          <w:szCs w:val="22"/>
        </w:rPr>
        <w:t>9</w:t>
      </w:r>
      <w:r w:rsidRPr="00385FB9" w:rsidR="00D6426A">
        <w:rPr>
          <w:szCs w:val="22"/>
        </w:rPr>
        <w:t> </w:t>
      </w:r>
      <w:r w:rsidRPr="00385FB9" w:rsidR="004B0108">
        <w:rPr>
          <w:szCs w:val="22"/>
        </w:rPr>
        <w:t>mg/mL (0.9%) solution for injection</w:t>
      </w:r>
      <w:r w:rsidRPr="00385FB9" w:rsidR="004B0108">
        <w:rPr>
          <w:noProof/>
          <w:szCs w:val="22"/>
        </w:rPr>
        <w:t xml:space="preserve"> </w:t>
      </w:r>
      <w:r w:rsidRPr="00385FB9">
        <w:rPr>
          <w:noProof/>
          <w:szCs w:val="22"/>
        </w:rPr>
        <w:t xml:space="preserve">should be used to prime the tubing prior to infusion as well as rinse it afterwards. When the full volume of Kymriah has been infused, </w:t>
      </w:r>
      <w:r w:rsidRPr="00385FB9" w:rsidR="001A19D0">
        <w:rPr>
          <w:noProof/>
          <w:szCs w:val="22"/>
        </w:rPr>
        <w:t xml:space="preserve">the infusion </w:t>
      </w:r>
      <w:r w:rsidRPr="00385FB9">
        <w:rPr>
          <w:noProof/>
          <w:szCs w:val="22"/>
        </w:rPr>
        <w:t xml:space="preserve">bag should be rinsed with 10 to 30 mL </w:t>
      </w:r>
      <w:r w:rsidRPr="00385FB9" w:rsidR="001A19D0">
        <w:rPr>
          <w:szCs w:val="22"/>
        </w:rPr>
        <w:t>sodium chloride 9</w:t>
      </w:r>
      <w:r w:rsidRPr="00385FB9" w:rsidR="00D6426A">
        <w:rPr>
          <w:szCs w:val="22"/>
        </w:rPr>
        <w:t> </w:t>
      </w:r>
      <w:r w:rsidRPr="00385FB9" w:rsidR="001A19D0">
        <w:rPr>
          <w:szCs w:val="22"/>
        </w:rPr>
        <w:t>mg/mL (0.9%) solution for injection</w:t>
      </w:r>
      <w:r w:rsidRPr="00385FB9">
        <w:rPr>
          <w:noProof/>
          <w:szCs w:val="22"/>
        </w:rPr>
        <w:t xml:space="preserve"> by back priming to </w:t>
      </w:r>
      <w:r w:rsidRPr="00385FB9" w:rsidR="00D6426A">
        <w:rPr>
          <w:noProof/>
          <w:szCs w:val="22"/>
        </w:rPr>
        <w:t>en</w:t>
      </w:r>
      <w:r w:rsidRPr="00385FB9">
        <w:rPr>
          <w:noProof/>
          <w:szCs w:val="22"/>
        </w:rPr>
        <w:t>sure as many cells as possible are infused into the patient.</w:t>
      </w:r>
    </w:p>
    <w:p w:rsidR="00CE3C79" w:rsidRPr="00385FB9" w:rsidP="00166894" w14:paraId="58EA0849" w14:textId="77777777">
      <w:pPr>
        <w:widowControl w:val="0"/>
        <w:tabs>
          <w:tab w:val="clear" w:pos="567"/>
        </w:tabs>
        <w:spacing w:line="240" w:lineRule="auto"/>
        <w:ind w:right="-2"/>
        <w:rPr>
          <w:noProof/>
          <w:szCs w:val="22"/>
        </w:rPr>
      </w:pPr>
    </w:p>
    <w:p w:rsidR="00CE3C79" w:rsidRPr="00385FB9" w:rsidP="00166894" w14:paraId="254CCEFC" w14:textId="77777777">
      <w:pPr>
        <w:keepNext/>
        <w:widowControl w:val="0"/>
        <w:tabs>
          <w:tab w:val="clear" w:pos="567"/>
        </w:tabs>
        <w:spacing w:line="240" w:lineRule="auto"/>
        <w:rPr>
          <w:noProof/>
          <w:szCs w:val="22"/>
          <w:u w:val="single"/>
        </w:rPr>
      </w:pPr>
      <w:r w:rsidRPr="00385FB9">
        <w:rPr>
          <w:noProof/>
          <w:szCs w:val="22"/>
          <w:u w:val="single"/>
        </w:rPr>
        <w:t xml:space="preserve">Precautions to be taken before </w:t>
      </w:r>
      <w:r w:rsidRPr="00385FB9" w:rsidR="003C56FD">
        <w:rPr>
          <w:noProof/>
          <w:szCs w:val="22"/>
          <w:u w:val="single"/>
        </w:rPr>
        <w:t>handling</w:t>
      </w:r>
      <w:r w:rsidRPr="00385FB9">
        <w:rPr>
          <w:noProof/>
          <w:szCs w:val="22"/>
          <w:u w:val="single"/>
        </w:rPr>
        <w:t xml:space="preserve"> or administering Kymriah</w:t>
      </w:r>
    </w:p>
    <w:p w:rsidR="00CE3C79" w:rsidRPr="00385FB9" w:rsidP="00166894" w14:paraId="0EAD53B2" w14:textId="521CD4B2">
      <w:pPr>
        <w:widowControl w:val="0"/>
        <w:tabs>
          <w:tab w:val="clear" w:pos="567"/>
        </w:tabs>
        <w:spacing w:line="240" w:lineRule="auto"/>
        <w:ind w:right="-2"/>
        <w:rPr>
          <w:noProof/>
          <w:szCs w:val="22"/>
        </w:rPr>
      </w:pPr>
      <w:r w:rsidRPr="00385FB9">
        <w:rPr>
          <w:noProof/>
          <w:szCs w:val="22"/>
        </w:rPr>
        <w:t>Kymriah contains genetically</w:t>
      </w:r>
      <w:r w:rsidRPr="00385FB9">
        <w:rPr>
          <w:noProof/>
          <w:szCs w:val="22"/>
        </w:rPr>
        <w:noBreakHyphen/>
        <w:t xml:space="preserve">modified </w:t>
      </w:r>
      <w:r w:rsidRPr="00385FB9" w:rsidR="005C441F">
        <w:rPr>
          <w:noProof/>
          <w:szCs w:val="22"/>
        </w:rPr>
        <w:t xml:space="preserve">human blood </w:t>
      </w:r>
      <w:r w:rsidRPr="00385FB9">
        <w:rPr>
          <w:noProof/>
          <w:szCs w:val="22"/>
        </w:rPr>
        <w:t xml:space="preserve">cells. Local guidelines </w:t>
      </w:r>
      <w:r w:rsidRPr="00385FB9" w:rsidR="002B47DB">
        <w:rPr>
          <w:noProof/>
          <w:szCs w:val="22"/>
        </w:rPr>
        <w:t xml:space="preserve">on handling of biological waste </w:t>
      </w:r>
      <w:r w:rsidRPr="00385FB9">
        <w:rPr>
          <w:noProof/>
          <w:szCs w:val="22"/>
        </w:rPr>
        <w:t>should be followed</w:t>
      </w:r>
      <w:r w:rsidRPr="00385FB9" w:rsidR="005C441F">
        <w:rPr>
          <w:noProof/>
          <w:szCs w:val="22"/>
        </w:rPr>
        <w:t xml:space="preserve"> for disposal</w:t>
      </w:r>
      <w:r w:rsidRPr="00385FB9">
        <w:rPr>
          <w:noProof/>
          <w:szCs w:val="22"/>
        </w:rPr>
        <w:t>.</w:t>
      </w:r>
    </w:p>
    <w:p w:rsidR="006C0A1E" w:rsidRPr="00385FB9" w:rsidP="00166894" w14:paraId="2A708558" w14:textId="77777777">
      <w:pPr>
        <w:widowControl w:val="0"/>
        <w:tabs>
          <w:tab w:val="clear" w:pos="567"/>
        </w:tabs>
        <w:spacing w:line="240" w:lineRule="auto"/>
        <w:ind w:right="-2"/>
        <w:rPr>
          <w:noProof/>
          <w:szCs w:val="22"/>
        </w:rPr>
      </w:pPr>
    </w:p>
    <w:p w:rsidR="005C441F" w:rsidRPr="00385FB9" w:rsidP="00166894" w14:paraId="39B844DB" w14:textId="3718A0FC">
      <w:pPr>
        <w:widowControl w:val="0"/>
        <w:tabs>
          <w:tab w:val="clear" w:pos="567"/>
          <w:tab w:val="left" w:pos="720"/>
        </w:tabs>
        <w:spacing w:line="240" w:lineRule="auto"/>
        <w:ind w:right="-2"/>
        <w:rPr>
          <w:noProof/>
          <w:szCs w:val="22"/>
        </w:rPr>
      </w:pPr>
      <w:r w:rsidRPr="00385FB9">
        <w:rPr>
          <w:noProof/>
          <w:szCs w:val="22"/>
        </w:rPr>
        <w:t>All material that has been in contact with Kymriah (solid and liquid waste) should be handled and disposed of as potentially infectious waste in accordance with local guidelines</w:t>
      </w:r>
      <w:r w:rsidRPr="00385FB9" w:rsidR="002B47DB">
        <w:rPr>
          <w:noProof/>
          <w:szCs w:val="22"/>
        </w:rPr>
        <w:t xml:space="preserve"> on handling of biological waste</w:t>
      </w:r>
      <w:r w:rsidRPr="00385FB9">
        <w:rPr>
          <w:noProof/>
          <w:szCs w:val="22"/>
        </w:rPr>
        <w:t>.</w:t>
      </w:r>
    </w:p>
    <w:p w:rsidR="003C56FD" w:rsidRPr="00385FB9" w:rsidP="00166894" w14:paraId="6D364EC3" w14:textId="77777777">
      <w:pPr>
        <w:widowControl w:val="0"/>
        <w:tabs>
          <w:tab w:val="clear" w:pos="567"/>
        </w:tabs>
        <w:spacing w:line="240" w:lineRule="auto"/>
        <w:ind w:right="-2"/>
        <w:rPr>
          <w:noProof/>
          <w:szCs w:val="22"/>
        </w:rPr>
      </w:pPr>
    </w:p>
    <w:p w:rsidR="003C56FD" w:rsidRPr="00D442F1" w:rsidP="00166894" w14:paraId="57787A70" w14:textId="77777777">
      <w:pPr>
        <w:widowControl w:val="0"/>
        <w:tabs>
          <w:tab w:val="clear" w:pos="567"/>
        </w:tabs>
        <w:spacing w:line="240" w:lineRule="auto"/>
        <w:ind w:right="-2"/>
        <w:rPr>
          <w:noProof/>
          <w:szCs w:val="22"/>
        </w:rPr>
      </w:pPr>
      <w:r w:rsidRPr="00385FB9">
        <w:rPr>
          <w:noProof/>
          <w:szCs w:val="22"/>
        </w:rPr>
        <w:t>Kymriah should be transported within the facility in closed, break</w:t>
      </w:r>
      <w:r w:rsidRPr="00385FB9">
        <w:rPr>
          <w:noProof/>
          <w:szCs w:val="22"/>
        </w:rPr>
        <w:noBreakHyphen/>
        <w:t>proof, leak</w:t>
      </w:r>
      <w:r w:rsidRPr="00385FB9">
        <w:rPr>
          <w:noProof/>
          <w:szCs w:val="22"/>
        </w:rPr>
        <w:noBreakHyphen/>
        <w:t>proof containers.</w:t>
      </w:r>
    </w:p>
    <w:p w:rsidR="00CE3C79" w:rsidRPr="00D442F1" w:rsidP="00166894" w14:paraId="43FDEE3C" w14:textId="77777777">
      <w:pPr>
        <w:widowControl w:val="0"/>
        <w:tabs>
          <w:tab w:val="clear" w:pos="567"/>
        </w:tabs>
        <w:spacing w:line="240" w:lineRule="auto"/>
        <w:ind w:right="-2"/>
        <w:rPr>
          <w:noProof/>
          <w:szCs w:val="22"/>
        </w:rPr>
      </w:pPr>
    </w:p>
    <w:p w:rsidR="00CE3C79" w:rsidRPr="00E561DF" w:rsidP="00166894" w14:paraId="7FA93B93" w14:textId="77777777">
      <w:pPr>
        <w:widowControl w:val="0"/>
        <w:tabs>
          <w:tab w:val="clear" w:pos="567"/>
        </w:tabs>
        <w:spacing w:line="240" w:lineRule="auto"/>
        <w:ind w:right="-2"/>
        <w:rPr>
          <w:noProof/>
          <w:szCs w:val="22"/>
        </w:rPr>
      </w:pPr>
      <w:r w:rsidRPr="00D442F1">
        <w:rPr>
          <w:noProof/>
          <w:szCs w:val="22"/>
        </w:rPr>
        <w:t>Kymriah is prepared from autologous blood of the patient collected by leukapheresis. Patient leukapheresis material and Kymriah may carry a risk of transmitting infectious viruses to healthcare professionals handling the product. Accordingly, healthcare professionals should employ appropriate precautions</w:t>
      </w:r>
      <w:r w:rsidRPr="00D442F1" w:rsidR="005C441F">
        <w:rPr>
          <w:noProof/>
          <w:szCs w:val="22"/>
        </w:rPr>
        <w:t xml:space="preserve"> (wearing gloves and glasses)</w:t>
      </w:r>
      <w:r w:rsidRPr="00D442F1">
        <w:rPr>
          <w:noProof/>
          <w:szCs w:val="22"/>
        </w:rPr>
        <w:t xml:space="preserve"> when handling leukapheresis material or Kymriah to avoid potential transmission of infectious diseases.</w:t>
      </w:r>
    </w:p>
    <w:p w:rsidR="00B30F0D" w:rsidRPr="00C86177" w:rsidP="00166894" w14:paraId="1A5F770F" w14:textId="77777777">
      <w:pPr>
        <w:widowControl w:val="0"/>
        <w:tabs>
          <w:tab w:val="clear" w:pos="567"/>
        </w:tabs>
        <w:spacing w:line="240" w:lineRule="auto"/>
        <w:rPr>
          <w:noProof/>
          <w:szCs w:val="22"/>
        </w:rPr>
      </w:pPr>
      <w:bookmarkStart w:id="9" w:name="_GoBack"/>
      <w:bookmarkEnd w:id="9"/>
    </w:p>
    <w:sectPr w:rsidSect="001374C5">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134" w:right="1418" w:bottom="1134" w:left="1418" w:header="737" w:footer="737"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Bold">
    <w:altName w:val="Courier New"/>
    <w:panose1 w:val="02020803070505020304"/>
    <w:charset w:val="00"/>
    <w:family w:val="roman"/>
    <w:notTrueType/>
    <w:pitch w:val="default"/>
    <w:sig w:usb0="00000003" w:usb1="00000000" w:usb2="00000000" w:usb3="00000000" w:csb0="00000001" w:csb1="00000000"/>
  </w:font>
  <w:font w:name="TimesNewRomanPSMT,Times New Rom">
    <w:altName w:val="Times New Roman"/>
    <w:panose1 w:val="00000000000000000000"/>
    <w:charset w:val="00"/>
    <w:family w:val="roman"/>
    <w:notTrueType/>
    <w:pitch w:val="default"/>
    <w:sig w:usb0="00000003" w:usb1="00000000" w:usb2="00000000" w:usb3="00000000" w:csb0="00000001" w:csb1="00000000"/>
  </w:font>
  <w:font w:name="TimesNewRoman,Times New Roman">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09AF" w14:paraId="4F69A54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09AF" w14:paraId="1A51CFEA" w14:textId="62383F77">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B1596">
      <w:rPr>
        <w:rStyle w:val="PageNumber"/>
        <w:rFonts w:cs="Arial"/>
      </w:rPr>
      <w:t>44</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09AF" w14:paraId="13978D9C" w14:textId="13F4FE41">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B1596">
      <w:rPr>
        <w:rStyle w:val="PageNumber"/>
        <w:rFonts w:cs="Arial"/>
      </w:rPr>
      <w:t>1</w:t>
    </w:r>
    <w:r>
      <w:rPr>
        <w:rStyle w:val="PageNumber"/>
        <w:rFonts w:cs="Arial"/>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09AF" w14:paraId="57809A4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09AF" w14:paraId="57683B5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709AF" w14:paraId="3F5B690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720E3D"/>
    <w:multiLevelType w:val="hybridMultilevel"/>
    <w:tmpl w:val="E2AA1B98"/>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84620EE"/>
    <w:multiLevelType w:val="hybridMultilevel"/>
    <w:tmpl w:val="3B72DF38"/>
    <w:lvl w:ilvl="0">
      <w:start w:val="1"/>
      <w:numFmt w:val="bullet"/>
      <w:lvlText w:val=""/>
      <w:lvlJc w:val="left"/>
      <w:pPr>
        <w:tabs>
          <w:tab w:val="num" w:pos="357"/>
        </w:tabs>
        <w:ind w:left="357" w:hanging="357"/>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940135C"/>
    <w:multiLevelType w:val="hybridMultilevel"/>
    <w:tmpl w:val="EDF6AF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9ED7AFD"/>
    <w:multiLevelType w:val="hybridMultilevel"/>
    <w:tmpl w:val="C2943C1E"/>
    <w:lvl w:ilvl="0">
      <w:start w:val="1"/>
      <w:numFmt w:val="bullet"/>
      <w:lvlText w:val=""/>
      <w:lvlJc w:val="left"/>
      <w:pPr>
        <w:tabs>
          <w:tab w:val="num" w:pos="357"/>
        </w:tabs>
        <w:ind w:left="357" w:hanging="357"/>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D441BF8"/>
    <w:multiLevelType w:val="hybridMultilevel"/>
    <w:tmpl w:val="80E8A7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0680924"/>
    <w:multiLevelType w:val="hybridMultilevel"/>
    <w:tmpl w:val="C4685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6015655"/>
    <w:multiLevelType w:val="hybridMultilevel"/>
    <w:tmpl w:val="9B00D76C"/>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7BB1A3E"/>
    <w:multiLevelType w:val="hybridMultilevel"/>
    <w:tmpl w:val="3BAC8B8E"/>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C6A3A4F"/>
    <w:multiLevelType w:val="hybridMultilevel"/>
    <w:tmpl w:val="69BA8DEC"/>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F8442CD"/>
    <w:multiLevelType w:val="hybridMultilevel"/>
    <w:tmpl w:val="E1E8329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19F18FA"/>
    <w:multiLevelType w:val="hybridMultilevel"/>
    <w:tmpl w:val="A9AE2DC6"/>
    <w:lvl w:ilvl="0">
      <w:start w:val="1"/>
      <w:numFmt w:val="bullet"/>
      <w:lvlText w:val="-"/>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6A954D8"/>
    <w:multiLevelType w:val="hybridMultilevel"/>
    <w:tmpl w:val="4336BB8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2C1F5247"/>
    <w:multiLevelType w:val="hybridMultilevel"/>
    <w:tmpl w:val="655AB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1332AF2"/>
    <w:multiLevelType w:val="hybridMultilevel"/>
    <w:tmpl w:val="11B2293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314564FC"/>
    <w:multiLevelType w:val="hybridMultilevel"/>
    <w:tmpl w:val="3B72DF38"/>
    <w:lvl w:ilvl="0">
      <w:start w:val="1"/>
      <w:numFmt w:val="bullet"/>
      <w:lvlText w:val=""/>
      <w:lvlJc w:val="left"/>
      <w:pPr>
        <w:tabs>
          <w:tab w:val="num" w:pos="357"/>
        </w:tabs>
        <w:ind w:left="357" w:hanging="357"/>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36396271"/>
    <w:multiLevelType w:val="hybridMultilevel"/>
    <w:tmpl w:val="8C32CAF4"/>
    <w:lvl w:ilvl="0">
      <w:start w:val="1"/>
      <w:numFmt w:val="bullet"/>
      <w:lvlText w:val=""/>
      <w:lvlJc w:val="left"/>
      <w:pPr>
        <w:ind w:left="152" w:hanging="360"/>
      </w:pPr>
      <w:rPr>
        <w:rFonts w:ascii="Symbol" w:hAnsi="Symbol" w:hint="default"/>
      </w:rPr>
    </w:lvl>
    <w:lvl w:ilvl="1" w:tentative="1">
      <w:start w:val="1"/>
      <w:numFmt w:val="bullet"/>
      <w:lvlText w:val="o"/>
      <w:lvlJc w:val="left"/>
      <w:pPr>
        <w:ind w:left="872" w:hanging="360"/>
      </w:pPr>
      <w:rPr>
        <w:rFonts w:ascii="Courier New" w:hAnsi="Courier New" w:cs="Courier New" w:hint="default"/>
      </w:rPr>
    </w:lvl>
    <w:lvl w:ilvl="2" w:tentative="1">
      <w:start w:val="1"/>
      <w:numFmt w:val="bullet"/>
      <w:lvlText w:val=""/>
      <w:lvlJc w:val="left"/>
      <w:pPr>
        <w:ind w:left="1592" w:hanging="360"/>
      </w:pPr>
      <w:rPr>
        <w:rFonts w:ascii="Wingdings" w:hAnsi="Wingdings" w:hint="default"/>
      </w:rPr>
    </w:lvl>
    <w:lvl w:ilvl="3" w:tentative="1">
      <w:start w:val="1"/>
      <w:numFmt w:val="bullet"/>
      <w:lvlText w:val=""/>
      <w:lvlJc w:val="left"/>
      <w:pPr>
        <w:ind w:left="2312" w:hanging="360"/>
      </w:pPr>
      <w:rPr>
        <w:rFonts w:ascii="Symbol" w:hAnsi="Symbol" w:hint="default"/>
      </w:rPr>
    </w:lvl>
    <w:lvl w:ilvl="4" w:tentative="1">
      <w:start w:val="1"/>
      <w:numFmt w:val="bullet"/>
      <w:lvlText w:val="o"/>
      <w:lvlJc w:val="left"/>
      <w:pPr>
        <w:ind w:left="3032" w:hanging="360"/>
      </w:pPr>
      <w:rPr>
        <w:rFonts w:ascii="Courier New" w:hAnsi="Courier New" w:cs="Courier New" w:hint="default"/>
      </w:rPr>
    </w:lvl>
    <w:lvl w:ilvl="5" w:tentative="1">
      <w:start w:val="1"/>
      <w:numFmt w:val="bullet"/>
      <w:lvlText w:val=""/>
      <w:lvlJc w:val="left"/>
      <w:pPr>
        <w:ind w:left="3752" w:hanging="360"/>
      </w:pPr>
      <w:rPr>
        <w:rFonts w:ascii="Wingdings" w:hAnsi="Wingdings" w:hint="default"/>
      </w:rPr>
    </w:lvl>
    <w:lvl w:ilvl="6" w:tentative="1">
      <w:start w:val="1"/>
      <w:numFmt w:val="bullet"/>
      <w:lvlText w:val=""/>
      <w:lvlJc w:val="left"/>
      <w:pPr>
        <w:ind w:left="4472" w:hanging="360"/>
      </w:pPr>
      <w:rPr>
        <w:rFonts w:ascii="Symbol" w:hAnsi="Symbol" w:hint="default"/>
      </w:rPr>
    </w:lvl>
    <w:lvl w:ilvl="7" w:tentative="1">
      <w:start w:val="1"/>
      <w:numFmt w:val="bullet"/>
      <w:lvlText w:val="o"/>
      <w:lvlJc w:val="left"/>
      <w:pPr>
        <w:ind w:left="5192" w:hanging="360"/>
      </w:pPr>
      <w:rPr>
        <w:rFonts w:ascii="Courier New" w:hAnsi="Courier New" w:cs="Courier New" w:hint="default"/>
      </w:rPr>
    </w:lvl>
    <w:lvl w:ilvl="8" w:tentative="1">
      <w:start w:val="1"/>
      <w:numFmt w:val="bullet"/>
      <w:lvlText w:val=""/>
      <w:lvlJc w:val="left"/>
      <w:pPr>
        <w:ind w:left="5912" w:hanging="360"/>
      </w:pPr>
      <w:rPr>
        <w:rFonts w:ascii="Wingdings" w:hAnsi="Wingdings" w:hint="default"/>
      </w:rPr>
    </w:lvl>
  </w:abstractNum>
  <w:abstractNum w:abstractNumId="17">
    <w:nsid w:val="38F830AD"/>
    <w:multiLevelType w:val="hybridMultilevel"/>
    <w:tmpl w:val="318C13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2310854"/>
    <w:multiLevelType w:val="hybridMultilevel"/>
    <w:tmpl w:val="4024FC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54821B0"/>
    <w:multiLevelType w:val="hybridMultilevel"/>
    <w:tmpl w:val="4DD8ADD2"/>
    <w:lvl w:ilvl="0">
      <w:start w:val="1"/>
      <w:numFmt w:val="bullet"/>
      <w:lvlText w:val=""/>
      <w:lvlJc w:val="left"/>
      <w:pPr>
        <w:tabs>
          <w:tab w:val="num" w:pos="357"/>
        </w:tabs>
        <w:ind w:left="357" w:hanging="357"/>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471666FD"/>
    <w:multiLevelType w:val="hybridMultilevel"/>
    <w:tmpl w:val="C7C4618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49C54BEA"/>
    <w:multiLevelType w:val="hybridMultilevel"/>
    <w:tmpl w:val="506CBA8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4C6751C9"/>
    <w:multiLevelType w:val="hybridMultilevel"/>
    <w:tmpl w:val="3B72DF38"/>
    <w:lvl w:ilvl="0">
      <w:start w:val="1"/>
      <w:numFmt w:val="bullet"/>
      <w:lvlText w:val=""/>
      <w:lvlJc w:val="left"/>
      <w:pPr>
        <w:tabs>
          <w:tab w:val="num" w:pos="357"/>
        </w:tabs>
        <w:ind w:left="357" w:hanging="357"/>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4EAA24AD"/>
    <w:multiLevelType w:val="hybridMultilevel"/>
    <w:tmpl w:val="68028E9E"/>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56F3870"/>
    <w:multiLevelType w:val="hybridMultilevel"/>
    <w:tmpl w:val="A4EC8878"/>
    <w:lvl w:ilvl="0">
      <w:start w:val="1"/>
      <w:numFmt w:val="bullet"/>
      <w:lvlText w:val=""/>
      <w:lvlJc w:val="left"/>
      <w:pPr>
        <w:tabs>
          <w:tab w:val="num" w:pos="357"/>
        </w:tabs>
        <w:ind w:left="357" w:hanging="357"/>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5">
    <w:nsid w:val="58DD4EFB"/>
    <w:multiLevelType w:val="hybridMultilevel"/>
    <w:tmpl w:val="E44251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BC266BF"/>
    <w:multiLevelType w:val="hybridMultilevel"/>
    <w:tmpl w:val="E624B4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FC84627"/>
    <w:multiLevelType w:val="multilevel"/>
    <w:tmpl w:val="BD003DE8"/>
    <w:lvl w:ilvl="0">
      <w:start w:va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02D7461"/>
    <w:multiLevelType w:val="hybridMultilevel"/>
    <w:tmpl w:val="DC5680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25E0456"/>
    <w:multiLevelType w:val="hybridMultilevel"/>
    <w:tmpl w:val="7624A586"/>
    <w:lvl w:ilvl="0">
      <w:start w:val="1"/>
      <w:numFmt w:val="bullet"/>
      <w:lvlText w:val=""/>
      <w:lvlJc w:val="left"/>
      <w:pPr>
        <w:tabs>
          <w:tab w:val="num" w:pos="357"/>
        </w:tabs>
        <w:ind w:left="357" w:hanging="357"/>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0">
    <w:nsid w:val="64433BE1"/>
    <w:multiLevelType w:val="hybridMultilevel"/>
    <w:tmpl w:val="ADFE8846"/>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959407F"/>
    <w:multiLevelType w:val="hybridMultilevel"/>
    <w:tmpl w:val="54C6BA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F556DD2"/>
    <w:multiLevelType w:val="hybridMultilevel"/>
    <w:tmpl w:val="8482D294"/>
    <w:lvl w:ilvl="0">
      <w:start w:val="30"/>
      <w:numFmt w:val="bullet"/>
      <w:lvlText w:val="-"/>
      <w:lvlJc w:val="left"/>
      <w:pPr>
        <w:ind w:left="720" w:hanging="360"/>
      </w:pPr>
      <w:rPr>
        <w:rFonts w:ascii="Times New Roman" w:eastAsia="MS Mincho"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F9337D0"/>
    <w:multiLevelType w:val="hybridMultilevel"/>
    <w:tmpl w:val="CA30068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52302B5"/>
    <w:multiLevelType w:val="hybridMultilevel"/>
    <w:tmpl w:val="FB187424"/>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B4D1559"/>
    <w:multiLevelType w:val="hybridMultilevel"/>
    <w:tmpl w:val="3AEE092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7E153F25"/>
    <w:multiLevelType w:val="hybridMultilevel"/>
    <w:tmpl w:val="4DD8ADD2"/>
    <w:lvl w:ilvl="0">
      <w:start w:val="1"/>
      <w:numFmt w:val="bullet"/>
      <w:lvlText w:val=""/>
      <w:lvlJc w:val="left"/>
      <w:pPr>
        <w:tabs>
          <w:tab w:val="num" w:pos="357"/>
        </w:tabs>
        <w:ind w:left="357" w:hanging="357"/>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8"/>
  </w:num>
  <w:num w:numId="2">
    <w:abstractNumId w:val="32"/>
  </w:num>
  <w:num w:numId="3">
    <w:abstractNumId w:val="35"/>
  </w:num>
  <w:num w:numId="4">
    <w:abstractNumId w:val="24"/>
  </w:num>
  <w:num w:numId="5">
    <w:abstractNumId w:val="0"/>
  </w:num>
  <w:num w:numId="6">
    <w:abstractNumId w:val="11"/>
  </w:num>
  <w:num w:numId="7">
    <w:abstractNumId w:val="12"/>
  </w:num>
  <w:num w:numId="8">
    <w:abstractNumId w:val="9"/>
  </w:num>
  <w:num w:numId="9">
    <w:abstractNumId w:val="10"/>
  </w:num>
  <w:num w:numId="10">
    <w:abstractNumId w:val="28"/>
  </w:num>
  <w:num w:numId="11">
    <w:abstractNumId w:val="6"/>
  </w:num>
  <w:num w:numId="12">
    <w:abstractNumId w:val="13"/>
  </w:num>
  <w:num w:numId="13">
    <w:abstractNumId w:val="20"/>
  </w:num>
  <w:num w:numId="14">
    <w:abstractNumId w:val="16"/>
  </w:num>
  <w:num w:numId="15">
    <w:abstractNumId w:val="18"/>
  </w:num>
  <w:num w:numId="16">
    <w:abstractNumId w:val="5"/>
  </w:num>
  <w:num w:numId="17">
    <w:abstractNumId w:val="26"/>
  </w:num>
  <w:num w:numId="18">
    <w:abstractNumId w:val="17"/>
  </w:num>
  <w:num w:numId="19">
    <w:abstractNumId w:val="15"/>
  </w:num>
  <w:num w:numId="20">
    <w:abstractNumId w:val="1"/>
  </w:num>
  <w:num w:numId="21">
    <w:abstractNumId w:val="22"/>
  </w:num>
  <w:num w:numId="22">
    <w:abstractNumId w:val="30"/>
  </w:num>
  <w:num w:numId="23">
    <w:abstractNumId w:val="27"/>
  </w:num>
  <w:num w:numId="24">
    <w:abstractNumId w:val="5"/>
  </w:num>
  <w:num w:numId="25">
    <w:abstractNumId w:val="31"/>
  </w:num>
  <w:num w:numId="26">
    <w:abstractNumId w:val="25"/>
  </w:num>
  <w:num w:numId="27">
    <w:abstractNumId w:val="34"/>
  </w:num>
  <w:num w:numId="28">
    <w:abstractNumId w:val="2"/>
  </w:num>
  <w:num w:numId="29">
    <w:abstractNumId w:val="14"/>
  </w:num>
  <w:num w:numId="30">
    <w:abstractNumId w:val="21"/>
  </w:num>
  <w:num w:numId="31">
    <w:abstractNumId w:val="26"/>
  </w:num>
  <w:num w:numId="32">
    <w:abstractNumId w:val="9"/>
  </w:num>
  <w:num w:numId="33">
    <w:abstractNumId w:val="7"/>
  </w:num>
  <w:num w:numId="34">
    <w:abstractNumId w:val="3"/>
  </w:num>
  <w:num w:numId="35">
    <w:abstractNumId w:val="33"/>
  </w:num>
  <w:num w:numId="36">
    <w:abstractNumId w:val="33"/>
  </w:num>
  <w:num w:numId="37">
    <w:abstractNumId w:val="23"/>
  </w:num>
  <w:num w:numId="38">
    <w:abstractNumId w:val="36"/>
  </w:num>
  <w:num w:numId="39">
    <w:abstractNumId w:val="19"/>
  </w:num>
  <w:num w:numId="40">
    <w:abstractNumId w:val="29"/>
  </w:num>
  <w:num w:numId="41">
    <w:abstractNumId w:val="4"/>
  </w:num>
  <w:num w:numId="42">
    <w:abstractNumId w:val="15"/>
  </w:num>
  <w:num w:numId="43">
    <w:abstractNumId w:val="1"/>
  </w:num>
  <w:num w:numId="4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567"/>
  <w:hyphenationZone w:val="425"/>
  <w:displayHorizontalDrawingGridEvery w:val="0"/>
  <w:displayVerticalDrawingGridEvery w:val="0"/>
  <w:doNotUseMarginsForDrawingGridOrigin/>
  <w:noPunctuationKerning/>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16"/>
    <w:rsid w:val="00000D62"/>
    <w:rsid w:val="000010D4"/>
    <w:rsid w:val="00001587"/>
    <w:rsid w:val="00001625"/>
    <w:rsid w:val="00001E5C"/>
    <w:rsid w:val="00001ECB"/>
    <w:rsid w:val="00002A87"/>
    <w:rsid w:val="00002C58"/>
    <w:rsid w:val="00002E84"/>
    <w:rsid w:val="0000362A"/>
    <w:rsid w:val="00003AEF"/>
    <w:rsid w:val="00003D60"/>
    <w:rsid w:val="00003F18"/>
    <w:rsid w:val="0000452D"/>
    <w:rsid w:val="00004B0F"/>
    <w:rsid w:val="00005701"/>
    <w:rsid w:val="00005EA2"/>
    <w:rsid w:val="0000630F"/>
    <w:rsid w:val="0000746F"/>
    <w:rsid w:val="00007528"/>
    <w:rsid w:val="0000789D"/>
    <w:rsid w:val="00007940"/>
    <w:rsid w:val="00007C40"/>
    <w:rsid w:val="000103C3"/>
    <w:rsid w:val="00010EB0"/>
    <w:rsid w:val="0001123F"/>
    <w:rsid w:val="0001164F"/>
    <w:rsid w:val="00012051"/>
    <w:rsid w:val="000139A5"/>
    <w:rsid w:val="00013C36"/>
    <w:rsid w:val="00014869"/>
    <w:rsid w:val="00014C13"/>
    <w:rsid w:val="00014E0B"/>
    <w:rsid w:val="00014E21"/>
    <w:rsid w:val="000150D3"/>
    <w:rsid w:val="00016013"/>
    <w:rsid w:val="0001611D"/>
    <w:rsid w:val="000165D2"/>
    <w:rsid w:val="000166C1"/>
    <w:rsid w:val="0001724B"/>
    <w:rsid w:val="000174C1"/>
    <w:rsid w:val="00017894"/>
    <w:rsid w:val="00017AAA"/>
    <w:rsid w:val="0002006B"/>
    <w:rsid w:val="00020434"/>
    <w:rsid w:val="00020AE8"/>
    <w:rsid w:val="0002102E"/>
    <w:rsid w:val="000212BB"/>
    <w:rsid w:val="00021731"/>
    <w:rsid w:val="000224AC"/>
    <w:rsid w:val="00023062"/>
    <w:rsid w:val="00023775"/>
    <w:rsid w:val="00023A2C"/>
    <w:rsid w:val="000240B4"/>
    <w:rsid w:val="00025EBE"/>
    <w:rsid w:val="00026AFF"/>
    <w:rsid w:val="00026BF2"/>
    <w:rsid w:val="000271F6"/>
    <w:rsid w:val="000279C8"/>
    <w:rsid w:val="00030445"/>
    <w:rsid w:val="000306DB"/>
    <w:rsid w:val="00030773"/>
    <w:rsid w:val="00030EC3"/>
    <w:rsid w:val="000318C4"/>
    <w:rsid w:val="000318C7"/>
    <w:rsid w:val="0003299F"/>
    <w:rsid w:val="00032BE7"/>
    <w:rsid w:val="0003319F"/>
    <w:rsid w:val="0003320F"/>
    <w:rsid w:val="00033D26"/>
    <w:rsid w:val="00033FDB"/>
    <w:rsid w:val="00034092"/>
    <w:rsid w:val="000344F6"/>
    <w:rsid w:val="00034B98"/>
    <w:rsid w:val="00036164"/>
    <w:rsid w:val="000365CF"/>
    <w:rsid w:val="000368C9"/>
    <w:rsid w:val="00036EDC"/>
    <w:rsid w:val="0003766D"/>
    <w:rsid w:val="0003776C"/>
    <w:rsid w:val="000404EB"/>
    <w:rsid w:val="00040A4F"/>
    <w:rsid w:val="00042263"/>
    <w:rsid w:val="00042CE1"/>
    <w:rsid w:val="00043505"/>
    <w:rsid w:val="00043C70"/>
    <w:rsid w:val="00043CDA"/>
    <w:rsid w:val="00043E88"/>
    <w:rsid w:val="00044042"/>
    <w:rsid w:val="000456D8"/>
    <w:rsid w:val="000456D9"/>
    <w:rsid w:val="0004589C"/>
    <w:rsid w:val="00045A64"/>
    <w:rsid w:val="000463D7"/>
    <w:rsid w:val="00046A50"/>
    <w:rsid w:val="00047289"/>
    <w:rsid w:val="000474D2"/>
    <w:rsid w:val="00047655"/>
    <w:rsid w:val="000479C5"/>
    <w:rsid w:val="00050DFD"/>
    <w:rsid w:val="00050E94"/>
    <w:rsid w:val="00050F94"/>
    <w:rsid w:val="000527BF"/>
    <w:rsid w:val="00052C6D"/>
    <w:rsid w:val="00052DBB"/>
    <w:rsid w:val="0005349C"/>
    <w:rsid w:val="00053644"/>
    <w:rsid w:val="0005374B"/>
    <w:rsid w:val="00053809"/>
    <w:rsid w:val="00053914"/>
    <w:rsid w:val="0005447E"/>
    <w:rsid w:val="00054756"/>
    <w:rsid w:val="00054918"/>
    <w:rsid w:val="000556C8"/>
    <w:rsid w:val="00055886"/>
    <w:rsid w:val="000560C5"/>
    <w:rsid w:val="00056242"/>
    <w:rsid w:val="00056C49"/>
    <w:rsid w:val="00056FE0"/>
    <w:rsid w:val="00057A2E"/>
    <w:rsid w:val="00060090"/>
    <w:rsid w:val="0006010E"/>
    <w:rsid w:val="000603C8"/>
    <w:rsid w:val="000607C9"/>
    <w:rsid w:val="000608A4"/>
    <w:rsid w:val="00060AA1"/>
    <w:rsid w:val="00061BBE"/>
    <w:rsid w:val="00061FEC"/>
    <w:rsid w:val="00061FEE"/>
    <w:rsid w:val="000631FD"/>
    <w:rsid w:val="000638FB"/>
    <w:rsid w:val="000643D3"/>
    <w:rsid w:val="00064D33"/>
    <w:rsid w:val="00065096"/>
    <w:rsid w:val="00065B2D"/>
    <w:rsid w:val="00065CB2"/>
    <w:rsid w:val="00065F22"/>
    <w:rsid w:val="00066227"/>
    <w:rsid w:val="00067B16"/>
    <w:rsid w:val="000702F5"/>
    <w:rsid w:val="00070E0C"/>
    <w:rsid w:val="0007135F"/>
    <w:rsid w:val="00071F8A"/>
    <w:rsid w:val="00072077"/>
    <w:rsid w:val="00072C32"/>
    <w:rsid w:val="00072CA9"/>
    <w:rsid w:val="00073695"/>
    <w:rsid w:val="00073E04"/>
    <w:rsid w:val="0007401B"/>
    <w:rsid w:val="00074220"/>
    <w:rsid w:val="000749C8"/>
    <w:rsid w:val="00074ADF"/>
    <w:rsid w:val="00074EBF"/>
    <w:rsid w:val="000755F9"/>
    <w:rsid w:val="000757B2"/>
    <w:rsid w:val="00075DB7"/>
    <w:rsid w:val="0007628D"/>
    <w:rsid w:val="000763A8"/>
    <w:rsid w:val="00077636"/>
    <w:rsid w:val="00077B3C"/>
    <w:rsid w:val="00077DE5"/>
    <w:rsid w:val="000802FF"/>
    <w:rsid w:val="00080848"/>
    <w:rsid w:val="00080DB7"/>
    <w:rsid w:val="00080E65"/>
    <w:rsid w:val="000810BA"/>
    <w:rsid w:val="00081DAB"/>
    <w:rsid w:val="00082A98"/>
    <w:rsid w:val="00082DE5"/>
    <w:rsid w:val="0008358D"/>
    <w:rsid w:val="00084102"/>
    <w:rsid w:val="00084222"/>
    <w:rsid w:val="00084499"/>
    <w:rsid w:val="00084B65"/>
    <w:rsid w:val="00085687"/>
    <w:rsid w:val="000859B2"/>
    <w:rsid w:val="00086150"/>
    <w:rsid w:val="00086361"/>
    <w:rsid w:val="00090046"/>
    <w:rsid w:val="00091DE4"/>
    <w:rsid w:val="00092302"/>
    <w:rsid w:val="000924C6"/>
    <w:rsid w:val="00092829"/>
    <w:rsid w:val="00092B09"/>
    <w:rsid w:val="0009351E"/>
    <w:rsid w:val="00093D43"/>
    <w:rsid w:val="00093FF4"/>
    <w:rsid w:val="000944AB"/>
    <w:rsid w:val="0009479A"/>
    <w:rsid w:val="00094AD6"/>
    <w:rsid w:val="00094F17"/>
    <w:rsid w:val="0009512A"/>
    <w:rsid w:val="00095D61"/>
    <w:rsid w:val="00095E44"/>
    <w:rsid w:val="00096058"/>
    <w:rsid w:val="000961AA"/>
    <w:rsid w:val="000961D2"/>
    <w:rsid w:val="0009668B"/>
    <w:rsid w:val="00096D8D"/>
    <w:rsid w:val="00096DE9"/>
    <w:rsid w:val="0009755A"/>
    <w:rsid w:val="00097C3D"/>
    <w:rsid w:val="00097E7A"/>
    <w:rsid w:val="000A06BC"/>
    <w:rsid w:val="000A0AB2"/>
    <w:rsid w:val="000A1232"/>
    <w:rsid w:val="000A1B76"/>
    <w:rsid w:val="000A2124"/>
    <w:rsid w:val="000A221F"/>
    <w:rsid w:val="000A29B2"/>
    <w:rsid w:val="000A2D7A"/>
    <w:rsid w:val="000A30E5"/>
    <w:rsid w:val="000A339C"/>
    <w:rsid w:val="000A40D0"/>
    <w:rsid w:val="000A4183"/>
    <w:rsid w:val="000A4371"/>
    <w:rsid w:val="000A5815"/>
    <w:rsid w:val="000A5AB8"/>
    <w:rsid w:val="000A7507"/>
    <w:rsid w:val="000A7550"/>
    <w:rsid w:val="000A7699"/>
    <w:rsid w:val="000A796E"/>
    <w:rsid w:val="000B0097"/>
    <w:rsid w:val="000B0825"/>
    <w:rsid w:val="000B101F"/>
    <w:rsid w:val="000B10CF"/>
    <w:rsid w:val="000B1F4B"/>
    <w:rsid w:val="000B23E1"/>
    <w:rsid w:val="000B2F27"/>
    <w:rsid w:val="000B2F58"/>
    <w:rsid w:val="000B30E6"/>
    <w:rsid w:val="000B376E"/>
    <w:rsid w:val="000B37A8"/>
    <w:rsid w:val="000B468F"/>
    <w:rsid w:val="000B4713"/>
    <w:rsid w:val="000B49D6"/>
    <w:rsid w:val="000B49E3"/>
    <w:rsid w:val="000B51D9"/>
    <w:rsid w:val="000B546A"/>
    <w:rsid w:val="000B6054"/>
    <w:rsid w:val="000B6C95"/>
    <w:rsid w:val="000B7100"/>
    <w:rsid w:val="000C03FB"/>
    <w:rsid w:val="000C0594"/>
    <w:rsid w:val="000C0984"/>
    <w:rsid w:val="000C14B0"/>
    <w:rsid w:val="000C1707"/>
    <w:rsid w:val="000C2496"/>
    <w:rsid w:val="000C2E18"/>
    <w:rsid w:val="000C308F"/>
    <w:rsid w:val="000C4839"/>
    <w:rsid w:val="000C4A0D"/>
    <w:rsid w:val="000C5840"/>
    <w:rsid w:val="000C5A4E"/>
    <w:rsid w:val="000C635D"/>
    <w:rsid w:val="000C6C47"/>
    <w:rsid w:val="000C7114"/>
    <w:rsid w:val="000C7D49"/>
    <w:rsid w:val="000C7F49"/>
    <w:rsid w:val="000D12BB"/>
    <w:rsid w:val="000D1AEE"/>
    <w:rsid w:val="000D1D18"/>
    <w:rsid w:val="000D1F4F"/>
    <w:rsid w:val="000D2383"/>
    <w:rsid w:val="000D26AE"/>
    <w:rsid w:val="000D31F0"/>
    <w:rsid w:val="000D3AB0"/>
    <w:rsid w:val="000D3AFB"/>
    <w:rsid w:val="000D3CD9"/>
    <w:rsid w:val="000D4D07"/>
    <w:rsid w:val="000D4FD8"/>
    <w:rsid w:val="000D5515"/>
    <w:rsid w:val="000D62B2"/>
    <w:rsid w:val="000D6808"/>
    <w:rsid w:val="000D72BD"/>
    <w:rsid w:val="000D7535"/>
    <w:rsid w:val="000D779D"/>
    <w:rsid w:val="000D7813"/>
    <w:rsid w:val="000E02B2"/>
    <w:rsid w:val="000E10B0"/>
    <w:rsid w:val="000E14F1"/>
    <w:rsid w:val="000E165D"/>
    <w:rsid w:val="000E1754"/>
    <w:rsid w:val="000E1768"/>
    <w:rsid w:val="000E1BAF"/>
    <w:rsid w:val="000E223E"/>
    <w:rsid w:val="000E2491"/>
    <w:rsid w:val="000E28C9"/>
    <w:rsid w:val="000E2EA9"/>
    <w:rsid w:val="000E3041"/>
    <w:rsid w:val="000E3529"/>
    <w:rsid w:val="000E3742"/>
    <w:rsid w:val="000E3F80"/>
    <w:rsid w:val="000E46A3"/>
    <w:rsid w:val="000E4E88"/>
    <w:rsid w:val="000E5317"/>
    <w:rsid w:val="000E5726"/>
    <w:rsid w:val="000E6625"/>
    <w:rsid w:val="000E6C94"/>
    <w:rsid w:val="000F04E4"/>
    <w:rsid w:val="000F095F"/>
    <w:rsid w:val="000F10FC"/>
    <w:rsid w:val="000F1BB2"/>
    <w:rsid w:val="000F1EB9"/>
    <w:rsid w:val="000F217A"/>
    <w:rsid w:val="000F29C5"/>
    <w:rsid w:val="000F2C40"/>
    <w:rsid w:val="000F2F5F"/>
    <w:rsid w:val="000F3BEF"/>
    <w:rsid w:val="000F3F94"/>
    <w:rsid w:val="000F4218"/>
    <w:rsid w:val="000F5235"/>
    <w:rsid w:val="000F5B21"/>
    <w:rsid w:val="000F6A9D"/>
    <w:rsid w:val="000F7658"/>
    <w:rsid w:val="000F7665"/>
    <w:rsid w:val="000F7821"/>
    <w:rsid w:val="000F7E94"/>
    <w:rsid w:val="000F7FD8"/>
    <w:rsid w:val="001000D6"/>
    <w:rsid w:val="001002EE"/>
    <w:rsid w:val="00100900"/>
    <w:rsid w:val="0010143B"/>
    <w:rsid w:val="001016C2"/>
    <w:rsid w:val="00101A43"/>
    <w:rsid w:val="00101DE3"/>
    <w:rsid w:val="0010237B"/>
    <w:rsid w:val="00102841"/>
    <w:rsid w:val="00103413"/>
    <w:rsid w:val="00103501"/>
    <w:rsid w:val="00103B2D"/>
    <w:rsid w:val="00103CD2"/>
    <w:rsid w:val="00103DA8"/>
    <w:rsid w:val="00104061"/>
    <w:rsid w:val="00104ECB"/>
    <w:rsid w:val="00106D12"/>
    <w:rsid w:val="00106DE5"/>
    <w:rsid w:val="00107186"/>
    <w:rsid w:val="00107236"/>
    <w:rsid w:val="001074B3"/>
    <w:rsid w:val="00107558"/>
    <w:rsid w:val="0011014E"/>
    <w:rsid w:val="001101A2"/>
    <w:rsid w:val="001104A4"/>
    <w:rsid w:val="0011051F"/>
    <w:rsid w:val="001106F7"/>
    <w:rsid w:val="001108A9"/>
    <w:rsid w:val="001108EC"/>
    <w:rsid w:val="00112D50"/>
    <w:rsid w:val="00112EDA"/>
    <w:rsid w:val="00114174"/>
    <w:rsid w:val="00114342"/>
    <w:rsid w:val="00114C65"/>
    <w:rsid w:val="00114C97"/>
    <w:rsid w:val="00114CCB"/>
    <w:rsid w:val="00115AE2"/>
    <w:rsid w:val="00116228"/>
    <w:rsid w:val="0011625A"/>
    <w:rsid w:val="00116EB2"/>
    <w:rsid w:val="0011708B"/>
    <w:rsid w:val="001172DC"/>
    <w:rsid w:val="00117B4A"/>
    <w:rsid w:val="00117C1D"/>
    <w:rsid w:val="00117E08"/>
    <w:rsid w:val="0012096D"/>
    <w:rsid w:val="0012142C"/>
    <w:rsid w:val="00121CF8"/>
    <w:rsid w:val="00123688"/>
    <w:rsid w:val="001247B4"/>
    <w:rsid w:val="00125DE8"/>
    <w:rsid w:val="0012716C"/>
    <w:rsid w:val="001276EB"/>
    <w:rsid w:val="00127ABC"/>
    <w:rsid w:val="00127F47"/>
    <w:rsid w:val="00127F53"/>
    <w:rsid w:val="00130189"/>
    <w:rsid w:val="0013020F"/>
    <w:rsid w:val="00130493"/>
    <w:rsid w:val="0013093A"/>
    <w:rsid w:val="00130D97"/>
    <w:rsid w:val="00130E55"/>
    <w:rsid w:val="00130E90"/>
    <w:rsid w:val="00130ECE"/>
    <w:rsid w:val="00130FA1"/>
    <w:rsid w:val="00132887"/>
    <w:rsid w:val="0013317F"/>
    <w:rsid w:val="00133572"/>
    <w:rsid w:val="0013441A"/>
    <w:rsid w:val="00134E4A"/>
    <w:rsid w:val="001350A9"/>
    <w:rsid w:val="001364FB"/>
    <w:rsid w:val="001365F2"/>
    <w:rsid w:val="00136737"/>
    <w:rsid w:val="00136D62"/>
    <w:rsid w:val="00136D7A"/>
    <w:rsid w:val="00136F2D"/>
    <w:rsid w:val="001373CC"/>
    <w:rsid w:val="001374C5"/>
    <w:rsid w:val="0013765C"/>
    <w:rsid w:val="00137AB5"/>
    <w:rsid w:val="00137E34"/>
    <w:rsid w:val="0014033C"/>
    <w:rsid w:val="001413D5"/>
    <w:rsid w:val="00141470"/>
    <w:rsid w:val="00141540"/>
    <w:rsid w:val="00141DC9"/>
    <w:rsid w:val="00142B83"/>
    <w:rsid w:val="00142EB5"/>
    <w:rsid w:val="00143006"/>
    <w:rsid w:val="001436E9"/>
    <w:rsid w:val="001441B2"/>
    <w:rsid w:val="001441CB"/>
    <w:rsid w:val="001449DF"/>
    <w:rsid w:val="00144A35"/>
    <w:rsid w:val="001451F7"/>
    <w:rsid w:val="0014534A"/>
    <w:rsid w:val="0014569B"/>
    <w:rsid w:val="00145B30"/>
    <w:rsid w:val="00145D8F"/>
    <w:rsid w:val="00146794"/>
    <w:rsid w:val="001470E0"/>
    <w:rsid w:val="0014787A"/>
    <w:rsid w:val="00147FE3"/>
    <w:rsid w:val="00150060"/>
    <w:rsid w:val="00150447"/>
    <w:rsid w:val="00150592"/>
    <w:rsid w:val="0015071C"/>
    <w:rsid w:val="00150C6C"/>
    <w:rsid w:val="00151258"/>
    <w:rsid w:val="001515CA"/>
    <w:rsid w:val="0015206E"/>
    <w:rsid w:val="001527B7"/>
    <w:rsid w:val="00152F10"/>
    <w:rsid w:val="00153EBE"/>
    <w:rsid w:val="001544DE"/>
    <w:rsid w:val="001546F6"/>
    <w:rsid w:val="001548D8"/>
    <w:rsid w:val="00154C69"/>
    <w:rsid w:val="00154F08"/>
    <w:rsid w:val="001552B8"/>
    <w:rsid w:val="0015578F"/>
    <w:rsid w:val="0015592E"/>
    <w:rsid w:val="00155EAE"/>
    <w:rsid w:val="001567D7"/>
    <w:rsid w:val="0015684E"/>
    <w:rsid w:val="0015704C"/>
    <w:rsid w:val="00157061"/>
    <w:rsid w:val="00157895"/>
    <w:rsid w:val="00160E86"/>
    <w:rsid w:val="00161701"/>
    <w:rsid w:val="00161E87"/>
    <w:rsid w:val="00163C6A"/>
    <w:rsid w:val="00164727"/>
    <w:rsid w:val="00164EF9"/>
    <w:rsid w:val="0016566C"/>
    <w:rsid w:val="0016676B"/>
    <w:rsid w:val="00166894"/>
    <w:rsid w:val="00167A8C"/>
    <w:rsid w:val="00171286"/>
    <w:rsid w:val="001713F7"/>
    <w:rsid w:val="001726DC"/>
    <w:rsid w:val="001727F0"/>
    <w:rsid w:val="00172825"/>
    <w:rsid w:val="00172B06"/>
    <w:rsid w:val="00173299"/>
    <w:rsid w:val="0017347E"/>
    <w:rsid w:val="00173A50"/>
    <w:rsid w:val="00174090"/>
    <w:rsid w:val="001752D8"/>
    <w:rsid w:val="0017540B"/>
    <w:rsid w:val="00175914"/>
    <w:rsid w:val="00175931"/>
    <w:rsid w:val="00176B25"/>
    <w:rsid w:val="00176BAE"/>
    <w:rsid w:val="00176E98"/>
    <w:rsid w:val="00177046"/>
    <w:rsid w:val="00180140"/>
    <w:rsid w:val="00180AA8"/>
    <w:rsid w:val="001810F7"/>
    <w:rsid w:val="0018188F"/>
    <w:rsid w:val="00181BD5"/>
    <w:rsid w:val="00181E0F"/>
    <w:rsid w:val="00181F0A"/>
    <w:rsid w:val="00182315"/>
    <w:rsid w:val="0018238B"/>
    <w:rsid w:val="00182905"/>
    <w:rsid w:val="00182A65"/>
    <w:rsid w:val="00183419"/>
    <w:rsid w:val="001838A0"/>
    <w:rsid w:val="0018394A"/>
    <w:rsid w:val="00184198"/>
    <w:rsid w:val="001844DF"/>
    <w:rsid w:val="00184548"/>
    <w:rsid w:val="00184DCC"/>
    <w:rsid w:val="00184EB1"/>
    <w:rsid w:val="00186586"/>
    <w:rsid w:val="001866F1"/>
    <w:rsid w:val="00186A9D"/>
    <w:rsid w:val="00187185"/>
    <w:rsid w:val="001874A6"/>
    <w:rsid w:val="0018765B"/>
    <w:rsid w:val="00187BC0"/>
    <w:rsid w:val="001904AE"/>
    <w:rsid w:val="00190913"/>
    <w:rsid w:val="0019096D"/>
    <w:rsid w:val="001918EA"/>
    <w:rsid w:val="001920A7"/>
    <w:rsid w:val="0019236A"/>
    <w:rsid w:val="001923A7"/>
    <w:rsid w:val="00192703"/>
    <w:rsid w:val="00192A0C"/>
    <w:rsid w:val="00192A9D"/>
    <w:rsid w:val="00192C1B"/>
    <w:rsid w:val="00193B21"/>
    <w:rsid w:val="00193DD3"/>
    <w:rsid w:val="00194562"/>
    <w:rsid w:val="001947A8"/>
    <w:rsid w:val="001948AA"/>
    <w:rsid w:val="0019554B"/>
    <w:rsid w:val="001956FA"/>
    <w:rsid w:val="00195F65"/>
    <w:rsid w:val="00196A33"/>
    <w:rsid w:val="0019708B"/>
    <w:rsid w:val="00197216"/>
    <w:rsid w:val="00197F92"/>
    <w:rsid w:val="001A07E2"/>
    <w:rsid w:val="001A0A5D"/>
    <w:rsid w:val="001A0AD4"/>
    <w:rsid w:val="001A197E"/>
    <w:rsid w:val="001A19D0"/>
    <w:rsid w:val="001A2018"/>
    <w:rsid w:val="001A2112"/>
    <w:rsid w:val="001A229F"/>
    <w:rsid w:val="001A268E"/>
    <w:rsid w:val="001A2B88"/>
    <w:rsid w:val="001A33C3"/>
    <w:rsid w:val="001A3457"/>
    <w:rsid w:val="001A3520"/>
    <w:rsid w:val="001A4492"/>
    <w:rsid w:val="001A44FC"/>
    <w:rsid w:val="001A51CF"/>
    <w:rsid w:val="001A56F1"/>
    <w:rsid w:val="001A5A48"/>
    <w:rsid w:val="001A5D0E"/>
    <w:rsid w:val="001A601F"/>
    <w:rsid w:val="001A760E"/>
    <w:rsid w:val="001A7763"/>
    <w:rsid w:val="001A7FC6"/>
    <w:rsid w:val="001B01C8"/>
    <w:rsid w:val="001B074C"/>
    <w:rsid w:val="001B0B52"/>
    <w:rsid w:val="001B138B"/>
    <w:rsid w:val="001B13F6"/>
    <w:rsid w:val="001B156B"/>
    <w:rsid w:val="001B1747"/>
    <w:rsid w:val="001B1DBF"/>
    <w:rsid w:val="001B1E5A"/>
    <w:rsid w:val="001B2CFC"/>
    <w:rsid w:val="001B2D44"/>
    <w:rsid w:val="001B3007"/>
    <w:rsid w:val="001B4A11"/>
    <w:rsid w:val="001B54D2"/>
    <w:rsid w:val="001B58DB"/>
    <w:rsid w:val="001B7109"/>
    <w:rsid w:val="001B752A"/>
    <w:rsid w:val="001B7903"/>
    <w:rsid w:val="001B79C5"/>
    <w:rsid w:val="001B7CE8"/>
    <w:rsid w:val="001C0505"/>
    <w:rsid w:val="001C12FB"/>
    <w:rsid w:val="001C1916"/>
    <w:rsid w:val="001C1CC9"/>
    <w:rsid w:val="001C2537"/>
    <w:rsid w:val="001C2CA3"/>
    <w:rsid w:val="001C2DB4"/>
    <w:rsid w:val="001C3228"/>
    <w:rsid w:val="001C32AA"/>
    <w:rsid w:val="001C35E9"/>
    <w:rsid w:val="001C36BD"/>
    <w:rsid w:val="001C3733"/>
    <w:rsid w:val="001C3C03"/>
    <w:rsid w:val="001C44BF"/>
    <w:rsid w:val="001C4890"/>
    <w:rsid w:val="001C49B3"/>
    <w:rsid w:val="001C4CA4"/>
    <w:rsid w:val="001C4ECE"/>
    <w:rsid w:val="001C55AC"/>
    <w:rsid w:val="001C5B30"/>
    <w:rsid w:val="001C5D1E"/>
    <w:rsid w:val="001C64BD"/>
    <w:rsid w:val="001C68EF"/>
    <w:rsid w:val="001C6D1C"/>
    <w:rsid w:val="001C7521"/>
    <w:rsid w:val="001D0C89"/>
    <w:rsid w:val="001D0FBF"/>
    <w:rsid w:val="001D2638"/>
    <w:rsid w:val="001D2953"/>
    <w:rsid w:val="001D3C05"/>
    <w:rsid w:val="001D5634"/>
    <w:rsid w:val="001D5AA8"/>
    <w:rsid w:val="001D5AB1"/>
    <w:rsid w:val="001D5C1A"/>
    <w:rsid w:val="001D6AF4"/>
    <w:rsid w:val="001D7ED5"/>
    <w:rsid w:val="001E0895"/>
    <w:rsid w:val="001E0CC1"/>
    <w:rsid w:val="001E14CF"/>
    <w:rsid w:val="001E16D1"/>
    <w:rsid w:val="001E1C10"/>
    <w:rsid w:val="001E2B7A"/>
    <w:rsid w:val="001E3CC0"/>
    <w:rsid w:val="001E47B1"/>
    <w:rsid w:val="001E66CE"/>
    <w:rsid w:val="001E6CB7"/>
    <w:rsid w:val="001E769C"/>
    <w:rsid w:val="001E77C3"/>
    <w:rsid w:val="001F090B"/>
    <w:rsid w:val="001F0C8C"/>
    <w:rsid w:val="001F180A"/>
    <w:rsid w:val="001F1A28"/>
    <w:rsid w:val="001F1AD0"/>
    <w:rsid w:val="001F1B87"/>
    <w:rsid w:val="001F2672"/>
    <w:rsid w:val="001F2ED9"/>
    <w:rsid w:val="001F35E8"/>
    <w:rsid w:val="001F3ECA"/>
    <w:rsid w:val="001F4014"/>
    <w:rsid w:val="001F445E"/>
    <w:rsid w:val="001F4D0B"/>
    <w:rsid w:val="001F5AF6"/>
    <w:rsid w:val="001F5BA2"/>
    <w:rsid w:val="001F5C17"/>
    <w:rsid w:val="001F6423"/>
    <w:rsid w:val="001F6439"/>
    <w:rsid w:val="001F65E7"/>
    <w:rsid w:val="001F7732"/>
    <w:rsid w:val="001F77AD"/>
    <w:rsid w:val="001F7966"/>
    <w:rsid w:val="001F79F8"/>
    <w:rsid w:val="00200E75"/>
    <w:rsid w:val="00201213"/>
    <w:rsid w:val="0020165E"/>
    <w:rsid w:val="00201C67"/>
    <w:rsid w:val="00201C8E"/>
    <w:rsid w:val="0020272E"/>
    <w:rsid w:val="0020277C"/>
    <w:rsid w:val="002029D3"/>
    <w:rsid w:val="00202BBA"/>
    <w:rsid w:val="00202E50"/>
    <w:rsid w:val="002041BD"/>
    <w:rsid w:val="00204AAB"/>
    <w:rsid w:val="00204CA3"/>
    <w:rsid w:val="00204D3C"/>
    <w:rsid w:val="00204EE8"/>
    <w:rsid w:val="00205180"/>
    <w:rsid w:val="00205642"/>
    <w:rsid w:val="00206E51"/>
    <w:rsid w:val="00207024"/>
    <w:rsid w:val="00207737"/>
    <w:rsid w:val="00207F81"/>
    <w:rsid w:val="00210709"/>
    <w:rsid w:val="002109F4"/>
    <w:rsid w:val="00211EF7"/>
    <w:rsid w:val="00211FDA"/>
    <w:rsid w:val="00212451"/>
    <w:rsid w:val="0021274C"/>
    <w:rsid w:val="00213AED"/>
    <w:rsid w:val="00213E38"/>
    <w:rsid w:val="00213E5D"/>
    <w:rsid w:val="0021457C"/>
    <w:rsid w:val="00214772"/>
    <w:rsid w:val="00215FDA"/>
    <w:rsid w:val="002160C2"/>
    <w:rsid w:val="00217737"/>
    <w:rsid w:val="002178DA"/>
    <w:rsid w:val="00217AAB"/>
    <w:rsid w:val="00217B63"/>
    <w:rsid w:val="00217FFA"/>
    <w:rsid w:val="00221843"/>
    <w:rsid w:val="00222006"/>
    <w:rsid w:val="00222503"/>
    <w:rsid w:val="00222597"/>
    <w:rsid w:val="00222BB9"/>
    <w:rsid w:val="00222E3F"/>
    <w:rsid w:val="00223D78"/>
    <w:rsid w:val="00223E2B"/>
    <w:rsid w:val="00224026"/>
    <w:rsid w:val="002244FC"/>
    <w:rsid w:val="002258D6"/>
    <w:rsid w:val="002259B2"/>
    <w:rsid w:val="00225A9E"/>
    <w:rsid w:val="00225D00"/>
    <w:rsid w:val="0022630A"/>
    <w:rsid w:val="002266B1"/>
    <w:rsid w:val="00227114"/>
    <w:rsid w:val="002274FB"/>
    <w:rsid w:val="00227C9D"/>
    <w:rsid w:val="002309D2"/>
    <w:rsid w:val="0023107D"/>
    <w:rsid w:val="002311F3"/>
    <w:rsid w:val="0023145C"/>
    <w:rsid w:val="00231B61"/>
    <w:rsid w:val="00231C0D"/>
    <w:rsid w:val="00232915"/>
    <w:rsid w:val="0023315B"/>
    <w:rsid w:val="00233CBF"/>
    <w:rsid w:val="00233FF6"/>
    <w:rsid w:val="0023408A"/>
    <w:rsid w:val="00234279"/>
    <w:rsid w:val="0023456F"/>
    <w:rsid w:val="002346DE"/>
    <w:rsid w:val="002347FE"/>
    <w:rsid w:val="00234F7E"/>
    <w:rsid w:val="002354A4"/>
    <w:rsid w:val="00235B14"/>
    <w:rsid w:val="0023604D"/>
    <w:rsid w:val="002360D3"/>
    <w:rsid w:val="0023634A"/>
    <w:rsid w:val="00236EB6"/>
    <w:rsid w:val="002404D8"/>
    <w:rsid w:val="0024178D"/>
    <w:rsid w:val="00241B80"/>
    <w:rsid w:val="00241DB4"/>
    <w:rsid w:val="00242039"/>
    <w:rsid w:val="00242D5A"/>
    <w:rsid w:val="00242E08"/>
    <w:rsid w:val="00243213"/>
    <w:rsid w:val="0024392B"/>
    <w:rsid w:val="002450C6"/>
    <w:rsid w:val="002453D6"/>
    <w:rsid w:val="00245782"/>
    <w:rsid w:val="00245A31"/>
    <w:rsid w:val="00245DCF"/>
    <w:rsid w:val="00245E4A"/>
    <w:rsid w:val="002464E7"/>
    <w:rsid w:val="00246C65"/>
    <w:rsid w:val="00246EF4"/>
    <w:rsid w:val="00246FFE"/>
    <w:rsid w:val="0024721F"/>
    <w:rsid w:val="00250317"/>
    <w:rsid w:val="0025054B"/>
    <w:rsid w:val="002512CC"/>
    <w:rsid w:val="00251528"/>
    <w:rsid w:val="00251A10"/>
    <w:rsid w:val="00252356"/>
    <w:rsid w:val="00252B35"/>
    <w:rsid w:val="00252BFF"/>
    <w:rsid w:val="00253732"/>
    <w:rsid w:val="00253AAB"/>
    <w:rsid w:val="002542A8"/>
    <w:rsid w:val="00254355"/>
    <w:rsid w:val="00254490"/>
    <w:rsid w:val="002544F8"/>
    <w:rsid w:val="00254DA2"/>
    <w:rsid w:val="00255C45"/>
    <w:rsid w:val="0025661F"/>
    <w:rsid w:val="0026084B"/>
    <w:rsid w:val="00260A11"/>
    <w:rsid w:val="00260A25"/>
    <w:rsid w:val="00261474"/>
    <w:rsid w:val="00261590"/>
    <w:rsid w:val="0026169A"/>
    <w:rsid w:val="0026180A"/>
    <w:rsid w:val="00261CE7"/>
    <w:rsid w:val="00262763"/>
    <w:rsid w:val="00263569"/>
    <w:rsid w:val="00263A6B"/>
    <w:rsid w:val="00263CA6"/>
    <w:rsid w:val="002649D7"/>
    <w:rsid w:val="00264BEA"/>
    <w:rsid w:val="00264D76"/>
    <w:rsid w:val="0026509D"/>
    <w:rsid w:val="00265314"/>
    <w:rsid w:val="002658CE"/>
    <w:rsid w:val="0026656F"/>
    <w:rsid w:val="0026726C"/>
    <w:rsid w:val="00267850"/>
    <w:rsid w:val="00270352"/>
    <w:rsid w:val="00270426"/>
    <w:rsid w:val="00270949"/>
    <w:rsid w:val="00270A12"/>
    <w:rsid w:val="00271032"/>
    <w:rsid w:val="002710BA"/>
    <w:rsid w:val="00271546"/>
    <w:rsid w:val="0027164C"/>
    <w:rsid w:val="00272889"/>
    <w:rsid w:val="00272F52"/>
    <w:rsid w:val="00273204"/>
    <w:rsid w:val="002735F7"/>
    <w:rsid w:val="00273E3E"/>
    <w:rsid w:val="00274147"/>
    <w:rsid w:val="0027417D"/>
    <w:rsid w:val="00274213"/>
    <w:rsid w:val="00275189"/>
    <w:rsid w:val="0027518C"/>
    <w:rsid w:val="0027563C"/>
    <w:rsid w:val="002756DC"/>
    <w:rsid w:val="00276412"/>
    <w:rsid w:val="00276437"/>
    <w:rsid w:val="00276A89"/>
    <w:rsid w:val="00276C7E"/>
    <w:rsid w:val="00276DE0"/>
    <w:rsid w:val="0027735C"/>
    <w:rsid w:val="00277429"/>
    <w:rsid w:val="002779F7"/>
    <w:rsid w:val="00280053"/>
    <w:rsid w:val="002804E3"/>
    <w:rsid w:val="0028063F"/>
    <w:rsid w:val="00280685"/>
    <w:rsid w:val="00280740"/>
    <w:rsid w:val="002807BF"/>
    <w:rsid w:val="00280F9E"/>
    <w:rsid w:val="002812EE"/>
    <w:rsid w:val="0028132F"/>
    <w:rsid w:val="00281764"/>
    <w:rsid w:val="002823A2"/>
    <w:rsid w:val="002829A4"/>
    <w:rsid w:val="00282FD1"/>
    <w:rsid w:val="00283B02"/>
    <w:rsid w:val="00283C5D"/>
    <w:rsid w:val="002844B0"/>
    <w:rsid w:val="00285164"/>
    <w:rsid w:val="00286322"/>
    <w:rsid w:val="002865B8"/>
    <w:rsid w:val="00286F18"/>
    <w:rsid w:val="002870F6"/>
    <w:rsid w:val="0029116D"/>
    <w:rsid w:val="00291D31"/>
    <w:rsid w:val="00294657"/>
    <w:rsid w:val="00294991"/>
    <w:rsid w:val="00294AD6"/>
    <w:rsid w:val="00295A0A"/>
    <w:rsid w:val="00296B03"/>
    <w:rsid w:val="00296C1F"/>
    <w:rsid w:val="00296DB7"/>
    <w:rsid w:val="002973DD"/>
    <w:rsid w:val="00297507"/>
    <w:rsid w:val="00297EF4"/>
    <w:rsid w:val="002A03B1"/>
    <w:rsid w:val="002A1608"/>
    <w:rsid w:val="002A23F3"/>
    <w:rsid w:val="002A2D79"/>
    <w:rsid w:val="002A3454"/>
    <w:rsid w:val="002A3ED6"/>
    <w:rsid w:val="002A3EE0"/>
    <w:rsid w:val="002A41E6"/>
    <w:rsid w:val="002A44C8"/>
    <w:rsid w:val="002A454C"/>
    <w:rsid w:val="002A46A6"/>
    <w:rsid w:val="002A4704"/>
    <w:rsid w:val="002A4D13"/>
    <w:rsid w:val="002A4D1D"/>
    <w:rsid w:val="002A545A"/>
    <w:rsid w:val="002A5827"/>
    <w:rsid w:val="002A5E48"/>
    <w:rsid w:val="002A60B2"/>
    <w:rsid w:val="002A6C39"/>
    <w:rsid w:val="002A7141"/>
    <w:rsid w:val="002A717A"/>
    <w:rsid w:val="002A7B00"/>
    <w:rsid w:val="002B0059"/>
    <w:rsid w:val="002B0455"/>
    <w:rsid w:val="002B080D"/>
    <w:rsid w:val="002B1D4F"/>
    <w:rsid w:val="002B1D52"/>
    <w:rsid w:val="002B261C"/>
    <w:rsid w:val="002B2BEE"/>
    <w:rsid w:val="002B3078"/>
    <w:rsid w:val="002B318C"/>
    <w:rsid w:val="002B35C5"/>
    <w:rsid w:val="002B3935"/>
    <w:rsid w:val="002B3CF7"/>
    <w:rsid w:val="002B3FC7"/>
    <w:rsid w:val="002B406A"/>
    <w:rsid w:val="002B41D4"/>
    <w:rsid w:val="002B47DB"/>
    <w:rsid w:val="002B497E"/>
    <w:rsid w:val="002B501D"/>
    <w:rsid w:val="002B543F"/>
    <w:rsid w:val="002B5536"/>
    <w:rsid w:val="002B5868"/>
    <w:rsid w:val="002B6165"/>
    <w:rsid w:val="002B660D"/>
    <w:rsid w:val="002B6717"/>
    <w:rsid w:val="002B6A52"/>
    <w:rsid w:val="002B7D73"/>
    <w:rsid w:val="002C02D3"/>
    <w:rsid w:val="002C033A"/>
    <w:rsid w:val="002C06E3"/>
    <w:rsid w:val="002C0801"/>
    <w:rsid w:val="002C0A8B"/>
    <w:rsid w:val="002C145F"/>
    <w:rsid w:val="002C1622"/>
    <w:rsid w:val="002C33B3"/>
    <w:rsid w:val="002C35B9"/>
    <w:rsid w:val="002C3897"/>
    <w:rsid w:val="002C3E65"/>
    <w:rsid w:val="002C44B0"/>
    <w:rsid w:val="002C450A"/>
    <w:rsid w:val="002C4A3E"/>
    <w:rsid w:val="002C4E07"/>
    <w:rsid w:val="002C5692"/>
    <w:rsid w:val="002C7126"/>
    <w:rsid w:val="002C712C"/>
    <w:rsid w:val="002C7FD2"/>
    <w:rsid w:val="002D0586"/>
    <w:rsid w:val="002D1023"/>
    <w:rsid w:val="002D1459"/>
    <w:rsid w:val="002D1470"/>
    <w:rsid w:val="002D1A1A"/>
    <w:rsid w:val="002D21CF"/>
    <w:rsid w:val="002D3151"/>
    <w:rsid w:val="002D3DB7"/>
    <w:rsid w:val="002D4705"/>
    <w:rsid w:val="002D5A36"/>
    <w:rsid w:val="002D5B65"/>
    <w:rsid w:val="002D6396"/>
    <w:rsid w:val="002D68BE"/>
    <w:rsid w:val="002D6957"/>
    <w:rsid w:val="002D713A"/>
    <w:rsid w:val="002D75E2"/>
    <w:rsid w:val="002D794F"/>
    <w:rsid w:val="002D7B94"/>
    <w:rsid w:val="002D7E5E"/>
    <w:rsid w:val="002E0550"/>
    <w:rsid w:val="002E07BA"/>
    <w:rsid w:val="002E07EF"/>
    <w:rsid w:val="002E083E"/>
    <w:rsid w:val="002E0A7B"/>
    <w:rsid w:val="002E0D06"/>
    <w:rsid w:val="002E1810"/>
    <w:rsid w:val="002E2CD6"/>
    <w:rsid w:val="002E305D"/>
    <w:rsid w:val="002E452B"/>
    <w:rsid w:val="002E4D93"/>
    <w:rsid w:val="002E4E94"/>
    <w:rsid w:val="002E6C6E"/>
    <w:rsid w:val="002E6CA8"/>
    <w:rsid w:val="002E774A"/>
    <w:rsid w:val="002F00E7"/>
    <w:rsid w:val="002F0DEC"/>
    <w:rsid w:val="002F1C25"/>
    <w:rsid w:val="002F1D35"/>
    <w:rsid w:val="002F1F28"/>
    <w:rsid w:val="002F211F"/>
    <w:rsid w:val="002F43CA"/>
    <w:rsid w:val="002F57AA"/>
    <w:rsid w:val="002F65FC"/>
    <w:rsid w:val="002F6E58"/>
    <w:rsid w:val="002F6EF7"/>
    <w:rsid w:val="002F714C"/>
    <w:rsid w:val="002F759C"/>
    <w:rsid w:val="002F77BF"/>
    <w:rsid w:val="002F7CB1"/>
    <w:rsid w:val="003004A2"/>
    <w:rsid w:val="00300947"/>
    <w:rsid w:val="003020E8"/>
    <w:rsid w:val="00302EF8"/>
    <w:rsid w:val="00303B18"/>
    <w:rsid w:val="00303DD5"/>
    <w:rsid w:val="00303F94"/>
    <w:rsid w:val="003041AD"/>
    <w:rsid w:val="003046EB"/>
    <w:rsid w:val="00304785"/>
    <w:rsid w:val="00304FF1"/>
    <w:rsid w:val="0030586B"/>
    <w:rsid w:val="00306975"/>
    <w:rsid w:val="00306BFC"/>
    <w:rsid w:val="00307B74"/>
    <w:rsid w:val="00307F79"/>
    <w:rsid w:val="00310219"/>
    <w:rsid w:val="003103B7"/>
    <w:rsid w:val="0031042D"/>
    <w:rsid w:val="00310764"/>
    <w:rsid w:val="003116E7"/>
    <w:rsid w:val="00311872"/>
    <w:rsid w:val="00311A4A"/>
    <w:rsid w:val="00311BFD"/>
    <w:rsid w:val="00311C49"/>
    <w:rsid w:val="00313686"/>
    <w:rsid w:val="003142A8"/>
    <w:rsid w:val="00314718"/>
    <w:rsid w:val="0031488A"/>
    <w:rsid w:val="003150C7"/>
    <w:rsid w:val="00316056"/>
    <w:rsid w:val="00317151"/>
    <w:rsid w:val="003175B5"/>
    <w:rsid w:val="003175E1"/>
    <w:rsid w:val="00317AB9"/>
    <w:rsid w:val="00320203"/>
    <w:rsid w:val="00320247"/>
    <w:rsid w:val="00320CF6"/>
    <w:rsid w:val="00321788"/>
    <w:rsid w:val="00322002"/>
    <w:rsid w:val="0032236F"/>
    <w:rsid w:val="0032344C"/>
    <w:rsid w:val="00324264"/>
    <w:rsid w:val="003247B0"/>
    <w:rsid w:val="00324FF4"/>
    <w:rsid w:val="0032565E"/>
    <w:rsid w:val="00325E81"/>
    <w:rsid w:val="00326948"/>
    <w:rsid w:val="00327052"/>
    <w:rsid w:val="00327A77"/>
    <w:rsid w:val="00327B3C"/>
    <w:rsid w:val="00327FE4"/>
    <w:rsid w:val="00330AE4"/>
    <w:rsid w:val="00330EAD"/>
    <w:rsid w:val="003322AF"/>
    <w:rsid w:val="00333685"/>
    <w:rsid w:val="0033486D"/>
    <w:rsid w:val="0033509F"/>
    <w:rsid w:val="00335228"/>
    <w:rsid w:val="00335C98"/>
    <w:rsid w:val="00335F75"/>
    <w:rsid w:val="003366E2"/>
    <w:rsid w:val="003367C4"/>
    <w:rsid w:val="00336D8E"/>
    <w:rsid w:val="003372DF"/>
    <w:rsid w:val="003373B9"/>
    <w:rsid w:val="003376B3"/>
    <w:rsid w:val="00337C0B"/>
    <w:rsid w:val="0033B9A8"/>
    <w:rsid w:val="00340B08"/>
    <w:rsid w:val="00340DF9"/>
    <w:rsid w:val="00341B88"/>
    <w:rsid w:val="00341EF1"/>
    <w:rsid w:val="00342539"/>
    <w:rsid w:val="003425D9"/>
    <w:rsid w:val="00342DBA"/>
    <w:rsid w:val="00342E4A"/>
    <w:rsid w:val="00343688"/>
    <w:rsid w:val="00344BE5"/>
    <w:rsid w:val="00345F9C"/>
    <w:rsid w:val="003460E5"/>
    <w:rsid w:val="00346BE1"/>
    <w:rsid w:val="00346E08"/>
    <w:rsid w:val="00346EA9"/>
    <w:rsid w:val="00346FA8"/>
    <w:rsid w:val="00347776"/>
    <w:rsid w:val="0035056C"/>
    <w:rsid w:val="00350F0D"/>
    <w:rsid w:val="00350F20"/>
    <w:rsid w:val="0035116A"/>
    <w:rsid w:val="00351A91"/>
    <w:rsid w:val="003520C4"/>
    <w:rsid w:val="003533AE"/>
    <w:rsid w:val="003534CA"/>
    <w:rsid w:val="003536B2"/>
    <w:rsid w:val="00353A1C"/>
    <w:rsid w:val="00353E1A"/>
    <w:rsid w:val="0035492E"/>
    <w:rsid w:val="00355E14"/>
    <w:rsid w:val="00357126"/>
    <w:rsid w:val="003572FC"/>
    <w:rsid w:val="00357728"/>
    <w:rsid w:val="00357C5E"/>
    <w:rsid w:val="00357DEB"/>
    <w:rsid w:val="00357F14"/>
    <w:rsid w:val="003608BD"/>
    <w:rsid w:val="003608D3"/>
    <w:rsid w:val="003610E0"/>
    <w:rsid w:val="00361280"/>
    <w:rsid w:val="003615F1"/>
    <w:rsid w:val="00361A6E"/>
    <w:rsid w:val="00361DA3"/>
    <w:rsid w:val="0036247D"/>
    <w:rsid w:val="003626AF"/>
    <w:rsid w:val="00363A93"/>
    <w:rsid w:val="00363D19"/>
    <w:rsid w:val="00363D7F"/>
    <w:rsid w:val="00363FAA"/>
    <w:rsid w:val="00364465"/>
    <w:rsid w:val="00364AB3"/>
    <w:rsid w:val="00364CB5"/>
    <w:rsid w:val="003650EF"/>
    <w:rsid w:val="00365D8F"/>
    <w:rsid w:val="00365DDF"/>
    <w:rsid w:val="003663C0"/>
    <w:rsid w:val="0036655E"/>
    <w:rsid w:val="00366A79"/>
    <w:rsid w:val="003673F5"/>
    <w:rsid w:val="0036783F"/>
    <w:rsid w:val="00367C66"/>
    <w:rsid w:val="00367CEF"/>
    <w:rsid w:val="003700B2"/>
    <w:rsid w:val="0037014D"/>
    <w:rsid w:val="00371251"/>
    <w:rsid w:val="0037139F"/>
    <w:rsid w:val="00371F22"/>
    <w:rsid w:val="003722EC"/>
    <w:rsid w:val="0037233D"/>
    <w:rsid w:val="00372BCE"/>
    <w:rsid w:val="00372E14"/>
    <w:rsid w:val="00372F49"/>
    <w:rsid w:val="003736EF"/>
    <w:rsid w:val="0037370A"/>
    <w:rsid w:val="003737E3"/>
    <w:rsid w:val="00375529"/>
    <w:rsid w:val="00376F5C"/>
    <w:rsid w:val="003779D0"/>
    <w:rsid w:val="00380304"/>
    <w:rsid w:val="00380A1A"/>
    <w:rsid w:val="00380D80"/>
    <w:rsid w:val="0038104B"/>
    <w:rsid w:val="00381319"/>
    <w:rsid w:val="00381425"/>
    <w:rsid w:val="00382E62"/>
    <w:rsid w:val="00383272"/>
    <w:rsid w:val="0038437D"/>
    <w:rsid w:val="00384802"/>
    <w:rsid w:val="0038500E"/>
    <w:rsid w:val="00385FB9"/>
    <w:rsid w:val="0038761D"/>
    <w:rsid w:val="00387A07"/>
    <w:rsid w:val="003903FA"/>
    <w:rsid w:val="00390691"/>
    <w:rsid w:val="003906F8"/>
    <w:rsid w:val="0039080A"/>
    <w:rsid w:val="003909E2"/>
    <w:rsid w:val="00390CD0"/>
    <w:rsid w:val="00390F10"/>
    <w:rsid w:val="0039317A"/>
    <w:rsid w:val="0039352F"/>
    <w:rsid w:val="003935EE"/>
    <w:rsid w:val="00393EE9"/>
    <w:rsid w:val="0039408A"/>
    <w:rsid w:val="003943A0"/>
    <w:rsid w:val="003945F5"/>
    <w:rsid w:val="003955B7"/>
    <w:rsid w:val="00395DC4"/>
    <w:rsid w:val="00396384"/>
    <w:rsid w:val="0039673D"/>
    <w:rsid w:val="00396B75"/>
    <w:rsid w:val="003975DA"/>
    <w:rsid w:val="00397893"/>
    <w:rsid w:val="003978EE"/>
    <w:rsid w:val="00397CB6"/>
    <w:rsid w:val="003A1006"/>
    <w:rsid w:val="003A10D2"/>
    <w:rsid w:val="003A17F9"/>
    <w:rsid w:val="003A19F6"/>
    <w:rsid w:val="003A2407"/>
    <w:rsid w:val="003A28D7"/>
    <w:rsid w:val="003A2CF0"/>
    <w:rsid w:val="003A33D3"/>
    <w:rsid w:val="003A3837"/>
    <w:rsid w:val="003A3880"/>
    <w:rsid w:val="003A3E5C"/>
    <w:rsid w:val="003A48A6"/>
    <w:rsid w:val="003A4B52"/>
    <w:rsid w:val="003A5836"/>
    <w:rsid w:val="003A5AD1"/>
    <w:rsid w:val="003A5BC5"/>
    <w:rsid w:val="003A5BCB"/>
    <w:rsid w:val="003A5D55"/>
    <w:rsid w:val="003A5F39"/>
    <w:rsid w:val="003A6B04"/>
    <w:rsid w:val="003A75E6"/>
    <w:rsid w:val="003A78B3"/>
    <w:rsid w:val="003A78C6"/>
    <w:rsid w:val="003A7AC5"/>
    <w:rsid w:val="003A7E97"/>
    <w:rsid w:val="003B0807"/>
    <w:rsid w:val="003B0C1B"/>
    <w:rsid w:val="003B145E"/>
    <w:rsid w:val="003B1EC3"/>
    <w:rsid w:val="003B1F01"/>
    <w:rsid w:val="003B255B"/>
    <w:rsid w:val="003B25EC"/>
    <w:rsid w:val="003B26D5"/>
    <w:rsid w:val="003B312B"/>
    <w:rsid w:val="003B3317"/>
    <w:rsid w:val="003B3828"/>
    <w:rsid w:val="003B47E0"/>
    <w:rsid w:val="003B4B2F"/>
    <w:rsid w:val="003B4C50"/>
    <w:rsid w:val="003B52D4"/>
    <w:rsid w:val="003B620A"/>
    <w:rsid w:val="003B6ABF"/>
    <w:rsid w:val="003B6C27"/>
    <w:rsid w:val="003B6FF5"/>
    <w:rsid w:val="003C1019"/>
    <w:rsid w:val="003C147D"/>
    <w:rsid w:val="003C17CB"/>
    <w:rsid w:val="003C1CA5"/>
    <w:rsid w:val="003C1EC7"/>
    <w:rsid w:val="003C2460"/>
    <w:rsid w:val="003C2683"/>
    <w:rsid w:val="003C2978"/>
    <w:rsid w:val="003C29AB"/>
    <w:rsid w:val="003C2BB5"/>
    <w:rsid w:val="003C2CD4"/>
    <w:rsid w:val="003C35C3"/>
    <w:rsid w:val="003C3D8E"/>
    <w:rsid w:val="003C420F"/>
    <w:rsid w:val="003C4DC3"/>
    <w:rsid w:val="003C56FD"/>
    <w:rsid w:val="003C5E61"/>
    <w:rsid w:val="003C64A0"/>
    <w:rsid w:val="003C6796"/>
    <w:rsid w:val="003C694F"/>
    <w:rsid w:val="003C6F0B"/>
    <w:rsid w:val="003C6F0C"/>
    <w:rsid w:val="003C7298"/>
    <w:rsid w:val="003C7422"/>
    <w:rsid w:val="003C7BA3"/>
    <w:rsid w:val="003D135E"/>
    <w:rsid w:val="003D1FCD"/>
    <w:rsid w:val="003D2636"/>
    <w:rsid w:val="003D3642"/>
    <w:rsid w:val="003D4566"/>
    <w:rsid w:val="003D4E9C"/>
    <w:rsid w:val="003D4F14"/>
    <w:rsid w:val="003D599E"/>
    <w:rsid w:val="003D5EE8"/>
    <w:rsid w:val="003D640B"/>
    <w:rsid w:val="003D7082"/>
    <w:rsid w:val="003D7130"/>
    <w:rsid w:val="003D78E1"/>
    <w:rsid w:val="003E043C"/>
    <w:rsid w:val="003E0B9E"/>
    <w:rsid w:val="003E0CEE"/>
    <w:rsid w:val="003E0D78"/>
    <w:rsid w:val="003E1BF5"/>
    <w:rsid w:val="003E1CB1"/>
    <w:rsid w:val="003E1D39"/>
    <w:rsid w:val="003E21ED"/>
    <w:rsid w:val="003E2729"/>
    <w:rsid w:val="003E2B17"/>
    <w:rsid w:val="003E2BC8"/>
    <w:rsid w:val="003E36FF"/>
    <w:rsid w:val="003E3A1D"/>
    <w:rsid w:val="003E3E05"/>
    <w:rsid w:val="003E58AD"/>
    <w:rsid w:val="003E61D8"/>
    <w:rsid w:val="003E6CA0"/>
    <w:rsid w:val="003E6DCE"/>
    <w:rsid w:val="003E6E99"/>
    <w:rsid w:val="003E70B2"/>
    <w:rsid w:val="003E7CF9"/>
    <w:rsid w:val="003E7F07"/>
    <w:rsid w:val="003E7FCA"/>
    <w:rsid w:val="003F050C"/>
    <w:rsid w:val="003F0DA1"/>
    <w:rsid w:val="003F1EDC"/>
    <w:rsid w:val="003F1F41"/>
    <w:rsid w:val="003F277A"/>
    <w:rsid w:val="003F2FDE"/>
    <w:rsid w:val="003F31D3"/>
    <w:rsid w:val="003F330B"/>
    <w:rsid w:val="003F490F"/>
    <w:rsid w:val="003F4DF3"/>
    <w:rsid w:val="003F5134"/>
    <w:rsid w:val="003F5BE1"/>
    <w:rsid w:val="003F6FDF"/>
    <w:rsid w:val="004016F5"/>
    <w:rsid w:val="00401D61"/>
    <w:rsid w:val="0040317C"/>
    <w:rsid w:val="0040360D"/>
    <w:rsid w:val="00403FF5"/>
    <w:rsid w:val="004045AA"/>
    <w:rsid w:val="00405096"/>
    <w:rsid w:val="0040549A"/>
    <w:rsid w:val="00405CAD"/>
    <w:rsid w:val="00405CC9"/>
    <w:rsid w:val="0040686F"/>
    <w:rsid w:val="00406A2D"/>
    <w:rsid w:val="0040711E"/>
    <w:rsid w:val="0040773A"/>
    <w:rsid w:val="0040777B"/>
    <w:rsid w:val="00407D67"/>
    <w:rsid w:val="00410EE1"/>
    <w:rsid w:val="004117E7"/>
    <w:rsid w:val="00412450"/>
    <w:rsid w:val="0041372C"/>
    <w:rsid w:val="004138DE"/>
    <w:rsid w:val="00413B39"/>
    <w:rsid w:val="00413F95"/>
    <w:rsid w:val="004140F8"/>
    <w:rsid w:val="00414B2F"/>
    <w:rsid w:val="00414C66"/>
    <w:rsid w:val="00414DE0"/>
    <w:rsid w:val="00415CD8"/>
    <w:rsid w:val="00415E58"/>
    <w:rsid w:val="00416231"/>
    <w:rsid w:val="004167DF"/>
    <w:rsid w:val="00417F14"/>
    <w:rsid w:val="00420150"/>
    <w:rsid w:val="00420436"/>
    <w:rsid w:val="004208AB"/>
    <w:rsid w:val="00420932"/>
    <w:rsid w:val="0042199A"/>
    <w:rsid w:val="004219EF"/>
    <w:rsid w:val="00421A72"/>
    <w:rsid w:val="004226D9"/>
    <w:rsid w:val="00423052"/>
    <w:rsid w:val="00424348"/>
    <w:rsid w:val="00424771"/>
    <w:rsid w:val="004248B0"/>
    <w:rsid w:val="00424C6D"/>
    <w:rsid w:val="0042521C"/>
    <w:rsid w:val="004253D3"/>
    <w:rsid w:val="00425693"/>
    <w:rsid w:val="00425BCF"/>
    <w:rsid w:val="00425F32"/>
    <w:rsid w:val="00426715"/>
    <w:rsid w:val="00426B48"/>
    <w:rsid w:val="00426CD9"/>
    <w:rsid w:val="004271DD"/>
    <w:rsid w:val="004275C8"/>
    <w:rsid w:val="00430FEB"/>
    <w:rsid w:val="004310EE"/>
    <w:rsid w:val="00432392"/>
    <w:rsid w:val="004333C6"/>
    <w:rsid w:val="00433677"/>
    <w:rsid w:val="00433B46"/>
    <w:rsid w:val="00433DD2"/>
    <w:rsid w:val="00433F54"/>
    <w:rsid w:val="004340D5"/>
    <w:rsid w:val="004342DF"/>
    <w:rsid w:val="00434880"/>
    <w:rsid w:val="00434A21"/>
    <w:rsid w:val="00435062"/>
    <w:rsid w:val="0043526D"/>
    <w:rsid w:val="00435298"/>
    <w:rsid w:val="0043535A"/>
    <w:rsid w:val="00435798"/>
    <w:rsid w:val="00436030"/>
    <w:rsid w:val="004361BA"/>
    <w:rsid w:val="004362B9"/>
    <w:rsid w:val="00436FA7"/>
    <w:rsid w:val="004370CD"/>
    <w:rsid w:val="0043765B"/>
    <w:rsid w:val="00437CA6"/>
    <w:rsid w:val="00440217"/>
    <w:rsid w:val="0044056D"/>
    <w:rsid w:val="00441CF5"/>
    <w:rsid w:val="00441E5C"/>
    <w:rsid w:val="00441E5D"/>
    <w:rsid w:val="00442121"/>
    <w:rsid w:val="004421D8"/>
    <w:rsid w:val="00442360"/>
    <w:rsid w:val="00443453"/>
    <w:rsid w:val="004434ED"/>
    <w:rsid w:val="00443A90"/>
    <w:rsid w:val="00445553"/>
    <w:rsid w:val="00445640"/>
    <w:rsid w:val="00445774"/>
    <w:rsid w:val="004460E9"/>
    <w:rsid w:val="00446C1E"/>
    <w:rsid w:val="00447260"/>
    <w:rsid w:val="00447B6F"/>
    <w:rsid w:val="00451147"/>
    <w:rsid w:val="00452ABA"/>
    <w:rsid w:val="00453092"/>
    <w:rsid w:val="00453212"/>
    <w:rsid w:val="00453623"/>
    <w:rsid w:val="004538FA"/>
    <w:rsid w:val="00453C11"/>
    <w:rsid w:val="0045521B"/>
    <w:rsid w:val="004552CC"/>
    <w:rsid w:val="004557B0"/>
    <w:rsid w:val="00456989"/>
    <w:rsid w:val="00456AF8"/>
    <w:rsid w:val="00456D69"/>
    <w:rsid w:val="00456DC1"/>
    <w:rsid w:val="00457874"/>
    <w:rsid w:val="00457946"/>
    <w:rsid w:val="00457D8B"/>
    <w:rsid w:val="00460122"/>
    <w:rsid w:val="004608C2"/>
    <w:rsid w:val="00460A17"/>
    <w:rsid w:val="00461119"/>
    <w:rsid w:val="0046120A"/>
    <w:rsid w:val="00461FF8"/>
    <w:rsid w:val="004622DB"/>
    <w:rsid w:val="00462691"/>
    <w:rsid w:val="00462AEC"/>
    <w:rsid w:val="00462F58"/>
    <w:rsid w:val="00462F79"/>
    <w:rsid w:val="00463438"/>
    <w:rsid w:val="004639CE"/>
    <w:rsid w:val="00463ECE"/>
    <w:rsid w:val="004640AF"/>
    <w:rsid w:val="0046513A"/>
    <w:rsid w:val="00465388"/>
    <w:rsid w:val="00465B41"/>
    <w:rsid w:val="004667D4"/>
    <w:rsid w:val="00467323"/>
    <w:rsid w:val="0046760C"/>
    <w:rsid w:val="004677C9"/>
    <w:rsid w:val="00470277"/>
    <w:rsid w:val="00470CB5"/>
    <w:rsid w:val="00471055"/>
    <w:rsid w:val="00471848"/>
    <w:rsid w:val="00471EAB"/>
    <w:rsid w:val="00472034"/>
    <w:rsid w:val="004723EE"/>
    <w:rsid w:val="004726A4"/>
    <w:rsid w:val="00472930"/>
    <w:rsid w:val="004735A2"/>
    <w:rsid w:val="00473AC6"/>
    <w:rsid w:val="0047511C"/>
    <w:rsid w:val="00475376"/>
    <w:rsid w:val="00475A92"/>
    <w:rsid w:val="00476642"/>
    <w:rsid w:val="0047687D"/>
    <w:rsid w:val="00476C3C"/>
    <w:rsid w:val="004771EA"/>
    <w:rsid w:val="004773CA"/>
    <w:rsid w:val="004774F4"/>
    <w:rsid w:val="00477BB9"/>
    <w:rsid w:val="00477F99"/>
    <w:rsid w:val="00480EBB"/>
    <w:rsid w:val="0048244A"/>
    <w:rsid w:val="00483FC6"/>
    <w:rsid w:val="004840CA"/>
    <w:rsid w:val="0048466B"/>
    <w:rsid w:val="004859EE"/>
    <w:rsid w:val="00485E7A"/>
    <w:rsid w:val="00487034"/>
    <w:rsid w:val="0048715F"/>
    <w:rsid w:val="00487366"/>
    <w:rsid w:val="004873E4"/>
    <w:rsid w:val="0049072C"/>
    <w:rsid w:val="00490FD1"/>
    <w:rsid w:val="004911FA"/>
    <w:rsid w:val="00491881"/>
    <w:rsid w:val="00491AD2"/>
    <w:rsid w:val="00492E52"/>
    <w:rsid w:val="004935C0"/>
    <w:rsid w:val="00493B43"/>
    <w:rsid w:val="00494988"/>
    <w:rsid w:val="00494E97"/>
    <w:rsid w:val="00494EB1"/>
    <w:rsid w:val="00495224"/>
    <w:rsid w:val="004955CA"/>
    <w:rsid w:val="00495EEE"/>
    <w:rsid w:val="00496414"/>
    <w:rsid w:val="004972A0"/>
    <w:rsid w:val="00497A38"/>
    <w:rsid w:val="004A0A7E"/>
    <w:rsid w:val="004A12C0"/>
    <w:rsid w:val="004A2E93"/>
    <w:rsid w:val="004A3452"/>
    <w:rsid w:val="004A45BD"/>
    <w:rsid w:val="004A4656"/>
    <w:rsid w:val="004A4708"/>
    <w:rsid w:val="004A581C"/>
    <w:rsid w:val="004A71D1"/>
    <w:rsid w:val="004A77B0"/>
    <w:rsid w:val="004A7BEB"/>
    <w:rsid w:val="004A7CC5"/>
    <w:rsid w:val="004B0108"/>
    <w:rsid w:val="004B08A9"/>
    <w:rsid w:val="004B08B5"/>
    <w:rsid w:val="004B101B"/>
    <w:rsid w:val="004B167C"/>
    <w:rsid w:val="004B1CED"/>
    <w:rsid w:val="004B2CD3"/>
    <w:rsid w:val="004B34A7"/>
    <w:rsid w:val="004B3B06"/>
    <w:rsid w:val="004B3ED5"/>
    <w:rsid w:val="004B418A"/>
    <w:rsid w:val="004B4643"/>
    <w:rsid w:val="004B55DC"/>
    <w:rsid w:val="004B5B81"/>
    <w:rsid w:val="004B5CE6"/>
    <w:rsid w:val="004B63E2"/>
    <w:rsid w:val="004B7007"/>
    <w:rsid w:val="004B7B36"/>
    <w:rsid w:val="004B7F67"/>
    <w:rsid w:val="004C03AF"/>
    <w:rsid w:val="004C06BE"/>
    <w:rsid w:val="004C0938"/>
    <w:rsid w:val="004C09BF"/>
    <w:rsid w:val="004C15C0"/>
    <w:rsid w:val="004C1994"/>
    <w:rsid w:val="004C1F36"/>
    <w:rsid w:val="004C27F4"/>
    <w:rsid w:val="004C2B7E"/>
    <w:rsid w:val="004C32AC"/>
    <w:rsid w:val="004C3D2D"/>
    <w:rsid w:val="004C4355"/>
    <w:rsid w:val="004C4D73"/>
    <w:rsid w:val="004C4D80"/>
    <w:rsid w:val="004C586B"/>
    <w:rsid w:val="004C5968"/>
    <w:rsid w:val="004C5E03"/>
    <w:rsid w:val="004C6125"/>
    <w:rsid w:val="004C63F9"/>
    <w:rsid w:val="004C6889"/>
    <w:rsid w:val="004C697C"/>
    <w:rsid w:val="004C6BF6"/>
    <w:rsid w:val="004C6FDC"/>
    <w:rsid w:val="004C70FC"/>
    <w:rsid w:val="004C732F"/>
    <w:rsid w:val="004C7920"/>
    <w:rsid w:val="004D022C"/>
    <w:rsid w:val="004D04B4"/>
    <w:rsid w:val="004D079C"/>
    <w:rsid w:val="004D0D74"/>
    <w:rsid w:val="004D1C07"/>
    <w:rsid w:val="004D2675"/>
    <w:rsid w:val="004D277E"/>
    <w:rsid w:val="004D3544"/>
    <w:rsid w:val="004D4080"/>
    <w:rsid w:val="004D4EB5"/>
    <w:rsid w:val="004D51F9"/>
    <w:rsid w:val="004D55CB"/>
    <w:rsid w:val="004D56C3"/>
    <w:rsid w:val="004D5B9B"/>
    <w:rsid w:val="004D5FA5"/>
    <w:rsid w:val="004D79A7"/>
    <w:rsid w:val="004D7DBB"/>
    <w:rsid w:val="004E0563"/>
    <w:rsid w:val="004E05A9"/>
    <w:rsid w:val="004E05FD"/>
    <w:rsid w:val="004E109A"/>
    <w:rsid w:val="004E1A0D"/>
    <w:rsid w:val="004E1EFC"/>
    <w:rsid w:val="004E23F5"/>
    <w:rsid w:val="004E2A3F"/>
    <w:rsid w:val="004E2DBB"/>
    <w:rsid w:val="004E3B2B"/>
    <w:rsid w:val="004E478D"/>
    <w:rsid w:val="004E4E66"/>
    <w:rsid w:val="004E5418"/>
    <w:rsid w:val="004E6307"/>
    <w:rsid w:val="004E63E5"/>
    <w:rsid w:val="004E6A47"/>
    <w:rsid w:val="004E6B76"/>
    <w:rsid w:val="004E791E"/>
    <w:rsid w:val="004F031A"/>
    <w:rsid w:val="004F0385"/>
    <w:rsid w:val="004F0B88"/>
    <w:rsid w:val="004F1236"/>
    <w:rsid w:val="004F1437"/>
    <w:rsid w:val="004F1FD4"/>
    <w:rsid w:val="004F20E7"/>
    <w:rsid w:val="004F2BE3"/>
    <w:rsid w:val="004F2D07"/>
    <w:rsid w:val="004F3540"/>
    <w:rsid w:val="004F3ED2"/>
    <w:rsid w:val="004F4361"/>
    <w:rsid w:val="004F4471"/>
    <w:rsid w:val="004F4581"/>
    <w:rsid w:val="004F4733"/>
    <w:rsid w:val="004F52DB"/>
    <w:rsid w:val="004F559A"/>
    <w:rsid w:val="004F5624"/>
    <w:rsid w:val="004F571F"/>
    <w:rsid w:val="004F5DA4"/>
    <w:rsid w:val="004F5EA7"/>
    <w:rsid w:val="004F62B2"/>
    <w:rsid w:val="004F6424"/>
    <w:rsid w:val="004F66FF"/>
    <w:rsid w:val="004F6A1C"/>
    <w:rsid w:val="004F6EEF"/>
    <w:rsid w:val="004F7018"/>
    <w:rsid w:val="005005F4"/>
    <w:rsid w:val="0050117C"/>
    <w:rsid w:val="005013BE"/>
    <w:rsid w:val="0050181E"/>
    <w:rsid w:val="00502B5F"/>
    <w:rsid w:val="00502B76"/>
    <w:rsid w:val="005034CD"/>
    <w:rsid w:val="00503528"/>
    <w:rsid w:val="00503695"/>
    <w:rsid w:val="00503725"/>
    <w:rsid w:val="005040CD"/>
    <w:rsid w:val="00504229"/>
    <w:rsid w:val="00504DF2"/>
    <w:rsid w:val="00504E50"/>
    <w:rsid w:val="00504F77"/>
    <w:rsid w:val="0050505B"/>
    <w:rsid w:val="00505229"/>
    <w:rsid w:val="00505346"/>
    <w:rsid w:val="00505DB8"/>
    <w:rsid w:val="005062A8"/>
    <w:rsid w:val="005065D8"/>
    <w:rsid w:val="00506867"/>
    <w:rsid w:val="00507780"/>
    <w:rsid w:val="00507F98"/>
    <w:rsid w:val="00510697"/>
    <w:rsid w:val="005108A3"/>
    <w:rsid w:val="00510C8E"/>
    <w:rsid w:val="00510DB5"/>
    <w:rsid w:val="00510F6E"/>
    <w:rsid w:val="00511422"/>
    <w:rsid w:val="005118AE"/>
    <w:rsid w:val="0051212F"/>
    <w:rsid w:val="0051278A"/>
    <w:rsid w:val="00512945"/>
    <w:rsid w:val="00512BE9"/>
    <w:rsid w:val="00513D8F"/>
    <w:rsid w:val="00513E9C"/>
    <w:rsid w:val="0051402E"/>
    <w:rsid w:val="00514C60"/>
    <w:rsid w:val="005157B8"/>
    <w:rsid w:val="0051587A"/>
    <w:rsid w:val="005158FA"/>
    <w:rsid w:val="00515A78"/>
    <w:rsid w:val="005160BE"/>
    <w:rsid w:val="005169AD"/>
    <w:rsid w:val="005172ED"/>
    <w:rsid w:val="005173C5"/>
    <w:rsid w:val="00517796"/>
    <w:rsid w:val="0051A574"/>
    <w:rsid w:val="00520320"/>
    <w:rsid w:val="005208B9"/>
    <w:rsid w:val="0052187E"/>
    <w:rsid w:val="005221F0"/>
    <w:rsid w:val="0052282E"/>
    <w:rsid w:val="0052329F"/>
    <w:rsid w:val="00523D1B"/>
    <w:rsid w:val="00523EDA"/>
    <w:rsid w:val="00524527"/>
    <w:rsid w:val="00524807"/>
    <w:rsid w:val="00524EC8"/>
    <w:rsid w:val="005252FE"/>
    <w:rsid w:val="005256CC"/>
    <w:rsid w:val="005257A1"/>
    <w:rsid w:val="00525D65"/>
    <w:rsid w:val="00525FF9"/>
    <w:rsid w:val="005269C6"/>
    <w:rsid w:val="00527AE6"/>
    <w:rsid w:val="00530736"/>
    <w:rsid w:val="00531777"/>
    <w:rsid w:val="00531FD4"/>
    <w:rsid w:val="005327D1"/>
    <w:rsid w:val="00532C41"/>
    <w:rsid w:val="00532D3F"/>
    <w:rsid w:val="00532D95"/>
    <w:rsid w:val="0053315A"/>
    <w:rsid w:val="0053386D"/>
    <w:rsid w:val="00534700"/>
    <w:rsid w:val="00535543"/>
    <w:rsid w:val="00535EF4"/>
    <w:rsid w:val="005373A2"/>
    <w:rsid w:val="0053791F"/>
    <w:rsid w:val="0054054C"/>
    <w:rsid w:val="0054108D"/>
    <w:rsid w:val="005413EB"/>
    <w:rsid w:val="00541411"/>
    <w:rsid w:val="00541A94"/>
    <w:rsid w:val="00541BCC"/>
    <w:rsid w:val="005424A5"/>
    <w:rsid w:val="00542BED"/>
    <w:rsid w:val="0054336C"/>
    <w:rsid w:val="005441E9"/>
    <w:rsid w:val="00544BAC"/>
    <w:rsid w:val="00545A2D"/>
    <w:rsid w:val="00546622"/>
    <w:rsid w:val="00546777"/>
    <w:rsid w:val="00547062"/>
    <w:rsid w:val="00547538"/>
    <w:rsid w:val="00550596"/>
    <w:rsid w:val="005516B7"/>
    <w:rsid w:val="005518E9"/>
    <w:rsid w:val="005519E9"/>
    <w:rsid w:val="005535AA"/>
    <w:rsid w:val="005535B0"/>
    <w:rsid w:val="00553BFA"/>
    <w:rsid w:val="00553EB8"/>
    <w:rsid w:val="00554D05"/>
    <w:rsid w:val="0055596B"/>
    <w:rsid w:val="005563D0"/>
    <w:rsid w:val="00556F16"/>
    <w:rsid w:val="0055731C"/>
    <w:rsid w:val="005574AA"/>
    <w:rsid w:val="00557DD8"/>
    <w:rsid w:val="0056012E"/>
    <w:rsid w:val="0056077E"/>
    <w:rsid w:val="00560C1C"/>
    <w:rsid w:val="00560EDA"/>
    <w:rsid w:val="00560FC2"/>
    <w:rsid w:val="005613A2"/>
    <w:rsid w:val="0056170C"/>
    <w:rsid w:val="00561D18"/>
    <w:rsid w:val="00562244"/>
    <w:rsid w:val="0056255E"/>
    <w:rsid w:val="00562840"/>
    <w:rsid w:val="005629EE"/>
    <w:rsid w:val="0056433B"/>
    <w:rsid w:val="005648FA"/>
    <w:rsid w:val="00564D50"/>
    <w:rsid w:val="0056580E"/>
    <w:rsid w:val="00565927"/>
    <w:rsid w:val="00565B1E"/>
    <w:rsid w:val="005664CC"/>
    <w:rsid w:val="00567346"/>
    <w:rsid w:val="00567B35"/>
    <w:rsid w:val="005708B7"/>
    <w:rsid w:val="005716E9"/>
    <w:rsid w:val="005719E6"/>
    <w:rsid w:val="00572133"/>
    <w:rsid w:val="00572206"/>
    <w:rsid w:val="00572A61"/>
    <w:rsid w:val="00572E83"/>
    <w:rsid w:val="0057343F"/>
    <w:rsid w:val="0057371B"/>
    <w:rsid w:val="0057425D"/>
    <w:rsid w:val="00574B67"/>
    <w:rsid w:val="00574F93"/>
    <w:rsid w:val="00575EB8"/>
    <w:rsid w:val="0057613A"/>
    <w:rsid w:val="0057668C"/>
    <w:rsid w:val="005767FD"/>
    <w:rsid w:val="00581105"/>
    <w:rsid w:val="005811E8"/>
    <w:rsid w:val="00581468"/>
    <w:rsid w:val="00582834"/>
    <w:rsid w:val="00582A9B"/>
    <w:rsid w:val="00582E5E"/>
    <w:rsid w:val="005830CB"/>
    <w:rsid w:val="005832AB"/>
    <w:rsid w:val="0058437C"/>
    <w:rsid w:val="00585CEC"/>
    <w:rsid w:val="00585EED"/>
    <w:rsid w:val="00586693"/>
    <w:rsid w:val="005869BA"/>
    <w:rsid w:val="00586B33"/>
    <w:rsid w:val="00591100"/>
    <w:rsid w:val="005912DB"/>
    <w:rsid w:val="0059209D"/>
    <w:rsid w:val="005935F4"/>
    <w:rsid w:val="00593E0A"/>
    <w:rsid w:val="00594F03"/>
    <w:rsid w:val="0059581D"/>
    <w:rsid w:val="005962C0"/>
    <w:rsid w:val="005963D6"/>
    <w:rsid w:val="00596A7D"/>
    <w:rsid w:val="00597CD0"/>
    <w:rsid w:val="005A0082"/>
    <w:rsid w:val="005A0C8F"/>
    <w:rsid w:val="005A167F"/>
    <w:rsid w:val="005A222A"/>
    <w:rsid w:val="005A2348"/>
    <w:rsid w:val="005A2413"/>
    <w:rsid w:val="005A2600"/>
    <w:rsid w:val="005A30B2"/>
    <w:rsid w:val="005A346E"/>
    <w:rsid w:val="005A351E"/>
    <w:rsid w:val="005A3F52"/>
    <w:rsid w:val="005A43BF"/>
    <w:rsid w:val="005A5988"/>
    <w:rsid w:val="005A69F6"/>
    <w:rsid w:val="005A6D8B"/>
    <w:rsid w:val="005A73CF"/>
    <w:rsid w:val="005A7B3E"/>
    <w:rsid w:val="005A7EFD"/>
    <w:rsid w:val="005B0169"/>
    <w:rsid w:val="005B0EE1"/>
    <w:rsid w:val="005B168A"/>
    <w:rsid w:val="005B1742"/>
    <w:rsid w:val="005B2B7D"/>
    <w:rsid w:val="005B3090"/>
    <w:rsid w:val="005B3AA7"/>
    <w:rsid w:val="005B3EB1"/>
    <w:rsid w:val="005B3F6F"/>
    <w:rsid w:val="005B56B4"/>
    <w:rsid w:val="005B64C9"/>
    <w:rsid w:val="005B652C"/>
    <w:rsid w:val="005B6F31"/>
    <w:rsid w:val="005B6F83"/>
    <w:rsid w:val="005B76D7"/>
    <w:rsid w:val="005B7844"/>
    <w:rsid w:val="005B798B"/>
    <w:rsid w:val="005C0AA5"/>
    <w:rsid w:val="005C0CBC"/>
    <w:rsid w:val="005C196D"/>
    <w:rsid w:val="005C1D60"/>
    <w:rsid w:val="005C1FAE"/>
    <w:rsid w:val="005C1FC7"/>
    <w:rsid w:val="005C20E6"/>
    <w:rsid w:val="005C2B23"/>
    <w:rsid w:val="005C2C48"/>
    <w:rsid w:val="005C353B"/>
    <w:rsid w:val="005C3889"/>
    <w:rsid w:val="005C38E9"/>
    <w:rsid w:val="005C39E8"/>
    <w:rsid w:val="005C3CB8"/>
    <w:rsid w:val="005C441F"/>
    <w:rsid w:val="005C5660"/>
    <w:rsid w:val="005C62B9"/>
    <w:rsid w:val="005C71E4"/>
    <w:rsid w:val="005C72E3"/>
    <w:rsid w:val="005C74C9"/>
    <w:rsid w:val="005C7563"/>
    <w:rsid w:val="005C7D14"/>
    <w:rsid w:val="005D11B2"/>
    <w:rsid w:val="005D1572"/>
    <w:rsid w:val="005D255C"/>
    <w:rsid w:val="005D32CE"/>
    <w:rsid w:val="005D3782"/>
    <w:rsid w:val="005D3EC1"/>
    <w:rsid w:val="005D42CC"/>
    <w:rsid w:val="005D4B68"/>
    <w:rsid w:val="005D4F8A"/>
    <w:rsid w:val="005D5182"/>
    <w:rsid w:val="005D560D"/>
    <w:rsid w:val="005D5DC9"/>
    <w:rsid w:val="005D778F"/>
    <w:rsid w:val="005D7A64"/>
    <w:rsid w:val="005D7CA1"/>
    <w:rsid w:val="005E0B67"/>
    <w:rsid w:val="005E0F56"/>
    <w:rsid w:val="005E11C1"/>
    <w:rsid w:val="005E1BEE"/>
    <w:rsid w:val="005E1C04"/>
    <w:rsid w:val="005E2065"/>
    <w:rsid w:val="005E21CF"/>
    <w:rsid w:val="005E2563"/>
    <w:rsid w:val="005E281A"/>
    <w:rsid w:val="005E394C"/>
    <w:rsid w:val="005E3A46"/>
    <w:rsid w:val="005E3B95"/>
    <w:rsid w:val="005E4056"/>
    <w:rsid w:val="005E4100"/>
    <w:rsid w:val="005E42BF"/>
    <w:rsid w:val="005E48F6"/>
    <w:rsid w:val="005E4B6E"/>
    <w:rsid w:val="005E4D12"/>
    <w:rsid w:val="005E4E70"/>
    <w:rsid w:val="005E5FAB"/>
    <w:rsid w:val="005E6053"/>
    <w:rsid w:val="005E65BB"/>
    <w:rsid w:val="005E7CD6"/>
    <w:rsid w:val="005F0DA0"/>
    <w:rsid w:val="005F1213"/>
    <w:rsid w:val="005F12AF"/>
    <w:rsid w:val="005F2767"/>
    <w:rsid w:val="005F3CD9"/>
    <w:rsid w:val="005F4141"/>
    <w:rsid w:val="005F4790"/>
    <w:rsid w:val="005F4914"/>
    <w:rsid w:val="005F5E6D"/>
    <w:rsid w:val="005F5F01"/>
    <w:rsid w:val="005F62B7"/>
    <w:rsid w:val="005F6405"/>
    <w:rsid w:val="005F6454"/>
    <w:rsid w:val="005F67FC"/>
    <w:rsid w:val="005F6869"/>
    <w:rsid w:val="005F6BB9"/>
    <w:rsid w:val="005F73AE"/>
    <w:rsid w:val="005F7BC6"/>
    <w:rsid w:val="00600F06"/>
    <w:rsid w:val="00601392"/>
    <w:rsid w:val="006024BD"/>
    <w:rsid w:val="00602989"/>
    <w:rsid w:val="006029AA"/>
    <w:rsid w:val="006030C8"/>
    <w:rsid w:val="00603148"/>
    <w:rsid w:val="006042B4"/>
    <w:rsid w:val="006043D2"/>
    <w:rsid w:val="00604579"/>
    <w:rsid w:val="00604A98"/>
    <w:rsid w:val="006053AF"/>
    <w:rsid w:val="00605F53"/>
    <w:rsid w:val="00606776"/>
    <w:rsid w:val="00606CB3"/>
    <w:rsid w:val="00606FC7"/>
    <w:rsid w:val="00607023"/>
    <w:rsid w:val="00607345"/>
    <w:rsid w:val="00610456"/>
    <w:rsid w:val="00610682"/>
    <w:rsid w:val="0061116F"/>
    <w:rsid w:val="00611173"/>
    <w:rsid w:val="00611473"/>
    <w:rsid w:val="00611762"/>
    <w:rsid w:val="00611B36"/>
    <w:rsid w:val="00611D84"/>
    <w:rsid w:val="00612968"/>
    <w:rsid w:val="006138AF"/>
    <w:rsid w:val="00613A34"/>
    <w:rsid w:val="006141C8"/>
    <w:rsid w:val="00615ADA"/>
    <w:rsid w:val="00615F99"/>
    <w:rsid w:val="006163A2"/>
    <w:rsid w:val="006164EF"/>
    <w:rsid w:val="0061712A"/>
    <w:rsid w:val="00620EC6"/>
    <w:rsid w:val="00621476"/>
    <w:rsid w:val="0062168B"/>
    <w:rsid w:val="00621F2C"/>
    <w:rsid w:val="006221CD"/>
    <w:rsid w:val="00622220"/>
    <w:rsid w:val="0062449A"/>
    <w:rsid w:val="006246E4"/>
    <w:rsid w:val="006258D8"/>
    <w:rsid w:val="006264C5"/>
    <w:rsid w:val="006266A9"/>
    <w:rsid w:val="00626708"/>
    <w:rsid w:val="00626E0D"/>
    <w:rsid w:val="00630426"/>
    <w:rsid w:val="0063117E"/>
    <w:rsid w:val="006316C1"/>
    <w:rsid w:val="00631E8F"/>
    <w:rsid w:val="00631ED4"/>
    <w:rsid w:val="00631FD8"/>
    <w:rsid w:val="00632A0D"/>
    <w:rsid w:val="00633784"/>
    <w:rsid w:val="00633A11"/>
    <w:rsid w:val="00633AF5"/>
    <w:rsid w:val="00633BC7"/>
    <w:rsid w:val="00633F7C"/>
    <w:rsid w:val="00635AC7"/>
    <w:rsid w:val="00635D55"/>
    <w:rsid w:val="00635E9C"/>
    <w:rsid w:val="006365EF"/>
    <w:rsid w:val="0063753F"/>
    <w:rsid w:val="00637939"/>
    <w:rsid w:val="00637B41"/>
    <w:rsid w:val="00637BE9"/>
    <w:rsid w:val="00637CD7"/>
    <w:rsid w:val="006404F6"/>
    <w:rsid w:val="00640F35"/>
    <w:rsid w:val="006414EE"/>
    <w:rsid w:val="00642524"/>
    <w:rsid w:val="00642CAB"/>
    <w:rsid w:val="00642D0A"/>
    <w:rsid w:val="00643287"/>
    <w:rsid w:val="00643472"/>
    <w:rsid w:val="00643DB7"/>
    <w:rsid w:val="006445A5"/>
    <w:rsid w:val="00644CF1"/>
    <w:rsid w:val="0064630E"/>
    <w:rsid w:val="00646C6D"/>
    <w:rsid w:val="00646CCE"/>
    <w:rsid w:val="00646E76"/>
    <w:rsid w:val="00646FE1"/>
    <w:rsid w:val="00647075"/>
    <w:rsid w:val="00647C44"/>
    <w:rsid w:val="00650586"/>
    <w:rsid w:val="00650FA6"/>
    <w:rsid w:val="0065159E"/>
    <w:rsid w:val="00652ED7"/>
    <w:rsid w:val="00653D63"/>
    <w:rsid w:val="00653E89"/>
    <w:rsid w:val="006543A0"/>
    <w:rsid w:val="0065565A"/>
    <w:rsid w:val="0065570F"/>
    <w:rsid w:val="006557B7"/>
    <w:rsid w:val="0065581D"/>
    <w:rsid w:val="00655C2F"/>
    <w:rsid w:val="00655CAA"/>
    <w:rsid w:val="00655DFD"/>
    <w:rsid w:val="00656AD8"/>
    <w:rsid w:val="006571D2"/>
    <w:rsid w:val="006575AB"/>
    <w:rsid w:val="00657D11"/>
    <w:rsid w:val="00657ED0"/>
    <w:rsid w:val="00660403"/>
    <w:rsid w:val="00661136"/>
    <w:rsid w:val="00661140"/>
    <w:rsid w:val="006612E3"/>
    <w:rsid w:val="006617D7"/>
    <w:rsid w:val="00661A99"/>
    <w:rsid w:val="00661C22"/>
    <w:rsid w:val="00661E7D"/>
    <w:rsid w:val="00661FCB"/>
    <w:rsid w:val="00662CCA"/>
    <w:rsid w:val="00663168"/>
    <w:rsid w:val="00663201"/>
    <w:rsid w:val="006633BA"/>
    <w:rsid w:val="006635CC"/>
    <w:rsid w:val="00665B5E"/>
    <w:rsid w:val="006660D3"/>
    <w:rsid w:val="00666866"/>
    <w:rsid w:val="006709AF"/>
    <w:rsid w:val="00670D6D"/>
    <w:rsid w:val="006710DD"/>
    <w:rsid w:val="006715BF"/>
    <w:rsid w:val="00671FC9"/>
    <w:rsid w:val="00673200"/>
    <w:rsid w:val="00674664"/>
    <w:rsid w:val="0067501E"/>
    <w:rsid w:val="006773D2"/>
    <w:rsid w:val="00680581"/>
    <w:rsid w:val="00680676"/>
    <w:rsid w:val="00680941"/>
    <w:rsid w:val="00680A56"/>
    <w:rsid w:val="00681A41"/>
    <w:rsid w:val="006821B2"/>
    <w:rsid w:val="00683007"/>
    <w:rsid w:val="006831B9"/>
    <w:rsid w:val="006838C0"/>
    <w:rsid w:val="006844BC"/>
    <w:rsid w:val="0068460D"/>
    <w:rsid w:val="00684B16"/>
    <w:rsid w:val="00684CA3"/>
    <w:rsid w:val="00684E3D"/>
    <w:rsid w:val="00685372"/>
    <w:rsid w:val="00685658"/>
    <w:rsid w:val="00685856"/>
    <w:rsid w:val="00685901"/>
    <w:rsid w:val="00685BB9"/>
    <w:rsid w:val="00686ACE"/>
    <w:rsid w:val="00686F3A"/>
    <w:rsid w:val="00687882"/>
    <w:rsid w:val="00687E06"/>
    <w:rsid w:val="00690127"/>
    <w:rsid w:val="00690450"/>
    <w:rsid w:val="00690B4B"/>
    <w:rsid w:val="0069132D"/>
    <w:rsid w:val="00691AAE"/>
    <w:rsid w:val="00691BFF"/>
    <w:rsid w:val="006920C5"/>
    <w:rsid w:val="00692CE3"/>
    <w:rsid w:val="00694A54"/>
    <w:rsid w:val="00694F01"/>
    <w:rsid w:val="006953C1"/>
    <w:rsid w:val="00696528"/>
    <w:rsid w:val="00696EB2"/>
    <w:rsid w:val="0069741A"/>
    <w:rsid w:val="00697757"/>
    <w:rsid w:val="006A0106"/>
    <w:rsid w:val="006A0DEA"/>
    <w:rsid w:val="006A1563"/>
    <w:rsid w:val="006A16E9"/>
    <w:rsid w:val="006A1931"/>
    <w:rsid w:val="006A459D"/>
    <w:rsid w:val="006A4E82"/>
    <w:rsid w:val="006A5450"/>
    <w:rsid w:val="006A65B2"/>
    <w:rsid w:val="006A6D22"/>
    <w:rsid w:val="006A6D80"/>
    <w:rsid w:val="006A7CBA"/>
    <w:rsid w:val="006A7D85"/>
    <w:rsid w:val="006B0199"/>
    <w:rsid w:val="006B0A32"/>
    <w:rsid w:val="006B0BD8"/>
    <w:rsid w:val="006B0C8C"/>
    <w:rsid w:val="006B167B"/>
    <w:rsid w:val="006B3360"/>
    <w:rsid w:val="006B3D1C"/>
    <w:rsid w:val="006B3DAA"/>
    <w:rsid w:val="006B4557"/>
    <w:rsid w:val="006B558A"/>
    <w:rsid w:val="006B6671"/>
    <w:rsid w:val="006B6821"/>
    <w:rsid w:val="006B7BF4"/>
    <w:rsid w:val="006B7D04"/>
    <w:rsid w:val="006C0251"/>
    <w:rsid w:val="006C0303"/>
    <w:rsid w:val="006C0320"/>
    <w:rsid w:val="006C0509"/>
    <w:rsid w:val="006C06DE"/>
    <w:rsid w:val="006C086F"/>
    <w:rsid w:val="006C09B9"/>
    <w:rsid w:val="006C0A1E"/>
    <w:rsid w:val="006C0BDC"/>
    <w:rsid w:val="006C2B9A"/>
    <w:rsid w:val="006C2D0A"/>
    <w:rsid w:val="006C2F2A"/>
    <w:rsid w:val="006C39BB"/>
    <w:rsid w:val="006C3BEA"/>
    <w:rsid w:val="006C4502"/>
    <w:rsid w:val="006C5502"/>
    <w:rsid w:val="006C5AA5"/>
    <w:rsid w:val="006C5C94"/>
    <w:rsid w:val="006C5DE6"/>
    <w:rsid w:val="006C5EED"/>
    <w:rsid w:val="006C6114"/>
    <w:rsid w:val="006C6DB5"/>
    <w:rsid w:val="006C76CA"/>
    <w:rsid w:val="006D0B37"/>
    <w:rsid w:val="006D0F43"/>
    <w:rsid w:val="006D1E53"/>
    <w:rsid w:val="006D1EED"/>
    <w:rsid w:val="006D2288"/>
    <w:rsid w:val="006D4464"/>
    <w:rsid w:val="006D5078"/>
    <w:rsid w:val="006D51ED"/>
    <w:rsid w:val="006D541D"/>
    <w:rsid w:val="006D5C94"/>
    <w:rsid w:val="006D5E91"/>
    <w:rsid w:val="006D646A"/>
    <w:rsid w:val="006D6552"/>
    <w:rsid w:val="006D6857"/>
    <w:rsid w:val="006D6CE8"/>
    <w:rsid w:val="006D6EFB"/>
    <w:rsid w:val="006D7E87"/>
    <w:rsid w:val="006E11CA"/>
    <w:rsid w:val="006E14E6"/>
    <w:rsid w:val="006E179C"/>
    <w:rsid w:val="006E1AEE"/>
    <w:rsid w:val="006E20AE"/>
    <w:rsid w:val="006E2F52"/>
    <w:rsid w:val="006E32A9"/>
    <w:rsid w:val="006E3B48"/>
    <w:rsid w:val="006E3B9C"/>
    <w:rsid w:val="006E3D2E"/>
    <w:rsid w:val="006E4110"/>
    <w:rsid w:val="006E4DFB"/>
    <w:rsid w:val="006E51A2"/>
    <w:rsid w:val="006E5C73"/>
    <w:rsid w:val="006E60FB"/>
    <w:rsid w:val="006E6545"/>
    <w:rsid w:val="006E72A9"/>
    <w:rsid w:val="006E7484"/>
    <w:rsid w:val="006E771F"/>
    <w:rsid w:val="006F0408"/>
    <w:rsid w:val="006F0DE2"/>
    <w:rsid w:val="006F11BD"/>
    <w:rsid w:val="006F1C84"/>
    <w:rsid w:val="006F20BF"/>
    <w:rsid w:val="006F2164"/>
    <w:rsid w:val="006F232D"/>
    <w:rsid w:val="006F25B4"/>
    <w:rsid w:val="006F2DF5"/>
    <w:rsid w:val="006F32C7"/>
    <w:rsid w:val="006F3392"/>
    <w:rsid w:val="006F3495"/>
    <w:rsid w:val="006F3984"/>
    <w:rsid w:val="006F417D"/>
    <w:rsid w:val="006F4211"/>
    <w:rsid w:val="006F482A"/>
    <w:rsid w:val="006F5C83"/>
    <w:rsid w:val="006F5E6A"/>
    <w:rsid w:val="006F6565"/>
    <w:rsid w:val="006F67CC"/>
    <w:rsid w:val="006F69B1"/>
    <w:rsid w:val="006F6B89"/>
    <w:rsid w:val="006F71D1"/>
    <w:rsid w:val="006F7EAA"/>
    <w:rsid w:val="006F7FDD"/>
    <w:rsid w:val="007006A3"/>
    <w:rsid w:val="00701953"/>
    <w:rsid w:val="00701C2D"/>
    <w:rsid w:val="0070212B"/>
    <w:rsid w:val="00702162"/>
    <w:rsid w:val="00702244"/>
    <w:rsid w:val="0070237E"/>
    <w:rsid w:val="007028A5"/>
    <w:rsid w:val="007030B7"/>
    <w:rsid w:val="007030DE"/>
    <w:rsid w:val="00703216"/>
    <w:rsid w:val="00703263"/>
    <w:rsid w:val="00703930"/>
    <w:rsid w:val="00703C8B"/>
    <w:rsid w:val="00704D65"/>
    <w:rsid w:val="00704F9A"/>
    <w:rsid w:val="00705167"/>
    <w:rsid w:val="007053DB"/>
    <w:rsid w:val="0070610E"/>
    <w:rsid w:val="00706DEB"/>
    <w:rsid w:val="00706FC0"/>
    <w:rsid w:val="007076EB"/>
    <w:rsid w:val="00707759"/>
    <w:rsid w:val="00710081"/>
    <w:rsid w:val="0071088E"/>
    <w:rsid w:val="00710B0D"/>
    <w:rsid w:val="00710F0D"/>
    <w:rsid w:val="007115B2"/>
    <w:rsid w:val="007118A7"/>
    <w:rsid w:val="007125C3"/>
    <w:rsid w:val="007127CC"/>
    <w:rsid w:val="00712AF6"/>
    <w:rsid w:val="00713CB5"/>
    <w:rsid w:val="00714163"/>
    <w:rsid w:val="0071449C"/>
    <w:rsid w:val="00714E3F"/>
    <w:rsid w:val="0071558B"/>
    <w:rsid w:val="0071581E"/>
    <w:rsid w:val="007168F5"/>
    <w:rsid w:val="00716D9A"/>
    <w:rsid w:val="007172BE"/>
    <w:rsid w:val="0071776A"/>
    <w:rsid w:val="0071797A"/>
    <w:rsid w:val="007209F6"/>
    <w:rsid w:val="00720AA5"/>
    <w:rsid w:val="00720E39"/>
    <w:rsid w:val="00721189"/>
    <w:rsid w:val="00721B48"/>
    <w:rsid w:val="00721D23"/>
    <w:rsid w:val="007221C3"/>
    <w:rsid w:val="00722276"/>
    <w:rsid w:val="007227E4"/>
    <w:rsid w:val="00722F2C"/>
    <w:rsid w:val="00723827"/>
    <w:rsid w:val="00723E21"/>
    <w:rsid w:val="00723F8D"/>
    <w:rsid w:val="007240DB"/>
    <w:rsid w:val="0072500D"/>
    <w:rsid w:val="007254D1"/>
    <w:rsid w:val="00725B32"/>
    <w:rsid w:val="00725B3C"/>
    <w:rsid w:val="00726490"/>
    <w:rsid w:val="007275EE"/>
    <w:rsid w:val="0073148E"/>
    <w:rsid w:val="00731730"/>
    <w:rsid w:val="007317AB"/>
    <w:rsid w:val="00731B16"/>
    <w:rsid w:val="007323C7"/>
    <w:rsid w:val="0073259E"/>
    <w:rsid w:val="007327F0"/>
    <w:rsid w:val="00732D0F"/>
    <w:rsid w:val="00733D54"/>
    <w:rsid w:val="00733F92"/>
    <w:rsid w:val="00734B78"/>
    <w:rsid w:val="00734CEE"/>
    <w:rsid w:val="00735C4B"/>
    <w:rsid w:val="00736A4F"/>
    <w:rsid w:val="00737753"/>
    <w:rsid w:val="00737768"/>
    <w:rsid w:val="007377EF"/>
    <w:rsid w:val="00737FFA"/>
    <w:rsid w:val="00740078"/>
    <w:rsid w:val="00740BB8"/>
    <w:rsid w:val="00740CE9"/>
    <w:rsid w:val="0074196D"/>
    <w:rsid w:val="0074273C"/>
    <w:rsid w:val="007428E3"/>
    <w:rsid w:val="00742CE0"/>
    <w:rsid w:val="00742D33"/>
    <w:rsid w:val="00742FBE"/>
    <w:rsid w:val="0074314B"/>
    <w:rsid w:val="0074394E"/>
    <w:rsid w:val="00743B94"/>
    <w:rsid w:val="00743E41"/>
    <w:rsid w:val="0074422D"/>
    <w:rsid w:val="00744943"/>
    <w:rsid w:val="007452A0"/>
    <w:rsid w:val="00745405"/>
    <w:rsid w:val="00746A99"/>
    <w:rsid w:val="0074751A"/>
    <w:rsid w:val="00747D1F"/>
    <w:rsid w:val="00750D0A"/>
    <w:rsid w:val="00751D93"/>
    <w:rsid w:val="00752300"/>
    <w:rsid w:val="00752F56"/>
    <w:rsid w:val="00752FFB"/>
    <w:rsid w:val="00753BF5"/>
    <w:rsid w:val="00754204"/>
    <w:rsid w:val="00754579"/>
    <w:rsid w:val="007546F8"/>
    <w:rsid w:val="007555A7"/>
    <w:rsid w:val="0075579B"/>
    <w:rsid w:val="0075581B"/>
    <w:rsid w:val="00755B91"/>
    <w:rsid w:val="00755BAB"/>
    <w:rsid w:val="007565AE"/>
    <w:rsid w:val="00756FD9"/>
    <w:rsid w:val="00757155"/>
    <w:rsid w:val="007572F4"/>
    <w:rsid w:val="00757C51"/>
    <w:rsid w:val="00757DE8"/>
    <w:rsid w:val="00757F26"/>
    <w:rsid w:val="0076080E"/>
    <w:rsid w:val="00761F3B"/>
    <w:rsid w:val="0076299A"/>
    <w:rsid w:val="00762FE5"/>
    <w:rsid w:val="007634EB"/>
    <w:rsid w:val="007639D2"/>
    <w:rsid w:val="0076411D"/>
    <w:rsid w:val="00764E2E"/>
    <w:rsid w:val="00765559"/>
    <w:rsid w:val="007655F3"/>
    <w:rsid w:val="00766AB3"/>
    <w:rsid w:val="00766B16"/>
    <w:rsid w:val="007670F8"/>
    <w:rsid w:val="007671D4"/>
    <w:rsid w:val="00767E6E"/>
    <w:rsid w:val="00770462"/>
    <w:rsid w:val="007704A1"/>
    <w:rsid w:val="00770A85"/>
    <w:rsid w:val="0077133B"/>
    <w:rsid w:val="007728FA"/>
    <w:rsid w:val="00773DC9"/>
    <w:rsid w:val="00774956"/>
    <w:rsid w:val="0077537C"/>
    <w:rsid w:val="0077572E"/>
    <w:rsid w:val="00775E3E"/>
    <w:rsid w:val="00776A93"/>
    <w:rsid w:val="00777A59"/>
    <w:rsid w:val="00777BE4"/>
    <w:rsid w:val="0078031B"/>
    <w:rsid w:val="00780575"/>
    <w:rsid w:val="0078072B"/>
    <w:rsid w:val="00780789"/>
    <w:rsid w:val="0078096F"/>
    <w:rsid w:val="00780AD7"/>
    <w:rsid w:val="00781437"/>
    <w:rsid w:val="00781B50"/>
    <w:rsid w:val="0078463A"/>
    <w:rsid w:val="00784F44"/>
    <w:rsid w:val="00784FA6"/>
    <w:rsid w:val="0078531A"/>
    <w:rsid w:val="00785576"/>
    <w:rsid w:val="00785A9A"/>
    <w:rsid w:val="0078643A"/>
    <w:rsid w:val="00786672"/>
    <w:rsid w:val="00786B61"/>
    <w:rsid w:val="00787098"/>
    <w:rsid w:val="007870BF"/>
    <w:rsid w:val="007872CF"/>
    <w:rsid w:val="00787BEE"/>
    <w:rsid w:val="007902DD"/>
    <w:rsid w:val="007904A4"/>
    <w:rsid w:val="00790540"/>
    <w:rsid w:val="007909D0"/>
    <w:rsid w:val="007919A2"/>
    <w:rsid w:val="0079201C"/>
    <w:rsid w:val="00792033"/>
    <w:rsid w:val="0079230C"/>
    <w:rsid w:val="00792A1E"/>
    <w:rsid w:val="0079307F"/>
    <w:rsid w:val="00794096"/>
    <w:rsid w:val="007940C5"/>
    <w:rsid w:val="007947C4"/>
    <w:rsid w:val="0079485E"/>
    <w:rsid w:val="00795812"/>
    <w:rsid w:val="00795A88"/>
    <w:rsid w:val="00795CE1"/>
    <w:rsid w:val="00795E50"/>
    <w:rsid w:val="007964C1"/>
    <w:rsid w:val="007964C6"/>
    <w:rsid w:val="00796788"/>
    <w:rsid w:val="00796BD2"/>
    <w:rsid w:val="00797125"/>
    <w:rsid w:val="0079790D"/>
    <w:rsid w:val="00797BBB"/>
    <w:rsid w:val="007A0646"/>
    <w:rsid w:val="007A06AC"/>
    <w:rsid w:val="007A0DA2"/>
    <w:rsid w:val="007A0F50"/>
    <w:rsid w:val="007A1B2F"/>
    <w:rsid w:val="007A23E4"/>
    <w:rsid w:val="007A260D"/>
    <w:rsid w:val="007A2645"/>
    <w:rsid w:val="007A355C"/>
    <w:rsid w:val="007A4636"/>
    <w:rsid w:val="007A48C1"/>
    <w:rsid w:val="007A5678"/>
    <w:rsid w:val="007A5719"/>
    <w:rsid w:val="007A7377"/>
    <w:rsid w:val="007A775F"/>
    <w:rsid w:val="007A7C4B"/>
    <w:rsid w:val="007B07B9"/>
    <w:rsid w:val="007B0EB4"/>
    <w:rsid w:val="007B1014"/>
    <w:rsid w:val="007B103F"/>
    <w:rsid w:val="007B1108"/>
    <w:rsid w:val="007B1484"/>
    <w:rsid w:val="007B1596"/>
    <w:rsid w:val="007B1A10"/>
    <w:rsid w:val="007B31AB"/>
    <w:rsid w:val="007B3268"/>
    <w:rsid w:val="007B37F1"/>
    <w:rsid w:val="007B3978"/>
    <w:rsid w:val="007B3C21"/>
    <w:rsid w:val="007B42D3"/>
    <w:rsid w:val="007B46D9"/>
    <w:rsid w:val="007B4D61"/>
    <w:rsid w:val="007B56D8"/>
    <w:rsid w:val="007B570A"/>
    <w:rsid w:val="007B5AFB"/>
    <w:rsid w:val="007B5DF5"/>
    <w:rsid w:val="007B5FDA"/>
    <w:rsid w:val="007B6659"/>
    <w:rsid w:val="007B6A96"/>
    <w:rsid w:val="007B6B40"/>
    <w:rsid w:val="007B6C39"/>
    <w:rsid w:val="007B723B"/>
    <w:rsid w:val="007B743C"/>
    <w:rsid w:val="007B76AB"/>
    <w:rsid w:val="007B7BE4"/>
    <w:rsid w:val="007B7C98"/>
    <w:rsid w:val="007B7DBD"/>
    <w:rsid w:val="007C09D5"/>
    <w:rsid w:val="007C09EA"/>
    <w:rsid w:val="007C0BF9"/>
    <w:rsid w:val="007C1033"/>
    <w:rsid w:val="007C139B"/>
    <w:rsid w:val="007C21FD"/>
    <w:rsid w:val="007C264B"/>
    <w:rsid w:val="007C2ED6"/>
    <w:rsid w:val="007C45D3"/>
    <w:rsid w:val="007C597B"/>
    <w:rsid w:val="007C6117"/>
    <w:rsid w:val="007C689C"/>
    <w:rsid w:val="007C6A37"/>
    <w:rsid w:val="007C6FD3"/>
    <w:rsid w:val="007C72A2"/>
    <w:rsid w:val="007C760C"/>
    <w:rsid w:val="007C7715"/>
    <w:rsid w:val="007D026B"/>
    <w:rsid w:val="007D059F"/>
    <w:rsid w:val="007D06FB"/>
    <w:rsid w:val="007D0771"/>
    <w:rsid w:val="007D08FD"/>
    <w:rsid w:val="007D1584"/>
    <w:rsid w:val="007D1AD5"/>
    <w:rsid w:val="007D1B38"/>
    <w:rsid w:val="007D1BEE"/>
    <w:rsid w:val="007D1CE1"/>
    <w:rsid w:val="007D2044"/>
    <w:rsid w:val="007D3187"/>
    <w:rsid w:val="007D4F33"/>
    <w:rsid w:val="007D554B"/>
    <w:rsid w:val="007D6020"/>
    <w:rsid w:val="007D65C7"/>
    <w:rsid w:val="007D74D2"/>
    <w:rsid w:val="007D79B5"/>
    <w:rsid w:val="007E0119"/>
    <w:rsid w:val="007E088B"/>
    <w:rsid w:val="007E2008"/>
    <w:rsid w:val="007E2334"/>
    <w:rsid w:val="007E236D"/>
    <w:rsid w:val="007E23CE"/>
    <w:rsid w:val="007E2CE7"/>
    <w:rsid w:val="007E3C67"/>
    <w:rsid w:val="007E43D0"/>
    <w:rsid w:val="007E4F00"/>
    <w:rsid w:val="007E50DE"/>
    <w:rsid w:val="007E53A1"/>
    <w:rsid w:val="007E54F8"/>
    <w:rsid w:val="007E5987"/>
    <w:rsid w:val="007E5B11"/>
    <w:rsid w:val="007E5BD8"/>
    <w:rsid w:val="007E5DA4"/>
    <w:rsid w:val="007E6A09"/>
    <w:rsid w:val="007E6FAE"/>
    <w:rsid w:val="007E7BF9"/>
    <w:rsid w:val="007F00A2"/>
    <w:rsid w:val="007F02BC"/>
    <w:rsid w:val="007F1AE1"/>
    <w:rsid w:val="007F1B62"/>
    <w:rsid w:val="007F1D17"/>
    <w:rsid w:val="007F20D7"/>
    <w:rsid w:val="007F2634"/>
    <w:rsid w:val="007F2E65"/>
    <w:rsid w:val="007F3404"/>
    <w:rsid w:val="007F43BA"/>
    <w:rsid w:val="007F4572"/>
    <w:rsid w:val="007F45D1"/>
    <w:rsid w:val="007F50E8"/>
    <w:rsid w:val="007F5676"/>
    <w:rsid w:val="007F57DA"/>
    <w:rsid w:val="007F5C3E"/>
    <w:rsid w:val="007F64BE"/>
    <w:rsid w:val="007F6DC3"/>
    <w:rsid w:val="007F7AD9"/>
    <w:rsid w:val="007F7D38"/>
    <w:rsid w:val="008003DD"/>
    <w:rsid w:val="00800522"/>
    <w:rsid w:val="008006B4"/>
    <w:rsid w:val="00800D09"/>
    <w:rsid w:val="008015B6"/>
    <w:rsid w:val="0080165F"/>
    <w:rsid w:val="00802A49"/>
    <w:rsid w:val="00802BE3"/>
    <w:rsid w:val="008033D7"/>
    <w:rsid w:val="008036AE"/>
    <w:rsid w:val="00803FD4"/>
    <w:rsid w:val="00804308"/>
    <w:rsid w:val="0080481C"/>
    <w:rsid w:val="00804C54"/>
    <w:rsid w:val="00804E5E"/>
    <w:rsid w:val="00805116"/>
    <w:rsid w:val="008052DE"/>
    <w:rsid w:val="008056DD"/>
    <w:rsid w:val="00805728"/>
    <w:rsid w:val="00806316"/>
    <w:rsid w:val="00806568"/>
    <w:rsid w:val="00807414"/>
    <w:rsid w:val="008074D4"/>
    <w:rsid w:val="008079A0"/>
    <w:rsid w:val="008079EC"/>
    <w:rsid w:val="00810365"/>
    <w:rsid w:val="0081104C"/>
    <w:rsid w:val="008112A3"/>
    <w:rsid w:val="008121F2"/>
    <w:rsid w:val="00812331"/>
    <w:rsid w:val="00812B7B"/>
    <w:rsid w:val="00812D16"/>
    <w:rsid w:val="008145ED"/>
    <w:rsid w:val="0081599E"/>
    <w:rsid w:val="008163A3"/>
    <w:rsid w:val="00816C51"/>
    <w:rsid w:val="008176F8"/>
    <w:rsid w:val="00817C1E"/>
    <w:rsid w:val="00817D5F"/>
    <w:rsid w:val="00820054"/>
    <w:rsid w:val="0082041C"/>
    <w:rsid w:val="00820C59"/>
    <w:rsid w:val="00820E8A"/>
    <w:rsid w:val="00821865"/>
    <w:rsid w:val="008225EB"/>
    <w:rsid w:val="00822DC2"/>
    <w:rsid w:val="0082327D"/>
    <w:rsid w:val="008233BA"/>
    <w:rsid w:val="008234BA"/>
    <w:rsid w:val="0082433D"/>
    <w:rsid w:val="0082498B"/>
    <w:rsid w:val="00824C01"/>
    <w:rsid w:val="0082562A"/>
    <w:rsid w:val="0082572F"/>
    <w:rsid w:val="00826509"/>
    <w:rsid w:val="008267B8"/>
    <w:rsid w:val="008270E1"/>
    <w:rsid w:val="0082713C"/>
    <w:rsid w:val="00831222"/>
    <w:rsid w:val="008322C4"/>
    <w:rsid w:val="008325C7"/>
    <w:rsid w:val="008327AC"/>
    <w:rsid w:val="00832809"/>
    <w:rsid w:val="0083354D"/>
    <w:rsid w:val="00833692"/>
    <w:rsid w:val="0083418E"/>
    <w:rsid w:val="0083484B"/>
    <w:rsid w:val="0083561B"/>
    <w:rsid w:val="00835A85"/>
    <w:rsid w:val="00835F8C"/>
    <w:rsid w:val="00836B32"/>
    <w:rsid w:val="00837732"/>
    <w:rsid w:val="00837835"/>
    <w:rsid w:val="00837C62"/>
    <w:rsid w:val="00837D5A"/>
    <w:rsid w:val="00837D78"/>
    <w:rsid w:val="008401FD"/>
    <w:rsid w:val="0084026F"/>
    <w:rsid w:val="00840640"/>
    <w:rsid w:val="00840D79"/>
    <w:rsid w:val="008420A6"/>
    <w:rsid w:val="00842152"/>
    <w:rsid w:val="008421E7"/>
    <w:rsid w:val="0084227D"/>
    <w:rsid w:val="00842A21"/>
    <w:rsid w:val="00842A60"/>
    <w:rsid w:val="00842BDA"/>
    <w:rsid w:val="00843A36"/>
    <w:rsid w:val="00843B7F"/>
    <w:rsid w:val="00844CA5"/>
    <w:rsid w:val="00844E79"/>
    <w:rsid w:val="00845C08"/>
    <w:rsid w:val="00845DAD"/>
    <w:rsid w:val="0084624C"/>
    <w:rsid w:val="00846458"/>
    <w:rsid w:val="0084667C"/>
    <w:rsid w:val="008468AE"/>
    <w:rsid w:val="00846E3F"/>
    <w:rsid w:val="008471A1"/>
    <w:rsid w:val="008472DC"/>
    <w:rsid w:val="00847641"/>
    <w:rsid w:val="00850368"/>
    <w:rsid w:val="00851377"/>
    <w:rsid w:val="00851DB9"/>
    <w:rsid w:val="00852895"/>
    <w:rsid w:val="008531AE"/>
    <w:rsid w:val="008534BD"/>
    <w:rsid w:val="0085353F"/>
    <w:rsid w:val="0085437C"/>
    <w:rsid w:val="0085496A"/>
    <w:rsid w:val="00854B2F"/>
    <w:rsid w:val="00854C40"/>
    <w:rsid w:val="00854F81"/>
    <w:rsid w:val="00855481"/>
    <w:rsid w:val="008557C0"/>
    <w:rsid w:val="00855FAF"/>
    <w:rsid w:val="00856284"/>
    <w:rsid w:val="00856354"/>
    <w:rsid w:val="00856895"/>
    <w:rsid w:val="008568E1"/>
    <w:rsid w:val="00856BE9"/>
    <w:rsid w:val="0085731A"/>
    <w:rsid w:val="008578F8"/>
    <w:rsid w:val="00857ED1"/>
    <w:rsid w:val="00860566"/>
    <w:rsid w:val="00860780"/>
    <w:rsid w:val="00860A7D"/>
    <w:rsid w:val="00860B66"/>
    <w:rsid w:val="00861067"/>
    <w:rsid w:val="0086129A"/>
    <w:rsid w:val="008614DD"/>
    <w:rsid w:val="0086165C"/>
    <w:rsid w:val="00861B26"/>
    <w:rsid w:val="008620CA"/>
    <w:rsid w:val="0086266E"/>
    <w:rsid w:val="0086270A"/>
    <w:rsid w:val="00862EED"/>
    <w:rsid w:val="00863CC3"/>
    <w:rsid w:val="00863D15"/>
    <w:rsid w:val="008643FC"/>
    <w:rsid w:val="008649B9"/>
    <w:rsid w:val="00864C24"/>
    <w:rsid w:val="00864FDB"/>
    <w:rsid w:val="008651A3"/>
    <w:rsid w:val="008666A3"/>
    <w:rsid w:val="0086784F"/>
    <w:rsid w:val="00867902"/>
    <w:rsid w:val="00867A90"/>
    <w:rsid w:val="00870394"/>
    <w:rsid w:val="0087073B"/>
    <w:rsid w:val="00871618"/>
    <w:rsid w:val="008717FF"/>
    <w:rsid w:val="008729C1"/>
    <w:rsid w:val="008729F4"/>
    <w:rsid w:val="00873967"/>
    <w:rsid w:val="008743BB"/>
    <w:rsid w:val="008750AA"/>
    <w:rsid w:val="00875D14"/>
    <w:rsid w:val="00876144"/>
    <w:rsid w:val="00876683"/>
    <w:rsid w:val="008770D4"/>
    <w:rsid w:val="008777B1"/>
    <w:rsid w:val="008800E5"/>
    <w:rsid w:val="008801F0"/>
    <w:rsid w:val="00880219"/>
    <w:rsid w:val="00880AEB"/>
    <w:rsid w:val="00880B5B"/>
    <w:rsid w:val="0088127F"/>
    <w:rsid w:val="00881464"/>
    <w:rsid w:val="008815EF"/>
    <w:rsid w:val="008825BF"/>
    <w:rsid w:val="00882A6D"/>
    <w:rsid w:val="00882CAB"/>
    <w:rsid w:val="00882F38"/>
    <w:rsid w:val="00883ED5"/>
    <w:rsid w:val="008845DA"/>
    <w:rsid w:val="008846E7"/>
    <w:rsid w:val="00884C14"/>
    <w:rsid w:val="00884CDB"/>
    <w:rsid w:val="00885273"/>
    <w:rsid w:val="0088559B"/>
    <w:rsid w:val="00885F2C"/>
    <w:rsid w:val="00886386"/>
    <w:rsid w:val="00886C3B"/>
    <w:rsid w:val="0088701C"/>
    <w:rsid w:val="0088771A"/>
    <w:rsid w:val="00887B39"/>
    <w:rsid w:val="00887E4A"/>
    <w:rsid w:val="00887FD8"/>
    <w:rsid w:val="00890909"/>
    <w:rsid w:val="00890A45"/>
    <w:rsid w:val="008910DD"/>
    <w:rsid w:val="00891B81"/>
    <w:rsid w:val="00892459"/>
    <w:rsid w:val="00892823"/>
    <w:rsid w:val="008929AA"/>
    <w:rsid w:val="00892AA5"/>
    <w:rsid w:val="00893758"/>
    <w:rsid w:val="0089499B"/>
    <w:rsid w:val="00894ACA"/>
    <w:rsid w:val="00894EC5"/>
    <w:rsid w:val="008956C2"/>
    <w:rsid w:val="00896658"/>
    <w:rsid w:val="008967B5"/>
    <w:rsid w:val="008968DA"/>
    <w:rsid w:val="00896A92"/>
    <w:rsid w:val="00896AA0"/>
    <w:rsid w:val="00897D53"/>
    <w:rsid w:val="008A0185"/>
    <w:rsid w:val="008A03AC"/>
    <w:rsid w:val="008A0663"/>
    <w:rsid w:val="008A0DF4"/>
    <w:rsid w:val="008A1008"/>
    <w:rsid w:val="008A1C27"/>
    <w:rsid w:val="008A1E68"/>
    <w:rsid w:val="008A299A"/>
    <w:rsid w:val="008A2F01"/>
    <w:rsid w:val="008A305C"/>
    <w:rsid w:val="008A3285"/>
    <w:rsid w:val="008A345A"/>
    <w:rsid w:val="008A3CEC"/>
    <w:rsid w:val="008A3DB9"/>
    <w:rsid w:val="008A3E54"/>
    <w:rsid w:val="008A40A7"/>
    <w:rsid w:val="008A49BB"/>
    <w:rsid w:val="008A58B5"/>
    <w:rsid w:val="008A5A19"/>
    <w:rsid w:val="008A64FA"/>
    <w:rsid w:val="008A6A5C"/>
    <w:rsid w:val="008A7316"/>
    <w:rsid w:val="008A7AAA"/>
    <w:rsid w:val="008A7BDD"/>
    <w:rsid w:val="008B0714"/>
    <w:rsid w:val="008B0B2D"/>
    <w:rsid w:val="008B0D5C"/>
    <w:rsid w:val="008B0F09"/>
    <w:rsid w:val="008B11D9"/>
    <w:rsid w:val="008B11E9"/>
    <w:rsid w:val="008B2933"/>
    <w:rsid w:val="008B325D"/>
    <w:rsid w:val="008B3379"/>
    <w:rsid w:val="008B432B"/>
    <w:rsid w:val="008B4A1C"/>
    <w:rsid w:val="008B500A"/>
    <w:rsid w:val="008B541E"/>
    <w:rsid w:val="008B6168"/>
    <w:rsid w:val="008B6CEF"/>
    <w:rsid w:val="008B6D35"/>
    <w:rsid w:val="008B6E6B"/>
    <w:rsid w:val="008B737D"/>
    <w:rsid w:val="008B7FDD"/>
    <w:rsid w:val="008C090B"/>
    <w:rsid w:val="008C13CA"/>
    <w:rsid w:val="008C1610"/>
    <w:rsid w:val="008C2119"/>
    <w:rsid w:val="008C28C6"/>
    <w:rsid w:val="008C2F1E"/>
    <w:rsid w:val="008C30E5"/>
    <w:rsid w:val="008C30FF"/>
    <w:rsid w:val="008C3AB2"/>
    <w:rsid w:val="008C3B5B"/>
    <w:rsid w:val="008C3C16"/>
    <w:rsid w:val="008C4034"/>
    <w:rsid w:val="008C409F"/>
    <w:rsid w:val="008C41E1"/>
    <w:rsid w:val="008C4256"/>
    <w:rsid w:val="008C43C3"/>
    <w:rsid w:val="008C602D"/>
    <w:rsid w:val="008C63EF"/>
    <w:rsid w:val="008C6981"/>
    <w:rsid w:val="008C6BCC"/>
    <w:rsid w:val="008C7F2C"/>
    <w:rsid w:val="008D019D"/>
    <w:rsid w:val="008D098D"/>
    <w:rsid w:val="008D1101"/>
    <w:rsid w:val="008D135A"/>
    <w:rsid w:val="008D1AF1"/>
    <w:rsid w:val="008D1CA0"/>
    <w:rsid w:val="008D20A4"/>
    <w:rsid w:val="008D2205"/>
    <w:rsid w:val="008D2331"/>
    <w:rsid w:val="008D347F"/>
    <w:rsid w:val="008D3488"/>
    <w:rsid w:val="008D34D5"/>
    <w:rsid w:val="008D35AD"/>
    <w:rsid w:val="008D36CD"/>
    <w:rsid w:val="008D404E"/>
    <w:rsid w:val="008D4380"/>
    <w:rsid w:val="008D48D1"/>
    <w:rsid w:val="008D4E6F"/>
    <w:rsid w:val="008D5476"/>
    <w:rsid w:val="008D5623"/>
    <w:rsid w:val="008D5CE0"/>
    <w:rsid w:val="008D604C"/>
    <w:rsid w:val="008D67EA"/>
    <w:rsid w:val="008D6BE8"/>
    <w:rsid w:val="008D74A6"/>
    <w:rsid w:val="008E04BF"/>
    <w:rsid w:val="008E0B28"/>
    <w:rsid w:val="008E1D90"/>
    <w:rsid w:val="008E27E9"/>
    <w:rsid w:val="008E290A"/>
    <w:rsid w:val="008E2C35"/>
    <w:rsid w:val="008E40B9"/>
    <w:rsid w:val="008E40CF"/>
    <w:rsid w:val="008E41CE"/>
    <w:rsid w:val="008E42DE"/>
    <w:rsid w:val="008E43EE"/>
    <w:rsid w:val="008E4B74"/>
    <w:rsid w:val="008E52AC"/>
    <w:rsid w:val="008E6F68"/>
    <w:rsid w:val="008E7204"/>
    <w:rsid w:val="008E75C8"/>
    <w:rsid w:val="008F0989"/>
    <w:rsid w:val="008F1072"/>
    <w:rsid w:val="008F157B"/>
    <w:rsid w:val="008F1774"/>
    <w:rsid w:val="008F2C49"/>
    <w:rsid w:val="008F36F0"/>
    <w:rsid w:val="008F42DC"/>
    <w:rsid w:val="008F481A"/>
    <w:rsid w:val="008F4907"/>
    <w:rsid w:val="008F4BBB"/>
    <w:rsid w:val="008F4C41"/>
    <w:rsid w:val="008F4F76"/>
    <w:rsid w:val="008F5534"/>
    <w:rsid w:val="008F588D"/>
    <w:rsid w:val="008F66BC"/>
    <w:rsid w:val="008F7359"/>
    <w:rsid w:val="008F7505"/>
    <w:rsid w:val="008F7CFF"/>
    <w:rsid w:val="008F7D54"/>
    <w:rsid w:val="008F7ED1"/>
    <w:rsid w:val="009000AA"/>
    <w:rsid w:val="009003DA"/>
    <w:rsid w:val="00900421"/>
    <w:rsid w:val="009012CD"/>
    <w:rsid w:val="00901C8D"/>
    <w:rsid w:val="00901CCF"/>
    <w:rsid w:val="009044F4"/>
    <w:rsid w:val="00904A4D"/>
    <w:rsid w:val="009050B5"/>
    <w:rsid w:val="00905454"/>
    <w:rsid w:val="00905643"/>
    <w:rsid w:val="00905B14"/>
    <w:rsid w:val="00905D16"/>
    <w:rsid w:val="00905EE9"/>
    <w:rsid w:val="00906299"/>
    <w:rsid w:val="009065F4"/>
    <w:rsid w:val="009071C1"/>
    <w:rsid w:val="009075A7"/>
    <w:rsid w:val="00907DFB"/>
    <w:rsid w:val="0091022A"/>
    <w:rsid w:val="00910395"/>
    <w:rsid w:val="00910624"/>
    <w:rsid w:val="00910FBA"/>
    <w:rsid w:val="00911295"/>
    <w:rsid w:val="00911B1F"/>
    <w:rsid w:val="00911D39"/>
    <w:rsid w:val="00912442"/>
    <w:rsid w:val="00912B9F"/>
    <w:rsid w:val="0091371B"/>
    <w:rsid w:val="00913C9F"/>
    <w:rsid w:val="00914067"/>
    <w:rsid w:val="009140F3"/>
    <w:rsid w:val="009143A5"/>
    <w:rsid w:val="00914C7D"/>
    <w:rsid w:val="009153ED"/>
    <w:rsid w:val="009159A3"/>
    <w:rsid w:val="00915CEB"/>
    <w:rsid w:val="00915D4C"/>
    <w:rsid w:val="00915E16"/>
    <w:rsid w:val="00915F12"/>
    <w:rsid w:val="0091704D"/>
    <w:rsid w:val="0091730F"/>
    <w:rsid w:val="0091779E"/>
    <w:rsid w:val="00917C0F"/>
    <w:rsid w:val="0092040E"/>
    <w:rsid w:val="0092060A"/>
    <w:rsid w:val="00920C6C"/>
    <w:rsid w:val="009216F8"/>
    <w:rsid w:val="00921897"/>
    <w:rsid w:val="00921C6D"/>
    <w:rsid w:val="00921F61"/>
    <w:rsid w:val="00922762"/>
    <w:rsid w:val="009227D9"/>
    <w:rsid w:val="00922DC1"/>
    <w:rsid w:val="00923C44"/>
    <w:rsid w:val="00924347"/>
    <w:rsid w:val="009257A0"/>
    <w:rsid w:val="00927791"/>
    <w:rsid w:val="00930607"/>
    <w:rsid w:val="00930652"/>
    <w:rsid w:val="009308CE"/>
    <w:rsid w:val="00930923"/>
    <w:rsid w:val="00930C40"/>
    <w:rsid w:val="00930D0A"/>
    <w:rsid w:val="00931418"/>
    <w:rsid w:val="00932263"/>
    <w:rsid w:val="00932282"/>
    <w:rsid w:val="0093232E"/>
    <w:rsid w:val="009329BA"/>
    <w:rsid w:val="0093304D"/>
    <w:rsid w:val="00933466"/>
    <w:rsid w:val="00933E31"/>
    <w:rsid w:val="00934109"/>
    <w:rsid w:val="00934184"/>
    <w:rsid w:val="00934630"/>
    <w:rsid w:val="00934E99"/>
    <w:rsid w:val="0093501E"/>
    <w:rsid w:val="00936861"/>
    <w:rsid w:val="00936939"/>
    <w:rsid w:val="00937D01"/>
    <w:rsid w:val="0094053B"/>
    <w:rsid w:val="0094080B"/>
    <w:rsid w:val="0094095B"/>
    <w:rsid w:val="00940D36"/>
    <w:rsid w:val="00940DFF"/>
    <w:rsid w:val="00940EAD"/>
    <w:rsid w:val="00940F1A"/>
    <w:rsid w:val="00941F4C"/>
    <w:rsid w:val="00942040"/>
    <w:rsid w:val="0094268C"/>
    <w:rsid w:val="009428BD"/>
    <w:rsid w:val="00942C9F"/>
    <w:rsid w:val="009433A3"/>
    <w:rsid w:val="00943DEC"/>
    <w:rsid w:val="00943F98"/>
    <w:rsid w:val="00944F69"/>
    <w:rsid w:val="00945631"/>
    <w:rsid w:val="00945B7F"/>
    <w:rsid w:val="00947549"/>
    <w:rsid w:val="00947CF3"/>
    <w:rsid w:val="00947EB3"/>
    <w:rsid w:val="00947EBC"/>
    <w:rsid w:val="009509A3"/>
    <w:rsid w:val="00950C3F"/>
    <w:rsid w:val="00950CF5"/>
    <w:rsid w:val="00951109"/>
    <w:rsid w:val="00952644"/>
    <w:rsid w:val="0095349E"/>
    <w:rsid w:val="00953941"/>
    <w:rsid w:val="00953C80"/>
    <w:rsid w:val="00953F03"/>
    <w:rsid w:val="009540D7"/>
    <w:rsid w:val="00954375"/>
    <w:rsid w:val="009543FA"/>
    <w:rsid w:val="009551C9"/>
    <w:rsid w:val="00955223"/>
    <w:rsid w:val="00955388"/>
    <w:rsid w:val="009553E1"/>
    <w:rsid w:val="009559D9"/>
    <w:rsid w:val="00955B3C"/>
    <w:rsid w:val="00956F5A"/>
    <w:rsid w:val="009572E9"/>
    <w:rsid w:val="00957586"/>
    <w:rsid w:val="0095793C"/>
    <w:rsid w:val="00957C81"/>
    <w:rsid w:val="00960A20"/>
    <w:rsid w:val="00960B0D"/>
    <w:rsid w:val="0096111E"/>
    <w:rsid w:val="00961125"/>
    <w:rsid w:val="00961211"/>
    <w:rsid w:val="009617F3"/>
    <w:rsid w:val="00962043"/>
    <w:rsid w:val="009623D8"/>
    <w:rsid w:val="009625B8"/>
    <w:rsid w:val="00962DC5"/>
    <w:rsid w:val="00962FEB"/>
    <w:rsid w:val="00963362"/>
    <w:rsid w:val="00963BD1"/>
    <w:rsid w:val="0096485C"/>
    <w:rsid w:val="00965F5A"/>
    <w:rsid w:val="00966116"/>
    <w:rsid w:val="00966B1F"/>
    <w:rsid w:val="009675E4"/>
    <w:rsid w:val="00967D53"/>
    <w:rsid w:val="0097011A"/>
    <w:rsid w:val="00970747"/>
    <w:rsid w:val="0097086B"/>
    <w:rsid w:val="00970A7E"/>
    <w:rsid w:val="00970BFC"/>
    <w:rsid w:val="0097116E"/>
    <w:rsid w:val="00971CED"/>
    <w:rsid w:val="009720FA"/>
    <w:rsid w:val="009723DC"/>
    <w:rsid w:val="0097251A"/>
    <w:rsid w:val="00973074"/>
    <w:rsid w:val="009730D8"/>
    <w:rsid w:val="009740F0"/>
    <w:rsid w:val="00974518"/>
    <w:rsid w:val="00974F75"/>
    <w:rsid w:val="00975FD0"/>
    <w:rsid w:val="0097625B"/>
    <w:rsid w:val="00976C05"/>
    <w:rsid w:val="009777D2"/>
    <w:rsid w:val="00977CA9"/>
    <w:rsid w:val="0098055A"/>
    <w:rsid w:val="00980E8A"/>
    <w:rsid w:val="00980FE0"/>
    <w:rsid w:val="00981020"/>
    <w:rsid w:val="00981CBA"/>
    <w:rsid w:val="00982C12"/>
    <w:rsid w:val="00983B52"/>
    <w:rsid w:val="00983D25"/>
    <w:rsid w:val="009841F2"/>
    <w:rsid w:val="009842CE"/>
    <w:rsid w:val="009849A1"/>
    <w:rsid w:val="009853C3"/>
    <w:rsid w:val="00985F8B"/>
    <w:rsid w:val="009863E9"/>
    <w:rsid w:val="0098647A"/>
    <w:rsid w:val="00986D99"/>
    <w:rsid w:val="009870A3"/>
    <w:rsid w:val="00987F2A"/>
    <w:rsid w:val="00987F79"/>
    <w:rsid w:val="0099042B"/>
    <w:rsid w:val="00990B70"/>
    <w:rsid w:val="00990C3B"/>
    <w:rsid w:val="009914B6"/>
    <w:rsid w:val="009914F6"/>
    <w:rsid w:val="009919D5"/>
    <w:rsid w:val="00991CBD"/>
    <w:rsid w:val="00991D06"/>
    <w:rsid w:val="009921E6"/>
    <w:rsid w:val="0099284E"/>
    <w:rsid w:val="009928B7"/>
    <w:rsid w:val="0099321A"/>
    <w:rsid w:val="0099329B"/>
    <w:rsid w:val="00993BC0"/>
    <w:rsid w:val="00994476"/>
    <w:rsid w:val="00994703"/>
    <w:rsid w:val="009947E8"/>
    <w:rsid w:val="009952D7"/>
    <w:rsid w:val="00995817"/>
    <w:rsid w:val="009959C4"/>
    <w:rsid w:val="00995E3E"/>
    <w:rsid w:val="009960B7"/>
    <w:rsid w:val="0099684A"/>
    <w:rsid w:val="00996880"/>
    <w:rsid w:val="00996A48"/>
    <w:rsid w:val="00996F08"/>
    <w:rsid w:val="009972B8"/>
    <w:rsid w:val="009972FE"/>
    <w:rsid w:val="009973C0"/>
    <w:rsid w:val="009A01D1"/>
    <w:rsid w:val="009A0EC4"/>
    <w:rsid w:val="009A13E2"/>
    <w:rsid w:val="009A1443"/>
    <w:rsid w:val="009A22F5"/>
    <w:rsid w:val="009A3720"/>
    <w:rsid w:val="009A5736"/>
    <w:rsid w:val="009A5BCC"/>
    <w:rsid w:val="009A5F12"/>
    <w:rsid w:val="009A5F2D"/>
    <w:rsid w:val="009A5F31"/>
    <w:rsid w:val="009A6542"/>
    <w:rsid w:val="009A6910"/>
    <w:rsid w:val="009A6A5A"/>
    <w:rsid w:val="009A711B"/>
    <w:rsid w:val="009A722C"/>
    <w:rsid w:val="009A737C"/>
    <w:rsid w:val="009A7BA0"/>
    <w:rsid w:val="009A7C98"/>
    <w:rsid w:val="009A7E62"/>
    <w:rsid w:val="009B1AF2"/>
    <w:rsid w:val="009B3318"/>
    <w:rsid w:val="009B3907"/>
    <w:rsid w:val="009B4D7D"/>
    <w:rsid w:val="009B536C"/>
    <w:rsid w:val="009B55E6"/>
    <w:rsid w:val="009B5C19"/>
    <w:rsid w:val="009B6496"/>
    <w:rsid w:val="009B7882"/>
    <w:rsid w:val="009C01DA"/>
    <w:rsid w:val="009C0359"/>
    <w:rsid w:val="009C052E"/>
    <w:rsid w:val="009C0CD4"/>
    <w:rsid w:val="009C14BF"/>
    <w:rsid w:val="009C1528"/>
    <w:rsid w:val="009C20CC"/>
    <w:rsid w:val="009C21A3"/>
    <w:rsid w:val="009C25E4"/>
    <w:rsid w:val="009C2BDF"/>
    <w:rsid w:val="009C3558"/>
    <w:rsid w:val="009C3A73"/>
    <w:rsid w:val="009C3E55"/>
    <w:rsid w:val="009C4155"/>
    <w:rsid w:val="009C4A9C"/>
    <w:rsid w:val="009C5488"/>
    <w:rsid w:val="009C55DB"/>
    <w:rsid w:val="009C562E"/>
    <w:rsid w:val="009C5B95"/>
    <w:rsid w:val="009C5CF8"/>
    <w:rsid w:val="009C5E44"/>
    <w:rsid w:val="009C6071"/>
    <w:rsid w:val="009C6AB6"/>
    <w:rsid w:val="009C7531"/>
    <w:rsid w:val="009D00EB"/>
    <w:rsid w:val="009D04F6"/>
    <w:rsid w:val="009D085B"/>
    <w:rsid w:val="009D16ED"/>
    <w:rsid w:val="009D21B9"/>
    <w:rsid w:val="009D220C"/>
    <w:rsid w:val="009D221F"/>
    <w:rsid w:val="009D22D3"/>
    <w:rsid w:val="009D25B1"/>
    <w:rsid w:val="009D2D76"/>
    <w:rsid w:val="009D335D"/>
    <w:rsid w:val="009D3842"/>
    <w:rsid w:val="009D3A31"/>
    <w:rsid w:val="009D3BCD"/>
    <w:rsid w:val="009D41DB"/>
    <w:rsid w:val="009D4520"/>
    <w:rsid w:val="009D45D9"/>
    <w:rsid w:val="009D4907"/>
    <w:rsid w:val="009D507E"/>
    <w:rsid w:val="009D56E4"/>
    <w:rsid w:val="009D5702"/>
    <w:rsid w:val="009D5EBC"/>
    <w:rsid w:val="009D69B7"/>
    <w:rsid w:val="009D72DD"/>
    <w:rsid w:val="009D7901"/>
    <w:rsid w:val="009E09F0"/>
    <w:rsid w:val="009E0C0F"/>
    <w:rsid w:val="009E1007"/>
    <w:rsid w:val="009E1380"/>
    <w:rsid w:val="009E16D5"/>
    <w:rsid w:val="009E19E8"/>
    <w:rsid w:val="009E1D8A"/>
    <w:rsid w:val="009E1E9E"/>
    <w:rsid w:val="009E3576"/>
    <w:rsid w:val="009E377C"/>
    <w:rsid w:val="009E411B"/>
    <w:rsid w:val="009E411C"/>
    <w:rsid w:val="009E458A"/>
    <w:rsid w:val="009E4CB6"/>
    <w:rsid w:val="009E5316"/>
    <w:rsid w:val="009E5D7C"/>
    <w:rsid w:val="009E5DFC"/>
    <w:rsid w:val="009E61CF"/>
    <w:rsid w:val="009E6731"/>
    <w:rsid w:val="009E7413"/>
    <w:rsid w:val="009E7593"/>
    <w:rsid w:val="009E7A4D"/>
    <w:rsid w:val="009F013B"/>
    <w:rsid w:val="009F0613"/>
    <w:rsid w:val="009F0DD0"/>
    <w:rsid w:val="009F146F"/>
    <w:rsid w:val="009F1789"/>
    <w:rsid w:val="009F2026"/>
    <w:rsid w:val="009F25AD"/>
    <w:rsid w:val="009F2E3B"/>
    <w:rsid w:val="009F3420"/>
    <w:rsid w:val="009F343A"/>
    <w:rsid w:val="009F36D2"/>
    <w:rsid w:val="009F39E9"/>
    <w:rsid w:val="009F3B6B"/>
    <w:rsid w:val="009F417E"/>
    <w:rsid w:val="009F4504"/>
    <w:rsid w:val="009F47A1"/>
    <w:rsid w:val="009F485A"/>
    <w:rsid w:val="009F4A59"/>
    <w:rsid w:val="009F502C"/>
    <w:rsid w:val="009F5981"/>
    <w:rsid w:val="009F5C63"/>
    <w:rsid w:val="009F5F58"/>
    <w:rsid w:val="009F603B"/>
    <w:rsid w:val="009F673B"/>
    <w:rsid w:val="009F6987"/>
    <w:rsid w:val="009F6C8F"/>
    <w:rsid w:val="009F6CA2"/>
    <w:rsid w:val="009F720F"/>
    <w:rsid w:val="009F747C"/>
    <w:rsid w:val="00A00419"/>
    <w:rsid w:val="00A00DB1"/>
    <w:rsid w:val="00A010E7"/>
    <w:rsid w:val="00A011ED"/>
    <w:rsid w:val="00A01895"/>
    <w:rsid w:val="00A01A17"/>
    <w:rsid w:val="00A01A60"/>
    <w:rsid w:val="00A03874"/>
    <w:rsid w:val="00A03A1C"/>
    <w:rsid w:val="00A03D43"/>
    <w:rsid w:val="00A043BB"/>
    <w:rsid w:val="00A04BED"/>
    <w:rsid w:val="00A04DDA"/>
    <w:rsid w:val="00A05365"/>
    <w:rsid w:val="00A05812"/>
    <w:rsid w:val="00A0696B"/>
    <w:rsid w:val="00A06B67"/>
    <w:rsid w:val="00A06B69"/>
    <w:rsid w:val="00A06E6E"/>
    <w:rsid w:val="00A076F9"/>
    <w:rsid w:val="00A07997"/>
    <w:rsid w:val="00A07F87"/>
    <w:rsid w:val="00A07FDA"/>
    <w:rsid w:val="00A10870"/>
    <w:rsid w:val="00A111C2"/>
    <w:rsid w:val="00A11490"/>
    <w:rsid w:val="00A11C0A"/>
    <w:rsid w:val="00A122DD"/>
    <w:rsid w:val="00A13659"/>
    <w:rsid w:val="00A13E1C"/>
    <w:rsid w:val="00A1469C"/>
    <w:rsid w:val="00A14E94"/>
    <w:rsid w:val="00A14EC3"/>
    <w:rsid w:val="00A15224"/>
    <w:rsid w:val="00A15751"/>
    <w:rsid w:val="00A161CA"/>
    <w:rsid w:val="00A1637F"/>
    <w:rsid w:val="00A164B0"/>
    <w:rsid w:val="00A16CC2"/>
    <w:rsid w:val="00A17759"/>
    <w:rsid w:val="00A206ED"/>
    <w:rsid w:val="00A20806"/>
    <w:rsid w:val="00A20C7F"/>
    <w:rsid w:val="00A21B42"/>
    <w:rsid w:val="00A21D41"/>
    <w:rsid w:val="00A22A63"/>
    <w:rsid w:val="00A22DBA"/>
    <w:rsid w:val="00A2329D"/>
    <w:rsid w:val="00A240F8"/>
    <w:rsid w:val="00A24152"/>
    <w:rsid w:val="00A2490E"/>
    <w:rsid w:val="00A25442"/>
    <w:rsid w:val="00A25539"/>
    <w:rsid w:val="00A255D3"/>
    <w:rsid w:val="00A25BFF"/>
    <w:rsid w:val="00A25C90"/>
    <w:rsid w:val="00A26648"/>
    <w:rsid w:val="00A26839"/>
    <w:rsid w:val="00A26F79"/>
    <w:rsid w:val="00A27522"/>
    <w:rsid w:val="00A30565"/>
    <w:rsid w:val="00A31047"/>
    <w:rsid w:val="00A3136F"/>
    <w:rsid w:val="00A313EC"/>
    <w:rsid w:val="00A33BFE"/>
    <w:rsid w:val="00A33CA0"/>
    <w:rsid w:val="00A34259"/>
    <w:rsid w:val="00A34AD0"/>
    <w:rsid w:val="00A34B39"/>
    <w:rsid w:val="00A34D0C"/>
    <w:rsid w:val="00A34D76"/>
    <w:rsid w:val="00A34FE5"/>
    <w:rsid w:val="00A35029"/>
    <w:rsid w:val="00A35125"/>
    <w:rsid w:val="00A3553D"/>
    <w:rsid w:val="00A35613"/>
    <w:rsid w:val="00A365D0"/>
    <w:rsid w:val="00A36EBA"/>
    <w:rsid w:val="00A37855"/>
    <w:rsid w:val="00A37990"/>
    <w:rsid w:val="00A379AF"/>
    <w:rsid w:val="00A402B8"/>
    <w:rsid w:val="00A4039C"/>
    <w:rsid w:val="00A4043E"/>
    <w:rsid w:val="00A40492"/>
    <w:rsid w:val="00A41128"/>
    <w:rsid w:val="00A41CC4"/>
    <w:rsid w:val="00A43636"/>
    <w:rsid w:val="00A437D9"/>
    <w:rsid w:val="00A43C16"/>
    <w:rsid w:val="00A43EE0"/>
    <w:rsid w:val="00A443A6"/>
    <w:rsid w:val="00A444D5"/>
    <w:rsid w:val="00A44567"/>
    <w:rsid w:val="00A450AC"/>
    <w:rsid w:val="00A451D9"/>
    <w:rsid w:val="00A4599E"/>
    <w:rsid w:val="00A45A1A"/>
    <w:rsid w:val="00A45E61"/>
    <w:rsid w:val="00A4667B"/>
    <w:rsid w:val="00A467A8"/>
    <w:rsid w:val="00A47DA0"/>
    <w:rsid w:val="00A47F32"/>
    <w:rsid w:val="00A50687"/>
    <w:rsid w:val="00A50AD0"/>
    <w:rsid w:val="00A52203"/>
    <w:rsid w:val="00A522BB"/>
    <w:rsid w:val="00A526C4"/>
    <w:rsid w:val="00A53220"/>
    <w:rsid w:val="00A538E6"/>
    <w:rsid w:val="00A53AA6"/>
    <w:rsid w:val="00A54514"/>
    <w:rsid w:val="00A55B7A"/>
    <w:rsid w:val="00A56102"/>
    <w:rsid w:val="00A56659"/>
    <w:rsid w:val="00A56800"/>
    <w:rsid w:val="00A56A5C"/>
    <w:rsid w:val="00A56BA6"/>
    <w:rsid w:val="00A56D7E"/>
    <w:rsid w:val="00A57404"/>
    <w:rsid w:val="00A575BD"/>
    <w:rsid w:val="00A57600"/>
    <w:rsid w:val="00A57A51"/>
    <w:rsid w:val="00A57D45"/>
    <w:rsid w:val="00A602A8"/>
    <w:rsid w:val="00A6036A"/>
    <w:rsid w:val="00A60B9B"/>
    <w:rsid w:val="00A60EEC"/>
    <w:rsid w:val="00A61804"/>
    <w:rsid w:val="00A61C55"/>
    <w:rsid w:val="00A62C26"/>
    <w:rsid w:val="00A62D0D"/>
    <w:rsid w:val="00A630BA"/>
    <w:rsid w:val="00A63B83"/>
    <w:rsid w:val="00A63FCB"/>
    <w:rsid w:val="00A643C6"/>
    <w:rsid w:val="00A65BD9"/>
    <w:rsid w:val="00A66718"/>
    <w:rsid w:val="00A668A5"/>
    <w:rsid w:val="00A669DD"/>
    <w:rsid w:val="00A671EF"/>
    <w:rsid w:val="00A70626"/>
    <w:rsid w:val="00A706CF"/>
    <w:rsid w:val="00A70B31"/>
    <w:rsid w:val="00A70EF4"/>
    <w:rsid w:val="00A713A7"/>
    <w:rsid w:val="00A717F8"/>
    <w:rsid w:val="00A71FE3"/>
    <w:rsid w:val="00A722B0"/>
    <w:rsid w:val="00A72F90"/>
    <w:rsid w:val="00A73108"/>
    <w:rsid w:val="00A731AD"/>
    <w:rsid w:val="00A731FE"/>
    <w:rsid w:val="00A7378E"/>
    <w:rsid w:val="00A73A74"/>
    <w:rsid w:val="00A73EA9"/>
    <w:rsid w:val="00A752CE"/>
    <w:rsid w:val="00A759FE"/>
    <w:rsid w:val="00A75AC0"/>
    <w:rsid w:val="00A75BD5"/>
    <w:rsid w:val="00A75CF1"/>
    <w:rsid w:val="00A75EC8"/>
    <w:rsid w:val="00A75FA2"/>
    <w:rsid w:val="00A75FE1"/>
    <w:rsid w:val="00A762FC"/>
    <w:rsid w:val="00A765F1"/>
    <w:rsid w:val="00A76D67"/>
    <w:rsid w:val="00A76E6B"/>
    <w:rsid w:val="00A772AF"/>
    <w:rsid w:val="00A77562"/>
    <w:rsid w:val="00A776B8"/>
    <w:rsid w:val="00A7779E"/>
    <w:rsid w:val="00A80045"/>
    <w:rsid w:val="00A8046E"/>
    <w:rsid w:val="00A80840"/>
    <w:rsid w:val="00A80BD0"/>
    <w:rsid w:val="00A80EFB"/>
    <w:rsid w:val="00A81344"/>
    <w:rsid w:val="00A81EB6"/>
    <w:rsid w:val="00A82DE9"/>
    <w:rsid w:val="00A837FE"/>
    <w:rsid w:val="00A8406B"/>
    <w:rsid w:val="00A8440F"/>
    <w:rsid w:val="00A846D7"/>
    <w:rsid w:val="00A8532D"/>
    <w:rsid w:val="00A85357"/>
    <w:rsid w:val="00A856B8"/>
    <w:rsid w:val="00A85741"/>
    <w:rsid w:val="00A85AA3"/>
    <w:rsid w:val="00A85E17"/>
    <w:rsid w:val="00A85F68"/>
    <w:rsid w:val="00A865DC"/>
    <w:rsid w:val="00A86A99"/>
    <w:rsid w:val="00A871E5"/>
    <w:rsid w:val="00A8730C"/>
    <w:rsid w:val="00A874D2"/>
    <w:rsid w:val="00A902DD"/>
    <w:rsid w:val="00A90494"/>
    <w:rsid w:val="00A91363"/>
    <w:rsid w:val="00A91617"/>
    <w:rsid w:val="00A919C9"/>
    <w:rsid w:val="00A91AC4"/>
    <w:rsid w:val="00A92225"/>
    <w:rsid w:val="00A9240D"/>
    <w:rsid w:val="00A926B2"/>
    <w:rsid w:val="00A93B62"/>
    <w:rsid w:val="00A93C1C"/>
    <w:rsid w:val="00A93FBC"/>
    <w:rsid w:val="00A94B72"/>
    <w:rsid w:val="00A95179"/>
    <w:rsid w:val="00A9549C"/>
    <w:rsid w:val="00A95A59"/>
    <w:rsid w:val="00A95E8B"/>
    <w:rsid w:val="00A962A1"/>
    <w:rsid w:val="00A96646"/>
    <w:rsid w:val="00A96830"/>
    <w:rsid w:val="00A96AB2"/>
    <w:rsid w:val="00A96ACB"/>
    <w:rsid w:val="00A96F51"/>
    <w:rsid w:val="00A96FA8"/>
    <w:rsid w:val="00A976C7"/>
    <w:rsid w:val="00A9770A"/>
    <w:rsid w:val="00A97FC5"/>
    <w:rsid w:val="00AA0862"/>
    <w:rsid w:val="00AA0A43"/>
    <w:rsid w:val="00AA0DD3"/>
    <w:rsid w:val="00AA0F38"/>
    <w:rsid w:val="00AA1C07"/>
    <w:rsid w:val="00AA20D2"/>
    <w:rsid w:val="00AA2652"/>
    <w:rsid w:val="00AA2936"/>
    <w:rsid w:val="00AA2BDD"/>
    <w:rsid w:val="00AA35BE"/>
    <w:rsid w:val="00AA3688"/>
    <w:rsid w:val="00AA3A46"/>
    <w:rsid w:val="00AA4006"/>
    <w:rsid w:val="00AA4354"/>
    <w:rsid w:val="00AA451B"/>
    <w:rsid w:val="00AA5887"/>
    <w:rsid w:val="00AA5D1A"/>
    <w:rsid w:val="00AA689C"/>
    <w:rsid w:val="00AA72C9"/>
    <w:rsid w:val="00AA7CBA"/>
    <w:rsid w:val="00AA7CD4"/>
    <w:rsid w:val="00AB01C9"/>
    <w:rsid w:val="00AB09C9"/>
    <w:rsid w:val="00AB0B7F"/>
    <w:rsid w:val="00AB10A5"/>
    <w:rsid w:val="00AB19F8"/>
    <w:rsid w:val="00AB2036"/>
    <w:rsid w:val="00AB2A61"/>
    <w:rsid w:val="00AB3116"/>
    <w:rsid w:val="00AB3A0E"/>
    <w:rsid w:val="00AB3A12"/>
    <w:rsid w:val="00AB401A"/>
    <w:rsid w:val="00AB4024"/>
    <w:rsid w:val="00AB4BA2"/>
    <w:rsid w:val="00AB4C63"/>
    <w:rsid w:val="00AB5A8D"/>
    <w:rsid w:val="00AB61ED"/>
    <w:rsid w:val="00AB6642"/>
    <w:rsid w:val="00AB7183"/>
    <w:rsid w:val="00AC057C"/>
    <w:rsid w:val="00AC26A9"/>
    <w:rsid w:val="00AC2ED6"/>
    <w:rsid w:val="00AC2EFE"/>
    <w:rsid w:val="00AC3930"/>
    <w:rsid w:val="00AC3AB1"/>
    <w:rsid w:val="00AC4827"/>
    <w:rsid w:val="00AC58CA"/>
    <w:rsid w:val="00AC5A4D"/>
    <w:rsid w:val="00AC5AEE"/>
    <w:rsid w:val="00AC68C6"/>
    <w:rsid w:val="00AC6E7E"/>
    <w:rsid w:val="00AC6F64"/>
    <w:rsid w:val="00AC7612"/>
    <w:rsid w:val="00AC79C1"/>
    <w:rsid w:val="00AC7BA4"/>
    <w:rsid w:val="00AC7CA4"/>
    <w:rsid w:val="00AD09A1"/>
    <w:rsid w:val="00AD0C33"/>
    <w:rsid w:val="00AD0C67"/>
    <w:rsid w:val="00AD15D2"/>
    <w:rsid w:val="00AD1667"/>
    <w:rsid w:val="00AD2B0A"/>
    <w:rsid w:val="00AD32AF"/>
    <w:rsid w:val="00AD493B"/>
    <w:rsid w:val="00AD4973"/>
    <w:rsid w:val="00AD4A64"/>
    <w:rsid w:val="00AD4BEB"/>
    <w:rsid w:val="00AD4D4E"/>
    <w:rsid w:val="00AD55AC"/>
    <w:rsid w:val="00AD598F"/>
    <w:rsid w:val="00AD5FA9"/>
    <w:rsid w:val="00AD645D"/>
    <w:rsid w:val="00AD6846"/>
    <w:rsid w:val="00AD6990"/>
    <w:rsid w:val="00AD6D09"/>
    <w:rsid w:val="00AD7014"/>
    <w:rsid w:val="00AD7157"/>
    <w:rsid w:val="00AD7EBC"/>
    <w:rsid w:val="00AE0366"/>
    <w:rsid w:val="00AE0744"/>
    <w:rsid w:val="00AE07DA"/>
    <w:rsid w:val="00AE098E"/>
    <w:rsid w:val="00AE0BBA"/>
    <w:rsid w:val="00AE2291"/>
    <w:rsid w:val="00AE25C8"/>
    <w:rsid w:val="00AE3C17"/>
    <w:rsid w:val="00AE4003"/>
    <w:rsid w:val="00AE4113"/>
    <w:rsid w:val="00AE4380"/>
    <w:rsid w:val="00AE466A"/>
    <w:rsid w:val="00AE4FAC"/>
    <w:rsid w:val="00AE5227"/>
    <w:rsid w:val="00AE5525"/>
    <w:rsid w:val="00AE57D7"/>
    <w:rsid w:val="00AE5D46"/>
    <w:rsid w:val="00AE6381"/>
    <w:rsid w:val="00AE656F"/>
    <w:rsid w:val="00AE7D78"/>
    <w:rsid w:val="00AF0519"/>
    <w:rsid w:val="00AF08B8"/>
    <w:rsid w:val="00AF0DDD"/>
    <w:rsid w:val="00AF1E4F"/>
    <w:rsid w:val="00AF257B"/>
    <w:rsid w:val="00AF3641"/>
    <w:rsid w:val="00AF386B"/>
    <w:rsid w:val="00AF41F6"/>
    <w:rsid w:val="00AF438E"/>
    <w:rsid w:val="00AF45CA"/>
    <w:rsid w:val="00AF4754"/>
    <w:rsid w:val="00AF4E7C"/>
    <w:rsid w:val="00AF5CEE"/>
    <w:rsid w:val="00AF604A"/>
    <w:rsid w:val="00AF68CE"/>
    <w:rsid w:val="00AF6C86"/>
    <w:rsid w:val="00AF724D"/>
    <w:rsid w:val="00AF7506"/>
    <w:rsid w:val="00B00085"/>
    <w:rsid w:val="00B0029C"/>
    <w:rsid w:val="00B0059E"/>
    <w:rsid w:val="00B007DD"/>
    <w:rsid w:val="00B0098A"/>
    <w:rsid w:val="00B01016"/>
    <w:rsid w:val="00B0146E"/>
    <w:rsid w:val="00B01796"/>
    <w:rsid w:val="00B02160"/>
    <w:rsid w:val="00B027CB"/>
    <w:rsid w:val="00B0352B"/>
    <w:rsid w:val="00B039D0"/>
    <w:rsid w:val="00B03F4F"/>
    <w:rsid w:val="00B045C8"/>
    <w:rsid w:val="00B04E83"/>
    <w:rsid w:val="00B05032"/>
    <w:rsid w:val="00B055BD"/>
    <w:rsid w:val="00B05F9B"/>
    <w:rsid w:val="00B06954"/>
    <w:rsid w:val="00B073E6"/>
    <w:rsid w:val="00B074F8"/>
    <w:rsid w:val="00B0767F"/>
    <w:rsid w:val="00B10178"/>
    <w:rsid w:val="00B1024E"/>
    <w:rsid w:val="00B107A0"/>
    <w:rsid w:val="00B10C54"/>
    <w:rsid w:val="00B1180F"/>
    <w:rsid w:val="00B1199F"/>
    <w:rsid w:val="00B11A3D"/>
    <w:rsid w:val="00B11A7F"/>
    <w:rsid w:val="00B11C25"/>
    <w:rsid w:val="00B11C90"/>
    <w:rsid w:val="00B121B0"/>
    <w:rsid w:val="00B13B87"/>
    <w:rsid w:val="00B13C10"/>
    <w:rsid w:val="00B13D19"/>
    <w:rsid w:val="00B13F80"/>
    <w:rsid w:val="00B1460B"/>
    <w:rsid w:val="00B15E6E"/>
    <w:rsid w:val="00B164FF"/>
    <w:rsid w:val="00B16737"/>
    <w:rsid w:val="00B16E5A"/>
    <w:rsid w:val="00B17275"/>
    <w:rsid w:val="00B17B12"/>
    <w:rsid w:val="00B17FA8"/>
    <w:rsid w:val="00B17FAB"/>
    <w:rsid w:val="00B20E46"/>
    <w:rsid w:val="00B211B0"/>
    <w:rsid w:val="00B211F6"/>
    <w:rsid w:val="00B21BE7"/>
    <w:rsid w:val="00B21DB7"/>
    <w:rsid w:val="00B222A0"/>
    <w:rsid w:val="00B22520"/>
    <w:rsid w:val="00B22C5F"/>
    <w:rsid w:val="00B22C7F"/>
    <w:rsid w:val="00B22FA5"/>
    <w:rsid w:val="00B23687"/>
    <w:rsid w:val="00B23E1E"/>
    <w:rsid w:val="00B24575"/>
    <w:rsid w:val="00B24A72"/>
    <w:rsid w:val="00B25710"/>
    <w:rsid w:val="00B26529"/>
    <w:rsid w:val="00B2704A"/>
    <w:rsid w:val="00B271F7"/>
    <w:rsid w:val="00B272B3"/>
    <w:rsid w:val="00B273B6"/>
    <w:rsid w:val="00B27B03"/>
    <w:rsid w:val="00B30A0A"/>
    <w:rsid w:val="00B30BAD"/>
    <w:rsid w:val="00B30F0D"/>
    <w:rsid w:val="00B31B62"/>
    <w:rsid w:val="00B32023"/>
    <w:rsid w:val="00B3208E"/>
    <w:rsid w:val="00B32B74"/>
    <w:rsid w:val="00B32F0B"/>
    <w:rsid w:val="00B333DC"/>
    <w:rsid w:val="00B33711"/>
    <w:rsid w:val="00B341ED"/>
    <w:rsid w:val="00B34889"/>
    <w:rsid w:val="00B34A20"/>
    <w:rsid w:val="00B351E1"/>
    <w:rsid w:val="00B3535E"/>
    <w:rsid w:val="00B35509"/>
    <w:rsid w:val="00B356BE"/>
    <w:rsid w:val="00B366FF"/>
    <w:rsid w:val="00B36B84"/>
    <w:rsid w:val="00B3717F"/>
    <w:rsid w:val="00B37550"/>
    <w:rsid w:val="00B3779E"/>
    <w:rsid w:val="00B40249"/>
    <w:rsid w:val="00B402C6"/>
    <w:rsid w:val="00B4071C"/>
    <w:rsid w:val="00B40C41"/>
    <w:rsid w:val="00B4154A"/>
    <w:rsid w:val="00B41B69"/>
    <w:rsid w:val="00B41DC1"/>
    <w:rsid w:val="00B42F69"/>
    <w:rsid w:val="00B42FBA"/>
    <w:rsid w:val="00B43434"/>
    <w:rsid w:val="00B43AEF"/>
    <w:rsid w:val="00B450DD"/>
    <w:rsid w:val="00B45877"/>
    <w:rsid w:val="00B46642"/>
    <w:rsid w:val="00B46EC7"/>
    <w:rsid w:val="00B46F66"/>
    <w:rsid w:val="00B47FA4"/>
    <w:rsid w:val="00B5068C"/>
    <w:rsid w:val="00B50799"/>
    <w:rsid w:val="00B50A91"/>
    <w:rsid w:val="00B5160B"/>
    <w:rsid w:val="00B51761"/>
    <w:rsid w:val="00B51871"/>
    <w:rsid w:val="00B52022"/>
    <w:rsid w:val="00B52187"/>
    <w:rsid w:val="00B538BF"/>
    <w:rsid w:val="00B538EA"/>
    <w:rsid w:val="00B54691"/>
    <w:rsid w:val="00B54DED"/>
    <w:rsid w:val="00B54E6D"/>
    <w:rsid w:val="00B551A3"/>
    <w:rsid w:val="00B5521F"/>
    <w:rsid w:val="00B55286"/>
    <w:rsid w:val="00B5654A"/>
    <w:rsid w:val="00B57E18"/>
    <w:rsid w:val="00B60CCD"/>
    <w:rsid w:val="00B61D88"/>
    <w:rsid w:val="00B62094"/>
    <w:rsid w:val="00B62854"/>
    <w:rsid w:val="00B628BC"/>
    <w:rsid w:val="00B62B5B"/>
    <w:rsid w:val="00B62EF1"/>
    <w:rsid w:val="00B63072"/>
    <w:rsid w:val="00B640CC"/>
    <w:rsid w:val="00B645B6"/>
    <w:rsid w:val="00B64B2F"/>
    <w:rsid w:val="00B64F06"/>
    <w:rsid w:val="00B6508E"/>
    <w:rsid w:val="00B65CD9"/>
    <w:rsid w:val="00B65EC9"/>
    <w:rsid w:val="00B667BF"/>
    <w:rsid w:val="00B674D6"/>
    <w:rsid w:val="00B6797D"/>
    <w:rsid w:val="00B67F19"/>
    <w:rsid w:val="00B67FD0"/>
    <w:rsid w:val="00B70B22"/>
    <w:rsid w:val="00B712ED"/>
    <w:rsid w:val="00B71314"/>
    <w:rsid w:val="00B7245B"/>
    <w:rsid w:val="00B72737"/>
    <w:rsid w:val="00B729F0"/>
    <w:rsid w:val="00B735B8"/>
    <w:rsid w:val="00B73CBA"/>
    <w:rsid w:val="00B73F56"/>
    <w:rsid w:val="00B74652"/>
    <w:rsid w:val="00B74858"/>
    <w:rsid w:val="00B752EB"/>
    <w:rsid w:val="00B75E0F"/>
    <w:rsid w:val="00B75FD6"/>
    <w:rsid w:val="00B77BE4"/>
    <w:rsid w:val="00B8024C"/>
    <w:rsid w:val="00B8033B"/>
    <w:rsid w:val="00B812BE"/>
    <w:rsid w:val="00B813D5"/>
    <w:rsid w:val="00B8151B"/>
    <w:rsid w:val="00B81DCD"/>
    <w:rsid w:val="00B81F2C"/>
    <w:rsid w:val="00B8258D"/>
    <w:rsid w:val="00B825B4"/>
    <w:rsid w:val="00B8328E"/>
    <w:rsid w:val="00B83F21"/>
    <w:rsid w:val="00B8498B"/>
    <w:rsid w:val="00B84E7E"/>
    <w:rsid w:val="00B852C6"/>
    <w:rsid w:val="00B8605F"/>
    <w:rsid w:val="00B8646E"/>
    <w:rsid w:val="00B86608"/>
    <w:rsid w:val="00B87847"/>
    <w:rsid w:val="00B9019A"/>
    <w:rsid w:val="00B90450"/>
    <w:rsid w:val="00B90477"/>
    <w:rsid w:val="00B90AD8"/>
    <w:rsid w:val="00B9140E"/>
    <w:rsid w:val="00B91DB1"/>
    <w:rsid w:val="00B92AA5"/>
    <w:rsid w:val="00B92C03"/>
    <w:rsid w:val="00B938AF"/>
    <w:rsid w:val="00B93904"/>
    <w:rsid w:val="00B94F12"/>
    <w:rsid w:val="00B955FE"/>
    <w:rsid w:val="00B96744"/>
    <w:rsid w:val="00B96B3B"/>
    <w:rsid w:val="00B9799D"/>
    <w:rsid w:val="00B97B2F"/>
    <w:rsid w:val="00B97B5A"/>
    <w:rsid w:val="00BA038A"/>
    <w:rsid w:val="00BA0B9F"/>
    <w:rsid w:val="00BA0C44"/>
    <w:rsid w:val="00BA1314"/>
    <w:rsid w:val="00BA1DDC"/>
    <w:rsid w:val="00BA256B"/>
    <w:rsid w:val="00BA270F"/>
    <w:rsid w:val="00BA3287"/>
    <w:rsid w:val="00BA3CDC"/>
    <w:rsid w:val="00BA4F65"/>
    <w:rsid w:val="00BA50D8"/>
    <w:rsid w:val="00BA5322"/>
    <w:rsid w:val="00BA5714"/>
    <w:rsid w:val="00BA57A7"/>
    <w:rsid w:val="00BA62DE"/>
    <w:rsid w:val="00BA6419"/>
    <w:rsid w:val="00BA651A"/>
    <w:rsid w:val="00BA6550"/>
    <w:rsid w:val="00BA6649"/>
    <w:rsid w:val="00BA6E71"/>
    <w:rsid w:val="00BA73CC"/>
    <w:rsid w:val="00BA73F1"/>
    <w:rsid w:val="00BA75C4"/>
    <w:rsid w:val="00BA775E"/>
    <w:rsid w:val="00BA7C3A"/>
    <w:rsid w:val="00BB017C"/>
    <w:rsid w:val="00BB0E9D"/>
    <w:rsid w:val="00BB1BC1"/>
    <w:rsid w:val="00BB2947"/>
    <w:rsid w:val="00BB2C6D"/>
    <w:rsid w:val="00BB30BE"/>
    <w:rsid w:val="00BB315F"/>
    <w:rsid w:val="00BB3273"/>
    <w:rsid w:val="00BB3642"/>
    <w:rsid w:val="00BB417C"/>
    <w:rsid w:val="00BB46EF"/>
    <w:rsid w:val="00BB4A3B"/>
    <w:rsid w:val="00BB4FF3"/>
    <w:rsid w:val="00BB560F"/>
    <w:rsid w:val="00BB59F6"/>
    <w:rsid w:val="00BB5EF0"/>
    <w:rsid w:val="00BB61C0"/>
    <w:rsid w:val="00BB62FA"/>
    <w:rsid w:val="00BB6675"/>
    <w:rsid w:val="00BB66AB"/>
    <w:rsid w:val="00BB79A3"/>
    <w:rsid w:val="00BB7BBA"/>
    <w:rsid w:val="00BC0343"/>
    <w:rsid w:val="00BC0AD6"/>
    <w:rsid w:val="00BC122E"/>
    <w:rsid w:val="00BC133F"/>
    <w:rsid w:val="00BC1BA4"/>
    <w:rsid w:val="00BC288A"/>
    <w:rsid w:val="00BC2BEF"/>
    <w:rsid w:val="00BC3584"/>
    <w:rsid w:val="00BC5838"/>
    <w:rsid w:val="00BC5B3F"/>
    <w:rsid w:val="00BC64F6"/>
    <w:rsid w:val="00BC67F7"/>
    <w:rsid w:val="00BC6DC2"/>
    <w:rsid w:val="00BC74DD"/>
    <w:rsid w:val="00BC7E98"/>
    <w:rsid w:val="00BD000E"/>
    <w:rsid w:val="00BD0226"/>
    <w:rsid w:val="00BD038B"/>
    <w:rsid w:val="00BD0B6D"/>
    <w:rsid w:val="00BD0E2E"/>
    <w:rsid w:val="00BD1496"/>
    <w:rsid w:val="00BD14AC"/>
    <w:rsid w:val="00BD1E56"/>
    <w:rsid w:val="00BD1FE7"/>
    <w:rsid w:val="00BD2922"/>
    <w:rsid w:val="00BD2B63"/>
    <w:rsid w:val="00BD3526"/>
    <w:rsid w:val="00BD375A"/>
    <w:rsid w:val="00BD402E"/>
    <w:rsid w:val="00BD4B65"/>
    <w:rsid w:val="00BD4FC8"/>
    <w:rsid w:val="00BD58F6"/>
    <w:rsid w:val="00BD7580"/>
    <w:rsid w:val="00BD7661"/>
    <w:rsid w:val="00BD7FB9"/>
    <w:rsid w:val="00BE016C"/>
    <w:rsid w:val="00BE1300"/>
    <w:rsid w:val="00BE442D"/>
    <w:rsid w:val="00BE4536"/>
    <w:rsid w:val="00BE45D5"/>
    <w:rsid w:val="00BE4B64"/>
    <w:rsid w:val="00BE4ED6"/>
    <w:rsid w:val="00BE4F25"/>
    <w:rsid w:val="00BE54F3"/>
    <w:rsid w:val="00BE598F"/>
    <w:rsid w:val="00BE5F67"/>
    <w:rsid w:val="00BE64AB"/>
    <w:rsid w:val="00BE6CD4"/>
    <w:rsid w:val="00BE6E41"/>
    <w:rsid w:val="00BE70EF"/>
    <w:rsid w:val="00BE7566"/>
    <w:rsid w:val="00BE7920"/>
    <w:rsid w:val="00BE7B73"/>
    <w:rsid w:val="00BF0087"/>
    <w:rsid w:val="00BF0766"/>
    <w:rsid w:val="00BF1E46"/>
    <w:rsid w:val="00BF22F9"/>
    <w:rsid w:val="00BF2A3A"/>
    <w:rsid w:val="00BF2CD1"/>
    <w:rsid w:val="00BF4A67"/>
    <w:rsid w:val="00BF4B6A"/>
    <w:rsid w:val="00BF5135"/>
    <w:rsid w:val="00BF542C"/>
    <w:rsid w:val="00BF68F3"/>
    <w:rsid w:val="00C0004E"/>
    <w:rsid w:val="00C00312"/>
    <w:rsid w:val="00C00828"/>
    <w:rsid w:val="00C009F5"/>
    <w:rsid w:val="00C00A47"/>
    <w:rsid w:val="00C01129"/>
    <w:rsid w:val="00C01955"/>
    <w:rsid w:val="00C01DD9"/>
    <w:rsid w:val="00C02239"/>
    <w:rsid w:val="00C022E1"/>
    <w:rsid w:val="00C02D22"/>
    <w:rsid w:val="00C0398D"/>
    <w:rsid w:val="00C03BE8"/>
    <w:rsid w:val="00C03C6B"/>
    <w:rsid w:val="00C0534B"/>
    <w:rsid w:val="00C0569C"/>
    <w:rsid w:val="00C0579D"/>
    <w:rsid w:val="00C05C3D"/>
    <w:rsid w:val="00C0668C"/>
    <w:rsid w:val="00C06B95"/>
    <w:rsid w:val="00C071AC"/>
    <w:rsid w:val="00C109A2"/>
    <w:rsid w:val="00C10B5F"/>
    <w:rsid w:val="00C11707"/>
    <w:rsid w:val="00C119AB"/>
    <w:rsid w:val="00C11E4C"/>
    <w:rsid w:val="00C11EDC"/>
    <w:rsid w:val="00C13BC9"/>
    <w:rsid w:val="00C144FB"/>
    <w:rsid w:val="00C14713"/>
    <w:rsid w:val="00C14954"/>
    <w:rsid w:val="00C158CF"/>
    <w:rsid w:val="00C159A7"/>
    <w:rsid w:val="00C16E4D"/>
    <w:rsid w:val="00C179B0"/>
    <w:rsid w:val="00C20245"/>
    <w:rsid w:val="00C20313"/>
    <w:rsid w:val="00C205E1"/>
    <w:rsid w:val="00C20CA6"/>
    <w:rsid w:val="00C20D40"/>
    <w:rsid w:val="00C21195"/>
    <w:rsid w:val="00C21AD6"/>
    <w:rsid w:val="00C22185"/>
    <w:rsid w:val="00C22293"/>
    <w:rsid w:val="00C226F9"/>
    <w:rsid w:val="00C22C66"/>
    <w:rsid w:val="00C23398"/>
    <w:rsid w:val="00C233A4"/>
    <w:rsid w:val="00C23B23"/>
    <w:rsid w:val="00C23C92"/>
    <w:rsid w:val="00C2428B"/>
    <w:rsid w:val="00C265B9"/>
    <w:rsid w:val="00C26C22"/>
    <w:rsid w:val="00C26FF5"/>
    <w:rsid w:val="00C272BE"/>
    <w:rsid w:val="00C27B03"/>
    <w:rsid w:val="00C3089B"/>
    <w:rsid w:val="00C30C75"/>
    <w:rsid w:val="00C30CCB"/>
    <w:rsid w:val="00C31321"/>
    <w:rsid w:val="00C317F6"/>
    <w:rsid w:val="00C31C91"/>
    <w:rsid w:val="00C31E82"/>
    <w:rsid w:val="00C31EAF"/>
    <w:rsid w:val="00C322D2"/>
    <w:rsid w:val="00C32776"/>
    <w:rsid w:val="00C32B89"/>
    <w:rsid w:val="00C3309E"/>
    <w:rsid w:val="00C3407B"/>
    <w:rsid w:val="00C34505"/>
    <w:rsid w:val="00C34715"/>
    <w:rsid w:val="00C34B40"/>
    <w:rsid w:val="00C35836"/>
    <w:rsid w:val="00C35BDF"/>
    <w:rsid w:val="00C363FA"/>
    <w:rsid w:val="00C3650E"/>
    <w:rsid w:val="00C37B88"/>
    <w:rsid w:val="00C405D0"/>
    <w:rsid w:val="00C4175C"/>
    <w:rsid w:val="00C41CD3"/>
    <w:rsid w:val="00C42002"/>
    <w:rsid w:val="00C420E4"/>
    <w:rsid w:val="00C43438"/>
    <w:rsid w:val="00C440D1"/>
    <w:rsid w:val="00C44264"/>
    <w:rsid w:val="00C4438A"/>
    <w:rsid w:val="00C44ECD"/>
    <w:rsid w:val="00C44EEB"/>
    <w:rsid w:val="00C44F53"/>
    <w:rsid w:val="00C45E11"/>
    <w:rsid w:val="00C46251"/>
    <w:rsid w:val="00C462D7"/>
    <w:rsid w:val="00C464C9"/>
    <w:rsid w:val="00C4790F"/>
    <w:rsid w:val="00C47E28"/>
    <w:rsid w:val="00C47FC0"/>
    <w:rsid w:val="00C506C7"/>
    <w:rsid w:val="00C50A06"/>
    <w:rsid w:val="00C511D6"/>
    <w:rsid w:val="00C5189F"/>
    <w:rsid w:val="00C51DEE"/>
    <w:rsid w:val="00C528CC"/>
    <w:rsid w:val="00C53ABD"/>
    <w:rsid w:val="00C53AD3"/>
    <w:rsid w:val="00C53C94"/>
    <w:rsid w:val="00C55942"/>
    <w:rsid w:val="00C55AB8"/>
    <w:rsid w:val="00C55B4C"/>
    <w:rsid w:val="00C55C14"/>
    <w:rsid w:val="00C55F59"/>
    <w:rsid w:val="00C57741"/>
    <w:rsid w:val="00C57852"/>
    <w:rsid w:val="00C6018F"/>
    <w:rsid w:val="00C603A8"/>
    <w:rsid w:val="00C6074F"/>
    <w:rsid w:val="00C613C9"/>
    <w:rsid w:val="00C61830"/>
    <w:rsid w:val="00C61B5D"/>
    <w:rsid w:val="00C61FE3"/>
    <w:rsid w:val="00C62568"/>
    <w:rsid w:val="00C62590"/>
    <w:rsid w:val="00C6296C"/>
    <w:rsid w:val="00C62D75"/>
    <w:rsid w:val="00C62F64"/>
    <w:rsid w:val="00C6360A"/>
    <w:rsid w:val="00C63750"/>
    <w:rsid w:val="00C6384E"/>
    <w:rsid w:val="00C63894"/>
    <w:rsid w:val="00C63AC2"/>
    <w:rsid w:val="00C64143"/>
    <w:rsid w:val="00C6434D"/>
    <w:rsid w:val="00C652E5"/>
    <w:rsid w:val="00C65811"/>
    <w:rsid w:val="00C660F0"/>
    <w:rsid w:val="00C66402"/>
    <w:rsid w:val="00C66891"/>
    <w:rsid w:val="00C67446"/>
    <w:rsid w:val="00C67C65"/>
    <w:rsid w:val="00C67EAF"/>
    <w:rsid w:val="00C70962"/>
    <w:rsid w:val="00C70EAF"/>
    <w:rsid w:val="00C70F4D"/>
    <w:rsid w:val="00C71674"/>
    <w:rsid w:val="00C723A7"/>
    <w:rsid w:val="00C733F7"/>
    <w:rsid w:val="00C73ABF"/>
    <w:rsid w:val="00C740CA"/>
    <w:rsid w:val="00C743D0"/>
    <w:rsid w:val="00C74985"/>
    <w:rsid w:val="00C75608"/>
    <w:rsid w:val="00C7697F"/>
    <w:rsid w:val="00C76D2F"/>
    <w:rsid w:val="00C80FC6"/>
    <w:rsid w:val="00C8136C"/>
    <w:rsid w:val="00C81C7C"/>
    <w:rsid w:val="00C82BBC"/>
    <w:rsid w:val="00C82FAC"/>
    <w:rsid w:val="00C82FFA"/>
    <w:rsid w:val="00C835D0"/>
    <w:rsid w:val="00C838D4"/>
    <w:rsid w:val="00C83AD9"/>
    <w:rsid w:val="00C83E05"/>
    <w:rsid w:val="00C83E2E"/>
    <w:rsid w:val="00C84032"/>
    <w:rsid w:val="00C8458E"/>
    <w:rsid w:val="00C847A6"/>
    <w:rsid w:val="00C84A1B"/>
    <w:rsid w:val="00C8529F"/>
    <w:rsid w:val="00C854CC"/>
    <w:rsid w:val="00C85521"/>
    <w:rsid w:val="00C856C0"/>
    <w:rsid w:val="00C85A70"/>
    <w:rsid w:val="00C85EC7"/>
    <w:rsid w:val="00C860AB"/>
    <w:rsid w:val="00C86177"/>
    <w:rsid w:val="00C863EE"/>
    <w:rsid w:val="00C86678"/>
    <w:rsid w:val="00C869E1"/>
    <w:rsid w:val="00C86DF0"/>
    <w:rsid w:val="00C87ABB"/>
    <w:rsid w:val="00C87EF8"/>
    <w:rsid w:val="00C902C4"/>
    <w:rsid w:val="00C903DE"/>
    <w:rsid w:val="00C9154A"/>
    <w:rsid w:val="00C91908"/>
    <w:rsid w:val="00C91BA6"/>
    <w:rsid w:val="00C91C7B"/>
    <w:rsid w:val="00C92646"/>
    <w:rsid w:val="00C92967"/>
    <w:rsid w:val="00C9316A"/>
    <w:rsid w:val="00C93B5E"/>
    <w:rsid w:val="00C94037"/>
    <w:rsid w:val="00C957EB"/>
    <w:rsid w:val="00C95D8D"/>
    <w:rsid w:val="00C97C7F"/>
    <w:rsid w:val="00CA0B5E"/>
    <w:rsid w:val="00CA111A"/>
    <w:rsid w:val="00CA128E"/>
    <w:rsid w:val="00CA1753"/>
    <w:rsid w:val="00CA2283"/>
    <w:rsid w:val="00CA287A"/>
    <w:rsid w:val="00CA2A98"/>
    <w:rsid w:val="00CA2AEF"/>
    <w:rsid w:val="00CA2CA3"/>
    <w:rsid w:val="00CA3138"/>
    <w:rsid w:val="00CA325F"/>
    <w:rsid w:val="00CA33B8"/>
    <w:rsid w:val="00CA363F"/>
    <w:rsid w:val="00CA46B2"/>
    <w:rsid w:val="00CA5B47"/>
    <w:rsid w:val="00CA6195"/>
    <w:rsid w:val="00CA643D"/>
    <w:rsid w:val="00CA6DD8"/>
    <w:rsid w:val="00CA7A87"/>
    <w:rsid w:val="00CB0CEA"/>
    <w:rsid w:val="00CB1582"/>
    <w:rsid w:val="00CB1C38"/>
    <w:rsid w:val="00CB22B7"/>
    <w:rsid w:val="00CB2406"/>
    <w:rsid w:val="00CB2908"/>
    <w:rsid w:val="00CB31DA"/>
    <w:rsid w:val="00CB33D4"/>
    <w:rsid w:val="00CB3576"/>
    <w:rsid w:val="00CB3EEE"/>
    <w:rsid w:val="00CB44B2"/>
    <w:rsid w:val="00CB4F73"/>
    <w:rsid w:val="00CB5032"/>
    <w:rsid w:val="00CB6409"/>
    <w:rsid w:val="00CB6780"/>
    <w:rsid w:val="00CB7DF6"/>
    <w:rsid w:val="00CC13C8"/>
    <w:rsid w:val="00CC1501"/>
    <w:rsid w:val="00CC2650"/>
    <w:rsid w:val="00CC2F7D"/>
    <w:rsid w:val="00CC303F"/>
    <w:rsid w:val="00CC397B"/>
    <w:rsid w:val="00CC3C96"/>
    <w:rsid w:val="00CC425E"/>
    <w:rsid w:val="00CC455A"/>
    <w:rsid w:val="00CC48C2"/>
    <w:rsid w:val="00CC49F9"/>
    <w:rsid w:val="00CC4ED2"/>
    <w:rsid w:val="00CC5475"/>
    <w:rsid w:val="00CC5AA0"/>
    <w:rsid w:val="00CD03BB"/>
    <w:rsid w:val="00CD03F9"/>
    <w:rsid w:val="00CD077C"/>
    <w:rsid w:val="00CD100D"/>
    <w:rsid w:val="00CD2912"/>
    <w:rsid w:val="00CD2DFF"/>
    <w:rsid w:val="00CD342A"/>
    <w:rsid w:val="00CD3778"/>
    <w:rsid w:val="00CD3940"/>
    <w:rsid w:val="00CD3AEE"/>
    <w:rsid w:val="00CD4629"/>
    <w:rsid w:val="00CD5CC0"/>
    <w:rsid w:val="00CD5DFA"/>
    <w:rsid w:val="00CE094B"/>
    <w:rsid w:val="00CE0D03"/>
    <w:rsid w:val="00CE1027"/>
    <w:rsid w:val="00CE1041"/>
    <w:rsid w:val="00CE2164"/>
    <w:rsid w:val="00CE291F"/>
    <w:rsid w:val="00CE2F14"/>
    <w:rsid w:val="00CE3274"/>
    <w:rsid w:val="00CE3C79"/>
    <w:rsid w:val="00CE52B8"/>
    <w:rsid w:val="00CE5CDF"/>
    <w:rsid w:val="00CE65D6"/>
    <w:rsid w:val="00CE6922"/>
    <w:rsid w:val="00CE6A0B"/>
    <w:rsid w:val="00CE6D55"/>
    <w:rsid w:val="00CE6FA6"/>
    <w:rsid w:val="00CE73F1"/>
    <w:rsid w:val="00CE7798"/>
    <w:rsid w:val="00CE7BF6"/>
    <w:rsid w:val="00CE7CFA"/>
    <w:rsid w:val="00CF0950"/>
    <w:rsid w:val="00CF2852"/>
    <w:rsid w:val="00CF2E87"/>
    <w:rsid w:val="00CF3B07"/>
    <w:rsid w:val="00CF4C13"/>
    <w:rsid w:val="00CF50AD"/>
    <w:rsid w:val="00CF5284"/>
    <w:rsid w:val="00CF5942"/>
    <w:rsid w:val="00CF6140"/>
    <w:rsid w:val="00CF62E0"/>
    <w:rsid w:val="00CF6384"/>
    <w:rsid w:val="00CF63DA"/>
    <w:rsid w:val="00CF6902"/>
    <w:rsid w:val="00CF694E"/>
    <w:rsid w:val="00CF7229"/>
    <w:rsid w:val="00CF74C5"/>
    <w:rsid w:val="00CF74FD"/>
    <w:rsid w:val="00CF783C"/>
    <w:rsid w:val="00D005E9"/>
    <w:rsid w:val="00D00ED4"/>
    <w:rsid w:val="00D0202D"/>
    <w:rsid w:val="00D0210C"/>
    <w:rsid w:val="00D02303"/>
    <w:rsid w:val="00D02B8F"/>
    <w:rsid w:val="00D02E2B"/>
    <w:rsid w:val="00D03390"/>
    <w:rsid w:val="00D0401F"/>
    <w:rsid w:val="00D044CA"/>
    <w:rsid w:val="00D04605"/>
    <w:rsid w:val="00D04FCF"/>
    <w:rsid w:val="00D05BE0"/>
    <w:rsid w:val="00D063BF"/>
    <w:rsid w:val="00D06659"/>
    <w:rsid w:val="00D06E88"/>
    <w:rsid w:val="00D07918"/>
    <w:rsid w:val="00D07E79"/>
    <w:rsid w:val="00D10B9F"/>
    <w:rsid w:val="00D10CD3"/>
    <w:rsid w:val="00D11DE9"/>
    <w:rsid w:val="00D11EFE"/>
    <w:rsid w:val="00D11F90"/>
    <w:rsid w:val="00D12263"/>
    <w:rsid w:val="00D1255A"/>
    <w:rsid w:val="00D13527"/>
    <w:rsid w:val="00D13FCE"/>
    <w:rsid w:val="00D1420F"/>
    <w:rsid w:val="00D145FB"/>
    <w:rsid w:val="00D14625"/>
    <w:rsid w:val="00D1481B"/>
    <w:rsid w:val="00D149A2"/>
    <w:rsid w:val="00D157BA"/>
    <w:rsid w:val="00D15D6A"/>
    <w:rsid w:val="00D15E4E"/>
    <w:rsid w:val="00D16333"/>
    <w:rsid w:val="00D171BB"/>
    <w:rsid w:val="00D17601"/>
    <w:rsid w:val="00D177FE"/>
    <w:rsid w:val="00D179C6"/>
    <w:rsid w:val="00D200A4"/>
    <w:rsid w:val="00D20D6E"/>
    <w:rsid w:val="00D20E21"/>
    <w:rsid w:val="00D20FA2"/>
    <w:rsid w:val="00D21300"/>
    <w:rsid w:val="00D21F94"/>
    <w:rsid w:val="00D22190"/>
    <w:rsid w:val="00D22250"/>
    <w:rsid w:val="00D2240F"/>
    <w:rsid w:val="00D2278D"/>
    <w:rsid w:val="00D22EBF"/>
    <w:rsid w:val="00D22F7B"/>
    <w:rsid w:val="00D230DC"/>
    <w:rsid w:val="00D23326"/>
    <w:rsid w:val="00D2397E"/>
    <w:rsid w:val="00D23CC9"/>
    <w:rsid w:val="00D242D8"/>
    <w:rsid w:val="00D25A33"/>
    <w:rsid w:val="00D260BF"/>
    <w:rsid w:val="00D2613B"/>
    <w:rsid w:val="00D261C0"/>
    <w:rsid w:val="00D2623D"/>
    <w:rsid w:val="00D264E4"/>
    <w:rsid w:val="00D267F2"/>
    <w:rsid w:val="00D26A2A"/>
    <w:rsid w:val="00D26C9A"/>
    <w:rsid w:val="00D26F0E"/>
    <w:rsid w:val="00D27422"/>
    <w:rsid w:val="00D27BC4"/>
    <w:rsid w:val="00D3012F"/>
    <w:rsid w:val="00D303E8"/>
    <w:rsid w:val="00D313DD"/>
    <w:rsid w:val="00D318F5"/>
    <w:rsid w:val="00D31BA6"/>
    <w:rsid w:val="00D3254E"/>
    <w:rsid w:val="00D329C3"/>
    <w:rsid w:val="00D33576"/>
    <w:rsid w:val="00D335E1"/>
    <w:rsid w:val="00D3393C"/>
    <w:rsid w:val="00D33DBB"/>
    <w:rsid w:val="00D34D80"/>
    <w:rsid w:val="00D3545E"/>
    <w:rsid w:val="00D35556"/>
    <w:rsid w:val="00D35C4A"/>
    <w:rsid w:val="00D35FEA"/>
    <w:rsid w:val="00D36085"/>
    <w:rsid w:val="00D366E4"/>
    <w:rsid w:val="00D37775"/>
    <w:rsid w:val="00D40712"/>
    <w:rsid w:val="00D408D1"/>
    <w:rsid w:val="00D41ED1"/>
    <w:rsid w:val="00D423AC"/>
    <w:rsid w:val="00D42942"/>
    <w:rsid w:val="00D43480"/>
    <w:rsid w:val="00D442F1"/>
    <w:rsid w:val="00D44B15"/>
    <w:rsid w:val="00D44DC6"/>
    <w:rsid w:val="00D451CB"/>
    <w:rsid w:val="00D4588E"/>
    <w:rsid w:val="00D45FAF"/>
    <w:rsid w:val="00D476EA"/>
    <w:rsid w:val="00D47D31"/>
    <w:rsid w:val="00D50063"/>
    <w:rsid w:val="00D50FE8"/>
    <w:rsid w:val="00D51140"/>
    <w:rsid w:val="00D514E5"/>
    <w:rsid w:val="00D51D47"/>
    <w:rsid w:val="00D51EBE"/>
    <w:rsid w:val="00D524EB"/>
    <w:rsid w:val="00D52F4A"/>
    <w:rsid w:val="00D52F9F"/>
    <w:rsid w:val="00D53589"/>
    <w:rsid w:val="00D539D5"/>
    <w:rsid w:val="00D53A34"/>
    <w:rsid w:val="00D543ED"/>
    <w:rsid w:val="00D544D5"/>
    <w:rsid w:val="00D54DD5"/>
    <w:rsid w:val="00D54DE9"/>
    <w:rsid w:val="00D54E68"/>
    <w:rsid w:val="00D5557D"/>
    <w:rsid w:val="00D55590"/>
    <w:rsid w:val="00D5564E"/>
    <w:rsid w:val="00D5574B"/>
    <w:rsid w:val="00D56DC5"/>
    <w:rsid w:val="00D56F75"/>
    <w:rsid w:val="00D57897"/>
    <w:rsid w:val="00D57EDC"/>
    <w:rsid w:val="00D602DE"/>
    <w:rsid w:val="00D60531"/>
    <w:rsid w:val="00D6096A"/>
    <w:rsid w:val="00D60A62"/>
    <w:rsid w:val="00D60ABE"/>
    <w:rsid w:val="00D60CE5"/>
    <w:rsid w:val="00D61811"/>
    <w:rsid w:val="00D6252C"/>
    <w:rsid w:val="00D629B7"/>
    <w:rsid w:val="00D63854"/>
    <w:rsid w:val="00D6387E"/>
    <w:rsid w:val="00D63F9F"/>
    <w:rsid w:val="00D6426A"/>
    <w:rsid w:val="00D64409"/>
    <w:rsid w:val="00D646D3"/>
    <w:rsid w:val="00D65B94"/>
    <w:rsid w:val="00D660DC"/>
    <w:rsid w:val="00D662F2"/>
    <w:rsid w:val="00D665F1"/>
    <w:rsid w:val="00D66F94"/>
    <w:rsid w:val="00D6711E"/>
    <w:rsid w:val="00D6745E"/>
    <w:rsid w:val="00D70C1B"/>
    <w:rsid w:val="00D71929"/>
    <w:rsid w:val="00D728E1"/>
    <w:rsid w:val="00D730D4"/>
    <w:rsid w:val="00D7319F"/>
    <w:rsid w:val="00D733B4"/>
    <w:rsid w:val="00D73682"/>
    <w:rsid w:val="00D73888"/>
    <w:rsid w:val="00D73B08"/>
    <w:rsid w:val="00D74C35"/>
    <w:rsid w:val="00D76198"/>
    <w:rsid w:val="00D76A45"/>
    <w:rsid w:val="00D76BCB"/>
    <w:rsid w:val="00D76CAB"/>
    <w:rsid w:val="00D80096"/>
    <w:rsid w:val="00D80127"/>
    <w:rsid w:val="00D804E2"/>
    <w:rsid w:val="00D805D1"/>
    <w:rsid w:val="00D80904"/>
    <w:rsid w:val="00D80F07"/>
    <w:rsid w:val="00D8135C"/>
    <w:rsid w:val="00D81FB3"/>
    <w:rsid w:val="00D82FD7"/>
    <w:rsid w:val="00D837E6"/>
    <w:rsid w:val="00D83B4F"/>
    <w:rsid w:val="00D83BD0"/>
    <w:rsid w:val="00D84CDB"/>
    <w:rsid w:val="00D84FA6"/>
    <w:rsid w:val="00D85C5F"/>
    <w:rsid w:val="00D85ECC"/>
    <w:rsid w:val="00D85FE4"/>
    <w:rsid w:val="00D86326"/>
    <w:rsid w:val="00D864C7"/>
    <w:rsid w:val="00D86E2D"/>
    <w:rsid w:val="00D86E63"/>
    <w:rsid w:val="00D86EB7"/>
    <w:rsid w:val="00D87CC0"/>
    <w:rsid w:val="00D9009D"/>
    <w:rsid w:val="00D91AA5"/>
    <w:rsid w:val="00D91E9F"/>
    <w:rsid w:val="00D92025"/>
    <w:rsid w:val="00D9204D"/>
    <w:rsid w:val="00D92B53"/>
    <w:rsid w:val="00D92B5E"/>
    <w:rsid w:val="00D93388"/>
    <w:rsid w:val="00D93CFF"/>
    <w:rsid w:val="00D941D5"/>
    <w:rsid w:val="00D9454A"/>
    <w:rsid w:val="00D94E0A"/>
    <w:rsid w:val="00D94E7F"/>
    <w:rsid w:val="00D95457"/>
    <w:rsid w:val="00D9629B"/>
    <w:rsid w:val="00D9668F"/>
    <w:rsid w:val="00D97A7B"/>
    <w:rsid w:val="00DA087D"/>
    <w:rsid w:val="00DA0A87"/>
    <w:rsid w:val="00DA0C67"/>
    <w:rsid w:val="00DA0CEC"/>
    <w:rsid w:val="00DA1066"/>
    <w:rsid w:val="00DA1259"/>
    <w:rsid w:val="00DA13F1"/>
    <w:rsid w:val="00DA152E"/>
    <w:rsid w:val="00DA1AAD"/>
    <w:rsid w:val="00DA1E08"/>
    <w:rsid w:val="00DA359A"/>
    <w:rsid w:val="00DA3AA7"/>
    <w:rsid w:val="00DA46C2"/>
    <w:rsid w:val="00DA4A52"/>
    <w:rsid w:val="00DA4C07"/>
    <w:rsid w:val="00DA4CEE"/>
    <w:rsid w:val="00DA4FBC"/>
    <w:rsid w:val="00DA5699"/>
    <w:rsid w:val="00DA604D"/>
    <w:rsid w:val="00DA61B9"/>
    <w:rsid w:val="00DA6563"/>
    <w:rsid w:val="00DA69A8"/>
    <w:rsid w:val="00DA7457"/>
    <w:rsid w:val="00DA7621"/>
    <w:rsid w:val="00DA799D"/>
    <w:rsid w:val="00DB067F"/>
    <w:rsid w:val="00DB1083"/>
    <w:rsid w:val="00DB1B31"/>
    <w:rsid w:val="00DB2995"/>
    <w:rsid w:val="00DB2ACC"/>
    <w:rsid w:val="00DB2ED0"/>
    <w:rsid w:val="00DB38F0"/>
    <w:rsid w:val="00DB3BCD"/>
    <w:rsid w:val="00DB3EE8"/>
    <w:rsid w:val="00DB415C"/>
    <w:rsid w:val="00DB435A"/>
    <w:rsid w:val="00DB46FF"/>
    <w:rsid w:val="00DB4701"/>
    <w:rsid w:val="00DB4E76"/>
    <w:rsid w:val="00DB4EE5"/>
    <w:rsid w:val="00DB59C0"/>
    <w:rsid w:val="00DB5B7E"/>
    <w:rsid w:val="00DB5DCF"/>
    <w:rsid w:val="00DB6324"/>
    <w:rsid w:val="00DB6A59"/>
    <w:rsid w:val="00DB6FF6"/>
    <w:rsid w:val="00DB74CC"/>
    <w:rsid w:val="00DC0146"/>
    <w:rsid w:val="00DC03EE"/>
    <w:rsid w:val="00DC08A7"/>
    <w:rsid w:val="00DC1EF1"/>
    <w:rsid w:val="00DC34B3"/>
    <w:rsid w:val="00DC36B8"/>
    <w:rsid w:val="00DC384C"/>
    <w:rsid w:val="00DC3E78"/>
    <w:rsid w:val="00DC3F8F"/>
    <w:rsid w:val="00DC499A"/>
    <w:rsid w:val="00DC4ED9"/>
    <w:rsid w:val="00DC53F2"/>
    <w:rsid w:val="00DC5741"/>
    <w:rsid w:val="00DC5AD1"/>
    <w:rsid w:val="00DC5B48"/>
    <w:rsid w:val="00DC6127"/>
    <w:rsid w:val="00DC62EE"/>
    <w:rsid w:val="00DC6B01"/>
    <w:rsid w:val="00DC7797"/>
    <w:rsid w:val="00DC7E53"/>
    <w:rsid w:val="00DD078A"/>
    <w:rsid w:val="00DD0C86"/>
    <w:rsid w:val="00DD13EE"/>
    <w:rsid w:val="00DD13FA"/>
    <w:rsid w:val="00DD1486"/>
    <w:rsid w:val="00DD169A"/>
    <w:rsid w:val="00DD1737"/>
    <w:rsid w:val="00DD1A99"/>
    <w:rsid w:val="00DD1FBA"/>
    <w:rsid w:val="00DD275D"/>
    <w:rsid w:val="00DD307D"/>
    <w:rsid w:val="00DD34E1"/>
    <w:rsid w:val="00DD45E7"/>
    <w:rsid w:val="00DD49D5"/>
    <w:rsid w:val="00DD51E3"/>
    <w:rsid w:val="00DD542B"/>
    <w:rsid w:val="00DD5711"/>
    <w:rsid w:val="00DD686A"/>
    <w:rsid w:val="00DD6E8B"/>
    <w:rsid w:val="00DD71F6"/>
    <w:rsid w:val="00DD7667"/>
    <w:rsid w:val="00DD777C"/>
    <w:rsid w:val="00DE0912"/>
    <w:rsid w:val="00DE0D2F"/>
    <w:rsid w:val="00DE0D75"/>
    <w:rsid w:val="00DE1472"/>
    <w:rsid w:val="00DE19EB"/>
    <w:rsid w:val="00DE28B5"/>
    <w:rsid w:val="00DE2BCD"/>
    <w:rsid w:val="00DE35C7"/>
    <w:rsid w:val="00DE4309"/>
    <w:rsid w:val="00DE4965"/>
    <w:rsid w:val="00DE4F19"/>
    <w:rsid w:val="00DE510D"/>
    <w:rsid w:val="00DE5795"/>
    <w:rsid w:val="00DE5B0F"/>
    <w:rsid w:val="00DE6002"/>
    <w:rsid w:val="00DE6171"/>
    <w:rsid w:val="00DE7E43"/>
    <w:rsid w:val="00DF037A"/>
    <w:rsid w:val="00DF0FE3"/>
    <w:rsid w:val="00DF1955"/>
    <w:rsid w:val="00DF1C7D"/>
    <w:rsid w:val="00DF21D7"/>
    <w:rsid w:val="00DF2649"/>
    <w:rsid w:val="00DF298D"/>
    <w:rsid w:val="00DF2CB1"/>
    <w:rsid w:val="00DF2DB3"/>
    <w:rsid w:val="00DF37DD"/>
    <w:rsid w:val="00DF541C"/>
    <w:rsid w:val="00DF5C18"/>
    <w:rsid w:val="00DF69F9"/>
    <w:rsid w:val="00DF6CBA"/>
    <w:rsid w:val="00DF7341"/>
    <w:rsid w:val="00DF790F"/>
    <w:rsid w:val="00DF7A2B"/>
    <w:rsid w:val="00DF7A73"/>
    <w:rsid w:val="00DF7AD2"/>
    <w:rsid w:val="00DF7F06"/>
    <w:rsid w:val="00E012A2"/>
    <w:rsid w:val="00E01300"/>
    <w:rsid w:val="00E01F21"/>
    <w:rsid w:val="00E02579"/>
    <w:rsid w:val="00E02B50"/>
    <w:rsid w:val="00E03305"/>
    <w:rsid w:val="00E03A72"/>
    <w:rsid w:val="00E03D12"/>
    <w:rsid w:val="00E03FA6"/>
    <w:rsid w:val="00E04242"/>
    <w:rsid w:val="00E04B3F"/>
    <w:rsid w:val="00E04FAF"/>
    <w:rsid w:val="00E060C1"/>
    <w:rsid w:val="00E0617F"/>
    <w:rsid w:val="00E06B1E"/>
    <w:rsid w:val="00E07787"/>
    <w:rsid w:val="00E103F4"/>
    <w:rsid w:val="00E10779"/>
    <w:rsid w:val="00E10AAF"/>
    <w:rsid w:val="00E10AFB"/>
    <w:rsid w:val="00E1114B"/>
    <w:rsid w:val="00E11443"/>
    <w:rsid w:val="00E11D49"/>
    <w:rsid w:val="00E12DD4"/>
    <w:rsid w:val="00E13772"/>
    <w:rsid w:val="00E13F94"/>
    <w:rsid w:val="00E147D5"/>
    <w:rsid w:val="00E14C0E"/>
    <w:rsid w:val="00E154D4"/>
    <w:rsid w:val="00E1567F"/>
    <w:rsid w:val="00E15C24"/>
    <w:rsid w:val="00E16642"/>
    <w:rsid w:val="00E16C34"/>
    <w:rsid w:val="00E173A1"/>
    <w:rsid w:val="00E1787C"/>
    <w:rsid w:val="00E17DE0"/>
    <w:rsid w:val="00E212CD"/>
    <w:rsid w:val="00E22390"/>
    <w:rsid w:val="00E2249E"/>
    <w:rsid w:val="00E22B76"/>
    <w:rsid w:val="00E234F1"/>
    <w:rsid w:val="00E23C85"/>
    <w:rsid w:val="00E23F23"/>
    <w:rsid w:val="00E241ED"/>
    <w:rsid w:val="00E24224"/>
    <w:rsid w:val="00E24BBB"/>
    <w:rsid w:val="00E24E3A"/>
    <w:rsid w:val="00E251BF"/>
    <w:rsid w:val="00E258C0"/>
    <w:rsid w:val="00E25AF8"/>
    <w:rsid w:val="00E2636E"/>
    <w:rsid w:val="00E26C55"/>
    <w:rsid w:val="00E26F6C"/>
    <w:rsid w:val="00E27187"/>
    <w:rsid w:val="00E27B28"/>
    <w:rsid w:val="00E303D7"/>
    <w:rsid w:val="00E316D7"/>
    <w:rsid w:val="00E31BD0"/>
    <w:rsid w:val="00E33D5D"/>
    <w:rsid w:val="00E34CA3"/>
    <w:rsid w:val="00E3517D"/>
    <w:rsid w:val="00E35C4A"/>
    <w:rsid w:val="00E36AEC"/>
    <w:rsid w:val="00E36D99"/>
    <w:rsid w:val="00E36E30"/>
    <w:rsid w:val="00E375B2"/>
    <w:rsid w:val="00E37A0F"/>
    <w:rsid w:val="00E37D45"/>
    <w:rsid w:val="00E37DA6"/>
    <w:rsid w:val="00E37F0D"/>
    <w:rsid w:val="00E37FE3"/>
    <w:rsid w:val="00E40085"/>
    <w:rsid w:val="00E40EB7"/>
    <w:rsid w:val="00E41468"/>
    <w:rsid w:val="00E42F2C"/>
    <w:rsid w:val="00E4360E"/>
    <w:rsid w:val="00E43AAA"/>
    <w:rsid w:val="00E44C62"/>
    <w:rsid w:val="00E45768"/>
    <w:rsid w:val="00E45AEF"/>
    <w:rsid w:val="00E46866"/>
    <w:rsid w:val="00E47024"/>
    <w:rsid w:val="00E47DEC"/>
    <w:rsid w:val="00E50346"/>
    <w:rsid w:val="00E50B6E"/>
    <w:rsid w:val="00E52FEA"/>
    <w:rsid w:val="00E5381A"/>
    <w:rsid w:val="00E5387C"/>
    <w:rsid w:val="00E53BC3"/>
    <w:rsid w:val="00E5425D"/>
    <w:rsid w:val="00E54EF2"/>
    <w:rsid w:val="00E561DF"/>
    <w:rsid w:val="00E56239"/>
    <w:rsid w:val="00E56336"/>
    <w:rsid w:val="00E571AD"/>
    <w:rsid w:val="00E571BC"/>
    <w:rsid w:val="00E57A52"/>
    <w:rsid w:val="00E57F4E"/>
    <w:rsid w:val="00E603BC"/>
    <w:rsid w:val="00E60D40"/>
    <w:rsid w:val="00E60DC5"/>
    <w:rsid w:val="00E611C2"/>
    <w:rsid w:val="00E61227"/>
    <w:rsid w:val="00E61B17"/>
    <w:rsid w:val="00E62176"/>
    <w:rsid w:val="00E6246F"/>
    <w:rsid w:val="00E62A16"/>
    <w:rsid w:val="00E63269"/>
    <w:rsid w:val="00E633BA"/>
    <w:rsid w:val="00E63559"/>
    <w:rsid w:val="00E638B4"/>
    <w:rsid w:val="00E63909"/>
    <w:rsid w:val="00E63998"/>
    <w:rsid w:val="00E64474"/>
    <w:rsid w:val="00E6587C"/>
    <w:rsid w:val="00E65BF2"/>
    <w:rsid w:val="00E65E71"/>
    <w:rsid w:val="00E6631F"/>
    <w:rsid w:val="00E66C81"/>
    <w:rsid w:val="00E66D0B"/>
    <w:rsid w:val="00E67180"/>
    <w:rsid w:val="00E676E2"/>
    <w:rsid w:val="00E6D6E9"/>
    <w:rsid w:val="00E70353"/>
    <w:rsid w:val="00E70CCE"/>
    <w:rsid w:val="00E70DDA"/>
    <w:rsid w:val="00E7138A"/>
    <w:rsid w:val="00E7184A"/>
    <w:rsid w:val="00E719EE"/>
    <w:rsid w:val="00E72010"/>
    <w:rsid w:val="00E72487"/>
    <w:rsid w:val="00E7276A"/>
    <w:rsid w:val="00E7276E"/>
    <w:rsid w:val="00E729D0"/>
    <w:rsid w:val="00E736A5"/>
    <w:rsid w:val="00E73987"/>
    <w:rsid w:val="00E74313"/>
    <w:rsid w:val="00E747D2"/>
    <w:rsid w:val="00E74E58"/>
    <w:rsid w:val="00E74FA5"/>
    <w:rsid w:val="00E756A8"/>
    <w:rsid w:val="00E76032"/>
    <w:rsid w:val="00E7666E"/>
    <w:rsid w:val="00E768F2"/>
    <w:rsid w:val="00E77C9B"/>
    <w:rsid w:val="00E77E9E"/>
    <w:rsid w:val="00E8163E"/>
    <w:rsid w:val="00E81DED"/>
    <w:rsid w:val="00E82316"/>
    <w:rsid w:val="00E82477"/>
    <w:rsid w:val="00E825B3"/>
    <w:rsid w:val="00E83BB3"/>
    <w:rsid w:val="00E83E39"/>
    <w:rsid w:val="00E8425B"/>
    <w:rsid w:val="00E849DE"/>
    <w:rsid w:val="00E84CFD"/>
    <w:rsid w:val="00E85948"/>
    <w:rsid w:val="00E86536"/>
    <w:rsid w:val="00E867D9"/>
    <w:rsid w:val="00E86E8D"/>
    <w:rsid w:val="00E86EF7"/>
    <w:rsid w:val="00E901A2"/>
    <w:rsid w:val="00E906B3"/>
    <w:rsid w:val="00E9070C"/>
    <w:rsid w:val="00E90FA3"/>
    <w:rsid w:val="00E9167E"/>
    <w:rsid w:val="00E91B6E"/>
    <w:rsid w:val="00E91DF3"/>
    <w:rsid w:val="00E91E1D"/>
    <w:rsid w:val="00E91F62"/>
    <w:rsid w:val="00E922A4"/>
    <w:rsid w:val="00E925CE"/>
    <w:rsid w:val="00E93A6F"/>
    <w:rsid w:val="00E93BF0"/>
    <w:rsid w:val="00E93F3F"/>
    <w:rsid w:val="00E9448C"/>
    <w:rsid w:val="00E95047"/>
    <w:rsid w:val="00E95361"/>
    <w:rsid w:val="00E9566D"/>
    <w:rsid w:val="00E95DE6"/>
    <w:rsid w:val="00E967CB"/>
    <w:rsid w:val="00E9698E"/>
    <w:rsid w:val="00E96D17"/>
    <w:rsid w:val="00E97AB3"/>
    <w:rsid w:val="00EA0168"/>
    <w:rsid w:val="00EA05D9"/>
    <w:rsid w:val="00EA098E"/>
    <w:rsid w:val="00EA1104"/>
    <w:rsid w:val="00EA196C"/>
    <w:rsid w:val="00EA1E47"/>
    <w:rsid w:val="00EA1FCD"/>
    <w:rsid w:val="00EA1FF1"/>
    <w:rsid w:val="00EA25A1"/>
    <w:rsid w:val="00EA4126"/>
    <w:rsid w:val="00EA428C"/>
    <w:rsid w:val="00EA431D"/>
    <w:rsid w:val="00EA5257"/>
    <w:rsid w:val="00EA59B6"/>
    <w:rsid w:val="00EA5F26"/>
    <w:rsid w:val="00EA6823"/>
    <w:rsid w:val="00EA6DC6"/>
    <w:rsid w:val="00EA7415"/>
    <w:rsid w:val="00EA79A2"/>
    <w:rsid w:val="00EA7EBC"/>
    <w:rsid w:val="00EB0322"/>
    <w:rsid w:val="00EB0433"/>
    <w:rsid w:val="00EB118F"/>
    <w:rsid w:val="00EB188F"/>
    <w:rsid w:val="00EB1948"/>
    <w:rsid w:val="00EB1B8B"/>
    <w:rsid w:val="00EB2345"/>
    <w:rsid w:val="00EB24EC"/>
    <w:rsid w:val="00EB2DC8"/>
    <w:rsid w:val="00EB333D"/>
    <w:rsid w:val="00EB38AD"/>
    <w:rsid w:val="00EB3C54"/>
    <w:rsid w:val="00EB3DF2"/>
    <w:rsid w:val="00EB3ECA"/>
    <w:rsid w:val="00EB4219"/>
    <w:rsid w:val="00EB448D"/>
    <w:rsid w:val="00EB457D"/>
    <w:rsid w:val="00EB4940"/>
    <w:rsid w:val="00EB4951"/>
    <w:rsid w:val="00EB595B"/>
    <w:rsid w:val="00EB751B"/>
    <w:rsid w:val="00EB7876"/>
    <w:rsid w:val="00EB78A4"/>
    <w:rsid w:val="00EC0503"/>
    <w:rsid w:val="00EC098E"/>
    <w:rsid w:val="00EC0BCB"/>
    <w:rsid w:val="00EC0DF3"/>
    <w:rsid w:val="00EC0E71"/>
    <w:rsid w:val="00EC17DD"/>
    <w:rsid w:val="00EC2571"/>
    <w:rsid w:val="00EC2D8A"/>
    <w:rsid w:val="00EC3632"/>
    <w:rsid w:val="00EC3AB4"/>
    <w:rsid w:val="00EC490D"/>
    <w:rsid w:val="00EC4B08"/>
    <w:rsid w:val="00EC56AA"/>
    <w:rsid w:val="00EC5B00"/>
    <w:rsid w:val="00EC5D31"/>
    <w:rsid w:val="00EC5DAA"/>
    <w:rsid w:val="00EC5DC1"/>
    <w:rsid w:val="00EC5F50"/>
    <w:rsid w:val="00EC6ABA"/>
    <w:rsid w:val="00EC7156"/>
    <w:rsid w:val="00EC754D"/>
    <w:rsid w:val="00EC7CBC"/>
    <w:rsid w:val="00EC7F93"/>
    <w:rsid w:val="00ED0A42"/>
    <w:rsid w:val="00ED2141"/>
    <w:rsid w:val="00ED226E"/>
    <w:rsid w:val="00ED2288"/>
    <w:rsid w:val="00ED29B7"/>
    <w:rsid w:val="00ED46E0"/>
    <w:rsid w:val="00ED597D"/>
    <w:rsid w:val="00ED5997"/>
    <w:rsid w:val="00ED5E4B"/>
    <w:rsid w:val="00ED613A"/>
    <w:rsid w:val="00ED65A2"/>
    <w:rsid w:val="00ED678E"/>
    <w:rsid w:val="00ED6CFA"/>
    <w:rsid w:val="00ED6D53"/>
    <w:rsid w:val="00ED7462"/>
    <w:rsid w:val="00ED78EC"/>
    <w:rsid w:val="00ED7FB0"/>
    <w:rsid w:val="00EE0194"/>
    <w:rsid w:val="00EE06FA"/>
    <w:rsid w:val="00EE09D6"/>
    <w:rsid w:val="00EE0F38"/>
    <w:rsid w:val="00EE1092"/>
    <w:rsid w:val="00EE1855"/>
    <w:rsid w:val="00EE1E1F"/>
    <w:rsid w:val="00EE231A"/>
    <w:rsid w:val="00EE245A"/>
    <w:rsid w:val="00EE2B68"/>
    <w:rsid w:val="00EE31D7"/>
    <w:rsid w:val="00EE329C"/>
    <w:rsid w:val="00EE3733"/>
    <w:rsid w:val="00EE395E"/>
    <w:rsid w:val="00EE3D1B"/>
    <w:rsid w:val="00EE46B8"/>
    <w:rsid w:val="00EE4F76"/>
    <w:rsid w:val="00EE5F1B"/>
    <w:rsid w:val="00EE6D70"/>
    <w:rsid w:val="00EE705B"/>
    <w:rsid w:val="00EF0008"/>
    <w:rsid w:val="00EF073D"/>
    <w:rsid w:val="00EF0F02"/>
    <w:rsid w:val="00EF1386"/>
    <w:rsid w:val="00EF18DC"/>
    <w:rsid w:val="00EF21CB"/>
    <w:rsid w:val="00EF2491"/>
    <w:rsid w:val="00EF256B"/>
    <w:rsid w:val="00EF258A"/>
    <w:rsid w:val="00EF3722"/>
    <w:rsid w:val="00EF3B38"/>
    <w:rsid w:val="00EF45AC"/>
    <w:rsid w:val="00EF5277"/>
    <w:rsid w:val="00EF53DB"/>
    <w:rsid w:val="00EF5CAD"/>
    <w:rsid w:val="00EF5D7F"/>
    <w:rsid w:val="00EF5F6C"/>
    <w:rsid w:val="00EF611F"/>
    <w:rsid w:val="00EF76E1"/>
    <w:rsid w:val="00EF7C08"/>
    <w:rsid w:val="00F002AB"/>
    <w:rsid w:val="00F00A58"/>
    <w:rsid w:val="00F00C90"/>
    <w:rsid w:val="00F00C97"/>
    <w:rsid w:val="00F0118C"/>
    <w:rsid w:val="00F01A7C"/>
    <w:rsid w:val="00F01D52"/>
    <w:rsid w:val="00F02344"/>
    <w:rsid w:val="00F02954"/>
    <w:rsid w:val="00F029AF"/>
    <w:rsid w:val="00F02F6F"/>
    <w:rsid w:val="00F03063"/>
    <w:rsid w:val="00F04099"/>
    <w:rsid w:val="00F043A2"/>
    <w:rsid w:val="00F0440B"/>
    <w:rsid w:val="00F04870"/>
    <w:rsid w:val="00F04C44"/>
    <w:rsid w:val="00F0547F"/>
    <w:rsid w:val="00F05A8C"/>
    <w:rsid w:val="00F05ACF"/>
    <w:rsid w:val="00F05B66"/>
    <w:rsid w:val="00F0676F"/>
    <w:rsid w:val="00F07001"/>
    <w:rsid w:val="00F075B5"/>
    <w:rsid w:val="00F07A9B"/>
    <w:rsid w:val="00F1030E"/>
    <w:rsid w:val="00F10925"/>
    <w:rsid w:val="00F109E8"/>
    <w:rsid w:val="00F1247A"/>
    <w:rsid w:val="00F12F6C"/>
    <w:rsid w:val="00F135A2"/>
    <w:rsid w:val="00F13702"/>
    <w:rsid w:val="00F13DAE"/>
    <w:rsid w:val="00F15702"/>
    <w:rsid w:val="00F157D8"/>
    <w:rsid w:val="00F15985"/>
    <w:rsid w:val="00F201AD"/>
    <w:rsid w:val="00F20305"/>
    <w:rsid w:val="00F21481"/>
    <w:rsid w:val="00F21516"/>
    <w:rsid w:val="00F215EF"/>
    <w:rsid w:val="00F21844"/>
    <w:rsid w:val="00F21B21"/>
    <w:rsid w:val="00F222BB"/>
    <w:rsid w:val="00F2491A"/>
    <w:rsid w:val="00F24CE8"/>
    <w:rsid w:val="00F24EF6"/>
    <w:rsid w:val="00F2517A"/>
    <w:rsid w:val="00F254E4"/>
    <w:rsid w:val="00F260FC"/>
    <w:rsid w:val="00F2680B"/>
    <w:rsid w:val="00F26AAB"/>
    <w:rsid w:val="00F26D70"/>
    <w:rsid w:val="00F26F5D"/>
    <w:rsid w:val="00F271B8"/>
    <w:rsid w:val="00F30525"/>
    <w:rsid w:val="00F32246"/>
    <w:rsid w:val="00F3381E"/>
    <w:rsid w:val="00F34369"/>
    <w:rsid w:val="00F34C92"/>
    <w:rsid w:val="00F35307"/>
    <w:rsid w:val="00F35B5C"/>
    <w:rsid w:val="00F35D19"/>
    <w:rsid w:val="00F36357"/>
    <w:rsid w:val="00F36AAE"/>
    <w:rsid w:val="00F36CAA"/>
    <w:rsid w:val="00F37401"/>
    <w:rsid w:val="00F37485"/>
    <w:rsid w:val="00F377AE"/>
    <w:rsid w:val="00F37A92"/>
    <w:rsid w:val="00F41269"/>
    <w:rsid w:val="00F41319"/>
    <w:rsid w:val="00F42B7C"/>
    <w:rsid w:val="00F43FDE"/>
    <w:rsid w:val="00F44B13"/>
    <w:rsid w:val="00F45424"/>
    <w:rsid w:val="00F45BE7"/>
    <w:rsid w:val="00F45C9E"/>
    <w:rsid w:val="00F463D7"/>
    <w:rsid w:val="00F46599"/>
    <w:rsid w:val="00F46A25"/>
    <w:rsid w:val="00F46C49"/>
    <w:rsid w:val="00F47941"/>
    <w:rsid w:val="00F47FFC"/>
    <w:rsid w:val="00F50163"/>
    <w:rsid w:val="00F50637"/>
    <w:rsid w:val="00F50D38"/>
    <w:rsid w:val="00F510E2"/>
    <w:rsid w:val="00F515F1"/>
    <w:rsid w:val="00F51A41"/>
    <w:rsid w:val="00F51A79"/>
    <w:rsid w:val="00F5273A"/>
    <w:rsid w:val="00F52D6B"/>
    <w:rsid w:val="00F52E18"/>
    <w:rsid w:val="00F535E2"/>
    <w:rsid w:val="00F53755"/>
    <w:rsid w:val="00F537EF"/>
    <w:rsid w:val="00F53887"/>
    <w:rsid w:val="00F54516"/>
    <w:rsid w:val="00F546FB"/>
    <w:rsid w:val="00F54CCF"/>
    <w:rsid w:val="00F55335"/>
    <w:rsid w:val="00F55CF7"/>
    <w:rsid w:val="00F55D4B"/>
    <w:rsid w:val="00F56211"/>
    <w:rsid w:val="00F577A8"/>
    <w:rsid w:val="00F5781A"/>
    <w:rsid w:val="00F57D1C"/>
    <w:rsid w:val="00F6011D"/>
    <w:rsid w:val="00F6077A"/>
    <w:rsid w:val="00F6086A"/>
    <w:rsid w:val="00F60C60"/>
    <w:rsid w:val="00F60E47"/>
    <w:rsid w:val="00F61563"/>
    <w:rsid w:val="00F6169B"/>
    <w:rsid w:val="00F61975"/>
    <w:rsid w:val="00F61EA1"/>
    <w:rsid w:val="00F625C2"/>
    <w:rsid w:val="00F62824"/>
    <w:rsid w:val="00F62D7C"/>
    <w:rsid w:val="00F631AD"/>
    <w:rsid w:val="00F63483"/>
    <w:rsid w:val="00F634C8"/>
    <w:rsid w:val="00F64657"/>
    <w:rsid w:val="00F6560E"/>
    <w:rsid w:val="00F65A27"/>
    <w:rsid w:val="00F666FA"/>
    <w:rsid w:val="00F67148"/>
    <w:rsid w:val="00F67155"/>
    <w:rsid w:val="00F67749"/>
    <w:rsid w:val="00F67A99"/>
    <w:rsid w:val="00F7058F"/>
    <w:rsid w:val="00F70D21"/>
    <w:rsid w:val="00F70FEF"/>
    <w:rsid w:val="00F7296C"/>
    <w:rsid w:val="00F73130"/>
    <w:rsid w:val="00F73735"/>
    <w:rsid w:val="00F73F06"/>
    <w:rsid w:val="00F7412C"/>
    <w:rsid w:val="00F74C88"/>
    <w:rsid w:val="00F74F3A"/>
    <w:rsid w:val="00F75411"/>
    <w:rsid w:val="00F7546F"/>
    <w:rsid w:val="00F7592C"/>
    <w:rsid w:val="00F759B1"/>
    <w:rsid w:val="00F75C02"/>
    <w:rsid w:val="00F7678A"/>
    <w:rsid w:val="00F76D29"/>
    <w:rsid w:val="00F77549"/>
    <w:rsid w:val="00F77D1E"/>
    <w:rsid w:val="00F77ECB"/>
    <w:rsid w:val="00F80602"/>
    <w:rsid w:val="00F80E61"/>
    <w:rsid w:val="00F8102C"/>
    <w:rsid w:val="00F8118F"/>
    <w:rsid w:val="00F81936"/>
    <w:rsid w:val="00F81A29"/>
    <w:rsid w:val="00F81BF8"/>
    <w:rsid w:val="00F81E47"/>
    <w:rsid w:val="00F8221E"/>
    <w:rsid w:val="00F824D2"/>
    <w:rsid w:val="00F824EF"/>
    <w:rsid w:val="00F833A9"/>
    <w:rsid w:val="00F84408"/>
    <w:rsid w:val="00F848C1"/>
    <w:rsid w:val="00F85E64"/>
    <w:rsid w:val="00F85E65"/>
    <w:rsid w:val="00F86474"/>
    <w:rsid w:val="00F868B4"/>
    <w:rsid w:val="00F86A90"/>
    <w:rsid w:val="00F8730A"/>
    <w:rsid w:val="00F8745C"/>
    <w:rsid w:val="00F9016F"/>
    <w:rsid w:val="00F90601"/>
    <w:rsid w:val="00F90A4A"/>
    <w:rsid w:val="00F91091"/>
    <w:rsid w:val="00F91351"/>
    <w:rsid w:val="00F92027"/>
    <w:rsid w:val="00F92C51"/>
    <w:rsid w:val="00F92EC2"/>
    <w:rsid w:val="00F93703"/>
    <w:rsid w:val="00F95385"/>
    <w:rsid w:val="00F9559D"/>
    <w:rsid w:val="00F96948"/>
    <w:rsid w:val="00F9745E"/>
    <w:rsid w:val="00FA06EB"/>
    <w:rsid w:val="00FA08C0"/>
    <w:rsid w:val="00FA0FBC"/>
    <w:rsid w:val="00FA1343"/>
    <w:rsid w:val="00FA158D"/>
    <w:rsid w:val="00FA2ED1"/>
    <w:rsid w:val="00FA363E"/>
    <w:rsid w:val="00FA4CBD"/>
    <w:rsid w:val="00FA4EC7"/>
    <w:rsid w:val="00FA503C"/>
    <w:rsid w:val="00FA536E"/>
    <w:rsid w:val="00FA5CF8"/>
    <w:rsid w:val="00FA65FA"/>
    <w:rsid w:val="00FA7049"/>
    <w:rsid w:val="00FA7613"/>
    <w:rsid w:val="00FA78FD"/>
    <w:rsid w:val="00FB11BE"/>
    <w:rsid w:val="00FB1357"/>
    <w:rsid w:val="00FB1799"/>
    <w:rsid w:val="00FB1B56"/>
    <w:rsid w:val="00FB27F1"/>
    <w:rsid w:val="00FB3782"/>
    <w:rsid w:val="00FB391A"/>
    <w:rsid w:val="00FB4C6F"/>
    <w:rsid w:val="00FB5B6E"/>
    <w:rsid w:val="00FB654F"/>
    <w:rsid w:val="00FB6582"/>
    <w:rsid w:val="00FB7B54"/>
    <w:rsid w:val="00FC0354"/>
    <w:rsid w:val="00FC06EC"/>
    <w:rsid w:val="00FC10A5"/>
    <w:rsid w:val="00FC1999"/>
    <w:rsid w:val="00FC27A8"/>
    <w:rsid w:val="00FC3658"/>
    <w:rsid w:val="00FC36ED"/>
    <w:rsid w:val="00FC3AE3"/>
    <w:rsid w:val="00FC3AFB"/>
    <w:rsid w:val="00FC5088"/>
    <w:rsid w:val="00FC5E76"/>
    <w:rsid w:val="00FC5F3D"/>
    <w:rsid w:val="00FC6541"/>
    <w:rsid w:val="00FC69CF"/>
    <w:rsid w:val="00FC6A6F"/>
    <w:rsid w:val="00FC6D8A"/>
    <w:rsid w:val="00FC7095"/>
    <w:rsid w:val="00FC7214"/>
    <w:rsid w:val="00FC7283"/>
    <w:rsid w:val="00FC7286"/>
    <w:rsid w:val="00FC7494"/>
    <w:rsid w:val="00FC7778"/>
    <w:rsid w:val="00FC7994"/>
    <w:rsid w:val="00FC7BB2"/>
    <w:rsid w:val="00FC7FB3"/>
    <w:rsid w:val="00FD058F"/>
    <w:rsid w:val="00FD0846"/>
    <w:rsid w:val="00FD0B70"/>
    <w:rsid w:val="00FD1165"/>
    <w:rsid w:val="00FD11B8"/>
    <w:rsid w:val="00FD1257"/>
    <w:rsid w:val="00FD1403"/>
    <w:rsid w:val="00FD1440"/>
    <w:rsid w:val="00FD1489"/>
    <w:rsid w:val="00FD1687"/>
    <w:rsid w:val="00FD17D7"/>
    <w:rsid w:val="00FD1C7A"/>
    <w:rsid w:val="00FD25A1"/>
    <w:rsid w:val="00FD2D7D"/>
    <w:rsid w:val="00FD2DA9"/>
    <w:rsid w:val="00FD35FA"/>
    <w:rsid w:val="00FD37FE"/>
    <w:rsid w:val="00FD5244"/>
    <w:rsid w:val="00FD5782"/>
    <w:rsid w:val="00FD59F1"/>
    <w:rsid w:val="00FD658A"/>
    <w:rsid w:val="00FD66A4"/>
    <w:rsid w:val="00FD68F0"/>
    <w:rsid w:val="00FD6FE2"/>
    <w:rsid w:val="00FD73A5"/>
    <w:rsid w:val="00FD74CB"/>
    <w:rsid w:val="00FD7543"/>
    <w:rsid w:val="00FD7BF5"/>
    <w:rsid w:val="00FD7DB3"/>
    <w:rsid w:val="00FE034D"/>
    <w:rsid w:val="00FE037E"/>
    <w:rsid w:val="00FE0BD6"/>
    <w:rsid w:val="00FE185C"/>
    <w:rsid w:val="00FE37B8"/>
    <w:rsid w:val="00FE3C5F"/>
    <w:rsid w:val="00FE401B"/>
    <w:rsid w:val="00FE4447"/>
    <w:rsid w:val="00FE4705"/>
    <w:rsid w:val="00FE557C"/>
    <w:rsid w:val="00FE63EA"/>
    <w:rsid w:val="00FE73F3"/>
    <w:rsid w:val="00FF1CE0"/>
    <w:rsid w:val="00FF2BA9"/>
    <w:rsid w:val="00FF2E9F"/>
    <w:rsid w:val="00FF376A"/>
    <w:rsid w:val="00FF3BF1"/>
    <w:rsid w:val="00FF3F68"/>
    <w:rsid w:val="00FF4C3A"/>
    <w:rsid w:val="00FF5EFB"/>
    <w:rsid w:val="00FF62F4"/>
    <w:rsid w:val="00FF6519"/>
    <w:rsid w:val="00FF6BC8"/>
    <w:rsid w:val="00FF70D0"/>
    <w:rsid w:val="00FF78D3"/>
    <w:rsid w:val="00FF7C94"/>
    <w:rsid w:val="036DD8E8"/>
    <w:rsid w:val="04E8683A"/>
    <w:rsid w:val="052829B9"/>
    <w:rsid w:val="05E28710"/>
    <w:rsid w:val="066A9B50"/>
    <w:rsid w:val="0A9D856F"/>
    <w:rsid w:val="0B444A70"/>
    <w:rsid w:val="0E65BDD5"/>
    <w:rsid w:val="0EDBA446"/>
    <w:rsid w:val="0F004458"/>
    <w:rsid w:val="1010593E"/>
    <w:rsid w:val="104838A3"/>
    <w:rsid w:val="106CA5E2"/>
    <w:rsid w:val="10FF5993"/>
    <w:rsid w:val="11FC1D6F"/>
    <w:rsid w:val="13884EB5"/>
    <w:rsid w:val="151AADA7"/>
    <w:rsid w:val="165A8DF3"/>
    <w:rsid w:val="16B67E08"/>
    <w:rsid w:val="1A8FB07E"/>
    <w:rsid w:val="1B41D0A1"/>
    <w:rsid w:val="1C20936D"/>
    <w:rsid w:val="1C464A05"/>
    <w:rsid w:val="1C8891BB"/>
    <w:rsid w:val="1D35E1CF"/>
    <w:rsid w:val="1DDF0A1C"/>
    <w:rsid w:val="1EBD4CBD"/>
    <w:rsid w:val="1FFF2C8E"/>
    <w:rsid w:val="21858118"/>
    <w:rsid w:val="24B6021F"/>
    <w:rsid w:val="282AA187"/>
    <w:rsid w:val="2A2D01AF"/>
    <w:rsid w:val="2A3F11AF"/>
    <w:rsid w:val="314E1EAE"/>
    <w:rsid w:val="31AADAEA"/>
    <w:rsid w:val="3438CBF2"/>
    <w:rsid w:val="3596CE0D"/>
    <w:rsid w:val="3637A5AD"/>
    <w:rsid w:val="37175B52"/>
    <w:rsid w:val="3786DCFC"/>
    <w:rsid w:val="37F18923"/>
    <w:rsid w:val="393BAF77"/>
    <w:rsid w:val="39A42769"/>
    <w:rsid w:val="3AA0F75C"/>
    <w:rsid w:val="3BA78B9E"/>
    <w:rsid w:val="3D786FC1"/>
    <w:rsid w:val="3EE63D68"/>
    <w:rsid w:val="3F0FBDD2"/>
    <w:rsid w:val="3FF9C8E4"/>
    <w:rsid w:val="40720983"/>
    <w:rsid w:val="41B4BA1A"/>
    <w:rsid w:val="42082201"/>
    <w:rsid w:val="43610EF8"/>
    <w:rsid w:val="438AC0E9"/>
    <w:rsid w:val="446F85F0"/>
    <w:rsid w:val="478B8E18"/>
    <w:rsid w:val="47D1D367"/>
    <w:rsid w:val="47D6FB08"/>
    <w:rsid w:val="47FC06EA"/>
    <w:rsid w:val="49089C94"/>
    <w:rsid w:val="49C1DA82"/>
    <w:rsid w:val="49FA0B89"/>
    <w:rsid w:val="4A40E555"/>
    <w:rsid w:val="4B7CA713"/>
    <w:rsid w:val="4B9CB161"/>
    <w:rsid w:val="4C9D30F8"/>
    <w:rsid w:val="50FC1EB2"/>
    <w:rsid w:val="52B4B087"/>
    <w:rsid w:val="53130F75"/>
    <w:rsid w:val="53BD75B9"/>
    <w:rsid w:val="53E24112"/>
    <w:rsid w:val="53FEE188"/>
    <w:rsid w:val="540E8E64"/>
    <w:rsid w:val="57DAFCA5"/>
    <w:rsid w:val="59A4D0B6"/>
    <w:rsid w:val="59F0D6F1"/>
    <w:rsid w:val="5A874769"/>
    <w:rsid w:val="5C29033E"/>
    <w:rsid w:val="5D5E68BC"/>
    <w:rsid w:val="5D82D62F"/>
    <w:rsid w:val="649B583D"/>
    <w:rsid w:val="64F614DE"/>
    <w:rsid w:val="66D32D19"/>
    <w:rsid w:val="673E4F62"/>
    <w:rsid w:val="686EFD7A"/>
    <w:rsid w:val="68D88058"/>
    <w:rsid w:val="692A3EF8"/>
    <w:rsid w:val="69CAF55A"/>
    <w:rsid w:val="69EFF807"/>
    <w:rsid w:val="6A1ADE1F"/>
    <w:rsid w:val="6A7453B7"/>
    <w:rsid w:val="6C400C06"/>
    <w:rsid w:val="6C449410"/>
    <w:rsid w:val="6D3A345E"/>
    <w:rsid w:val="6D74A48F"/>
    <w:rsid w:val="6E10E485"/>
    <w:rsid w:val="6EA8036C"/>
    <w:rsid w:val="6F36932B"/>
    <w:rsid w:val="6F3A2CA1"/>
    <w:rsid w:val="6FEB0156"/>
    <w:rsid w:val="70318BBE"/>
    <w:rsid w:val="70C10847"/>
    <w:rsid w:val="722B53A5"/>
    <w:rsid w:val="73E8DF4D"/>
    <w:rsid w:val="73FE1188"/>
    <w:rsid w:val="7584569D"/>
    <w:rsid w:val="7661C279"/>
    <w:rsid w:val="76628F0A"/>
    <w:rsid w:val="769F9489"/>
    <w:rsid w:val="76FA025E"/>
    <w:rsid w:val="77AA26BB"/>
    <w:rsid w:val="77B1DB36"/>
    <w:rsid w:val="7828EEB0"/>
    <w:rsid w:val="78455554"/>
    <w:rsid w:val="7991D9C3"/>
    <w:rsid w:val="79B64DE1"/>
    <w:rsid w:val="7C342DC9"/>
    <w:rsid w:val="7D2CFB8F"/>
    <w:rsid w:val="7E8D08EA"/>
    <w:rsid w:val="7EBB9A0F"/>
    <w:rsid w:val="7ED3FAAA"/>
  </w:rsids>
  <w:docVars>
    <w:docVar w:name="Registered" w:val="-1"/>
    <w:docVar w:name="Version" w:val="0"/>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F80C8751-2020-4252-85AE-724189B7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4FA6"/>
    <w:pPr>
      <w:tabs>
        <w:tab w:val="left" w:pos="567"/>
      </w:tabs>
      <w:spacing w:line="260" w:lineRule="exact"/>
    </w:pPr>
    <w:rPr>
      <w:rFonts w:eastAsia="Times New Roman"/>
      <w:sz w:val="22"/>
      <w:lang w:val="en-GB"/>
    </w:rPr>
  </w:style>
  <w:style w:type="paragraph" w:styleId="Heading6">
    <w:name w:val="heading 6"/>
    <w:basedOn w:val="Normal"/>
    <w:next w:val="Text"/>
    <w:link w:val="Heading6Char"/>
    <w:qFormat/>
    <w:rsid w:val="006C0509"/>
    <w:pPr>
      <w:keepNext/>
      <w:keepLines/>
      <w:tabs>
        <w:tab w:val="clear" w:pos="567"/>
      </w:tabs>
      <w:spacing w:before="240" w:after="60" w:line="240" w:lineRule="auto"/>
      <w:ind w:left="1701" w:hanging="1701"/>
      <w:outlineLvl w:val="5"/>
    </w:pPr>
    <w:rPr>
      <w:rFonts w:ascii="Arial" w:eastAsia="MS Gothic" w:hAnsi="Arial" w:cs="Arial"/>
      <w:b/>
      <w:lang w:val="en-US" w:eastAsia="zh-CN"/>
    </w:rPr>
  </w:style>
  <w:style w:type="paragraph" w:styleId="Heading7">
    <w:name w:val="heading 7"/>
    <w:basedOn w:val="Normal"/>
    <w:next w:val="Normal"/>
    <w:link w:val="Heading7Char"/>
    <w:unhideWhenUsed/>
    <w:qFormat/>
    <w:rsid w:val="00EE0F38"/>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Annotationtext,Comment Text Char Char Char,Comment Text Char1 Char,Kommentartext"/>
    <w:basedOn w:val="Normal"/>
    <w:link w:val="CommentTextChar"/>
    <w:uiPriority w:val="99"/>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libri" w:hAnsi="Calibr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aliases w:val="Kommentarzeichen"/>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Annotationtext Char,Comment Text Char Char Char Char,Comment Text Char1 Char Char,Kommentar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B21BE7"/>
    <w:rPr>
      <w:rFonts w:eastAsia="Times New Roman"/>
      <w:sz w:val="22"/>
      <w:lang w:val="en-GB"/>
    </w:rPr>
  </w:style>
  <w:style w:type="paragraph" w:customStyle="1" w:styleId="Text">
    <w:name w:val="Text"/>
    <w:aliases w:val="Graphic,Graphic Char Char,Graphic Char Char Char Char Char,Graphic Char Char Char Char Char Char Char C,Text_10394,non tochic,notic"/>
    <w:basedOn w:val="Normal"/>
    <w:link w:val="TextChar"/>
    <w:qFormat/>
    <w:rsid w:val="006B7D04"/>
    <w:pPr>
      <w:tabs>
        <w:tab w:val="clear" w:pos="567"/>
      </w:tabs>
      <w:spacing w:before="120" w:line="240" w:lineRule="auto"/>
      <w:jc w:val="both"/>
    </w:pPr>
    <w:rPr>
      <w:rFonts w:eastAsia="MS Mincho"/>
      <w:sz w:val="24"/>
      <w:lang w:val="en-US" w:eastAsia="zh-CN"/>
    </w:rPr>
  </w:style>
  <w:style w:type="paragraph" w:customStyle="1" w:styleId="Listlevel2">
    <w:name w:val="List level 2"/>
    <w:basedOn w:val="Normal"/>
    <w:link w:val="Listlevel2Char"/>
    <w:rsid w:val="006B7D04"/>
    <w:pPr>
      <w:tabs>
        <w:tab w:val="clear" w:pos="567"/>
      </w:tabs>
      <w:spacing w:before="40" w:line="240" w:lineRule="auto"/>
      <w:ind w:left="850" w:hanging="425"/>
    </w:pPr>
    <w:rPr>
      <w:rFonts w:eastAsia="MS Mincho"/>
      <w:sz w:val="24"/>
      <w:lang w:val="en-US" w:eastAsia="zh-CN"/>
    </w:rPr>
  </w:style>
  <w:style w:type="character" w:customStyle="1" w:styleId="TextChar">
    <w:name w:val="Text Char"/>
    <w:aliases w:val="Graphic Char"/>
    <w:link w:val="Text"/>
    <w:rsid w:val="006B7D04"/>
    <w:rPr>
      <w:rFonts w:eastAsia="MS Mincho"/>
      <w:sz w:val="24"/>
      <w:lang w:eastAsia="zh-CN"/>
    </w:rPr>
  </w:style>
  <w:style w:type="character" w:customStyle="1" w:styleId="Listlevel2Char">
    <w:name w:val="List level 2 Char"/>
    <w:link w:val="Listlevel2"/>
    <w:rsid w:val="006B7D04"/>
    <w:rPr>
      <w:rFonts w:eastAsia="MS Mincho"/>
      <w:sz w:val="24"/>
      <w:lang w:eastAsia="zh-CN"/>
    </w:rPr>
  </w:style>
  <w:style w:type="table" w:styleId="TableGrid">
    <w:name w:val="Table Grid"/>
    <w:basedOn w:val="TableNormal"/>
    <w:rsid w:val="00D60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Normal"/>
    <w:next w:val="Normal"/>
    <w:link w:val="CommentChar"/>
    <w:rsid w:val="00B55286"/>
    <w:pPr>
      <w:tabs>
        <w:tab w:val="clear" w:pos="567"/>
      </w:tabs>
      <w:spacing w:before="120" w:line="240" w:lineRule="auto"/>
      <w:jc w:val="both"/>
    </w:pPr>
    <w:rPr>
      <w:rFonts w:eastAsia="MS Mincho"/>
      <w:i/>
      <w:color w:val="BF30B5"/>
      <w:sz w:val="24"/>
      <w:szCs w:val="24"/>
      <w:lang w:val="en-US" w:eastAsia="zh-CN"/>
    </w:rPr>
  </w:style>
  <w:style w:type="character" w:customStyle="1" w:styleId="CommentChar">
    <w:name w:val="Comment Char"/>
    <w:link w:val="Comment"/>
    <w:rsid w:val="00B55286"/>
    <w:rPr>
      <w:rFonts w:eastAsia="MS Mincho"/>
      <w:i/>
      <w:color w:val="BF30B5"/>
      <w:sz w:val="24"/>
      <w:szCs w:val="24"/>
      <w:lang w:eastAsia="zh-CN"/>
    </w:rPr>
  </w:style>
  <w:style w:type="paragraph" w:customStyle="1" w:styleId="Table">
    <w:name w:val="Table"/>
    <w:aliases w:val="(Complex) Arial,10 pt,10 pt  Bold,9 pt,9pt,After:  0 pt,Before:  0 pt,Bold,Courier New,Normal + (Latin) Arial,Normal + Courier New,Not Bold,Table + (Latin) Courier New,Table pt,Text + Courier New,legendpt,legendt,table text 10 pt + Arial"/>
    <w:basedOn w:val="Normal"/>
    <w:link w:val="TableChar"/>
    <w:qFormat/>
    <w:rsid w:val="00B55286"/>
    <w:pPr>
      <w:keepLines/>
      <w:tabs>
        <w:tab w:val="left" w:pos="284"/>
        <w:tab w:val="clear" w:pos="567"/>
      </w:tabs>
      <w:spacing w:before="40" w:after="20" w:line="240" w:lineRule="auto"/>
    </w:pPr>
    <w:rPr>
      <w:rFonts w:ascii="Arial" w:eastAsia="MS Mincho" w:hAnsi="Arial" w:cs="Arial"/>
      <w:sz w:val="20"/>
      <w:szCs w:val="24"/>
      <w:lang w:val="en-US" w:eastAsia="zh-CN"/>
    </w:rPr>
  </w:style>
  <w:style w:type="paragraph" w:customStyle="1" w:styleId="Legend">
    <w:name w:val="Legend"/>
    <w:basedOn w:val="Table"/>
    <w:link w:val="LegendChar"/>
    <w:rsid w:val="00B55286"/>
  </w:style>
  <w:style w:type="character" w:customStyle="1" w:styleId="LegendChar">
    <w:name w:val="Legend Char"/>
    <w:link w:val="Legend"/>
    <w:rsid w:val="00B55286"/>
    <w:rPr>
      <w:rFonts w:ascii="Arial" w:eastAsia="MS Mincho" w:hAnsi="Arial" w:cs="Arial"/>
      <w:szCs w:val="24"/>
      <w:lang w:eastAsia="zh-CN"/>
    </w:rPr>
  </w:style>
  <w:style w:type="character" w:customStyle="1" w:styleId="TableChar">
    <w:name w:val="Table Char"/>
    <w:aliases w:val="(Complex) Arial Char,10 pt  Bold Char,10 pt Char,9 Char,9 pt Char,9pt Char,Be... Char,Bold Char,Italic Char,Justified Char,Left:  0&quot; Char,Normal + (Latin) Arial Char,Normal + Courier New Char,Table pt Char,table text 10 pt + Arial Char"/>
    <w:link w:val="Table"/>
    <w:rsid w:val="00B55286"/>
    <w:rPr>
      <w:rFonts w:ascii="Arial" w:eastAsia="MS Mincho" w:hAnsi="Arial" w:cs="Arial"/>
      <w:szCs w:val="24"/>
      <w:lang w:eastAsia="zh-CN"/>
    </w:rPr>
  </w:style>
  <w:style w:type="paragraph" w:customStyle="1" w:styleId="Listlevel1">
    <w:name w:val="List level 1"/>
    <w:basedOn w:val="Normal"/>
    <w:link w:val="Listlevel1Char"/>
    <w:rsid w:val="005613A2"/>
    <w:pPr>
      <w:tabs>
        <w:tab w:val="clear" w:pos="567"/>
      </w:tabs>
      <w:spacing w:before="40" w:line="240" w:lineRule="auto"/>
      <w:ind w:left="425" w:hanging="425"/>
    </w:pPr>
    <w:rPr>
      <w:rFonts w:eastAsia="MS Mincho"/>
      <w:sz w:val="24"/>
      <w:lang w:val="en-US" w:eastAsia="zh-CN"/>
    </w:rPr>
  </w:style>
  <w:style w:type="paragraph" w:customStyle="1" w:styleId="Nottoc-headings">
    <w:name w:val="Not toc-headings"/>
    <w:basedOn w:val="Normal"/>
    <w:next w:val="Text"/>
    <w:link w:val="Nottoc-headingsChar"/>
    <w:rsid w:val="00FC3AE3"/>
    <w:pPr>
      <w:keepNext/>
      <w:keepLines/>
      <w:tabs>
        <w:tab w:val="clear" w:pos="567"/>
      </w:tabs>
      <w:spacing w:before="240" w:after="60" w:line="240" w:lineRule="auto"/>
    </w:pPr>
    <w:rPr>
      <w:rFonts w:ascii="Arial" w:eastAsia="MS Gothic" w:hAnsi="Arial" w:cs="Arial"/>
      <w:b/>
      <w:sz w:val="24"/>
      <w:szCs w:val="24"/>
      <w:lang w:val="en-US" w:eastAsia="zh-CN"/>
    </w:rPr>
  </w:style>
  <w:style w:type="character" w:customStyle="1" w:styleId="Nottoc-headingsChar">
    <w:name w:val="Not toc-headings Char"/>
    <w:link w:val="Nottoc-headings"/>
    <w:rsid w:val="00FC3AE3"/>
    <w:rPr>
      <w:rFonts w:ascii="Arial" w:eastAsia="MS Gothic" w:hAnsi="Arial" w:cs="Arial"/>
      <w:b/>
      <w:sz w:val="24"/>
      <w:szCs w:val="24"/>
      <w:lang w:eastAsia="zh-CN"/>
    </w:rPr>
  </w:style>
  <w:style w:type="paragraph" w:customStyle="1" w:styleId="Default">
    <w:name w:val="Default"/>
    <w:rsid w:val="007F7D38"/>
    <w:pPr>
      <w:autoSpaceDE w:val="0"/>
      <w:autoSpaceDN w:val="0"/>
      <w:adjustRightInd w:val="0"/>
    </w:pPr>
    <w:rPr>
      <w:color w:val="000000"/>
      <w:sz w:val="24"/>
      <w:szCs w:val="24"/>
    </w:rPr>
  </w:style>
  <w:style w:type="character" w:customStyle="1" w:styleId="Heading6Char">
    <w:name w:val="Heading 6 Char"/>
    <w:link w:val="Heading6"/>
    <w:rsid w:val="006C0509"/>
    <w:rPr>
      <w:rFonts w:ascii="Arial" w:eastAsia="MS Gothic" w:hAnsi="Arial" w:cs="Arial"/>
      <w:b/>
      <w:sz w:val="22"/>
      <w:lang w:eastAsia="zh-CN"/>
    </w:rPr>
  </w:style>
  <w:style w:type="character" w:customStyle="1" w:styleId="Heading7Char">
    <w:name w:val="Heading 7 Char"/>
    <w:link w:val="Heading7"/>
    <w:rsid w:val="00EE0F38"/>
    <w:rPr>
      <w:rFonts w:ascii="Calibri" w:eastAsia="Times New Roman" w:hAnsi="Calibri" w:cs="Times New Roman"/>
      <w:sz w:val="24"/>
      <w:szCs w:val="24"/>
      <w:lang w:val="en-GB"/>
    </w:rPr>
  </w:style>
  <w:style w:type="paragraph" w:styleId="ListParagraph">
    <w:name w:val="List Paragraph"/>
    <w:basedOn w:val="Normal"/>
    <w:uiPriority w:val="34"/>
    <w:qFormat/>
    <w:rsid w:val="00406A2D"/>
    <w:pPr>
      <w:tabs>
        <w:tab w:val="clear" w:pos="567"/>
      </w:tabs>
      <w:spacing w:before="40" w:line="240" w:lineRule="auto"/>
      <w:ind w:left="720"/>
      <w:contextualSpacing/>
    </w:pPr>
    <w:rPr>
      <w:rFonts w:eastAsia="MS Mincho"/>
      <w:sz w:val="24"/>
      <w:lang w:val="en-US" w:eastAsia="zh-CN"/>
    </w:rPr>
  </w:style>
  <w:style w:type="character" w:customStyle="1" w:styleId="text-h1">
    <w:name w:val="text-h1"/>
    <w:rsid w:val="000D12BB"/>
    <w:rPr>
      <w:rFonts w:ascii="Times New Roman" w:hAnsi="Times New Roman" w:cs="Times New Roman" w:hint="default"/>
      <w:sz w:val="24"/>
      <w:szCs w:val="24"/>
    </w:rPr>
  </w:style>
  <w:style w:type="character" w:customStyle="1" w:styleId="st1">
    <w:name w:val="st1"/>
    <w:rsid w:val="00633F7C"/>
  </w:style>
  <w:style w:type="character" w:customStyle="1" w:styleId="Listlevel1Char">
    <w:name w:val="List level 1 Char"/>
    <w:link w:val="Listlevel1"/>
    <w:rsid w:val="00DD275D"/>
    <w:rPr>
      <w:rFonts w:eastAsia="MS Mincho"/>
      <w:sz w:val="24"/>
      <w:lang w:eastAsia="zh-CN"/>
    </w:rPr>
  </w:style>
  <w:style w:type="paragraph" w:customStyle="1" w:styleId="JPSAStext">
    <w:name w:val="JP SAS text"/>
    <w:basedOn w:val="Normal"/>
    <w:rsid w:val="004B63E2"/>
    <w:pPr>
      <w:tabs>
        <w:tab w:val="clear" w:pos="567"/>
      </w:tabs>
      <w:spacing w:line="240" w:lineRule="auto"/>
    </w:pPr>
    <w:rPr>
      <w:rFonts w:ascii="Courier New" w:eastAsia="MS Mincho" w:hAnsi="Courier New" w:cs="Courier New"/>
      <w:spacing w:val="-10"/>
      <w:sz w:val="18"/>
      <w:szCs w:val="18"/>
      <w:lang w:val="en-US" w:eastAsia="zh-CN"/>
    </w:rPr>
  </w:style>
  <w:style w:type="paragraph" w:customStyle="1" w:styleId="JPTable">
    <w:name w:val="JP Table"/>
    <w:basedOn w:val="Table"/>
    <w:rsid w:val="00E03FA6"/>
    <w:rPr>
      <w:rFonts w:ascii="Times New Roman" w:hAnsi="Times New Roman"/>
      <w:sz w:val="18"/>
      <w:szCs w:val="18"/>
    </w:rPr>
  </w:style>
  <w:style w:type="paragraph" w:customStyle="1" w:styleId="Docstatus">
    <w:name w:val="Docstatus"/>
    <w:basedOn w:val="Normal"/>
    <w:rsid w:val="00017894"/>
    <w:pPr>
      <w:keepNext/>
      <w:tabs>
        <w:tab w:val="clear" w:pos="567"/>
      </w:tabs>
      <w:spacing w:before="240" w:line="240" w:lineRule="auto"/>
    </w:pPr>
    <w:rPr>
      <w:rFonts w:ascii="Arial" w:eastAsia="MS Gothic" w:hAnsi="Arial" w:cs="Arial"/>
      <w:sz w:val="24"/>
      <w:lang w:val="en-US" w:eastAsia="zh-CN"/>
    </w:rPr>
  </w:style>
  <w:style w:type="paragraph" w:customStyle="1" w:styleId="a">
    <w:name w:val="a"/>
    <w:basedOn w:val="Normal"/>
    <w:next w:val="CommentText"/>
    <w:link w:val="MerknadstekstTegn"/>
    <w:uiPriority w:val="99"/>
    <w:rsid w:val="00415CD8"/>
    <w:rPr>
      <w:sz w:val="20"/>
    </w:rPr>
  </w:style>
  <w:style w:type="character" w:customStyle="1" w:styleId="MerknadstekstTegn">
    <w:name w:val="Merknadstekst Tegn"/>
    <w:aliases w:val="Comment Text Char Char Char Tegn,Comment Text Char1 Char Tegn"/>
    <w:link w:val="a"/>
    <w:uiPriority w:val="99"/>
    <w:rsid w:val="00C61830"/>
    <w:rPr>
      <w:rFonts w:eastAsia="Times New Roman"/>
      <w:lang w:val="en-GB"/>
    </w:rPr>
  </w:style>
  <w:style w:type="paragraph" w:customStyle="1" w:styleId="a0">
    <w:name w:val="a0"/>
    <w:uiPriority w:val="99"/>
    <w:rsid w:val="004F0B88"/>
    <w:pPr>
      <w:tabs>
        <w:tab w:val="left" w:pos="567"/>
      </w:tabs>
      <w:spacing w:line="260" w:lineRule="exact"/>
    </w:pPr>
    <w:rPr>
      <w:rFonts w:eastAsia="Times New Roman"/>
      <w:lang w:val="en-GB"/>
    </w:rPr>
  </w:style>
  <w:style w:type="paragraph" w:customStyle="1" w:styleId="a1">
    <w:name w:val="a1"/>
    <w:basedOn w:val="Normal"/>
    <w:next w:val="CommentText"/>
    <w:uiPriority w:val="99"/>
    <w:rsid w:val="00494E97"/>
    <w:rPr>
      <w:sz w:val="20"/>
    </w:rPr>
  </w:style>
  <w:style w:type="paragraph" w:customStyle="1" w:styleId="a2">
    <w:name w:val="a2"/>
    <w:uiPriority w:val="99"/>
    <w:rsid w:val="009509A3"/>
    <w:pPr>
      <w:tabs>
        <w:tab w:val="left" w:pos="567"/>
      </w:tabs>
      <w:spacing w:line="260" w:lineRule="exact"/>
    </w:pPr>
    <w:rPr>
      <w:rFonts w:eastAsia="Times New Roman"/>
      <w:lang w:val="en-GB"/>
    </w:rPr>
  </w:style>
  <w:style w:type="paragraph" w:customStyle="1" w:styleId="a3">
    <w:name w:val="a3"/>
    <w:uiPriority w:val="99"/>
    <w:rsid w:val="0013093A"/>
    <w:pPr>
      <w:tabs>
        <w:tab w:val="left" w:pos="567"/>
      </w:tabs>
      <w:spacing w:line="260" w:lineRule="exact"/>
    </w:pPr>
    <w:rPr>
      <w:rFonts w:eastAsia="Times New Roman"/>
      <w:lang w:val="en-GB"/>
    </w:rPr>
  </w:style>
  <w:style w:type="paragraph" w:customStyle="1" w:styleId="a4">
    <w:name w:val="a4"/>
    <w:uiPriority w:val="99"/>
    <w:rsid w:val="00820C59"/>
    <w:pPr>
      <w:tabs>
        <w:tab w:val="left" w:pos="567"/>
      </w:tabs>
      <w:spacing w:line="260" w:lineRule="exact"/>
    </w:pPr>
    <w:rPr>
      <w:rFonts w:eastAsia="Times New Roman"/>
      <w:lang w:val="en-GB"/>
    </w:rPr>
  </w:style>
  <w:style w:type="paragraph" w:customStyle="1" w:styleId="a5">
    <w:name w:val="a5"/>
    <w:uiPriority w:val="99"/>
    <w:rsid w:val="00F260FC"/>
    <w:pPr>
      <w:tabs>
        <w:tab w:val="left" w:pos="567"/>
      </w:tabs>
      <w:spacing w:line="260" w:lineRule="exact"/>
    </w:pPr>
    <w:rPr>
      <w:rFonts w:eastAsia="Times New Roman"/>
      <w:lang w:val="en-GB"/>
    </w:rPr>
  </w:style>
  <w:style w:type="paragraph" w:customStyle="1" w:styleId="a6">
    <w:name w:val="a6"/>
    <w:basedOn w:val="Normal"/>
    <w:next w:val="CommentText"/>
    <w:uiPriority w:val="99"/>
    <w:rsid w:val="00A03A1C"/>
    <w:rPr>
      <w:sz w:val="20"/>
    </w:rPr>
  </w:style>
  <w:style w:type="paragraph" w:customStyle="1" w:styleId="a7">
    <w:name w:val="a7"/>
    <w:basedOn w:val="Normal"/>
    <w:next w:val="CommentText"/>
    <w:uiPriority w:val="99"/>
    <w:rsid w:val="00A91AC4"/>
    <w:rPr>
      <w:sz w:val="20"/>
    </w:rPr>
  </w:style>
  <w:style w:type="paragraph" w:customStyle="1" w:styleId="a8">
    <w:name w:val="a8"/>
    <w:uiPriority w:val="99"/>
    <w:rsid w:val="00A91AC4"/>
    <w:pPr>
      <w:tabs>
        <w:tab w:val="left" w:pos="567"/>
      </w:tabs>
      <w:spacing w:line="260" w:lineRule="exact"/>
    </w:pPr>
    <w:rPr>
      <w:rFonts w:eastAsia="Times New Roman"/>
      <w:lang w:val="en-GB"/>
    </w:rPr>
  </w:style>
  <w:style w:type="character" w:customStyle="1" w:styleId="Merknadsreferanse1">
    <w:name w:val="Merknadsreferanse1"/>
    <w:uiPriority w:val="99"/>
    <w:rsid w:val="00A62C26"/>
    <w:rPr>
      <w:sz w:val="16"/>
      <w:szCs w:val="16"/>
    </w:rPr>
  </w:style>
  <w:style w:type="character" w:customStyle="1" w:styleId="MerknadstekstTegn1">
    <w:name w:val="Merknadstekst Tegn1"/>
    <w:aliases w:val="Comment Text Char Char Char Tegn1,Comment Text Char1 Char Tegn1"/>
    <w:uiPriority w:val="99"/>
    <w:rsid w:val="00A10870"/>
    <w:rPr>
      <w:rFonts w:eastAsia="Times New Roman"/>
      <w:lang w:eastAsia="en-US"/>
    </w:rPr>
  </w:style>
  <w:style w:type="paragraph" w:customStyle="1" w:styleId="a9">
    <w:name w:val="a9"/>
    <w:rsid w:val="005A2348"/>
    <w:pPr>
      <w:tabs>
        <w:tab w:val="left" w:pos="567"/>
      </w:tabs>
      <w:spacing w:line="260" w:lineRule="exact"/>
    </w:pPr>
    <w:rPr>
      <w:rFonts w:eastAsia="Times New Roman"/>
      <w:sz w:val="22"/>
      <w:lang w:val="en-GB"/>
    </w:rPr>
  </w:style>
  <w:style w:type="character" w:customStyle="1" w:styleId="MerknadstekstTegn2">
    <w:name w:val="Merknadstekst Tegn2"/>
    <w:aliases w:val="Comment Text Char Char Char Tegn2,Comment Text Char1 Char Tegn2"/>
    <w:uiPriority w:val="99"/>
    <w:rsid w:val="002E2CD6"/>
    <w:rPr>
      <w:rFonts w:eastAsia="Times New Roman"/>
      <w:lang w:eastAsia="en-US"/>
    </w:rPr>
  </w:style>
  <w:style w:type="paragraph" w:customStyle="1" w:styleId="aa">
    <w:name w:val="aa"/>
    <w:rsid w:val="00784FA6"/>
    <w:pPr>
      <w:tabs>
        <w:tab w:val="left" w:pos="567"/>
      </w:tabs>
      <w:spacing w:line="260" w:lineRule="exact"/>
    </w:pPr>
    <w:rPr>
      <w:rFonts w:eastAsia="Times New Roman"/>
      <w:sz w:val="22"/>
      <w:lang w:val="en-GB"/>
    </w:rPr>
  </w:style>
  <w:style w:type="character" w:customStyle="1" w:styleId="normaltextrun1">
    <w:name w:val="normaltextrun1"/>
    <w:basedOn w:val="DefaultParagraphFont"/>
    <w:rsid w:val="00513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7380F-615F-48A6-AD55-09635AD9AF73}">
  <ds:schemaRefs>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30c944e9-2e31-4ce3-a769-aac5430ea166"/>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13CD823-88FA-4460-AA43-7E487136B75B}">
  <ds:schemaRefs>
    <ds:schemaRef ds:uri="http://schemas.microsoft.com/sharepoint/v3/contenttype/forms"/>
  </ds:schemaRefs>
</ds:datastoreItem>
</file>

<file path=customXml/itemProps3.xml><?xml version="1.0" encoding="utf-8"?>
<ds:datastoreItem xmlns:ds="http://schemas.openxmlformats.org/officeDocument/2006/customXml" ds:itemID="{F2BEB268-E90F-4C5C-8BF1-01B2227D6B33}"/>
</file>

<file path=customXml/itemProps4.xml><?xml version="1.0" encoding="utf-8"?>
<ds:datastoreItem xmlns:ds="http://schemas.openxmlformats.org/officeDocument/2006/customXml" ds:itemID="{22BF46C4-D93D-422B-98EE-46B648B98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14679</Words>
  <Characters>84321</Characters>
  <Application>Microsoft Office Word</Application>
  <DocSecurity>0</DocSecurity>
  <Lines>2635</Lines>
  <Paragraphs>1477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Novartis</Company>
  <LinksUpToDate>false</LinksUpToDate>
  <CharactersWithSpaces>97523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Kymriah II-30 - EN PI clean</dc:title>
  <dc:subject>EPAR</dc:subject>
  <dc:creator>CHMP</dc:creator>
  <cp:keywords>Kymriah, INN-tisagenlecleucel</cp:keywords>
  <cp:lastModifiedBy>Kirsty Johnston</cp:lastModifiedBy>
  <cp:revision>2</cp:revision>
  <cp:lastPrinted>2019-07-01T12:46:00Z</cp:lastPrinted>
  <dcterms:created xsi:type="dcterms:W3CDTF">2021-02-19T10:27:00Z</dcterms:created>
  <dcterms:modified xsi:type="dcterms:W3CDTF">2021-02-19T10:27:00Z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ity">
    <vt:lpwstr>Business Use Only</vt:lpwstr>
  </property>
  <property fmtid="{D5CDD505-2E9C-101B-9397-08002B2CF9AE}" pid="3" name="ContentTypeId">
    <vt:lpwstr>0x010100726F91DD1AE57B44B1BCEB7F1056F5D0</vt:lpwstr>
  </property>
  <property fmtid="{D5CDD505-2E9C-101B-9397-08002B2CF9AE}" pid="4" name="d1_p33_131">
    <vt:lpwstr/>
  </property>
  <property fmtid="{D5CDD505-2E9C-101B-9397-08002B2CF9AE}" pid="5" name="d1_p33_132">
    <vt:lpwstr/>
  </property>
  <property fmtid="{D5CDD505-2E9C-101B-9397-08002B2CF9AE}" pid="6" name="DM_Author">
    <vt:lpwstr/>
  </property>
  <property fmtid="{D5CDD505-2E9C-101B-9397-08002B2CF9AE}" pid="7" name="DM_Authors">
    <vt:lpwstr/>
  </property>
  <property fmtid="{D5CDD505-2E9C-101B-9397-08002B2CF9AE}" pid="8" name="DM_Category">
    <vt:lpwstr>Product Information</vt:lpwstr>
  </property>
  <property fmtid="{D5CDD505-2E9C-101B-9397-08002B2CF9AE}" pid="9" name="DM_Creation_Date">
    <vt:lpwstr>22/02/2021 08:39:18</vt:lpwstr>
  </property>
  <property fmtid="{D5CDD505-2E9C-101B-9397-08002B2CF9AE}" pid="10" name="DM_Creator_Name">
    <vt:lpwstr>Irndorfer Hilke</vt:lpwstr>
  </property>
  <property fmtid="{D5CDD505-2E9C-101B-9397-08002B2CF9AE}" pid="11" name="DM_DocRefId">
    <vt:lpwstr>EMA/CHMP/112297/2021</vt:lpwstr>
  </property>
  <property fmtid="{D5CDD505-2E9C-101B-9397-08002B2CF9AE}" pid="12" name="DM_emea_bcc">
    <vt:lpwstr/>
  </property>
  <property fmtid="{D5CDD505-2E9C-101B-9397-08002B2CF9AE}" pid="13" name="DM_emea_cc">
    <vt:lpwstr/>
  </property>
  <property fmtid="{D5CDD505-2E9C-101B-9397-08002B2CF9AE}" pid="14" name="DM_emea_doc_category">
    <vt:lpwstr>General</vt:lpwstr>
  </property>
  <property fmtid="{D5CDD505-2E9C-101B-9397-08002B2CF9AE}" pid="15" name="DM_emea_doc_lang">
    <vt:lpwstr/>
  </property>
  <property fmtid="{D5CDD505-2E9C-101B-9397-08002B2CF9AE}" pid="16" name="DM_emea_doc_number">
    <vt:lpwstr>423415</vt:lpwstr>
  </property>
  <property fmtid="{D5CDD505-2E9C-101B-9397-08002B2CF9AE}" pid="17" name="DM_emea_doc_ref_id">
    <vt:lpwstr>EMA/CHMP/112297/2021</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meeting_action">
    <vt:lpwstr/>
  </property>
  <property fmtid="{D5CDD505-2E9C-101B-9397-08002B2CF9AE}" pid="22" name="DM_emea_meeting_flags">
    <vt:lpwstr/>
  </property>
  <property fmtid="{D5CDD505-2E9C-101B-9397-08002B2CF9AE}" pid="23" name="DM_emea_meeting_hyperlink">
    <vt:lpwstr/>
  </property>
  <property fmtid="{D5CDD505-2E9C-101B-9397-08002B2CF9AE}" pid="24" name="DM_emea_meeting_ref">
    <vt:lpwstr/>
  </property>
  <property fmtid="{D5CDD505-2E9C-101B-9397-08002B2CF9AE}" pid="25" name="DM_emea_meeting_status">
    <vt:lpwstr/>
  </property>
  <property fmtid="{D5CDD505-2E9C-101B-9397-08002B2CF9AE}" pid="26" name="DM_emea_meeting_title">
    <vt:lpwstr/>
  </property>
  <property fmtid="{D5CDD505-2E9C-101B-9397-08002B2CF9AE}" pid="27" name="DM_emea_message_subject">
    <vt:lpwstr/>
  </property>
  <property fmtid="{D5CDD505-2E9C-101B-9397-08002B2CF9AE}" pid="28" name="DM_emea_received_date">
    <vt:lpwstr>nulldate</vt:lpwstr>
  </property>
  <property fmtid="{D5CDD505-2E9C-101B-9397-08002B2CF9AE}" pid="29" name="DM_emea_resp_body">
    <vt:lpwstr/>
  </property>
  <property fmtid="{D5CDD505-2E9C-101B-9397-08002B2CF9AE}" pid="30" name="DM_emea_revision_label">
    <vt:lpwstr/>
  </property>
  <property fmtid="{D5CDD505-2E9C-101B-9397-08002B2CF9AE}" pid="31" name="DM_emea_sent_date">
    <vt:lpwstr>nulldate</vt:lpwstr>
  </property>
  <property fmtid="{D5CDD505-2E9C-101B-9397-08002B2CF9AE}" pid="32" name="DM_emea_to">
    <vt:lpwstr/>
  </property>
  <property fmtid="{D5CDD505-2E9C-101B-9397-08002B2CF9AE}" pid="33" name="DM_emea_year">
    <vt:lpwstr>2010</vt:lpwstr>
  </property>
  <property fmtid="{D5CDD505-2E9C-101B-9397-08002B2CF9AE}" pid="34" name="DM_Keywords">
    <vt:lpwstr/>
  </property>
  <property fmtid="{D5CDD505-2E9C-101B-9397-08002B2CF9AE}" pid="35" name="DM_Language">
    <vt:lpwstr/>
  </property>
  <property fmtid="{D5CDD505-2E9C-101B-9397-08002B2CF9AE}" pid="36" name="DM_Modifer_Name">
    <vt:lpwstr>Irndorfer Hilke</vt:lpwstr>
  </property>
  <property fmtid="{D5CDD505-2E9C-101B-9397-08002B2CF9AE}" pid="37" name="DM_Modified_Date">
    <vt:lpwstr>25/02/2021 16:46:14</vt:lpwstr>
  </property>
  <property fmtid="{D5CDD505-2E9C-101B-9397-08002B2CF9AE}" pid="38" name="DM_Modifier_Name">
    <vt:lpwstr>Irndorfer Hilke</vt:lpwstr>
  </property>
  <property fmtid="{D5CDD505-2E9C-101B-9397-08002B2CF9AE}" pid="39" name="DM_Modify_Date">
    <vt:lpwstr>25/02/2021 16:46:14</vt:lpwstr>
  </property>
  <property fmtid="{D5CDD505-2E9C-101B-9397-08002B2CF9AE}" pid="40" name="DM_Name">
    <vt:lpwstr>Kymriah II-30 - EN PI clean</vt:lpwstr>
  </property>
  <property fmtid="{D5CDD505-2E9C-101B-9397-08002B2CF9AE}" pid="41" name="DM_Owner">
    <vt:lpwstr>Espinasse Claire</vt:lpwstr>
  </property>
  <property fmtid="{D5CDD505-2E9C-101B-9397-08002B2CF9AE}" pid="42" name="DM_Path">
    <vt:lpwstr>/01. Evaluation of Medicines/H-C/J-L/Kymriah - 004090/05 Post Authorisation/Post Activities/2021-02-25-4090-II-0030-I/03. Opinion</vt:lpwstr>
  </property>
  <property fmtid="{D5CDD505-2E9C-101B-9397-08002B2CF9AE}" pid="43" name="DM_Status">
    <vt:lpwstr/>
  </property>
  <property fmtid="{D5CDD505-2E9C-101B-9397-08002B2CF9AE}" pid="44" name="DM_Subject">
    <vt:lpwstr/>
  </property>
  <property fmtid="{D5CDD505-2E9C-101B-9397-08002B2CF9AE}" pid="45" name="DM_Title">
    <vt:lpwstr/>
  </property>
  <property fmtid="{D5CDD505-2E9C-101B-9397-08002B2CF9AE}" pid="46" name="DM_Type">
    <vt:lpwstr>emea_document</vt:lpwstr>
  </property>
  <property fmtid="{D5CDD505-2E9C-101B-9397-08002B2CF9AE}" pid="47" name="DM_Version">
    <vt:lpwstr>1.0,CURRENT</vt:lpwstr>
  </property>
  <property fmtid="{D5CDD505-2E9C-101B-9397-08002B2CF9AE}" pid="48" name="MSIP_Label_4929bff8-5b33-42aa-95d2-28f72e792cb0_Enabled">
    <vt:lpwstr>True</vt:lpwstr>
  </property>
  <property fmtid="{D5CDD505-2E9C-101B-9397-08002B2CF9AE}" pid="49" name="MSIP_Label_4929bff8-5b33-42aa-95d2-28f72e792cb0_Extended_MSFT_Method">
    <vt:lpwstr>Automatic</vt:lpwstr>
  </property>
  <property fmtid="{D5CDD505-2E9C-101B-9397-08002B2CF9AE}" pid="50" name="MSIP_Label_4929bff8-5b33-42aa-95d2-28f72e792cb0_Name">
    <vt:lpwstr>Business Use Only</vt:lpwstr>
  </property>
  <property fmtid="{D5CDD505-2E9C-101B-9397-08002B2CF9AE}" pid="51" name="MSIP_Label_4929bff8-5b33-42aa-95d2-28f72e792cb0_Ref">
    <vt:lpwstr>https://api.informationprotection.azure.com/api/f35a6974-607f-47d4-82d7-ff31d7dc53a5</vt:lpwstr>
  </property>
  <property fmtid="{D5CDD505-2E9C-101B-9397-08002B2CF9AE}" pid="52" name="MSIP_Label_4929bff8-5b33-42aa-95d2-28f72e792cb0_SetDate">
    <vt:lpwstr>2018-08-24T12:06:49.7225994+02:00</vt:lpwstr>
  </property>
  <property fmtid="{D5CDD505-2E9C-101B-9397-08002B2CF9AE}" pid="53" name="MSIP_Label_4929bff8-5b33-42aa-95d2-28f72e792cb0_SiteId">
    <vt:lpwstr>f35a6974-607f-47d4-82d7-ff31d7dc53a5</vt:lpwstr>
  </property>
  <property fmtid="{D5CDD505-2E9C-101B-9397-08002B2CF9AE}" pid="54" name="NovStyleNation">
    <vt:lpwstr>EN</vt:lpwstr>
  </property>
  <property fmtid="{D5CDD505-2E9C-101B-9397-08002B2CF9AE}" pid="55" name="NovStyleSubType">
    <vt:lpwstr>JP_standard</vt:lpwstr>
  </property>
</Properties>
</file>